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2A3C3" w14:textId="77777777" w:rsidR="00A03ABC" w:rsidRPr="00D57F4E" w:rsidRDefault="00934A80" w:rsidP="00665616">
      <w:pPr>
        <w:pStyle w:val="Heading1"/>
        <w:spacing w:before="0" w:line="240" w:lineRule="auto"/>
        <w:ind w:leftChars="0" w:left="0" w:firstLineChars="0" w:firstLine="0"/>
        <w:jc w:val="both"/>
        <w:rPr>
          <w:rFonts w:ascii="Times New Roman" w:eastAsia="Times New Roman" w:hAnsi="Times New Roman"/>
          <w:b/>
          <w:color w:val="000000" w:themeColor="text1"/>
          <w:sz w:val="28"/>
          <w:szCs w:val="28"/>
        </w:rPr>
      </w:pPr>
      <w:bookmarkStart w:id="0" w:name="_Hlk30942952"/>
      <w:bookmarkEnd w:id="0"/>
      <w:r w:rsidRPr="00D57F4E">
        <w:rPr>
          <w:rFonts w:ascii="Times New Roman" w:eastAsia="Times New Roman" w:hAnsi="Times New Roman"/>
          <w:b/>
          <w:noProof/>
          <w:color w:val="000000" w:themeColor="text1"/>
        </w:rPr>
        <w:drawing>
          <wp:anchor distT="0" distB="0" distL="114300" distR="114300" simplePos="0" relativeHeight="251658240" behindDoc="0" locked="0" layoutInCell="1" allowOverlap="1" wp14:anchorId="4332932D" wp14:editId="0644F7C6">
            <wp:simplePos x="0" y="0"/>
            <wp:positionH relativeFrom="margin">
              <wp:align>right</wp:align>
            </wp:positionH>
            <wp:positionV relativeFrom="paragraph">
              <wp:posOffset>6558</wp:posOffset>
            </wp:positionV>
            <wp:extent cx="5940000" cy="702000"/>
            <wp:effectExtent l="0" t="0" r="3810" b="3175"/>
            <wp:wrapSquare wrapText="bothSides"/>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5940000" cy="702000"/>
                    </a:xfrm>
                    <a:prstGeom prst="rect">
                      <a:avLst/>
                    </a:prstGeom>
                    <a:ln/>
                  </pic:spPr>
                </pic:pic>
              </a:graphicData>
            </a:graphic>
            <wp14:sizeRelH relativeFrom="margin">
              <wp14:pctWidth>0</wp14:pctWidth>
            </wp14:sizeRelH>
            <wp14:sizeRelV relativeFrom="margin">
              <wp14:pctHeight>0</wp14:pctHeight>
            </wp14:sizeRelV>
          </wp:anchor>
        </w:drawing>
      </w:r>
    </w:p>
    <w:p w14:paraId="2AF1700B" w14:textId="77777777" w:rsidR="00A03ABC" w:rsidRPr="004869FE" w:rsidRDefault="004869FE" w:rsidP="00665616">
      <w:pPr>
        <w:spacing w:after="0" w:line="240" w:lineRule="auto"/>
        <w:ind w:left="1" w:hanging="3"/>
        <w:jc w:val="center"/>
        <w:rPr>
          <w:rFonts w:ascii="Times New Roman" w:eastAsia="Times New Roman" w:hAnsi="Times New Roman" w:cs="Times New Roman"/>
          <w:b/>
          <w:color w:val="000000" w:themeColor="text1"/>
          <w:sz w:val="28"/>
          <w:szCs w:val="28"/>
        </w:rPr>
      </w:pPr>
      <w:bookmarkStart w:id="1" w:name="_Hlk29720721"/>
      <w:r>
        <w:rPr>
          <w:rFonts w:ascii="Times New Roman" w:eastAsia="Times New Roman" w:hAnsi="Times New Roman" w:cs="Times New Roman"/>
          <w:b/>
          <w:color w:val="000000" w:themeColor="text1"/>
          <w:sz w:val="28"/>
          <w:szCs w:val="28"/>
        </w:rPr>
        <w:t>P</w:t>
      </w:r>
      <w:r w:rsidRPr="004869FE">
        <w:rPr>
          <w:rFonts w:ascii="Times New Roman" w:eastAsia="Times New Roman" w:hAnsi="Times New Roman" w:cs="Times New Roman"/>
          <w:b/>
          <w:color w:val="000000" w:themeColor="text1"/>
          <w:sz w:val="28"/>
          <w:szCs w:val="28"/>
        </w:rPr>
        <w:t>engaruh faktor kendiri dan institusi mempengaruhi minat mengikuti program pembelajaran sepanjang hayat PPGB-JAIS-UPSI</w:t>
      </w:r>
    </w:p>
    <w:bookmarkEnd w:id="1"/>
    <w:p w14:paraId="0B6427BF" w14:textId="77777777" w:rsidR="00A03ABC" w:rsidRPr="00D57F4E" w:rsidRDefault="00A03ABC" w:rsidP="00665616">
      <w:pPr>
        <w:spacing w:after="0" w:line="240" w:lineRule="auto"/>
        <w:ind w:left="1" w:hanging="3"/>
        <w:jc w:val="both"/>
        <w:rPr>
          <w:rFonts w:ascii="EB Garamond" w:eastAsia="EB Garamond" w:hAnsi="EB Garamond" w:cs="EB Garamond"/>
          <w:color w:val="000000" w:themeColor="text1"/>
          <w:sz w:val="28"/>
          <w:szCs w:val="28"/>
        </w:rPr>
      </w:pPr>
    </w:p>
    <w:p w14:paraId="1C558462" w14:textId="2B131A75" w:rsidR="00A03ABC" w:rsidRPr="00D57F4E" w:rsidRDefault="00665616" w:rsidP="00665616">
      <w:pPr>
        <w:spacing w:after="0" w:line="240" w:lineRule="auto"/>
        <w:ind w:left="0" w:hanging="2"/>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Jamal@</w:t>
      </w:r>
      <w:r w:rsidR="00A03ABC" w:rsidRPr="00D57F4E">
        <w:rPr>
          <w:rFonts w:ascii="Times New Roman" w:eastAsia="Times New Roman" w:hAnsi="Times New Roman" w:cs="Times New Roman"/>
          <w:color w:val="000000" w:themeColor="text1"/>
        </w:rPr>
        <w:t>Nordin Yunus, Khalip Musa, Mahaliza Mansor</w:t>
      </w:r>
    </w:p>
    <w:p w14:paraId="17C46DB5" w14:textId="77777777" w:rsidR="00A03ABC" w:rsidRPr="00D57F4E" w:rsidRDefault="00A03ABC" w:rsidP="00665616">
      <w:pPr>
        <w:spacing w:after="0" w:line="240" w:lineRule="auto"/>
        <w:ind w:left="0" w:hanging="2"/>
        <w:jc w:val="center"/>
        <w:rPr>
          <w:rFonts w:ascii="Times New Roman" w:eastAsia="Times New Roman" w:hAnsi="Times New Roman" w:cs="Times New Roman"/>
          <w:color w:val="000000" w:themeColor="text1"/>
        </w:rPr>
      </w:pPr>
    </w:p>
    <w:p w14:paraId="5CFDBAC9" w14:textId="77777777" w:rsidR="00FD37F6" w:rsidRDefault="00A03ABC" w:rsidP="00665616">
      <w:pPr>
        <w:spacing w:after="0" w:line="240" w:lineRule="auto"/>
        <w:ind w:left="0" w:hanging="2"/>
        <w:jc w:val="center"/>
        <w:rPr>
          <w:rFonts w:ascii="Times New Roman" w:eastAsia="Times New Roman" w:hAnsi="Times New Roman" w:cs="Times New Roman"/>
          <w:color w:val="000000" w:themeColor="text1"/>
          <w:lang w:val="da-DK"/>
        </w:rPr>
      </w:pPr>
      <w:r w:rsidRPr="00D57F4E">
        <w:rPr>
          <w:rFonts w:ascii="Times New Roman" w:eastAsia="Times New Roman" w:hAnsi="Times New Roman" w:cs="Times New Roman"/>
          <w:color w:val="000000" w:themeColor="text1"/>
          <w:lang w:val="da-DK"/>
        </w:rPr>
        <w:t>Fakulti Pengurusan dan Ekonomi</w:t>
      </w:r>
      <w:r w:rsidR="00665616">
        <w:rPr>
          <w:rFonts w:ascii="Times New Roman" w:eastAsia="Times New Roman" w:hAnsi="Times New Roman" w:cs="Times New Roman"/>
          <w:color w:val="000000" w:themeColor="text1"/>
          <w:lang w:val="da-DK"/>
        </w:rPr>
        <w:t>,</w:t>
      </w:r>
      <w:r w:rsidR="00FD37F6">
        <w:rPr>
          <w:rFonts w:ascii="Times New Roman" w:eastAsia="Times New Roman" w:hAnsi="Times New Roman" w:cs="Times New Roman"/>
          <w:color w:val="000000" w:themeColor="text1"/>
          <w:lang w:val="da-DK"/>
        </w:rPr>
        <w:t xml:space="preserve"> </w:t>
      </w:r>
    </w:p>
    <w:p w14:paraId="66439A8E" w14:textId="0CF3A6F6" w:rsidR="00A03ABC" w:rsidRPr="00D57F4E" w:rsidRDefault="00A03ABC" w:rsidP="00665616">
      <w:pPr>
        <w:spacing w:after="0" w:line="240" w:lineRule="auto"/>
        <w:ind w:left="0" w:hanging="2"/>
        <w:jc w:val="center"/>
        <w:rPr>
          <w:rFonts w:ascii="Times New Roman" w:eastAsia="Times New Roman" w:hAnsi="Times New Roman" w:cs="Times New Roman"/>
          <w:color w:val="000000" w:themeColor="text1"/>
          <w:lang w:val="da-DK"/>
        </w:rPr>
      </w:pPr>
      <w:bookmarkStart w:id="2" w:name="_GoBack"/>
      <w:bookmarkEnd w:id="2"/>
      <w:r w:rsidRPr="00D57F4E">
        <w:rPr>
          <w:rFonts w:ascii="Times New Roman" w:eastAsia="Times New Roman" w:hAnsi="Times New Roman" w:cs="Times New Roman"/>
          <w:color w:val="000000" w:themeColor="text1"/>
          <w:lang w:val="da-DK"/>
        </w:rPr>
        <w:t>Universiti Pendidikan Sultan Idris</w:t>
      </w:r>
    </w:p>
    <w:p w14:paraId="4A8D2C3A" w14:textId="77777777" w:rsidR="00A03ABC" w:rsidRPr="00D57F4E" w:rsidRDefault="00A03ABC" w:rsidP="00665616">
      <w:pPr>
        <w:spacing w:after="0" w:line="240" w:lineRule="auto"/>
        <w:ind w:left="0" w:hanging="2"/>
        <w:jc w:val="center"/>
        <w:rPr>
          <w:rFonts w:ascii="Times New Roman" w:eastAsia="Times New Roman" w:hAnsi="Times New Roman" w:cs="Times New Roman"/>
          <w:color w:val="000000" w:themeColor="text1"/>
          <w:lang w:val="da-DK"/>
        </w:rPr>
      </w:pPr>
    </w:p>
    <w:p w14:paraId="24E68377" w14:textId="74995971" w:rsidR="00A03ABC" w:rsidRPr="00D57F4E" w:rsidRDefault="00665616" w:rsidP="00665616">
      <w:pPr>
        <w:spacing w:after="0" w:line="240" w:lineRule="auto"/>
        <w:ind w:left="0" w:hanging="2"/>
        <w:jc w:val="center"/>
        <w:rPr>
          <w:rFonts w:ascii="Times New Roman" w:eastAsia="Times New Roman" w:hAnsi="Times New Roman" w:cs="Times New Roman"/>
          <w:color w:val="000000" w:themeColor="text1"/>
          <w:lang w:val="fr-FR"/>
        </w:rPr>
      </w:pPr>
      <w:r>
        <w:rPr>
          <w:rFonts w:ascii="Times New Roman" w:eastAsia="Times New Roman" w:hAnsi="Times New Roman" w:cs="Times New Roman"/>
          <w:color w:val="000000" w:themeColor="text1"/>
          <w:lang w:val="fr-FR"/>
        </w:rPr>
        <w:t>Correspondence: Jamal@</w:t>
      </w:r>
      <w:r w:rsidR="00A03ABC" w:rsidRPr="00D57F4E">
        <w:rPr>
          <w:rFonts w:ascii="Times New Roman" w:eastAsia="Times New Roman" w:hAnsi="Times New Roman" w:cs="Times New Roman"/>
          <w:color w:val="000000" w:themeColor="text1"/>
          <w:lang w:val="fr-FR"/>
        </w:rPr>
        <w:t>Nordin Yunus (email:</w:t>
      </w:r>
      <w:r w:rsidR="004869FE">
        <w:rPr>
          <w:rFonts w:ascii="Times New Roman" w:eastAsia="Times New Roman" w:hAnsi="Times New Roman" w:cs="Times New Roman"/>
          <w:color w:val="000000" w:themeColor="text1"/>
          <w:lang w:val="fr-FR"/>
        </w:rPr>
        <w:t xml:space="preserve"> </w:t>
      </w:r>
      <w:r w:rsidR="00A03ABC" w:rsidRPr="004869FE">
        <w:rPr>
          <w:rFonts w:ascii="Times New Roman" w:eastAsia="Times New Roman" w:hAnsi="Times New Roman" w:cs="Times New Roman"/>
          <w:color w:val="000000" w:themeColor="text1"/>
          <w:lang w:val="fr-FR"/>
        </w:rPr>
        <w:t>jamal@fpe.upsi.edu.my)</w:t>
      </w:r>
    </w:p>
    <w:p w14:paraId="3A4E3044" w14:textId="77777777" w:rsidR="00A03ABC" w:rsidRDefault="00A03ABC" w:rsidP="00665616">
      <w:pPr>
        <w:spacing w:after="0" w:line="240" w:lineRule="auto"/>
        <w:ind w:left="0" w:hanging="2"/>
        <w:jc w:val="both"/>
        <w:rPr>
          <w:rFonts w:ascii="Times New Roman" w:eastAsia="Times New Roman" w:hAnsi="Times New Roman" w:cs="Times New Roman"/>
          <w:color w:val="000000" w:themeColor="text1"/>
          <w:lang w:val="fr-FR"/>
        </w:rPr>
      </w:pPr>
    </w:p>
    <w:p w14:paraId="3A092C20" w14:textId="77777777" w:rsidR="00665616" w:rsidRPr="00D57F4E" w:rsidRDefault="00665616" w:rsidP="00665616">
      <w:pPr>
        <w:spacing w:after="0" w:line="240" w:lineRule="auto"/>
        <w:ind w:left="0" w:hanging="2"/>
        <w:jc w:val="both"/>
        <w:rPr>
          <w:rFonts w:ascii="Times New Roman" w:eastAsia="Times New Roman" w:hAnsi="Times New Roman" w:cs="Times New Roman"/>
          <w:color w:val="000000" w:themeColor="text1"/>
          <w:lang w:val="fr-FR"/>
        </w:rPr>
      </w:pPr>
    </w:p>
    <w:p w14:paraId="53E96599" w14:textId="35660290" w:rsidR="002C79B5" w:rsidRPr="00AF712F" w:rsidRDefault="002C79B5" w:rsidP="002C79B5">
      <w:pPr>
        <w:spacing w:after="0" w:line="240" w:lineRule="auto"/>
        <w:ind w:left="0" w:right="46" w:hanging="2"/>
        <w:rPr>
          <w:rFonts w:ascii="Times New Roman" w:hAnsi="Times New Roman" w:cs="Times New Roman"/>
        </w:rPr>
      </w:pPr>
      <w:r w:rsidRPr="00AF712F">
        <w:rPr>
          <w:rFonts w:ascii="Times New Roman" w:hAnsi="Times New Roman" w:cs="Times New Roman"/>
          <w:color w:val="000000"/>
        </w:rPr>
        <w:t>Received: </w:t>
      </w:r>
      <w:r w:rsidRPr="00AF712F">
        <w:rPr>
          <w:rFonts w:ascii="Times New Roman" w:hAnsi="Times New Roman" w:cs="Times New Roman"/>
        </w:rPr>
        <w:t>1</w:t>
      </w:r>
      <w:r w:rsidR="00A054EE">
        <w:rPr>
          <w:rFonts w:ascii="Times New Roman" w:hAnsi="Times New Roman" w:cs="Times New Roman"/>
        </w:rPr>
        <w:t>3</w:t>
      </w:r>
      <w:r w:rsidRPr="00AF712F">
        <w:rPr>
          <w:rFonts w:ascii="Times New Roman" w:hAnsi="Times New Roman" w:cs="Times New Roman"/>
          <w:color w:val="000000"/>
        </w:rPr>
        <w:t xml:space="preserve"> </w:t>
      </w:r>
      <w:r w:rsidRPr="00AF712F">
        <w:rPr>
          <w:rFonts w:ascii="Times New Roman" w:hAnsi="Times New Roman" w:cs="Times New Roman"/>
        </w:rPr>
        <w:t>November</w:t>
      </w:r>
      <w:r w:rsidRPr="00AF712F">
        <w:rPr>
          <w:rFonts w:ascii="Times New Roman" w:hAnsi="Times New Roman" w:cs="Times New Roman"/>
          <w:color w:val="000000"/>
        </w:rPr>
        <w:t xml:space="preserve"> 2019; Accepted: </w:t>
      </w:r>
      <w:r w:rsidR="00A054EE">
        <w:rPr>
          <w:rFonts w:ascii="Times New Roman" w:hAnsi="Times New Roman" w:cs="Times New Roman"/>
        </w:rPr>
        <w:t>04</w:t>
      </w:r>
      <w:r w:rsidRPr="00AF712F">
        <w:rPr>
          <w:rFonts w:ascii="Times New Roman" w:hAnsi="Times New Roman" w:cs="Times New Roman"/>
          <w:color w:val="000000"/>
        </w:rPr>
        <w:t xml:space="preserve"> </w:t>
      </w:r>
      <w:r w:rsidRPr="00AF712F">
        <w:rPr>
          <w:rFonts w:ascii="Times New Roman" w:hAnsi="Times New Roman" w:cs="Times New Roman"/>
        </w:rPr>
        <w:t>February</w:t>
      </w:r>
      <w:r w:rsidRPr="00AF712F">
        <w:rPr>
          <w:rFonts w:ascii="Times New Roman" w:hAnsi="Times New Roman" w:cs="Times New Roman"/>
          <w:color w:val="000000"/>
        </w:rPr>
        <w:t xml:space="preserve"> 20</w:t>
      </w:r>
      <w:r w:rsidRPr="00AF712F">
        <w:rPr>
          <w:rFonts w:ascii="Times New Roman" w:hAnsi="Times New Roman" w:cs="Times New Roman"/>
        </w:rPr>
        <w:t>20</w:t>
      </w:r>
      <w:r w:rsidRPr="00AF712F">
        <w:rPr>
          <w:rFonts w:ascii="Times New Roman" w:hAnsi="Times New Roman" w:cs="Times New Roman"/>
          <w:color w:val="000000"/>
        </w:rPr>
        <w:t>; Published: 27 February 2020</w:t>
      </w:r>
    </w:p>
    <w:p w14:paraId="2E687CD3" w14:textId="77777777" w:rsidR="00A03ABC" w:rsidRDefault="00A03ABC" w:rsidP="00665616">
      <w:pPr>
        <w:spacing w:after="0" w:line="240" w:lineRule="auto"/>
        <w:ind w:left="0" w:hanging="2"/>
        <w:jc w:val="both"/>
        <w:rPr>
          <w:rFonts w:ascii="Times New Roman" w:eastAsia="Times New Roman" w:hAnsi="Times New Roman" w:cs="Times New Roman"/>
          <w:color w:val="000000" w:themeColor="text1"/>
          <w:sz w:val="24"/>
          <w:szCs w:val="24"/>
          <w:lang w:val="fr-FR"/>
        </w:rPr>
      </w:pPr>
    </w:p>
    <w:p w14:paraId="2AD00B99" w14:textId="48151A55" w:rsidR="00665616" w:rsidRPr="00D57F4E" w:rsidRDefault="00665616" w:rsidP="00665616">
      <w:pPr>
        <w:tabs>
          <w:tab w:val="left" w:pos="7429"/>
        </w:tabs>
        <w:spacing w:after="0" w:line="240" w:lineRule="auto"/>
        <w:ind w:left="0" w:hanging="2"/>
        <w:jc w:val="both"/>
        <w:rPr>
          <w:rFonts w:ascii="Times New Roman" w:eastAsia="Times New Roman" w:hAnsi="Times New Roman" w:cs="Times New Roman"/>
          <w:color w:val="000000" w:themeColor="text1"/>
          <w:sz w:val="24"/>
          <w:szCs w:val="24"/>
          <w:lang w:val="fr-FR"/>
        </w:rPr>
      </w:pPr>
      <w:r>
        <w:rPr>
          <w:rFonts w:ascii="Times New Roman" w:eastAsia="Times New Roman" w:hAnsi="Times New Roman" w:cs="Times New Roman"/>
          <w:color w:val="000000" w:themeColor="text1"/>
          <w:sz w:val="24"/>
          <w:szCs w:val="24"/>
          <w:lang w:val="fr-FR"/>
        </w:rPr>
        <w:tab/>
      </w:r>
      <w:r>
        <w:rPr>
          <w:rFonts w:ascii="Times New Roman" w:eastAsia="Times New Roman" w:hAnsi="Times New Roman" w:cs="Times New Roman"/>
          <w:color w:val="000000" w:themeColor="text1"/>
          <w:sz w:val="24"/>
          <w:szCs w:val="24"/>
          <w:lang w:val="fr-FR"/>
        </w:rPr>
        <w:tab/>
      </w:r>
    </w:p>
    <w:p w14:paraId="79897EF2" w14:textId="77777777" w:rsidR="00A03ABC" w:rsidRDefault="00A03ABC" w:rsidP="00665616">
      <w:pPr>
        <w:spacing w:after="0" w:line="240" w:lineRule="auto"/>
        <w:ind w:left="0" w:hanging="2"/>
        <w:jc w:val="both"/>
        <w:rPr>
          <w:rFonts w:ascii="Times New Roman" w:eastAsia="Times New Roman" w:hAnsi="Times New Roman" w:cs="Times New Roman"/>
          <w:b/>
          <w:color w:val="000000" w:themeColor="text1"/>
          <w:sz w:val="24"/>
          <w:szCs w:val="24"/>
          <w:lang w:val="fr-FR"/>
        </w:rPr>
      </w:pPr>
      <w:r w:rsidRPr="00D57F4E">
        <w:rPr>
          <w:rFonts w:ascii="Times New Roman" w:eastAsia="Times New Roman" w:hAnsi="Times New Roman" w:cs="Times New Roman"/>
          <w:b/>
          <w:color w:val="000000" w:themeColor="text1"/>
          <w:sz w:val="24"/>
          <w:szCs w:val="24"/>
          <w:lang w:val="fr-FR"/>
        </w:rPr>
        <w:t>Abstrak</w:t>
      </w:r>
    </w:p>
    <w:p w14:paraId="70C3C876" w14:textId="77777777" w:rsidR="007308E9" w:rsidRPr="00D57F4E" w:rsidRDefault="007308E9" w:rsidP="00665616">
      <w:pPr>
        <w:spacing w:after="0" w:line="240" w:lineRule="auto"/>
        <w:ind w:left="0" w:hanging="2"/>
        <w:jc w:val="both"/>
        <w:rPr>
          <w:rFonts w:ascii="Times New Roman" w:eastAsia="Times New Roman" w:hAnsi="Times New Roman" w:cs="Times New Roman"/>
          <w:b/>
          <w:color w:val="000000" w:themeColor="text1"/>
          <w:sz w:val="24"/>
          <w:szCs w:val="24"/>
          <w:lang w:val="fr-FR"/>
        </w:rPr>
      </w:pPr>
    </w:p>
    <w:p w14:paraId="2AD7F104"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4"/>
          <w:szCs w:val="24"/>
          <w:lang w:val="fr-FR"/>
        </w:rPr>
      </w:pPr>
      <w:bookmarkStart w:id="3" w:name="_heading=h.92pnsabkk1ya" w:colFirst="0" w:colLast="0"/>
      <w:bookmarkEnd w:id="3"/>
      <w:r w:rsidRPr="00D57F4E">
        <w:rPr>
          <w:rFonts w:ascii="Times New Roman" w:eastAsia="Times New Roman" w:hAnsi="Times New Roman" w:cs="Times New Roman"/>
          <w:color w:val="000000" w:themeColor="text1"/>
          <w:sz w:val="24"/>
          <w:szCs w:val="24"/>
          <w:lang w:val="fr-FR"/>
        </w:rPr>
        <w:t xml:space="preserve">Tujuan utama program pembelajaran sepanjang hayat (PSH) untuk meningkatkan ilmu pengetahuan, nilai, kemahiran dan kompetensi. Program </w:t>
      </w:r>
      <w:r w:rsidR="004869FE">
        <w:rPr>
          <w:rFonts w:ascii="Times New Roman" w:eastAsia="Times New Roman" w:hAnsi="Times New Roman" w:cs="Times New Roman"/>
          <w:color w:val="000000" w:themeColor="text1"/>
          <w:sz w:val="24"/>
          <w:szCs w:val="24"/>
          <w:lang w:val="fr-FR"/>
        </w:rPr>
        <w:t>PSH</w:t>
      </w:r>
      <w:r w:rsidRPr="00D57F4E">
        <w:rPr>
          <w:rFonts w:ascii="Times New Roman" w:eastAsia="Times New Roman" w:hAnsi="Times New Roman" w:cs="Times New Roman"/>
          <w:color w:val="000000" w:themeColor="text1"/>
          <w:sz w:val="24"/>
          <w:szCs w:val="24"/>
          <w:lang w:val="fr-FR"/>
        </w:rPr>
        <w:t xml:space="preserve"> </w:t>
      </w:r>
      <w:r w:rsidR="004869FE">
        <w:rPr>
          <w:rFonts w:ascii="Times New Roman" w:eastAsia="Times New Roman" w:hAnsi="Times New Roman" w:cs="Times New Roman"/>
          <w:color w:val="000000" w:themeColor="text1"/>
          <w:sz w:val="24"/>
          <w:szCs w:val="24"/>
          <w:lang w:val="fr-FR"/>
        </w:rPr>
        <w:t>dilaksanakan melalui inisiatif Program Pensiswazahan Guru B</w:t>
      </w:r>
      <w:r w:rsidRPr="00D57F4E">
        <w:rPr>
          <w:rFonts w:ascii="Times New Roman" w:eastAsia="Times New Roman" w:hAnsi="Times New Roman" w:cs="Times New Roman"/>
          <w:color w:val="000000" w:themeColor="text1"/>
          <w:sz w:val="24"/>
          <w:szCs w:val="24"/>
          <w:lang w:val="fr-FR"/>
        </w:rPr>
        <w:t xml:space="preserve">esar Jabatan Agama Islam Selangor (PPGB-JAIS) yang telah bermula semenjak 2009 </w:t>
      </w:r>
      <w:r w:rsidR="004869FE">
        <w:rPr>
          <w:rFonts w:ascii="Times New Roman" w:eastAsia="Times New Roman" w:hAnsi="Times New Roman" w:cs="Times New Roman"/>
          <w:color w:val="000000" w:themeColor="text1"/>
          <w:sz w:val="24"/>
          <w:szCs w:val="24"/>
          <w:lang w:val="fr-FR"/>
        </w:rPr>
        <w:t xml:space="preserve">bagi </w:t>
      </w:r>
      <w:r w:rsidRPr="00D57F4E">
        <w:rPr>
          <w:rFonts w:ascii="Times New Roman" w:eastAsia="Times New Roman" w:hAnsi="Times New Roman" w:cs="Times New Roman"/>
          <w:color w:val="000000" w:themeColor="text1"/>
          <w:sz w:val="24"/>
          <w:szCs w:val="24"/>
          <w:lang w:val="fr-FR"/>
        </w:rPr>
        <w:t xml:space="preserve">memenuhi keperluan individu dan guna tenaga. </w:t>
      </w:r>
      <w:r w:rsidR="0063654E" w:rsidRPr="00D57F4E">
        <w:rPr>
          <w:rFonts w:ascii="Times New Roman" w:eastAsia="Times New Roman" w:hAnsi="Times New Roman" w:cs="Times New Roman"/>
          <w:color w:val="000000" w:themeColor="text1"/>
          <w:sz w:val="24"/>
          <w:szCs w:val="24"/>
          <w:lang w:val="fr-FR"/>
        </w:rPr>
        <w:t xml:space="preserve">Oleh itu, </w:t>
      </w:r>
      <w:r w:rsidRPr="00D57F4E">
        <w:rPr>
          <w:rFonts w:ascii="Times New Roman" w:eastAsia="Times New Roman" w:hAnsi="Times New Roman" w:cs="Times New Roman"/>
          <w:color w:val="000000" w:themeColor="text1"/>
          <w:sz w:val="24"/>
          <w:szCs w:val="24"/>
          <w:lang w:val="fr-FR"/>
        </w:rPr>
        <w:t>keperluan ingin mengetahui apakah faktor-faktor yang menyebabkan guru-guru JAIS berminat mengikut program ini serta dikaitkan dengan falsafah dan lonjakan k</w:t>
      </w:r>
      <w:r w:rsidR="004869FE">
        <w:rPr>
          <w:rFonts w:ascii="Times New Roman" w:eastAsia="Times New Roman" w:hAnsi="Times New Roman" w:cs="Times New Roman"/>
          <w:color w:val="000000" w:themeColor="text1"/>
          <w:sz w:val="24"/>
          <w:szCs w:val="24"/>
          <w:lang w:val="fr-FR"/>
        </w:rPr>
        <w:t>e</w:t>
      </w:r>
      <w:r w:rsidRPr="00D57F4E">
        <w:rPr>
          <w:rFonts w:ascii="Times New Roman" w:eastAsia="Times New Roman" w:hAnsi="Times New Roman" w:cs="Times New Roman"/>
          <w:color w:val="000000" w:themeColor="text1"/>
          <w:sz w:val="24"/>
          <w:szCs w:val="24"/>
          <w:lang w:val="fr-FR"/>
        </w:rPr>
        <w:t xml:space="preserve">tiga ke arah menghayati </w:t>
      </w:r>
      <w:r w:rsidR="004869FE">
        <w:rPr>
          <w:rFonts w:ascii="Times New Roman" w:eastAsia="Times New Roman" w:hAnsi="Times New Roman" w:cs="Times New Roman"/>
          <w:color w:val="000000" w:themeColor="text1"/>
          <w:sz w:val="24"/>
          <w:szCs w:val="24"/>
          <w:lang w:val="fr-FR"/>
        </w:rPr>
        <w:t>PSH</w:t>
      </w:r>
      <w:r w:rsidRPr="00D57F4E">
        <w:rPr>
          <w:rFonts w:ascii="Times New Roman" w:eastAsia="Times New Roman" w:hAnsi="Times New Roman" w:cs="Times New Roman"/>
          <w:color w:val="000000" w:themeColor="text1"/>
          <w:sz w:val="24"/>
          <w:szCs w:val="24"/>
          <w:lang w:val="fr-FR"/>
        </w:rPr>
        <w:t xml:space="preserve">. </w:t>
      </w:r>
      <w:r w:rsidR="007237FE" w:rsidRPr="00D57F4E">
        <w:rPr>
          <w:rFonts w:ascii="Times New Roman" w:eastAsia="Times New Roman" w:hAnsi="Times New Roman" w:cs="Times New Roman"/>
          <w:color w:val="000000" w:themeColor="text1"/>
          <w:sz w:val="24"/>
          <w:szCs w:val="24"/>
          <w:lang w:val="fr-FR"/>
        </w:rPr>
        <w:t>T</w:t>
      </w:r>
      <w:r w:rsidRPr="00D57F4E">
        <w:rPr>
          <w:rFonts w:ascii="Times New Roman" w:eastAsia="Times New Roman" w:hAnsi="Times New Roman" w:cs="Times New Roman"/>
          <w:color w:val="000000" w:themeColor="text1"/>
          <w:sz w:val="24"/>
          <w:szCs w:val="24"/>
          <w:lang w:val="fr-FR"/>
        </w:rPr>
        <w:t>ujuan utama kajian ini ialah mengenal</w:t>
      </w:r>
      <w:r w:rsidR="004869FE">
        <w:rPr>
          <w:rFonts w:ascii="Times New Roman" w:eastAsia="Times New Roman" w:hAnsi="Times New Roman" w:cs="Times New Roman"/>
          <w:color w:val="000000" w:themeColor="text1"/>
          <w:sz w:val="24"/>
          <w:szCs w:val="24"/>
          <w:lang w:val="fr-FR"/>
        </w:rPr>
        <w:t xml:space="preserve"> </w:t>
      </w:r>
      <w:r w:rsidRPr="00D57F4E">
        <w:rPr>
          <w:rFonts w:ascii="Times New Roman" w:eastAsia="Times New Roman" w:hAnsi="Times New Roman" w:cs="Times New Roman"/>
          <w:color w:val="000000" w:themeColor="text1"/>
          <w:sz w:val="24"/>
          <w:szCs w:val="24"/>
          <w:lang w:val="fr-FR"/>
        </w:rPr>
        <w:t xml:space="preserve">pasti faktor kendiri dan institusi mempengaruhi minat mengikuti program ini. Kajian ini dijalankan dengan menggunakan pendekatan kuantitatif </w:t>
      </w:r>
      <w:r w:rsidR="004869FE">
        <w:rPr>
          <w:rFonts w:ascii="Times New Roman" w:eastAsia="Times New Roman" w:hAnsi="Times New Roman" w:cs="Times New Roman"/>
          <w:color w:val="000000" w:themeColor="text1"/>
          <w:sz w:val="24"/>
          <w:szCs w:val="24"/>
          <w:lang w:val="fr-FR"/>
        </w:rPr>
        <w:t xml:space="preserve">iaitu </w:t>
      </w:r>
      <w:r w:rsidRPr="00D57F4E">
        <w:rPr>
          <w:rFonts w:ascii="Times New Roman" w:eastAsia="Times New Roman" w:hAnsi="Times New Roman" w:cs="Times New Roman"/>
          <w:color w:val="000000" w:themeColor="text1"/>
          <w:sz w:val="24"/>
          <w:szCs w:val="24"/>
          <w:lang w:val="fr-FR"/>
        </w:rPr>
        <w:t xml:space="preserve">menggunakan reka bentuk deskriptif tinjauan kepada 160 </w:t>
      </w:r>
      <w:r w:rsidR="004869FE">
        <w:rPr>
          <w:rFonts w:ascii="Times New Roman" w:eastAsia="Times New Roman" w:hAnsi="Times New Roman" w:cs="Times New Roman"/>
          <w:color w:val="000000" w:themeColor="text1"/>
          <w:sz w:val="24"/>
          <w:szCs w:val="24"/>
          <w:lang w:val="fr-FR"/>
        </w:rPr>
        <w:t xml:space="preserve">orang </w:t>
      </w:r>
      <w:r w:rsidRPr="00D57F4E">
        <w:rPr>
          <w:rFonts w:ascii="Times New Roman" w:eastAsia="Times New Roman" w:hAnsi="Times New Roman" w:cs="Times New Roman"/>
          <w:color w:val="000000" w:themeColor="text1"/>
          <w:sz w:val="24"/>
          <w:szCs w:val="24"/>
          <w:lang w:val="fr-FR"/>
        </w:rPr>
        <w:t xml:space="preserve">pelajar PPGB-JAIS melalui </w:t>
      </w:r>
      <w:r w:rsidRPr="00D57F4E">
        <w:rPr>
          <w:rFonts w:ascii="Times New Roman" w:eastAsia="Times New Roman" w:hAnsi="Times New Roman" w:cs="Times New Roman"/>
          <w:i/>
          <w:color w:val="000000" w:themeColor="text1"/>
          <w:sz w:val="24"/>
          <w:szCs w:val="24"/>
          <w:lang w:val="fr-FR"/>
        </w:rPr>
        <w:t>web survey</w:t>
      </w:r>
      <w:r w:rsidRPr="00D57F4E">
        <w:rPr>
          <w:rFonts w:ascii="Times New Roman" w:eastAsia="Times New Roman" w:hAnsi="Times New Roman" w:cs="Times New Roman"/>
          <w:color w:val="000000" w:themeColor="text1"/>
          <w:sz w:val="24"/>
          <w:szCs w:val="24"/>
          <w:lang w:val="fr-FR"/>
        </w:rPr>
        <w:t>. Teknik persampelan bertujuan digunakan dalam menentukan sampel. Statistik d</w:t>
      </w:r>
      <w:r w:rsidR="004869FE">
        <w:rPr>
          <w:rFonts w:ascii="Times New Roman" w:eastAsia="Times New Roman" w:hAnsi="Times New Roman" w:cs="Times New Roman"/>
          <w:color w:val="000000" w:themeColor="text1"/>
          <w:sz w:val="24"/>
          <w:szCs w:val="24"/>
          <w:lang w:val="fr-FR"/>
        </w:rPr>
        <w:t>e</w:t>
      </w:r>
      <w:r w:rsidRPr="00D57F4E">
        <w:rPr>
          <w:rFonts w:ascii="Times New Roman" w:eastAsia="Times New Roman" w:hAnsi="Times New Roman" w:cs="Times New Roman"/>
          <w:color w:val="000000" w:themeColor="text1"/>
          <w:sz w:val="24"/>
          <w:szCs w:val="24"/>
          <w:lang w:val="fr-FR"/>
        </w:rPr>
        <w:t>skriptif dan inferensi digunakan bagi menjaw</w:t>
      </w:r>
      <w:r w:rsidR="004869FE">
        <w:rPr>
          <w:rFonts w:ascii="Times New Roman" w:eastAsia="Times New Roman" w:hAnsi="Times New Roman" w:cs="Times New Roman"/>
          <w:color w:val="000000" w:themeColor="text1"/>
          <w:sz w:val="24"/>
          <w:szCs w:val="24"/>
          <w:lang w:val="fr-FR"/>
        </w:rPr>
        <w:t xml:space="preserve">ab tujuan kajian. Hanya </w:t>
      </w:r>
      <w:r w:rsidRPr="00D57F4E">
        <w:rPr>
          <w:rFonts w:ascii="Times New Roman" w:eastAsia="Times New Roman" w:hAnsi="Times New Roman" w:cs="Times New Roman"/>
          <w:color w:val="000000" w:themeColor="text1"/>
          <w:sz w:val="24"/>
          <w:szCs w:val="24"/>
          <w:lang w:val="fr-FR"/>
        </w:rPr>
        <w:t xml:space="preserve">99 </w:t>
      </w:r>
      <w:r w:rsidR="004869FE">
        <w:rPr>
          <w:rFonts w:ascii="Times New Roman" w:eastAsia="Times New Roman" w:hAnsi="Times New Roman" w:cs="Times New Roman"/>
          <w:color w:val="000000" w:themeColor="text1"/>
          <w:sz w:val="24"/>
          <w:szCs w:val="24"/>
          <w:lang w:val="fr-FR"/>
        </w:rPr>
        <w:t xml:space="preserve">orang </w:t>
      </w:r>
      <w:r w:rsidRPr="00D57F4E">
        <w:rPr>
          <w:rFonts w:ascii="Times New Roman" w:eastAsia="Times New Roman" w:hAnsi="Times New Roman" w:cs="Times New Roman"/>
          <w:color w:val="000000" w:themeColor="text1"/>
          <w:sz w:val="24"/>
          <w:szCs w:val="24"/>
          <w:lang w:val="fr-FR"/>
        </w:rPr>
        <w:t>responden sahaja menjawab soal selidik tersebut. Data dianalisis menggunakan perisian SPSS dan SmartPLS bagi menentusahkan dan kebolehpercayaan faktor-faktor mempengaruhi minat mengikuti PPGB-JAIS. Hasil kajian menunjukkan faktor kendiri dan i</w:t>
      </w:r>
      <w:r w:rsidR="004869FE">
        <w:rPr>
          <w:rFonts w:ascii="Times New Roman" w:eastAsia="Times New Roman" w:hAnsi="Times New Roman" w:cs="Times New Roman"/>
          <w:color w:val="000000" w:themeColor="text1"/>
          <w:sz w:val="24"/>
          <w:szCs w:val="24"/>
          <w:lang w:val="fr-FR"/>
        </w:rPr>
        <w:t>nstitusi menyumbang sebanyak 43 peratus</w:t>
      </w:r>
      <w:r w:rsidRPr="00D57F4E">
        <w:rPr>
          <w:rFonts w:ascii="Times New Roman" w:eastAsia="Times New Roman" w:hAnsi="Times New Roman" w:cs="Times New Roman"/>
          <w:color w:val="000000" w:themeColor="text1"/>
          <w:sz w:val="24"/>
          <w:szCs w:val="24"/>
          <w:lang w:val="fr-FR"/>
        </w:rPr>
        <w:t xml:space="preserve"> mempengaruhi minat mengikuti program ini. Faktor kendiri t</w:t>
      </w:r>
      <w:r w:rsidR="004869FE">
        <w:rPr>
          <w:rFonts w:ascii="Times New Roman" w:eastAsia="Times New Roman" w:hAnsi="Times New Roman" w:cs="Times New Roman"/>
          <w:color w:val="000000" w:themeColor="text1"/>
          <w:sz w:val="24"/>
          <w:szCs w:val="24"/>
          <w:lang w:val="fr-FR"/>
        </w:rPr>
        <w:t>elah menyumbang 29 peratus</w:t>
      </w:r>
      <w:r w:rsidRPr="00D57F4E">
        <w:rPr>
          <w:rFonts w:ascii="Times New Roman" w:eastAsia="Times New Roman" w:hAnsi="Times New Roman" w:cs="Times New Roman"/>
          <w:color w:val="000000" w:themeColor="text1"/>
          <w:sz w:val="24"/>
          <w:szCs w:val="24"/>
          <w:lang w:val="fr-FR"/>
        </w:rPr>
        <w:t xml:space="preserve"> manakala faktor institusi menyumbang</w:t>
      </w:r>
      <w:r w:rsidR="00C43785" w:rsidRPr="00D57F4E">
        <w:rPr>
          <w:rFonts w:ascii="Times New Roman" w:eastAsia="Times New Roman" w:hAnsi="Times New Roman" w:cs="Times New Roman"/>
          <w:color w:val="000000" w:themeColor="text1"/>
          <w:sz w:val="24"/>
          <w:szCs w:val="24"/>
          <w:lang w:val="fr-FR"/>
        </w:rPr>
        <w:t xml:space="preserve"> </w:t>
      </w:r>
      <w:r w:rsidR="004869FE">
        <w:rPr>
          <w:rFonts w:ascii="Times New Roman" w:eastAsia="Times New Roman" w:hAnsi="Times New Roman" w:cs="Times New Roman"/>
          <w:color w:val="000000" w:themeColor="text1"/>
          <w:sz w:val="24"/>
          <w:szCs w:val="24"/>
          <w:lang w:val="fr-FR"/>
        </w:rPr>
        <w:t>14 peratus</w:t>
      </w:r>
      <w:r w:rsidRPr="00D57F4E">
        <w:rPr>
          <w:rFonts w:ascii="Times New Roman" w:eastAsia="Times New Roman" w:hAnsi="Times New Roman" w:cs="Times New Roman"/>
          <w:color w:val="000000" w:themeColor="text1"/>
          <w:sz w:val="24"/>
          <w:szCs w:val="24"/>
          <w:lang w:val="fr-FR"/>
        </w:rPr>
        <w:t xml:space="preserve"> terhadap minat mengikut program ini. Kesimpulan kajian ini dapat membuka pandangan baharu tentang faktor kendiri dan institusi memberikan kesan terhadap minat pelajar mengikut program PSH. Hal ini menunjukkan bahawa kedua-dua faktor perlu diambil kira dalam menyediakan program PSH. Kajian mencadangk</w:t>
      </w:r>
      <w:r w:rsidR="00E36B43">
        <w:rPr>
          <w:rFonts w:ascii="Times New Roman" w:eastAsia="Times New Roman" w:hAnsi="Times New Roman" w:cs="Times New Roman"/>
          <w:color w:val="000000" w:themeColor="text1"/>
          <w:sz w:val="24"/>
          <w:szCs w:val="24"/>
          <w:lang w:val="fr-FR"/>
        </w:rPr>
        <w:t>a</w:t>
      </w:r>
      <w:r w:rsidRPr="00D57F4E">
        <w:rPr>
          <w:rFonts w:ascii="Times New Roman" w:eastAsia="Times New Roman" w:hAnsi="Times New Roman" w:cs="Times New Roman"/>
          <w:color w:val="000000" w:themeColor="text1"/>
          <w:sz w:val="24"/>
          <w:szCs w:val="24"/>
          <w:lang w:val="fr-FR"/>
        </w:rPr>
        <w:t>n agar pihak penyedia PSH perlu mengambil kira kedua-dua faktor ini untuk menggalakkan mereka mengikut program tersebut.</w:t>
      </w:r>
    </w:p>
    <w:p w14:paraId="3945FDE5" w14:textId="77777777" w:rsidR="00C43785" w:rsidRPr="00D57F4E" w:rsidRDefault="00C43785" w:rsidP="00665616">
      <w:pPr>
        <w:spacing w:after="0" w:line="240" w:lineRule="auto"/>
        <w:ind w:left="0" w:hanging="2"/>
        <w:jc w:val="both"/>
        <w:rPr>
          <w:rFonts w:ascii="Times New Roman" w:eastAsia="Times New Roman" w:hAnsi="Times New Roman" w:cs="Times New Roman"/>
          <w:color w:val="000000" w:themeColor="text1"/>
          <w:sz w:val="24"/>
          <w:szCs w:val="24"/>
          <w:lang w:val="fr-FR"/>
        </w:rPr>
      </w:pPr>
    </w:p>
    <w:p w14:paraId="4D2A130E" w14:textId="77777777" w:rsidR="00A03ABC" w:rsidRPr="00D57F4E" w:rsidRDefault="00E36B43" w:rsidP="00665616">
      <w:pPr>
        <w:spacing w:after="0" w:line="240" w:lineRule="auto"/>
        <w:ind w:left="0" w:hanging="2"/>
        <w:jc w:val="both"/>
        <w:rPr>
          <w:rFonts w:ascii="Times New Roman" w:eastAsia="Times New Roman" w:hAnsi="Times New Roman" w:cs="Times New Roman"/>
          <w:color w:val="000000" w:themeColor="text1"/>
          <w:sz w:val="24"/>
          <w:szCs w:val="24"/>
          <w:lang w:val="fr-FR"/>
        </w:rPr>
      </w:pPr>
      <w:bookmarkStart w:id="4" w:name="_heading=h.yxqfvvxoprbr" w:colFirst="0" w:colLast="0"/>
      <w:bookmarkEnd w:id="4"/>
      <w:r w:rsidRPr="00E36B43">
        <w:rPr>
          <w:rFonts w:ascii="Times New Roman" w:eastAsia="Times New Roman" w:hAnsi="Times New Roman" w:cs="Times New Roman"/>
          <w:b/>
          <w:color w:val="000000" w:themeColor="text1"/>
          <w:sz w:val="24"/>
          <w:szCs w:val="24"/>
          <w:lang w:val="fr-FR"/>
        </w:rPr>
        <w:t>Kata kunci</w:t>
      </w:r>
      <w:r w:rsidR="00F85D18" w:rsidRPr="00E36B43">
        <w:rPr>
          <w:rFonts w:ascii="Times New Roman" w:eastAsia="Times New Roman" w:hAnsi="Times New Roman" w:cs="Times New Roman"/>
          <w:b/>
          <w:color w:val="000000" w:themeColor="text1"/>
          <w:sz w:val="24"/>
          <w:szCs w:val="24"/>
          <w:lang w:val="fr-FR"/>
        </w:rPr>
        <w:t>:</w:t>
      </w:r>
      <w:r w:rsidR="00A03ABC" w:rsidRPr="00D57F4E">
        <w:rPr>
          <w:rFonts w:ascii="Times New Roman" w:eastAsia="Times New Roman" w:hAnsi="Times New Roman" w:cs="Times New Roman"/>
          <w:color w:val="000000" w:themeColor="text1"/>
          <w:sz w:val="24"/>
          <w:szCs w:val="24"/>
          <w:lang w:val="fr-FR"/>
        </w:rPr>
        <w:t xml:space="preserve"> pembelajaran sepanjang hayat, kendiri, institusi, minat, SmartPLS</w:t>
      </w:r>
    </w:p>
    <w:p w14:paraId="6229EA42" w14:textId="21EE5AE5" w:rsidR="007308E9" w:rsidRDefault="007308E9">
      <w:pPr>
        <w:suppressAutoHyphens w:val="0"/>
        <w:ind w:leftChars="0" w:left="0" w:firstLineChars="0" w:firstLine="0"/>
        <w:textDirection w:val="lrTb"/>
        <w:textAlignment w:val="auto"/>
        <w:outlineLvl w:val="9"/>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fr-FR"/>
        </w:rPr>
        <w:br w:type="page"/>
      </w:r>
    </w:p>
    <w:p w14:paraId="7D0CCE93" w14:textId="77777777" w:rsidR="00A03ABC" w:rsidRPr="00E36B43" w:rsidRDefault="00E36B43" w:rsidP="007308E9">
      <w:pPr>
        <w:spacing w:after="0" w:line="240" w:lineRule="auto"/>
        <w:ind w:left="1" w:hanging="3"/>
        <w:jc w:val="center"/>
        <w:rPr>
          <w:rFonts w:ascii="Times New Roman" w:hAnsi="Times New Roman" w:cs="Times New Roman"/>
          <w:b/>
          <w:color w:val="000000" w:themeColor="text1"/>
          <w:sz w:val="28"/>
          <w:szCs w:val="28"/>
          <w:lang w:val="ms-MY"/>
        </w:rPr>
      </w:pPr>
      <w:r>
        <w:rPr>
          <w:rFonts w:ascii="Times New Roman" w:hAnsi="Times New Roman" w:cs="Times New Roman"/>
          <w:b/>
          <w:color w:val="000000" w:themeColor="text1"/>
          <w:sz w:val="28"/>
          <w:szCs w:val="28"/>
        </w:rPr>
        <w:lastRenderedPageBreak/>
        <w:t>S</w:t>
      </w:r>
      <w:r w:rsidRPr="00E36B43">
        <w:rPr>
          <w:rFonts w:ascii="Times New Roman" w:hAnsi="Times New Roman" w:cs="Times New Roman"/>
          <w:b/>
          <w:color w:val="000000" w:themeColor="text1"/>
          <w:sz w:val="28"/>
          <w:szCs w:val="28"/>
        </w:rPr>
        <w:t>elf concept and institutional factors affecting students’ interest to enrol in lifelong learning programmes PPGB-JAIS-UPSI</w:t>
      </w:r>
    </w:p>
    <w:p w14:paraId="6F5DCD1E" w14:textId="77777777" w:rsidR="00A03ABC" w:rsidRPr="00D57F4E" w:rsidRDefault="00A03ABC" w:rsidP="00665616">
      <w:pPr>
        <w:spacing w:after="0" w:line="240" w:lineRule="auto"/>
        <w:ind w:left="0" w:hanging="2"/>
        <w:jc w:val="both"/>
        <w:rPr>
          <w:rFonts w:ascii="Times New Roman" w:eastAsia="Times New Roman" w:hAnsi="Times New Roman" w:cs="Times New Roman"/>
          <w:b/>
          <w:color w:val="000000" w:themeColor="text1"/>
          <w:sz w:val="24"/>
          <w:szCs w:val="24"/>
          <w:lang w:val="en-GB"/>
        </w:rPr>
      </w:pPr>
    </w:p>
    <w:p w14:paraId="7C92F181" w14:textId="77777777" w:rsidR="00A03ABC" w:rsidRDefault="00A03ABC" w:rsidP="00665616">
      <w:pPr>
        <w:spacing w:after="0" w:line="240" w:lineRule="auto"/>
        <w:ind w:left="0" w:hanging="2"/>
        <w:jc w:val="both"/>
        <w:rPr>
          <w:rFonts w:ascii="Times New Roman" w:hAnsi="Times New Roman" w:cs="Times New Roman"/>
          <w:b/>
          <w:bCs/>
          <w:color w:val="000000" w:themeColor="text1"/>
          <w:sz w:val="24"/>
          <w:szCs w:val="24"/>
        </w:rPr>
      </w:pPr>
      <w:r w:rsidRPr="00D57F4E">
        <w:rPr>
          <w:rFonts w:ascii="Times New Roman" w:hAnsi="Times New Roman" w:cs="Times New Roman"/>
          <w:b/>
          <w:bCs/>
          <w:color w:val="000000" w:themeColor="text1"/>
          <w:sz w:val="24"/>
          <w:szCs w:val="24"/>
        </w:rPr>
        <w:t>Abstract</w:t>
      </w:r>
    </w:p>
    <w:p w14:paraId="38B44C6E" w14:textId="77777777" w:rsidR="007308E9" w:rsidRPr="00D57F4E" w:rsidRDefault="007308E9" w:rsidP="00665616">
      <w:pPr>
        <w:spacing w:after="0" w:line="240" w:lineRule="auto"/>
        <w:ind w:left="0" w:hanging="2"/>
        <w:jc w:val="both"/>
        <w:rPr>
          <w:rFonts w:ascii="Times New Roman" w:hAnsi="Times New Roman" w:cs="Times New Roman"/>
          <w:b/>
          <w:bCs/>
          <w:color w:val="000000" w:themeColor="text1"/>
          <w:sz w:val="24"/>
          <w:szCs w:val="24"/>
        </w:rPr>
      </w:pPr>
    </w:p>
    <w:p w14:paraId="2C47DA93" w14:textId="77777777" w:rsidR="00A03ABC" w:rsidRPr="00D57F4E" w:rsidRDefault="00A03ABC" w:rsidP="00665616">
      <w:pPr>
        <w:spacing w:after="0" w:line="240" w:lineRule="auto"/>
        <w:ind w:left="0" w:hanging="2"/>
        <w:jc w:val="both"/>
        <w:rPr>
          <w:rFonts w:ascii="Times New Roman" w:hAnsi="Times New Roman" w:cs="Times New Roman"/>
          <w:color w:val="000000" w:themeColor="text1"/>
          <w:sz w:val="24"/>
          <w:szCs w:val="24"/>
        </w:rPr>
      </w:pPr>
      <w:r w:rsidRPr="00D57F4E">
        <w:rPr>
          <w:rFonts w:ascii="Times New Roman" w:hAnsi="Times New Roman" w:cs="Times New Roman"/>
          <w:color w:val="000000" w:themeColor="text1"/>
          <w:sz w:val="24"/>
          <w:szCs w:val="24"/>
        </w:rPr>
        <w:t xml:space="preserve">The main objective of </w:t>
      </w:r>
      <w:r w:rsidRPr="00D57F4E">
        <w:rPr>
          <w:rFonts w:ascii="Times New Roman" w:hAnsi="Times New Roman" w:cs="Times New Roman"/>
          <w:i/>
          <w:iCs/>
          <w:color w:val="000000" w:themeColor="text1"/>
          <w:sz w:val="24"/>
          <w:szCs w:val="24"/>
        </w:rPr>
        <w:t>program pembelajaran sepanjang hayat</w:t>
      </w:r>
      <w:r w:rsidRPr="00D57F4E">
        <w:rPr>
          <w:rFonts w:ascii="Times New Roman" w:hAnsi="Times New Roman" w:cs="Times New Roman"/>
          <w:color w:val="000000" w:themeColor="text1"/>
          <w:sz w:val="24"/>
          <w:szCs w:val="24"/>
        </w:rPr>
        <w:t xml:space="preserve"> (PSH) or the lifelong learning programme is to increase one’s knowledge, values, skills and competencies. An example of such a programme is the headteacher certification programme which has been conducted with the cooperation of Jabatan Agama Islam Selangor (PPGB-JAIS) since 2009, and aims to fulfill the individual and human resource needs. </w:t>
      </w:r>
      <w:r w:rsidR="0063654E" w:rsidRPr="00D57F4E">
        <w:rPr>
          <w:rFonts w:ascii="Times New Roman" w:hAnsi="Times New Roman" w:cs="Times New Roman"/>
          <w:color w:val="000000" w:themeColor="text1"/>
          <w:sz w:val="24"/>
          <w:szCs w:val="24"/>
        </w:rPr>
        <w:t>Th</w:t>
      </w:r>
      <w:r w:rsidR="009C69C3" w:rsidRPr="00D57F4E">
        <w:rPr>
          <w:rFonts w:ascii="Times New Roman" w:hAnsi="Times New Roman" w:cs="Times New Roman"/>
          <w:color w:val="000000" w:themeColor="text1"/>
          <w:sz w:val="24"/>
          <w:szCs w:val="24"/>
        </w:rPr>
        <w:t>erefore, the need</w:t>
      </w:r>
      <w:r w:rsidRPr="00D57F4E">
        <w:rPr>
          <w:rFonts w:ascii="Times New Roman" w:hAnsi="Times New Roman" w:cs="Times New Roman"/>
          <w:color w:val="000000" w:themeColor="text1"/>
          <w:sz w:val="24"/>
          <w:szCs w:val="24"/>
        </w:rPr>
        <w:t xml:space="preserve"> to identify the factors which motivated the JAIS teachers to </w:t>
      </w:r>
      <w:r w:rsidR="00086629" w:rsidRPr="00D57F4E">
        <w:rPr>
          <w:rFonts w:ascii="Times New Roman" w:hAnsi="Times New Roman" w:cs="Times New Roman"/>
          <w:color w:val="000000" w:themeColor="text1"/>
          <w:sz w:val="24"/>
          <w:szCs w:val="24"/>
        </w:rPr>
        <w:t>enroll</w:t>
      </w:r>
      <w:r w:rsidRPr="00D57F4E">
        <w:rPr>
          <w:rFonts w:ascii="Times New Roman" w:hAnsi="Times New Roman" w:cs="Times New Roman"/>
          <w:color w:val="000000" w:themeColor="text1"/>
          <w:sz w:val="24"/>
          <w:szCs w:val="24"/>
        </w:rPr>
        <w:t xml:space="preserve"> in the programme mentioned, and whether the factors could be related to the philosophy and third thrust towards appreciating lifelong learning. As such, the main objective of this study was to identify the </w:t>
      </w:r>
      <w:r w:rsidR="0063654E" w:rsidRPr="00D57F4E">
        <w:rPr>
          <w:rFonts w:ascii="Times New Roman" w:hAnsi="Times New Roman" w:cs="Times New Roman"/>
          <w:color w:val="000000" w:themeColor="text1"/>
          <w:sz w:val="24"/>
          <w:szCs w:val="24"/>
        </w:rPr>
        <w:t>self-concept</w:t>
      </w:r>
      <w:r w:rsidRPr="00D57F4E">
        <w:rPr>
          <w:rFonts w:ascii="Times New Roman" w:hAnsi="Times New Roman" w:cs="Times New Roman"/>
          <w:color w:val="000000" w:themeColor="text1"/>
          <w:sz w:val="24"/>
          <w:szCs w:val="24"/>
        </w:rPr>
        <w:t xml:space="preserve"> factors and institutional factors which influenced the teachers to </w:t>
      </w:r>
      <w:r w:rsidR="0063654E" w:rsidRPr="00D57F4E">
        <w:rPr>
          <w:rFonts w:ascii="Times New Roman" w:hAnsi="Times New Roman" w:cs="Times New Roman"/>
          <w:color w:val="000000" w:themeColor="text1"/>
          <w:sz w:val="24"/>
          <w:szCs w:val="24"/>
        </w:rPr>
        <w:t>enroll</w:t>
      </w:r>
      <w:r w:rsidRPr="00D57F4E">
        <w:rPr>
          <w:rFonts w:ascii="Times New Roman" w:hAnsi="Times New Roman" w:cs="Times New Roman"/>
          <w:color w:val="000000" w:themeColor="text1"/>
          <w:sz w:val="24"/>
          <w:szCs w:val="24"/>
        </w:rPr>
        <w:t xml:space="preserve"> in the programme. This study was conducted using the quantitative approach with a survey descriptive design. The respondents were 160 PPGB-JAIS students and they were required to answer the study via a web survey. The purposive sampling technique was utilised in order to determine the sample. Descriptive and inferential statistics were used for answering the study objectives. A total of 99 respondents answered the survey. The data was analysed using </w:t>
      </w:r>
      <w:r w:rsidR="009C69C3" w:rsidRPr="00D57F4E">
        <w:rPr>
          <w:rFonts w:ascii="Times New Roman" w:hAnsi="Times New Roman" w:cs="Times New Roman"/>
          <w:color w:val="000000" w:themeColor="text1"/>
          <w:sz w:val="24"/>
          <w:szCs w:val="24"/>
        </w:rPr>
        <w:t xml:space="preserve">SPSS and </w:t>
      </w:r>
      <w:r w:rsidRPr="00D57F4E">
        <w:rPr>
          <w:rFonts w:ascii="Times New Roman" w:hAnsi="Times New Roman" w:cs="Times New Roman"/>
          <w:color w:val="000000" w:themeColor="text1"/>
          <w:sz w:val="24"/>
          <w:szCs w:val="24"/>
        </w:rPr>
        <w:t xml:space="preserve">SmartPLS for assessing the validity and reliability of the factors which influenced the students’ interest in enrolling in PPGB-JAIS. The findings showed that </w:t>
      </w:r>
      <w:r w:rsidR="00542AF3" w:rsidRPr="00D57F4E">
        <w:rPr>
          <w:rFonts w:ascii="Times New Roman" w:hAnsi="Times New Roman" w:cs="Times New Roman"/>
          <w:color w:val="000000" w:themeColor="text1"/>
          <w:sz w:val="24"/>
          <w:szCs w:val="24"/>
        </w:rPr>
        <w:t>self-concept</w:t>
      </w:r>
      <w:r w:rsidRPr="00D57F4E">
        <w:rPr>
          <w:rFonts w:ascii="Times New Roman" w:hAnsi="Times New Roman" w:cs="Times New Roman"/>
          <w:color w:val="000000" w:themeColor="text1"/>
          <w:sz w:val="24"/>
          <w:szCs w:val="24"/>
        </w:rPr>
        <w:t xml:space="preserve"> and motivation contributed as much as 43 percent towards students’ interest in enrolling in the programme. </w:t>
      </w:r>
      <w:r w:rsidR="00542AF3" w:rsidRPr="00D57F4E">
        <w:rPr>
          <w:rFonts w:ascii="Times New Roman" w:hAnsi="Times New Roman" w:cs="Times New Roman"/>
          <w:color w:val="000000" w:themeColor="text1"/>
          <w:sz w:val="24"/>
          <w:szCs w:val="24"/>
        </w:rPr>
        <w:t>Self-concept</w:t>
      </w:r>
      <w:r w:rsidRPr="00D57F4E">
        <w:rPr>
          <w:rFonts w:ascii="Times New Roman" w:hAnsi="Times New Roman" w:cs="Times New Roman"/>
          <w:color w:val="000000" w:themeColor="text1"/>
          <w:sz w:val="24"/>
          <w:szCs w:val="24"/>
        </w:rPr>
        <w:t xml:space="preserve"> contributed 29 percent while motivation contributed 14 percent towards students’ interest in enrolling in the programme above. The study findings could help in </w:t>
      </w:r>
      <w:r w:rsidR="00542AF3" w:rsidRPr="00D57F4E">
        <w:rPr>
          <w:rFonts w:ascii="Times New Roman" w:hAnsi="Times New Roman" w:cs="Times New Roman"/>
          <w:color w:val="000000" w:themeColor="text1"/>
          <w:sz w:val="24"/>
          <w:szCs w:val="24"/>
        </w:rPr>
        <w:t>opening</w:t>
      </w:r>
      <w:r w:rsidRPr="00D57F4E">
        <w:rPr>
          <w:rFonts w:ascii="Times New Roman" w:hAnsi="Times New Roman" w:cs="Times New Roman"/>
          <w:color w:val="000000" w:themeColor="text1"/>
          <w:sz w:val="24"/>
          <w:szCs w:val="24"/>
        </w:rPr>
        <w:t xml:space="preserve"> new perspectives of </w:t>
      </w:r>
      <w:r w:rsidR="00542AF3" w:rsidRPr="00D57F4E">
        <w:rPr>
          <w:rFonts w:ascii="Times New Roman" w:hAnsi="Times New Roman" w:cs="Times New Roman"/>
          <w:color w:val="000000" w:themeColor="text1"/>
          <w:sz w:val="24"/>
          <w:szCs w:val="24"/>
        </w:rPr>
        <w:t>self-concept</w:t>
      </w:r>
      <w:r w:rsidRPr="00D57F4E">
        <w:rPr>
          <w:rFonts w:ascii="Times New Roman" w:hAnsi="Times New Roman" w:cs="Times New Roman"/>
          <w:color w:val="000000" w:themeColor="text1"/>
          <w:sz w:val="24"/>
          <w:szCs w:val="24"/>
        </w:rPr>
        <w:t xml:space="preserve"> and motivation factors in influencing students’ interest to </w:t>
      </w:r>
      <w:r w:rsidR="00542AF3" w:rsidRPr="00D57F4E">
        <w:rPr>
          <w:rFonts w:ascii="Times New Roman" w:hAnsi="Times New Roman" w:cs="Times New Roman"/>
          <w:color w:val="000000" w:themeColor="text1"/>
          <w:sz w:val="24"/>
          <w:szCs w:val="24"/>
        </w:rPr>
        <w:t>enroll</w:t>
      </w:r>
      <w:r w:rsidRPr="00D57F4E">
        <w:rPr>
          <w:rFonts w:ascii="Times New Roman" w:hAnsi="Times New Roman" w:cs="Times New Roman"/>
          <w:color w:val="000000" w:themeColor="text1"/>
          <w:sz w:val="24"/>
          <w:szCs w:val="24"/>
        </w:rPr>
        <w:t xml:space="preserve"> in lifelong learning programmes. The results indicated that both these factors should be taken into </w:t>
      </w:r>
      <w:r w:rsidR="007237FE" w:rsidRPr="00D57F4E">
        <w:rPr>
          <w:rFonts w:ascii="Times New Roman" w:hAnsi="Times New Roman" w:cs="Times New Roman"/>
          <w:color w:val="000000" w:themeColor="text1"/>
          <w:sz w:val="24"/>
          <w:szCs w:val="24"/>
        </w:rPr>
        <w:t>account</w:t>
      </w:r>
      <w:r w:rsidRPr="00D57F4E">
        <w:rPr>
          <w:rFonts w:ascii="Times New Roman" w:hAnsi="Times New Roman" w:cs="Times New Roman"/>
          <w:color w:val="000000" w:themeColor="text1"/>
          <w:sz w:val="24"/>
          <w:szCs w:val="24"/>
        </w:rPr>
        <w:t xml:space="preserve"> when preparing lifelong learning programmes. The study also suggested that the PSH preparatory team should consider these two factors to encourage students to </w:t>
      </w:r>
      <w:r w:rsidR="00542AF3" w:rsidRPr="00D57F4E">
        <w:rPr>
          <w:rFonts w:ascii="Times New Roman" w:hAnsi="Times New Roman" w:cs="Times New Roman"/>
          <w:color w:val="000000" w:themeColor="text1"/>
          <w:sz w:val="24"/>
          <w:szCs w:val="24"/>
        </w:rPr>
        <w:t>enroll</w:t>
      </w:r>
      <w:r w:rsidRPr="00D57F4E">
        <w:rPr>
          <w:rFonts w:ascii="Times New Roman" w:hAnsi="Times New Roman" w:cs="Times New Roman"/>
          <w:color w:val="000000" w:themeColor="text1"/>
          <w:sz w:val="24"/>
          <w:szCs w:val="24"/>
        </w:rPr>
        <w:t xml:space="preserve"> in such programmes.</w:t>
      </w:r>
    </w:p>
    <w:p w14:paraId="5B9904DB" w14:textId="77777777" w:rsidR="00A03ABC" w:rsidRPr="00D57F4E" w:rsidRDefault="00A03ABC" w:rsidP="00665616">
      <w:pPr>
        <w:spacing w:after="0" w:line="240" w:lineRule="auto"/>
        <w:ind w:left="0" w:hanging="2"/>
        <w:jc w:val="both"/>
        <w:rPr>
          <w:rFonts w:ascii="Times New Roman" w:hAnsi="Times New Roman" w:cs="Times New Roman"/>
          <w:color w:val="000000" w:themeColor="text1"/>
          <w:sz w:val="24"/>
          <w:szCs w:val="24"/>
        </w:rPr>
      </w:pPr>
    </w:p>
    <w:p w14:paraId="185C1C07" w14:textId="77777777" w:rsidR="00A03ABC" w:rsidRPr="00D57F4E" w:rsidRDefault="00F85D18" w:rsidP="00665616">
      <w:pPr>
        <w:spacing w:after="0" w:line="240" w:lineRule="auto"/>
        <w:ind w:left="0" w:hanging="2"/>
        <w:jc w:val="both"/>
        <w:rPr>
          <w:rFonts w:ascii="Times New Roman" w:hAnsi="Times New Roman" w:cs="Times New Roman"/>
          <w:color w:val="000000" w:themeColor="text1"/>
          <w:sz w:val="24"/>
          <w:szCs w:val="24"/>
        </w:rPr>
      </w:pPr>
      <w:r w:rsidRPr="00E36B43">
        <w:rPr>
          <w:rFonts w:ascii="Times New Roman" w:hAnsi="Times New Roman" w:cs="Times New Roman"/>
          <w:b/>
          <w:color w:val="000000" w:themeColor="text1"/>
          <w:sz w:val="24"/>
          <w:szCs w:val="24"/>
        </w:rPr>
        <w:t>Keywords:</w:t>
      </w:r>
      <w:r w:rsidR="00A03ABC" w:rsidRPr="00D57F4E">
        <w:rPr>
          <w:rFonts w:ascii="Times New Roman" w:hAnsi="Times New Roman" w:cs="Times New Roman"/>
          <w:color w:val="000000" w:themeColor="text1"/>
          <w:sz w:val="24"/>
          <w:szCs w:val="24"/>
        </w:rPr>
        <w:t xml:space="preserve"> lifelong learning programmes, </w:t>
      </w:r>
      <w:r w:rsidR="00542AF3" w:rsidRPr="00D57F4E">
        <w:rPr>
          <w:rFonts w:ascii="Times New Roman" w:hAnsi="Times New Roman" w:cs="Times New Roman"/>
          <w:color w:val="000000" w:themeColor="text1"/>
          <w:sz w:val="24"/>
          <w:szCs w:val="24"/>
        </w:rPr>
        <w:t>self-concept</w:t>
      </w:r>
      <w:r w:rsidR="00A03ABC" w:rsidRPr="00D57F4E">
        <w:rPr>
          <w:rFonts w:ascii="Times New Roman" w:hAnsi="Times New Roman" w:cs="Times New Roman"/>
          <w:color w:val="000000" w:themeColor="text1"/>
          <w:sz w:val="24"/>
          <w:szCs w:val="24"/>
        </w:rPr>
        <w:t>, institutions, interest, SmartPLS</w:t>
      </w:r>
    </w:p>
    <w:p w14:paraId="20AC038C" w14:textId="77777777" w:rsidR="00A03ABC" w:rsidRDefault="00A03ABC" w:rsidP="00665616">
      <w:pPr>
        <w:spacing w:after="0" w:line="240" w:lineRule="auto"/>
        <w:ind w:left="0" w:hanging="2"/>
        <w:jc w:val="both"/>
        <w:rPr>
          <w:rFonts w:ascii="Times New Roman" w:eastAsia="Times New Roman" w:hAnsi="Times New Roman" w:cs="Times New Roman"/>
          <w:b/>
          <w:color w:val="000000" w:themeColor="text1"/>
          <w:sz w:val="24"/>
          <w:szCs w:val="24"/>
        </w:rPr>
      </w:pPr>
    </w:p>
    <w:p w14:paraId="77E4F94A" w14:textId="77777777" w:rsidR="007308E9" w:rsidRPr="00D57F4E" w:rsidRDefault="007308E9" w:rsidP="00665616">
      <w:pPr>
        <w:spacing w:after="0" w:line="240" w:lineRule="auto"/>
        <w:ind w:left="0" w:hanging="2"/>
        <w:jc w:val="both"/>
        <w:rPr>
          <w:rFonts w:ascii="Times New Roman" w:eastAsia="Times New Roman" w:hAnsi="Times New Roman" w:cs="Times New Roman"/>
          <w:b/>
          <w:color w:val="000000" w:themeColor="text1"/>
          <w:sz w:val="24"/>
          <w:szCs w:val="24"/>
        </w:rPr>
      </w:pPr>
    </w:p>
    <w:p w14:paraId="0210E4E2" w14:textId="77777777" w:rsidR="00A03ABC" w:rsidRDefault="00A03ABC" w:rsidP="00665616">
      <w:pPr>
        <w:spacing w:after="0" w:line="240" w:lineRule="auto"/>
        <w:ind w:left="0" w:hanging="2"/>
        <w:jc w:val="both"/>
        <w:rPr>
          <w:rFonts w:ascii="Times New Roman" w:eastAsia="Times New Roman" w:hAnsi="Times New Roman" w:cs="Times New Roman"/>
          <w:b/>
          <w:color w:val="000000" w:themeColor="text1"/>
          <w:sz w:val="24"/>
          <w:szCs w:val="24"/>
          <w:lang w:val="en-GB"/>
        </w:rPr>
      </w:pPr>
      <w:bookmarkStart w:id="5" w:name="_Hlk24469758"/>
      <w:r w:rsidRPr="00D57F4E">
        <w:rPr>
          <w:rFonts w:ascii="Times New Roman" w:eastAsia="Times New Roman" w:hAnsi="Times New Roman" w:cs="Times New Roman"/>
          <w:b/>
          <w:color w:val="000000" w:themeColor="text1"/>
          <w:sz w:val="24"/>
          <w:szCs w:val="24"/>
          <w:lang w:val="en-GB"/>
        </w:rPr>
        <w:t>Pengenalan</w:t>
      </w:r>
    </w:p>
    <w:p w14:paraId="263C8A37" w14:textId="77777777" w:rsidR="007308E9" w:rsidRPr="00D57F4E" w:rsidRDefault="007308E9" w:rsidP="00665616">
      <w:pPr>
        <w:spacing w:after="0" w:line="240" w:lineRule="auto"/>
        <w:ind w:left="0" w:hanging="2"/>
        <w:jc w:val="both"/>
        <w:rPr>
          <w:rFonts w:ascii="Times New Roman" w:eastAsia="Times New Roman" w:hAnsi="Times New Roman" w:cs="Times New Roman"/>
          <w:b/>
          <w:color w:val="000000" w:themeColor="text1"/>
          <w:sz w:val="24"/>
          <w:szCs w:val="24"/>
          <w:lang w:val="en-GB"/>
        </w:rPr>
      </w:pPr>
    </w:p>
    <w:p w14:paraId="19A61F5F" w14:textId="7FDC5420" w:rsidR="00E36B43" w:rsidRDefault="00A03ABC" w:rsidP="00665616">
      <w:pPr>
        <w:spacing w:after="0" w:line="240" w:lineRule="auto"/>
        <w:ind w:left="0" w:hanging="2"/>
        <w:jc w:val="both"/>
        <w:rPr>
          <w:rFonts w:asciiTheme="majorBidi" w:eastAsia="Times New Roman" w:hAnsiTheme="majorBidi" w:cstheme="majorBidi"/>
          <w:color w:val="000000" w:themeColor="text1"/>
          <w:sz w:val="24"/>
          <w:szCs w:val="24"/>
          <w:lang w:val="en-GB"/>
        </w:rPr>
      </w:pPr>
      <w:r w:rsidRPr="00D57F4E">
        <w:rPr>
          <w:rFonts w:ascii="Times New Roman" w:eastAsia="Times New Roman" w:hAnsi="Times New Roman" w:cs="Times New Roman"/>
          <w:color w:val="000000" w:themeColor="text1"/>
          <w:sz w:val="24"/>
          <w:szCs w:val="24"/>
          <w:highlight w:val="white"/>
          <w:lang w:val="en-GB"/>
        </w:rPr>
        <w:t>Perkembangan dan kelangsungan ekonomi sesebuah negara sedikit banyak dipengaruhi pemindahan teknologi, pembangunan bakat dan penyediaan pekerja berkemahiran (Wan &amp; Sirat, 2018; Sarwar-Aalam</w:t>
      </w:r>
      <w:r w:rsidR="007308E9">
        <w:rPr>
          <w:rFonts w:ascii="Times New Roman" w:eastAsia="Times New Roman" w:hAnsi="Times New Roman" w:cs="Times New Roman"/>
          <w:color w:val="000000" w:themeColor="text1"/>
          <w:sz w:val="24"/>
          <w:szCs w:val="24"/>
          <w:highlight w:val="white"/>
          <w:lang w:val="en-GB"/>
        </w:rPr>
        <w:t xml:space="preserve"> et al., </w:t>
      </w:r>
      <w:r w:rsidR="00E36B43">
        <w:rPr>
          <w:rFonts w:asciiTheme="majorBidi" w:eastAsia="Times New Roman" w:hAnsiTheme="majorBidi" w:cstheme="majorBidi"/>
          <w:color w:val="000000" w:themeColor="text1"/>
          <w:sz w:val="24"/>
          <w:szCs w:val="24"/>
          <w:highlight w:val="white"/>
          <w:lang w:val="en-GB"/>
        </w:rPr>
        <w:t xml:space="preserve">2019). </w:t>
      </w:r>
      <w:r w:rsidRPr="00D57F4E">
        <w:rPr>
          <w:rFonts w:asciiTheme="majorBidi" w:eastAsia="Times New Roman" w:hAnsiTheme="majorBidi" w:cstheme="majorBidi"/>
          <w:color w:val="000000" w:themeColor="text1"/>
          <w:sz w:val="24"/>
          <w:szCs w:val="24"/>
          <w:highlight w:val="white"/>
          <w:lang w:val="en-GB"/>
        </w:rPr>
        <w:t xml:space="preserve">Malah gabungan teknologi dan pekerja berkemahiran </w:t>
      </w:r>
      <w:proofErr w:type="gramStart"/>
      <w:r w:rsidRPr="00D57F4E">
        <w:rPr>
          <w:rFonts w:asciiTheme="majorBidi" w:eastAsia="Times New Roman" w:hAnsiTheme="majorBidi" w:cstheme="majorBidi"/>
          <w:color w:val="000000" w:themeColor="text1"/>
          <w:sz w:val="24"/>
          <w:szCs w:val="24"/>
          <w:highlight w:val="white"/>
          <w:lang w:val="en-GB"/>
        </w:rPr>
        <w:t>akan</w:t>
      </w:r>
      <w:proofErr w:type="gramEnd"/>
      <w:r w:rsidRPr="00D57F4E">
        <w:rPr>
          <w:rFonts w:asciiTheme="majorBidi" w:eastAsia="Times New Roman" w:hAnsiTheme="majorBidi" w:cstheme="majorBidi"/>
          <w:color w:val="000000" w:themeColor="text1"/>
          <w:sz w:val="24"/>
          <w:szCs w:val="24"/>
          <w:highlight w:val="white"/>
          <w:lang w:val="en-GB"/>
        </w:rPr>
        <w:t xml:space="preserve"> meningkatkan p</w:t>
      </w:r>
      <w:r w:rsidR="007308E9">
        <w:rPr>
          <w:rFonts w:asciiTheme="majorBidi" w:eastAsia="Times New Roman" w:hAnsiTheme="majorBidi" w:cstheme="majorBidi"/>
          <w:color w:val="000000" w:themeColor="text1"/>
          <w:sz w:val="24"/>
          <w:szCs w:val="24"/>
          <w:highlight w:val="white"/>
          <w:lang w:val="en-GB"/>
        </w:rPr>
        <w:t xml:space="preserve">restasi organisasi (Chen, 2016; </w:t>
      </w:r>
      <w:r w:rsidRPr="00D57F4E">
        <w:rPr>
          <w:rFonts w:asciiTheme="majorBidi" w:eastAsia="Times New Roman" w:hAnsiTheme="majorBidi" w:cstheme="majorBidi"/>
          <w:color w:val="000000" w:themeColor="text1"/>
          <w:sz w:val="24"/>
          <w:szCs w:val="24"/>
          <w:highlight w:val="white"/>
          <w:lang w:val="en-GB"/>
        </w:rPr>
        <w:t>Garcia-Morales</w:t>
      </w:r>
      <w:r w:rsidR="007308E9">
        <w:rPr>
          <w:rFonts w:asciiTheme="majorBidi" w:eastAsia="Times New Roman" w:hAnsiTheme="majorBidi" w:cstheme="majorBidi"/>
          <w:color w:val="000000" w:themeColor="text1"/>
          <w:sz w:val="24"/>
          <w:szCs w:val="24"/>
          <w:highlight w:val="white"/>
          <w:lang w:val="en-GB"/>
        </w:rPr>
        <w:t xml:space="preserve"> et al., </w:t>
      </w:r>
      <w:r w:rsidRPr="00D57F4E">
        <w:rPr>
          <w:rFonts w:asciiTheme="majorBidi" w:eastAsia="Times New Roman" w:hAnsiTheme="majorBidi" w:cstheme="majorBidi"/>
          <w:color w:val="000000" w:themeColor="text1"/>
          <w:sz w:val="24"/>
          <w:szCs w:val="24"/>
          <w:highlight w:val="white"/>
          <w:lang w:val="en-GB"/>
        </w:rPr>
        <w:t xml:space="preserve">2018). </w:t>
      </w:r>
      <w:r w:rsidRPr="00D57F4E">
        <w:rPr>
          <w:rFonts w:asciiTheme="majorBidi" w:eastAsia="Times New Roman" w:hAnsiTheme="majorBidi" w:cstheme="majorBidi"/>
          <w:color w:val="000000" w:themeColor="text1"/>
          <w:sz w:val="24"/>
          <w:szCs w:val="24"/>
          <w:lang w:val="en-GB"/>
        </w:rPr>
        <w:t>Hung (2007)</w:t>
      </w:r>
      <w:r w:rsidR="00A93F65" w:rsidRPr="00D57F4E">
        <w:rPr>
          <w:rFonts w:asciiTheme="majorBidi" w:eastAsia="Times New Roman" w:hAnsiTheme="majorBidi" w:cstheme="majorBidi"/>
          <w:color w:val="000000" w:themeColor="text1"/>
          <w:sz w:val="24"/>
          <w:szCs w:val="24"/>
          <w:lang w:val="en-GB"/>
        </w:rPr>
        <w:t xml:space="preserve">, </w:t>
      </w:r>
      <w:r w:rsidR="00E36B43">
        <w:rPr>
          <w:rFonts w:asciiTheme="majorBidi" w:hAnsiTheme="majorBidi" w:cstheme="majorBidi"/>
          <w:color w:val="000000" w:themeColor="text1"/>
          <w:sz w:val="24"/>
          <w:szCs w:val="24"/>
          <w:lang w:val="en-GB"/>
        </w:rPr>
        <w:t>Nirmal Kaur</w:t>
      </w:r>
      <w:r w:rsidR="0095236F">
        <w:rPr>
          <w:rFonts w:asciiTheme="majorBidi" w:hAnsiTheme="majorBidi" w:cstheme="majorBidi"/>
          <w:color w:val="000000" w:themeColor="text1"/>
          <w:sz w:val="24"/>
          <w:szCs w:val="24"/>
          <w:lang w:val="en-GB"/>
        </w:rPr>
        <w:t xml:space="preserve"> et al. </w:t>
      </w:r>
      <w:r w:rsidR="00704F19" w:rsidRPr="00D57F4E">
        <w:rPr>
          <w:rFonts w:asciiTheme="majorBidi" w:eastAsia="Times New Roman" w:hAnsiTheme="majorBidi" w:cstheme="majorBidi"/>
          <w:color w:val="000000" w:themeColor="text1"/>
          <w:sz w:val="24"/>
          <w:szCs w:val="24"/>
          <w:lang w:val="en-GB"/>
        </w:rPr>
        <w:t>(2018)</w:t>
      </w:r>
      <w:r w:rsidR="0095236F">
        <w:rPr>
          <w:rFonts w:asciiTheme="majorBidi" w:eastAsia="Times New Roman" w:hAnsiTheme="majorBidi" w:cstheme="majorBidi"/>
          <w:color w:val="000000" w:themeColor="text1"/>
          <w:sz w:val="24"/>
          <w:szCs w:val="24"/>
          <w:lang w:val="en-GB"/>
        </w:rPr>
        <w:t xml:space="preserve"> </w:t>
      </w:r>
      <w:r w:rsidR="00E36B43">
        <w:rPr>
          <w:rFonts w:asciiTheme="majorBidi" w:eastAsia="Times New Roman" w:hAnsiTheme="majorBidi" w:cstheme="majorBidi"/>
          <w:color w:val="000000" w:themeColor="text1"/>
          <w:sz w:val="24"/>
          <w:szCs w:val="24"/>
          <w:lang w:val="en-GB"/>
        </w:rPr>
        <w:t>serta</w:t>
      </w:r>
      <w:r w:rsidRPr="00D57F4E">
        <w:rPr>
          <w:rFonts w:asciiTheme="majorBidi" w:eastAsia="Times New Roman" w:hAnsiTheme="majorBidi" w:cstheme="majorBidi"/>
          <w:color w:val="000000" w:themeColor="text1"/>
          <w:sz w:val="24"/>
          <w:szCs w:val="24"/>
          <w:lang w:val="en-GB"/>
        </w:rPr>
        <w:t xml:space="preserve"> Watson (2007) meramalkan pada abad ke 21 memerlukan pekerja yang berpengetahuan, bersedia berubah, belajar secara </w:t>
      </w:r>
      <w:r w:rsidR="008E5135" w:rsidRPr="00D57F4E">
        <w:rPr>
          <w:rFonts w:asciiTheme="majorBidi" w:eastAsia="Times New Roman" w:hAnsiTheme="majorBidi" w:cstheme="majorBidi"/>
          <w:iCs/>
          <w:color w:val="000000" w:themeColor="text1"/>
          <w:sz w:val="24"/>
          <w:szCs w:val="24"/>
          <w:lang w:val="en-GB"/>
        </w:rPr>
        <w:t>pengarahan kendiri</w:t>
      </w:r>
      <w:r w:rsidRPr="00D57F4E">
        <w:rPr>
          <w:rFonts w:asciiTheme="majorBidi" w:eastAsia="Times New Roman" w:hAnsiTheme="majorBidi" w:cstheme="majorBidi"/>
          <w:color w:val="000000" w:themeColor="text1"/>
          <w:sz w:val="24"/>
          <w:szCs w:val="24"/>
          <w:lang w:val="en-GB"/>
        </w:rPr>
        <w:t xml:space="preserve">, mengintergrasi pembelajaran dalam kehidupan, </w:t>
      </w:r>
      <w:r w:rsidRPr="00D57F4E">
        <w:rPr>
          <w:rFonts w:asciiTheme="majorBidi" w:eastAsia="Times New Roman" w:hAnsiTheme="majorBidi" w:cstheme="majorBidi"/>
          <w:i/>
          <w:color w:val="000000" w:themeColor="text1"/>
          <w:sz w:val="24"/>
          <w:szCs w:val="24"/>
          <w:lang w:val="en-GB"/>
        </w:rPr>
        <w:t>online networks</w:t>
      </w:r>
      <w:r w:rsidRPr="00D57F4E">
        <w:rPr>
          <w:rFonts w:asciiTheme="majorBidi" w:eastAsia="Times New Roman" w:hAnsiTheme="majorBidi" w:cstheme="majorBidi"/>
          <w:color w:val="000000" w:themeColor="text1"/>
          <w:sz w:val="24"/>
          <w:szCs w:val="24"/>
          <w:lang w:val="en-GB"/>
        </w:rPr>
        <w:t xml:space="preserve"> dan hubungan sosial yang boleh dilaksanakan melalui pembelajaran sepanjang hayat (PSH).</w:t>
      </w:r>
      <w:r w:rsidR="00704F19" w:rsidRPr="00D57F4E">
        <w:rPr>
          <w:rFonts w:asciiTheme="majorBidi" w:eastAsia="Times New Roman" w:hAnsiTheme="majorBidi" w:cstheme="majorBidi"/>
          <w:color w:val="000000" w:themeColor="text1"/>
          <w:sz w:val="24"/>
          <w:szCs w:val="24"/>
          <w:lang w:val="en-GB"/>
        </w:rPr>
        <w:t xml:space="preserve"> </w:t>
      </w:r>
    </w:p>
    <w:p w14:paraId="150E42A7" w14:textId="2AA3E74B" w:rsidR="00B13757" w:rsidRPr="00D57F4E" w:rsidRDefault="00E36B43" w:rsidP="00665616">
      <w:pPr>
        <w:spacing w:after="0" w:line="240" w:lineRule="auto"/>
        <w:ind w:left="0" w:hanging="2"/>
        <w:jc w:val="both"/>
        <w:rPr>
          <w:rFonts w:ascii="Times New Roman" w:eastAsia="Times New Roman" w:hAnsi="Times New Roman" w:cs="Times New Roman"/>
          <w:color w:val="000000" w:themeColor="text1"/>
          <w:sz w:val="24"/>
          <w:szCs w:val="24"/>
          <w:lang w:val="en-GB"/>
        </w:rPr>
      </w:pPr>
      <w:r>
        <w:rPr>
          <w:rFonts w:asciiTheme="majorBidi" w:eastAsia="Times New Roman" w:hAnsiTheme="majorBidi" w:cstheme="majorBidi"/>
          <w:color w:val="000000" w:themeColor="text1"/>
          <w:sz w:val="24"/>
          <w:szCs w:val="24"/>
          <w:lang w:val="en-GB"/>
        </w:rPr>
        <w:tab/>
      </w:r>
      <w:r>
        <w:rPr>
          <w:rFonts w:asciiTheme="majorBidi" w:eastAsia="Times New Roman" w:hAnsiTheme="majorBidi" w:cstheme="majorBidi"/>
          <w:color w:val="000000" w:themeColor="text1"/>
          <w:sz w:val="24"/>
          <w:szCs w:val="24"/>
          <w:lang w:val="en-GB"/>
        </w:rPr>
        <w:tab/>
      </w:r>
      <w:r w:rsidR="00704F19" w:rsidRPr="00D57F4E">
        <w:rPr>
          <w:rFonts w:asciiTheme="majorBidi" w:eastAsia="Times New Roman" w:hAnsiTheme="majorBidi" w:cstheme="majorBidi"/>
          <w:color w:val="000000" w:themeColor="text1"/>
          <w:sz w:val="24"/>
          <w:szCs w:val="24"/>
          <w:lang w:val="en-GB"/>
        </w:rPr>
        <w:t xml:space="preserve">Dijangkakan juga </w:t>
      </w:r>
      <w:proofErr w:type="gramStart"/>
      <w:r w:rsidR="00704F19" w:rsidRPr="00D57F4E">
        <w:rPr>
          <w:rFonts w:asciiTheme="majorBidi" w:eastAsia="Times New Roman" w:hAnsiTheme="majorBidi" w:cstheme="majorBidi"/>
          <w:color w:val="000000" w:themeColor="text1"/>
          <w:sz w:val="24"/>
          <w:szCs w:val="24"/>
          <w:lang w:val="en-GB"/>
        </w:rPr>
        <w:t>akan</w:t>
      </w:r>
      <w:proofErr w:type="gramEnd"/>
      <w:r w:rsidR="00704F19" w:rsidRPr="00D57F4E">
        <w:rPr>
          <w:rFonts w:asciiTheme="majorBidi" w:eastAsia="Times New Roman" w:hAnsiTheme="majorBidi" w:cstheme="majorBidi"/>
          <w:color w:val="000000" w:themeColor="text1"/>
          <w:sz w:val="24"/>
          <w:szCs w:val="24"/>
          <w:lang w:val="en-GB"/>
        </w:rPr>
        <w:t xml:space="preserve"> berlaku perubahan kualiti hidup disebabkan perubahan struktur demografi Malaysia (</w:t>
      </w:r>
      <w:r>
        <w:rPr>
          <w:rFonts w:asciiTheme="majorBidi" w:eastAsia="Times New Roman" w:hAnsiTheme="majorBidi" w:cstheme="majorBidi"/>
          <w:color w:val="000000" w:themeColor="text1"/>
          <w:sz w:val="24"/>
          <w:szCs w:val="24"/>
          <w:lang w:val="en-GB"/>
        </w:rPr>
        <w:t>Farhah Hanun</w:t>
      </w:r>
      <w:r w:rsidR="00A4535F" w:rsidRPr="00D57F4E">
        <w:rPr>
          <w:rFonts w:asciiTheme="majorBidi" w:eastAsia="Times New Roman" w:hAnsiTheme="majorBidi" w:cstheme="majorBidi"/>
          <w:color w:val="000000" w:themeColor="text1"/>
          <w:sz w:val="24"/>
          <w:szCs w:val="24"/>
          <w:lang w:val="en-GB"/>
        </w:rPr>
        <w:t xml:space="preserve"> &amp; Denise Koh</w:t>
      </w:r>
      <w:r>
        <w:rPr>
          <w:rFonts w:asciiTheme="majorBidi" w:eastAsia="Times New Roman" w:hAnsiTheme="majorBidi" w:cstheme="majorBidi"/>
          <w:color w:val="000000" w:themeColor="text1"/>
          <w:sz w:val="24"/>
          <w:szCs w:val="24"/>
          <w:lang w:val="en-GB"/>
        </w:rPr>
        <w:t>,</w:t>
      </w:r>
      <w:r w:rsidR="00A4535F" w:rsidRPr="00D57F4E">
        <w:rPr>
          <w:rFonts w:asciiTheme="majorBidi" w:eastAsia="Times New Roman" w:hAnsiTheme="majorBidi" w:cstheme="majorBidi"/>
          <w:color w:val="000000" w:themeColor="text1"/>
          <w:sz w:val="24"/>
          <w:szCs w:val="24"/>
          <w:lang w:val="en-GB"/>
        </w:rPr>
        <w:t xml:space="preserve"> 2017)</w:t>
      </w:r>
      <w:r w:rsidR="00B4006F" w:rsidRPr="00D57F4E">
        <w:rPr>
          <w:rFonts w:asciiTheme="majorBidi" w:eastAsia="Times New Roman" w:hAnsiTheme="majorBidi" w:cstheme="majorBidi"/>
          <w:color w:val="000000" w:themeColor="text1"/>
          <w:sz w:val="24"/>
          <w:szCs w:val="24"/>
          <w:lang w:val="en-GB"/>
        </w:rPr>
        <w:t>.</w:t>
      </w:r>
      <w:r w:rsidR="00A03ABC" w:rsidRPr="00D57F4E">
        <w:rPr>
          <w:rFonts w:asciiTheme="majorBidi" w:eastAsia="Times New Roman" w:hAnsiTheme="majorBidi" w:cstheme="majorBidi"/>
          <w:color w:val="000000" w:themeColor="text1"/>
          <w:sz w:val="24"/>
          <w:szCs w:val="24"/>
          <w:lang w:val="en-GB"/>
        </w:rPr>
        <w:t xml:space="preserve"> </w:t>
      </w:r>
      <w:r w:rsidR="00B4006F" w:rsidRPr="00D57F4E">
        <w:rPr>
          <w:rFonts w:asciiTheme="majorBidi" w:eastAsia="Times New Roman" w:hAnsiTheme="majorBidi" w:cstheme="majorBidi"/>
          <w:color w:val="000000" w:themeColor="text1"/>
          <w:sz w:val="24"/>
          <w:szCs w:val="24"/>
          <w:lang w:val="en-GB"/>
        </w:rPr>
        <w:t>Respons kepada perubahan-perubahan ini,</w:t>
      </w:r>
      <w:r w:rsidR="008A2AC2">
        <w:rPr>
          <w:rFonts w:asciiTheme="majorBidi" w:eastAsia="Times New Roman" w:hAnsiTheme="majorBidi" w:cstheme="majorBidi"/>
          <w:color w:val="000000" w:themeColor="text1"/>
          <w:sz w:val="24"/>
          <w:szCs w:val="24"/>
          <w:lang w:val="en-GB"/>
        </w:rPr>
        <w:t xml:space="preserve"> </w:t>
      </w:r>
      <w:r w:rsidR="008A2AC2" w:rsidRPr="00D57F4E">
        <w:rPr>
          <w:rFonts w:asciiTheme="majorBidi" w:hAnsiTheme="majorBidi" w:cstheme="majorBidi"/>
          <w:color w:val="000000" w:themeColor="text1"/>
          <w:sz w:val="24"/>
          <w:szCs w:val="24"/>
          <w:highlight w:val="white"/>
          <w:lang w:val="en-GB"/>
        </w:rPr>
        <w:t>K</w:t>
      </w:r>
      <w:r w:rsidR="008A2AC2">
        <w:rPr>
          <w:rFonts w:asciiTheme="majorBidi" w:hAnsiTheme="majorBidi" w:cstheme="majorBidi"/>
          <w:color w:val="000000" w:themeColor="text1"/>
          <w:sz w:val="24"/>
          <w:szCs w:val="24"/>
          <w:highlight w:val="white"/>
          <w:lang w:val="en-GB"/>
        </w:rPr>
        <w:t>anwar</w:t>
      </w:r>
      <w:r w:rsidR="000A7860">
        <w:rPr>
          <w:rFonts w:asciiTheme="majorBidi" w:hAnsiTheme="majorBidi" w:cstheme="majorBidi"/>
          <w:color w:val="000000" w:themeColor="text1"/>
          <w:sz w:val="24"/>
          <w:szCs w:val="24"/>
          <w:highlight w:val="white"/>
          <w:lang w:val="en-GB"/>
        </w:rPr>
        <w:t xml:space="preserve"> et al. </w:t>
      </w:r>
      <w:r w:rsidR="008A2AC2" w:rsidRPr="00D57F4E">
        <w:rPr>
          <w:rFonts w:asciiTheme="majorBidi" w:hAnsiTheme="majorBidi" w:cstheme="majorBidi"/>
          <w:color w:val="000000" w:themeColor="text1"/>
          <w:sz w:val="24"/>
          <w:szCs w:val="24"/>
          <w:highlight w:val="white"/>
          <w:lang w:val="en-GB"/>
        </w:rPr>
        <w:t>(2019)</w:t>
      </w:r>
      <w:r w:rsidR="008A2AC2">
        <w:rPr>
          <w:rFonts w:asciiTheme="majorBidi" w:hAnsiTheme="majorBidi" w:cstheme="majorBidi"/>
          <w:color w:val="000000" w:themeColor="text1"/>
          <w:sz w:val="24"/>
          <w:szCs w:val="24"/>
          <w:lang w:val="en-GB"/>
        </w:rPr>
        <w:t xml:space="preserve"> </w:t>
      </w:r>
      <w:r w:rsidR="008E5135" w:rsidRPr="00D57F4E">
        <w:rPr>
          <w:rFonts w:asciiTheme="majorBidi" w:eastAsia="Times New Roman" w:hAnsiTheme="majorBidi" w:cstheme="majorBidi"/>
          <w:color w:val="000000" w:themeColor="text1"/>
          <w:sz w:val="24"/>
          <w:szCs w:val="24"/>
          <w:lang w:val="en-GB"/>
        </w:rPr>
        <w:t>melihat</w:t>
      </w:r>
      <w:r w:rsidR="00B70CC6" w:rsidRPr="00D57F4E">
        <w:rPr>
          <w:rFonts w:asciiTheme="majorBidi" w:eastAsia="Times New Roman" w:hAnsiTheme="majorBidi" w:cstheme="majorBidi"/>
          <w:color w:val="000000" w:themeColor="text1"/>
          <w:sz w:val="24"/>
          <w:szCs w:val="24"/>
          <w:lang w:val="en-GB"/>
        </w:rPr>
        <w:t xml:space="preserve"> PSH merupakan salah satu </w:t>
      </w:r>
      <w:proofErr w:type="gramStart"/>
      <w:r w:rsidR="00B70CC6" w:rsidRPr="00D57F4E">
        <w:rPr>
          <w:rFonts w:asciiTheme="majorBidi" w:eastAsia="Times New Roman" w:hAnsiTheme="majorBidi" w:cstheme="majorBidi"/>
          <w:color w:val="000000" w:themeColor="text1"/>
          <w:sz w:val="24"/>
          <w:szCs w:val="24"/>
          <w:lang w:val="en-GB"/>
        </w:rPr>
        <w:t>cara</w:t>
      </w:r>
      <w:proofErr w:type="gramEnd"/>
      <w:r w:rsidR="00B70CC6" w:rsidRPr="00D57F4E">
        <w:rPr>
          <w:rFonts w:asciiTheme="majorBidi" w:eastAsia="Times New Roman" w:hAnsiTheme="majorBidi" w:cstheme="majorBidi"/>
          <w:color w:val="000000" w:themeColor="text1"/>
          <w:sz w:val="24"/>
          <w:szCs w:val="24"/>
          <w:lang w:val="en-GB"/>
        </w:rPr>
        <w:t xml:space="preserve"> dalam meningkatkan kemahiran pekerja dan menjana ekonomi negara. </w:t>
      </w:r>
      <w:r w:rsidR="008219EA" w:rsidRPr="00D57F4E">
        <w:rPr>
          <w:rFonts w:asciiTheme="majorBidi" w:eastAsia="Times New Roman" w:hAnsiTheme="majorBidi" w:cstheme="majorBidi"/>
          <w:color w:val="000000" w:themeColor="text1"/>
          <w:sz w:val="24"/>
          <w:szCs w:val="24"/>
          <w:lang w:val="en-GB"/>
        </w:rPr>
        <w:t>Pada peringkat awal, PSH lebih bersifat menyediakan latihan kepada pekerja dalam usaha meningkatkan kem</w:t>
      </w:r>
      <w:r w:rsidR="00B4006F" w:rsidRPr="00D57F4E">
        <w:rPr>
          <w:rFonts w:asciiTheme="majorBidi" w:eastAsia="Times New Roman" w:hAnsiTheme="majorBidi" w:cstheme="majorBidi"/>
          <w:color w:val="000000" w:themeColor="text1"/>
          <w:sz w:val="24"/>
          <w:szCs w:val="24"/>
          <w:lang w:val="en-GB"/>
        </w:rPr>
        <w:t>a</w:t>
      </w:r>
      <w:r w:rsidR="008219EA" w:rsidRPr="00D57F4E">
        <w:rPr>
          <w:rFonts w:asciiTheme="majorBidi" w:eastAsia="Times New Roman" w:hAnsiTheme="majorBidi" w:cstheme="majorBidi"/>
          <w:color w:val="000000" w:themeColor="text1"/>
          <w:sz w:val="24"/>
          <w:szCs w:val="24"/>
          <w:lang w:val="en-GB"/>
        </w:rPr>
        <w:t xml:space="preserve">hiran </w:t>
      </w:r>
      <w:r w:rsidR="00016C0D" w:rsidRPr="00D57F4E">
        <w:rPr>
          <w:rFonts w:asciiTheme="majorBidi" w:eastAsia="Times New Roman" w:hAnsiTheme="majorBidi" w:cstheme="majorBidi"/>
          <w:color w:val="000000" w:themeColor="text1"/>
          <w:sz w:val="24"/>
          <w:szCs w:val="24"/>
          <w:lang w:val="en-GB"/>
        </w:rPr>
        <w:t>atas</w:t>
      </w:r>
      <w:r w:rsidR="008219EA" w:rsidRPr="00D57F4E">
        <w:rPr>
          <w:rFonts w:asciiTheme="majorBidi" w:eastAsia="Times New Roman" w:hAnsiTheme="majorBidi" w:cstheme="majorBidi"/>
          <w:color w:val="000000" w:themeColor="text1"/>
          <w:sz w:val="24"/>
          <w:szCs w:val="24"/>
          <w:lang w:val="en-GB"/>
        </w:rPr>
        <w:t xml:space="preserve"> perubahan permintaan pasaran buruh, namun selepas 1990an PSH dilihat sebagai memenuhi tunt</w:t>
      </w:r>
      <w:r w:rsidR="00B70CC6" w:rsidRPr="00D57F4E">
        <w:rPr>
          <w:rFonts w:asciiTheme="majorBidi" w:eastAsia="Times New Roman" w:hAnsiTheme="majorBidi" w:cstheme="majorBidi"/>
          <w:color w:val="000000" w:themeColor="text1"/>
          <w:sz w:val="24"/>
          <w:szCs w:val="24"/>
          <w:lang w:val="en-GB"/>
        </w:rPr>
        <w:t>u</w:t>
      </w:r>
      <w:r w:rsidR="008219EA" w:rsidRPr="00D57F4E">
        <w:rPr>
          <w:rFonts w:asciiTheme="majorBidi" w:eastAsia="Times New Roman" w:hAnsiTheme="majorBidi" w:cstheme="majorBidi"/>
          <w:color w:val="000000" w:themeColor="text1"/>
          <w:sz w:val="24"/>
          <w:szCs w:val="24"/>
          <w:lang w:val="en-GB"/>
        </w:rPr>
        <w:t>tan</w:t>
      </w:r>
      <w:r w:rsidR="008219EA" w:rsidRPr="00D57F4E">
        <w:rPr>
          <w:rFonts w:ascii="Times New Roman" w:eastAsia="Times New Roman" w:hAnsi="Times New Roman" w:cs="Times New Roman"/>
          <w:color w:val="000000" w:themeColor="text1"/>
          <w:sz w:val="24"/>
          <w:szCs w:val="24"/>
          <w:lang w:val="en-GB"/>
        </w:rPr>
        <w:t xml:space="preserve"> perubahan ekonomi, politi</w:t>
      </w:r>
      <w:r w:rsidR="00F85D18" w:rsidRPr="00D57F4E">
        <w:rPr>
          <w:rFonts w:ascii="Times New Roman" w:eastAsia="Times New Roman" w:hAnsi="Times New Roman" w:cs="Times New Roman"/>
          <w:color w:val="000000" w:themeColor="text1"/>
          <w:sz w:val="24"/>
          <w:szCs w:val="24"/>
          <w:lang w:val="en-GB"/>
        </w:rPr>
        <w:t>k</w:t>
      </w:r>
      <w:r w:rsidR="008219EA" w:rsidRPr="00D57F4E">
        <w:rPr>
          <w:rFonts w:ascii="Times New Roman" w:eastAsia="Times New Roman" w:hAnsi="Times New Roman" w:cs="Times New Roman"/>
          <w:color w:val="000000" w:themeColor="text1"/>
          <w:sz w:val="24"/>
          <w:szCs w:val="24"/>
          <w:lang w:val="en-GB"/>
        </w:rPr>
        <w:t>, so</w:t>
      </w:r>
      <w:r w:rsidR="00D44AE5" w:rsidRPr="00D57F4E">
        <w:rPr>
          <w:rFonts w:ascii="Times New Roman" w:eastAsia="Times New Roman" w:hAnsi="Times New Roman" w:cs="Times New Roman"/>
          <w:color w:val="000000" w:themeColor="text1"/>
          <w:sz w:val="24"/>
          <w:szCs w:val="24"/>
          <w:lang w:val="en-GB"/>
        </w:rPr>
        <w:t>s</w:t>
      </w:r>
      <w:r w:rsidR="008219EA" w:rsidRPr="00D57F4E">
        <w:rPr>
          <w:rFonts w:ascii="Times New Roman" w:eastAsia="Times New Roman" w:hAnsi="Times New Roman" w:cs="Times New Roman"/>
          <w:color w:val="000000" w:themeColor="text1"/>
          <w:sz w:val="24"/>
          <w:szCs w:val="24"/>
          <w:lang w:val="en-GB"/>
        </w:rPr>
        <w:t>ial dan teknologi (Allan &amp; Le</w:t>
      </w:r>
      <w:r w:rsidR="008A2AC2">
        <w:rPr>
          <w:rFonts w:ascii="Times New Roman" w:eastAsia="Times New Roman" w:hAnsi="Times New Roman" w:cs="Times New Roman"/>
          <w:color w:val="000000" w:themeColor="text1"/>
          <w:sz w:val="24"/>
          <w:szCs w:val="24"/>
          <w:lang w:val="en-GB"/>
        </w:rPr>
        <w:t>wis</w:t>
      </w:r>
      <w:r w:rsidR="008219EA" w:rsidRPr="00D57F4E">
        <w:rPr>
          <w:rFonts w:ascii="Times New Roman" w:eastAsia="Times New Roman" w:hAnsi="Times New Roman" w:cs="Times New Roman"/>
          <w:color w:val="000000" w:themeColor="text1"/>
          <w:sz w:val="24"/>
          <w:szCs w:val="24"/>
          <w:lang w:val="en-GB"/>
        </w:rPr>
        <w:t>, 2009).</w:t>
      </w:r>
      <w:r w:rsidR="00B70CC6" w:rsidRPr="00D57F4E">
        <w:rPr>
          <w:rFonts w:ascii="Times New Roman" w:eastAsia="Times New Roman" w:hAnsi="Times New Roman" w:cs="Times New Roman"/>
          <w:color w:val="000000" w:themeColor="text1"/>
          <w:sz w:val="24"/>
          <w:szCs w:val="24"/>
          <w:lang w:val="en-GB"/>
        </w:rPr>
        <w:t xml:space="preserve"> </w:t>
      </w:r>
      <w:r w:rsidR="009D1EAB" w:rsidRPr="00D57F4E">
        <w:rPr>
          <w:rFonts w:ascii="Times New Roman" w:eastAsia="Times New Roman" w:hAnsi="Times New Roman" w:cs="Times New Roman"/>
          <w:color w:val="000000" w:themeColor="text1"/>
          <w:sz w:val="24"/>
          <w:szCs w:val="24"/>
          <w:lang w:val="en-GB"/>
        </w:rPr>
        <w:lastRenderedPageBreak/>
        <w:t>Perkembangan pesat ini menyebabkan PSH penting bagi semua golongan bagi mengatasi jurang pengetahuan dan kemahiran yang tinggi</w:t>
      </w:r>
      <w:r w:rsidR="00C06CDE" w:rsidRPr="00D57F4E">
        <w:rPr>
          <w:rFonts w:ascii="Times New Roman" w:eastAsia="Times New Roman" w:hAnsi="Times New Roman" w:cs="Times New Roman"/>
          <w:color w:val="000000" w:themeColor="text1"/>
          <w:sz w:val="24"/>
          <w:szCs w:val="24"/>
          <w:lang w:val="en-GB"/>
        </w:rPr>
        <w:t xml:space="preserve"> pada masa depan (</w:t>
      </w:r>
      <w:r w:rsidR="009B158A" w:rsidRPr="00D57F4E">
        <w:rPr>
          <w:rFonts w:ascii="Times New Roman" w:eastAsia="Times New Roman" w:hAnsi="Times New Roman" w:cs="Times New Roman"/>
          <w:color w:val="000000" w:themeColor="text1"/>
          <w:sz w:val="24"/>
          <w:szCs w:val="24"/>
          <w:lang w:val="en-GB"/>
        </w:rPr>
        <w:t>C</w:t>
      </w:r>
      <w:r w:rsidR="00C06CDE" w:rsidRPr="00D57F4E">
        <w:rPr>
          <w:rFonts w:ascii="Times New Roman" w:eastAsia="Times New Roman" w:hAnsi="Times New Roman" w:cs="Times New Roman"/>
          <w:color w:val="000000" w:themeColor="text1"/>
          <w:sz w:val="24"/>
          <w:szCs w:val="24"/>
          <w:lang w:val="en-GB"/>
        </w:rPr>
        <w:t>ollin</w:t>
      </w:r>
      <w:r w:rsidR="002E3AF6">
        <w:rPr>
          <w:rFonts w:ascii="Times New Roman" w:eastAsia="Times New Roman" w:hAnsi="Times New Roman" w:cs="Times New Roman"/>
          <w:color w:val="000000" w:themeColor="text1"/>
          <w:sz w:val="24"/>
          <w:szCs w:val="24"/>
          <w:lang w:val="en-GB"/>
        </w:rPr>
        <w:t>s</w:t>
      </w:r>
      <w:r>
        <w:rPr>
          <w:rFonts w:ascii="Times New Roman" w:eastAsia="Times New Roman" w:hAnsi="Times New Roman" w:cs="Times New Roman"/>
          <w:color w:val="000000" w:themeColor="text1"/>
          <w:sz w:val="24"/>
          <w:szCs w:val="24"/>
          <w:lang w:val="en-GB"/>
        </w:rPr>
        <w:t>,</w:t>
      </w:r>
      <w:r w:rsidR="00C06CDE" w:rsidRPr="00D57F4E">
        <w:rPr>
          <w:rFonts w:ascii="Times New Roman" w:eastAsia="Times New Roman" w:hAnsi="Times New Roman" w:cs="Times New Roman"/>
          <w:color w:val="000000" w:themeColor="text1"/>
          <w:sz w:val="24"/>
          <w:szCs w:val="24"/>
          <w:lang w:val="en-GB"/>
        </w:rPr>
        <w:t xml:space="preserve"> 2009)</w:t>
      </w:r>
      <w:r w:rsidR="002877FE" w:rsidRPr="00D57F4E">
        <w:rPr>
          <w:rFonts w:ascii="Times New Roman" w:eastAsia="Times New Roman" w:hAnsi="Times New Roman" w:cs="Times New Roman"/>
          <w:color w:val="000000" w:themeColor="text1"/>
          <w:sz w:val="24"/>
          <w:szCs w:val="24"/>
          <w:lang w:val="en-GB"/>
        </w:rPr>
        <w:t>.</w:t>
      </w:r>
    </w:p>
    <w:p w14:paraId="5F1FAA8D" w14:textId="77777777" w:rsidR="00B13757" w:rsidRPr="00D57F4E" w:rsidRDefault="008219EA" w:rsidP="00665616">
      <w:pPr>
        <w:spacing w:after="0" w:line="240" w:lineRule="auto"/>
        <w:ind w:leftChars="0" w:left="0" w:firstLineChars="0" w:firstLine="720"/>
        <w:jc w:val="both"/>
        <w:rPr>
          <w:rFonts w:ascii="Times New Roman" w:eastAsia="Times New Roman" w:hAnsi="Times New Roman" w:cs="Times New Roman"/>
          <w:color w:val="000000" w:themeColor="text1"/>
          <w:sz w:val="24"/>
          <w:szCs w:val="24"/>
          <w:lang w:val="en-GB"/>
        </w:rPr>
      </w:pPr>
      <w:r w:rsidRPr="00D57F4E">
        <w:rPr>
          <w:rFonts w:ascii="Times New Roman" w:eastAsia="Times New Roman" w:hAnsi="Times New Roman" w:cs="Times New Roman"/>
          <w:color w:val="000000" w:themeColor="text1"/>
          <w:sz w:val="24"/>
          <w:szCs w:val="24"/>
          <w:lang w:val="en-GB"/>
        </w:rPr>
        <w:t xml:space="preserve">Konsep dan definisi PSH adalah pelbagai dan </w:t>
      </w:r>
      <w:r w:rsidR="00DA02D8" w:rsidRPr="00D57F4E">
        <w:rPr>
          <w:rFonts w:ascii="Times New Roman" w:eastAsia="Times New Roman" w:hAnsi="Times New Roman" w:cs="Times New Roman"/>
          <w:color w:val="000000" w:themeColor="text1"/>
          <w:sz w:val="24"/>
          <w:szCs w:val="24"/>
          <w:lang w:val="en-GB"/>
        </w:rPr>
        <w:t>mengikut keperluan semasa</w:t>
      </w:r>
      <w:r w:rsidR="00057F04" w:rsidRPr="00D57F4E">
        <w:rPr>
          <w:rFonts w:ascii="Times New Roman" w:eastAsia="Times New Roman" w:hAnsi="Times New Roman" w:cs="Times New Roman"/>
          <w:color w:val="000000" w:themeColor="text1"/>
          <w:sz w:val="24"/>
          <w:szCs w:val="24"/>
          <w:lang w:val="en-GB"/>
        </w:rPr>
        <w:t xml:space="preserve"> dan penyedia program seperti pihak industri, kerajaan, pembuat dasar dan juga akademik. </w:t>
      </w:r>
      <w:r w:rsidR="00DA02D8" w:rsidRPr="00D57F4E">
        <w:rPr>
          <w:rFonts w:ascii="Times New Roman" w:eastAsia="Times New Roman" w:hAnsi="Times New Roman" w:cs="Times New Roman"/>
          <w:color w:val="000000" w:themeColor="text1"/>
          <w:sz w:val="24"/>
          <w:szCs w:val="24"/>
          <w:lang w:val="en-GB"/>
        </w:rPr>
        <w:t>Namun</w:t>
      </w:r>
      <w:r w:rsidR="00E36B43">
        <w:rPr>
          <w:rFonts w:ascii="Times New Roman" w:eastAsia="Times New Roman" w:hAnsi="Times New Roman" w:cs="Times New Roman"/>
          <w:color w:val="000000" w:themeColor="text1"/>
          <w:sz w:val="24"/>
          <w:szCs w:val="24"/>
          <w:lang w:val="en-GB"/>
        </w:rPr>
        <w:t>,</w:t>
      </w:r>
      <w:r w:rsidR="00DA02D8" w:rsidRPr="00D57F4E">
        <w:rPr>
          <w:rFonts w:ascii="Times New Roman" w:eastAsia="Times New Roman" w:hAnsi="Times New Roman" w:cs="Times New Roman"/>
          <w:color w:val="000000" w:themeColor="text1"/>
          <w:sz w:val="24"/>
          <w:szCs w:val="24"/>
          <w:lang w:val="en-GB"/>
        </w:rPr>
        <w:t xml:space="preserve"> </w:t>
      </w:r>
      <w:r w:rsidR="00B13757" w:rsidRPr="00D57F4E">
        <w:rPr>
          <w:rFonts w:ascii="Times New Roman" w:eastAsia="Times New Roman" w:hAnsi="Times New Roman" w:cs="Times New Roman"/>
          <w:color w:val="000000" w:themeColor="text1"/>
          <w:sz w:val="24"/>
          <w:szCs w:val="24"/>
          <w:lang w:val="en-GB"/>
        </w:rPr>
        <w:t xml:space="preserve">umumnya PSH </w:t>
      </w:r>
      <w:r w:rsidR="00DA02D8" w:rsidRPr="00D57F4E">
        <w:rPr>
          <w:rFonts w:ascii="Times New Roman" w:eastAsia="Times New Roman" w:hAnsi="Times New Roman" w:cs="Times New Roman"/>
          <w:color w:val="000000" w:themeColor="text1"/>
          <w:sz w:val="24"/>
          <w:szCs w:val="24"/>
          <w:lang w:val="en-GB"/>
        </w:rPr>
        <w:t xml:space="preserve">berkonsepkan </w:t>
      </w:r>
      <w:r w:rsidR="00B13757" w:rsidRPr="00D57F4E">
        <w:rPr>
          <w:rFonts w:ascii="Times New Roman" w:eastAsia="Times New Roman" w:hAnsi="Times New Roman" w:cs="Times New Roman"/>
          <w:color w:val="000000" w:themeColor="text1"/>
          <w:sz w:val="24"/>
          <w:szCs w:val="24"/>
          <w:lang w:val="en-GB"/>
        </w:rPr>
        <w:t>pembelajaran di</w:t>
      </w:r>
      <w:r w:rsidR="00E36B43">
        <w:rPr>
          <w:rFonts w:ascii="Times New Roman" w:eastAsia="Times New Roman" w:hAnsi="Times New Roman" w:cs="Times New Roman"/>
          <w:color w:val="000000" w:themeColor="text1"/>
          <w:sz w:val="24"/>
          <w:szCs w:val="24"/>
          <w:lang w:val="en-GB"/>
        </w:rPr>
        <w:t xml:space="preserve"> sepanjang hayat, pembela</w:t>
      </w:r>
      <w:r w:rsidR="00B13757" w:rsidRPr="00D57F4E">
        <w:rPr>
          <w:rFonts w:ascii="Times New Roman" w:eastAsia="Times New Roman" w:hAnsi="Times New Roman" w:cs="Times New Roman"/>
          <w:color w:val="000000" w:themeColor="text1"/>
          <w:sz w:val="24"/>
          <w:szCs w:val="24"/>
          <w:lang w:val="en-GB"/>
        </w:rPr>
        <w:t>jaran yang boleh disesuaikan, pelbagai dan tersedia di mana-mana dan dan bila-bila masa</w:t>
      </w:r>
      <w:r w:rsidR="00E36B43">
        <w:rPr>
          <w:rFonts w:ascii="Times New Roman" w:eastAsia="Times New Roman" w:hAnsi="Times New Roman" w:cs="Times New Roman"/>
          <w:color w:val="000000" w:themeColor="text1"/>
          <w:sz w:val="24"/>
          <w:szCs w:val="24"/>
          <w:lang w:val="en-GB"/>
        </w:rPr>
        <w:t xml:space="preserve"> secara berterusan</w:t>
      </w:r>
      <w:r w:rsidR="00B13757" w:rsidRPr="00D57F4E">
        <w:rPr>
          <w:rFonts w:ascii="Times New Roman" w:eastAsia="Times New Roman" w:hAnsi="Times New Roman" w:cs="Times New Roman"/>
          <w:color w:val="000000" w:themeColor="text1"/>
          <w:sz w:val="24"/>
          <w:szCs w:val="24"/>
          <w:lang w:val="en-GB"/>
        </w:rPr>
        <w:t xml:space="preserve"> (Lifelong Learning Council Queensland Inc, </w:t>
      </w:r>
      <w:hyperlink r:id="rId11">
        <w:r w:rsidR="00B13757" w:rsidRPr="00D57F4E">
          <w:rPr>
            <w:rFonts w:ascii="Times New Roman" w:eastAsia="Times New Roman" w:hAnsi="Times New Roman" w:cs="Times New Roman"/>
            <w:color w:val="000000" w:themeColor="text1"/>
            <w:sz w:val="24"/>
            <w:szCs w:val="24"/>
            <w:lang w:val="en-GB"/>
          </w:rPr>
          <w:t>2015</w:t>
        </w:r>
      </w:hyperlink>
      <w:r w:rsidR="00B13757" w:rsidRPr="00D57F4E">
        <w:rPr>
          <w:rFonts w:ascii="Times New Roman" w:eastAsia="Times New Roman" w:hAnsi="Times New Roman" w:cs="Times New Roman"/>
          <w:color w:val="000000" w:themeColor="text1"/>
          <w:sz w:val="24"/>
          <w:szCs w:val="24"/>
          <w:lang w:val="en-GB"/>
        </w:rPr>
        <w:t>)</w:t>
      </w:r>
      <w:r w:rsidR="00DA02D8" w:rsidRPr="00D57F4E">
        <w:rPr>
          <w:rFonts w:ascii="Times New Roman" w:eastAsia="Times New Roman" w:hAnsi="Times New Roman" w:cs="Times New Roman"/>
          <w:color w:val="000000" w:themeColor="text1"/>
          <w:sz w:val="24"/>
          <w:szCs w:val="24"/>
          <w:lang w:val="en-GB"/>
        </w:rPr>
        <w:t>.</w:t>
      </w:r>
      <w:r w:rsidR="005B149E" w:rsidRPr="00D57F4E">
        <w:rPr>
          <w:rFonts w:ascii="Times New Roman" w:eastAsia="Times New Roman" w:hAnsi="Times New Roman" w:cs="Times New Roman"/>
          <w:color w:val="000000" w:themeColor="text1"/>
          <w:sz w:val="24"/>
          <w:szCs w:val="24"/>
          <w:lang w:val="en-GB"/>
        </w:rPr>
        <w:t xml:space="preserve"> Menurut Tan </w:t>
      </w:r>
      <w:r w:rsidR="009B158A" w:rsidRPr="00D57F4E">
        <w:rPr>
          <w:rFonts w:ascii="Times New Roman" w:eastAsia="Times New Roman" w:hAnsi="Times New Roman" w:cs="Times New Roman"/>
          <w:color w:val="000000" w:themeColor="text1"/>
          <w:sz w:val="24"/>
          <w:szCs w:val="24"/>
          <w:lang w:val="en-GB"/>
        </w:rPr>
        <w:t>dan</w:t>
      </w:r>
      <w:r w:rsidR="005B149E" w:rsidRPr="00D57F4E">
        <w:rPr>
          <w:rFonts w:ascii="Times New Roman" w:eastAsia="Times New Roman" w:hAnsi="Times New Roman" w:cs="Times New Roman"/>
          <w:color w:val="000000" w:themeColor="text1"/>
          <w:sz w:val="24"/>
          <w:szCs w:val="24"/>
          <w:lang w:val="en-GB"/>
        </w:rPr>
        <w:t xml:space="preserve"> Morris</w:t>
      </w:r>
      <w:r w:rsidR="009B158A" w:rsidRPr="00D57F4E">
        <w:rPr>
          <w:rFonts w:ascii="Times New Roman" w:eastAsia="Times New Roman" w:hAnsi="Times New Roman" w:cs="Times New Roman"/>
          <w:color w:val="000000" w:themeColor="text1"/>
          <w:sz w:val="24"/>
          <w:szCs w:val="24"/>
          <w:lang w:val="en-GB"/>
        </w:rPr>
        <w:t xml:space="preserve"> </w:t>
      </w:r>
      <w:r w:rsidR="005B149E" w:rsidRPr="00D57F4E">
        <w:rPr>
          <w:rFonts w:ascii="Times New Roman" w:eastAsia="Times New Roman" w:hAnsi="Times New Roman" w:cs="Times New Roman"/>
          <w:color w:val="000000" w:themeColor="text1"/>
          <w:sz w:val="24"/>
          <w:szCs w:val="24"/>
          <w:lang w:val="en-GB"/>
        </w:rPr>
        <w:t>(2005), PSH d</w:t>
      </w:r>
      <w:r w:rsidR="008E5135" w:rsidRPr="00D57F4E">
        <w:rPr>
          <w:rFonts w:ascii="Times New Roman" w:eastAsia="Times New Roman" w:hAnsi="Times New Roman" w:cs="Times New Roman"/>
          <w:color w:val="000000" w:themeColor="text1"/>
          <w:sz w:val="24"/>
          <w:szCs w:val="24"/>
          <w:lang w:val="en-GB"/>
        </w:rPr>
        <w:t>i</w:t>
      </w:r>
      <w:r w:rsidR="005B149E" w:rsidRPr="00D57F4E">
        <w:rPr>
          <w:rFonts w:ascii="Times New Roman" w:eastAsia="Times New Roman" w:hAnsi="Times New Roman" w:cs="Times New Roman"/>
          <w:color w:val="000000" w:themeColor="text1"/>
          <w:sz w:val="24"/>
          <w:szCs w:val="24"/>
          <w:lang w:val="en-GB"/>
        </w:rPr>
        <w:t xml:space="preserve">laksanakan melalui kaedah </w:t>
      </w:r>
      <w:r w:rsidR="00E36B43">
        <w:rPr>
          <w:rFonts w:ascii="Times New Roman" w:eastAsia="Times New Roman" w:hAnsi="Times New Roman" w:cs="Times New Roman"/>
          <w:color w:val="000000" w:themeColor="text1"/>
          <w:sz w:val="24"/>
          <w:szCs w:val="24"/>
          <w:lang w:val="en-GB"/>
        </w:rPr>
        <w:t xml:space="preserve">secara </w:t>
      </w:r>
      <w:r w:rsidR="005B149E" w:rsidRPr="00D57F4E">
        <w:rPr>
          <w:rFonts w:ascii="Times New Roman" w:eastAsia="Times New Roman" w:hAnsi="Times New Roman" w:cs="Times New Roman"/>
          <w:color w:val="000000" w:themeColor="text1"/>
          <w:sz w:val="24"/>
          <w:szCs w:val="24"/>
          <w:lang w:val="en-GB"/>
        </w:rPr>
        <w:t>formal (kerja kursus dan kerja berpasukan), nonformal (pembangunan profesional) dan informal (santai dan bebas).</w:t>
      </w:r>
    </w:p>
    <w:p w14:paraId="5CDED1AA" w14:textId="77777777" w:rsidR="00B13757" w:rsidRPr="00D57F4E" w:rsidRDefault="00B13757" w:rsidP="00665616">
      <w:pPr>
        <w:spacing w:after="0" w:line="240" w:lineRule="auto"/>
        <w:ind w:leftChars="0" w:left="0" w:firstLineChars="0" w:firstLine="720"/>
        <w:jc w:val="both"/>
        <w:rPr>
          <w:rFonts w:ascii="Times New Roman" w:eastAsia="Times New Roman" w:hAnsi="Times New Roman" w:cs="Times New Roman"/>
          <w:color w:val="000000" w:themeColor="text1"/>
          <w:sz w:val="24"/>
          <w:szCs w:val="24"/>
          <w:lang w:val="en-GB"/>
        </w:rPr>
      </w:pPr>
      <w:r w:rsidRPr="00D57F4E">
        <w:rPr>
          <w:rFonts w:ascii="Times New Roman" w:eastAsia="Times New Roman" w:hAnsi="Times New Roman" w:cs="Times New Roman"/>
          <w:color w:val="000000" w:themeColor="text1"/>
          <w:sz w:val="24"/>
          <w:szCs w:val="24"/>
          <w:lang w:val="en-GB"/>
        </w:rPr>
        <w:t xml:space="preserve">Berdasarkan Pelan Induk Pembangunan PSH memberi definisi PSH </w:t>
      </w:r>
      <w:r w:rsidR="002877FE" w:rsidRPr="00D57F4E">
        <w:rPr>
          <w:rFonts w:ascii="Times New Roman" w:eastAsia="Times New Roman" w:hAnsi="Times New Roman" w:cs="Times New Roman"/>
          <w:color w:val="000000" w:themeColor="text1"/>
          <w:sz w:val="24"/>
          <w:szCs w:val="24"/>
          <w:lang w:val="en-GB"/>
        </w:rPr>
        <w:t>sebagai</w:t>
      </w:r>
      <w:r w:rsidRPr="00D57F4E">
        <w:rPr>
          <w:rFonts w:ascii="Times New Roman" w:eastAsia="Times New Roman" w:hAnsi="Times New Roman" w:cs="Times New Roman"/>
          <w:color w:val="000000" w:themeColor="text1"/>
          <w:sz w:val="24"/>
          <w:szCs w:val="24"/>
          <w:lang w:val="en-GB"/>
        </w:rPr>
        <w:t xml:space="preserve"> pembelajaran yang melibatkan individu berusia 15 tahun ke atas yang memberi peluang kedua melanjutkan pengajian kepada individu bekerja bagi meningkatkan </w:t>
      </w:r>
      <w:r w:rsidRPr="00D57F4E">
        <w:rPr>
          <w:rFonts w:ascii="Times New Roman" w:eastAsia="Times New Roman" w:hAnsi="Times New Roman" w:cs="Times New Roman"/>
          <w:color w:val="000000" w:themeColor="text1"/>
          <w:sz w:val="24"/>
          <w:szCs w:val="24"/>
          <w:highlight w:val="white"/>
          <w:lang w:val="en-GB"/>
        </w:rPr>
        <w:t>pengetahuan, kemahiran dan kompeten secara formal atau tidak formal berdasarkan pengalaman dan latiha</w:t>
      </w:r>
      <w:r w:rsidR="00E36B43">
        <w:rPr>
          <w:rFonts w:ascii="Times New Roman" w:eastAsia="Times New Roman" w:hAnsi="Times New Roman" w:cs="Times New Roman"/>
          <w:color w:val="000000" w:themeColor="text1"/>
          <w:sz w:val="24"/>
          <w:szCs w:val="24"/>
          <w:highlight w:val="white"/>
          <w:lang w:val="en-GB"/>
        </w:rPr>
        <w:t>n yang diperoleh</w:t>
      </w:r>
      <w:r w:rsidR="002877FE" w:rsidRPr="00D57F4E">
        <w:rPr>
          <w:rFonts w:ascii="Times New Roman" w:eastAsia="Times New Roman" w:hAnsi="Times New Roman" w:cs="Times New Roman"/>
          <w:color w:val="000000" w:themeColor="text1"/>
          <w:sz w:val="24"/>
          <w:szCs w:val="24"/>
          <w:highlight w:val="white"/>
          <w:lang w:val="en-GB"/>
        </w:rPr>
        <w:t xml:space="preserve"> (Kementerian Pengajian Tinggi, 2011)</w:t>
      </w:r>
      <w:r w:rsidR="00E36B43">
        <w:rPr>
          <w:rFonts w:ascii="Times New Roman" w:eastAsia="Times New Roman" w:hAnsi="Times New Roman" w:cs="Times New Roman"/>
          <w:color w:val="000000" w:themeColor="text1"/>
          <w:sz w:val="24"/>
          <w:szCs w:val="24"/>
          <w:highlight w:val="white"/>
          <w:lang w:val="en-GB"/>
        </w:rPr>
        <w:t xml:space="preserve">. </w:t>
      </w:r>
      <w:r w:rsidRPr="00D57F4E">
        <w:rPr>
          <w:rFonts w:ascii="Times New Roman" w:eastAsia="Times New Roman" w:hAnsi="Times New Roman" w:cs="Times New Roman"/>
          <w:color w:val="000000" w:themeColor="text1"/>
          <w:sz w:val="24"/>
          <w:szCs w:val="24"/>
          <w:highlight w:val="white"/>
          <w:lang w:val="en-GB"/>
        </w:rPr>
        <w:t>Tujuan utam</w:t>
      </w:r>
      <w:r w:rsidR="005B149E" w:rsidRPr="00D57F4E">
        <w:rPr>
          <w:rFonts w:ascii="Times New Roman" w:eastAsia="Times New Roman" w:hAnsi="Times New Roman" w:cs="Times New Roman"/>
          <w:color w:val="000000" w:themeColor="text1"/>
          <w:sz w:val="24"/>
          <w:szCs w:val="24"/>
          <w:highlight w:val="white"/>
          <w:lang w:val="en-GB"/>
        </w:rPr>
        <w:t>a</w:t>
      </w:r>
      <w:r w:rsidRPr="00D57F4E">
        <w:rPr>
          <w:rFonts w:ascii="Times New Roman" w:eastAsia="Times New Roman" w:hAnsi="Times New Roman" w:cs="Times New Roman"/>
          <w:color w:val="000000" w:themeColor="text1"/>
          <w:sz w:val="24"/>
          <w:szCs w:val="24"/>
          <w:highlight w:val="white"/>
          <w:lang w:val="en-GB"/>
        </w:rPr>
        <w:t xml:space="preserve"> PSH ialah untuk menambahbaik pengetahuan, kemahiran dan kompeten sama ada untuk diri sendiri, sivik, sosial atau berkaitan dengan pekerjaan (</w:t>
      </w:r>
      <w:r w:rsidRPr="00D57F4E">
        <w:rPr>
          <w:rFonts w:ascii="Times New Roman" w:eastAsia="Times New Roman" w:hAnsi="Times New Roman" w:cs="Times New Roman"/>
          <w:color w:val="000000" w:themeColor="text1"/>
          <w:sz w:val="24"/>
          <w:szCs w:val="24"/>
          <w:lang w:val="en-GB"/>
        </w:rPr>
        <w:t>Tan,</w:t>
      </w:r>
      <w:r w:rsidR="00E36B43">
        <w:rPr>
          <w:rFonts w:ascii="Times New Roman" w:eastAsia="Times New Roman" w:hAnsi="Times New Roman" w:cs="Times New Roman"/>
          <w:color w:val="000000" w:themeColor="text1"/>
          <w:sz w:val="24"/>
          <w:szCs w:val="24"/>
          <w:lang w:val="en-GB"/>
        </w:rPr>
        <w:t xml:space="preserve"> </w:t>
      </w:r>
      <w:r w:rsidRPr="00D57F4E">
        <w:rPr>
          <w:rFonts w:ascii="Times New Roman" w:eastAsia="Times New Roman" w:hAnsi="Times New Roman" w:cs="Times New Roman"/>
          <w:color w:val="000000" w:themeColor="text1"/>
          <w:sz w:val="24"/>
          <w:szCs w:val="24"/>
          <w:lang w:val="en-GB"/>
        </w:rPr>
        <w:t>2017).</w:t>
      </w:r>
    </w:p>
    <w:p w14:paraId="6B1E5CEB" w14:textId="77777777" w:rsidR="00B13757" w:rsidRPr="00D57F4E" w:rsidRDefault="00B13757" w:rsidP="00665616">
      <w:pPr>
        <w:spacing w:after="0" w:line="240" w:lineRule="auto"/>
        <w:ind w:leftChars="0" w:left="0" w:firstLineChars="0" w:firstLine="720"/>
        <w:jc w:val="both"/>
        <w:rPr>
          <w:rFonts w:ascii="Times New Roman" w:eastAsia="Times New Roman" w:hAnsi="Times New Roman" w:cs="Times New Roman"/>
          <w:color w:val="000000" w:themeColor="text1"/>
          <w:sz w:val="24"/>
          <w:szCs w:val="24"/>
        </w:rPr>
      </w:pPr>
      <w:r w:rsidRPr="00D57F4E">
        <w:rPr>
          <w:rFonts w:ascii="Times New Roman" w:eastAsia="Times New Roman" w:hAnsi="Times New Roman" w:cs="Times New Roman"/>
          <w:color w:val="000000" w:themeColor="text1"/>
          <w:sz w:val="24"/>
          <w:szCs w:val="24"/>
          <w:lang w:val="en-GB"/>
        </w:rPr>
        <w:t xml:space="preserve">Selanjutnya pihak </w:t>
      </w:r>
      <w:r w:rsidR="00F85D18" w:rsidRPr="00D57F4E">
        <w:rPr>
          <w:rFonts w:ascii="Times New Roman" w:eastAsia="Times New Roman" w:hAnsi="Times New Roman" w:cs="Times New Roman"/>
          <w:color w:val="000000" w:themeColor="text1"/>
          <w:sz w:val="24"/>
          <w:szCs w:val="24"/>
          <w:lang w:val="en-GB"/>
        </w:rPr>
        <w:t xml:space="preserve">Kementerian Pendidikan Tinggi </w:t>
      </w:r>
      <w:r w:rsidRPr="00D57F4E">
        <w:rPr>
          <w:rFonts w:ascii="Times New Roman" w:eastAsia="Times New Roman" w:hAnsi="Times New Roman" w:cs="Times New Roman"/>
          <w:color w:val="000000" w:themeColor="text1"/>
          <w:sz w:val="24"/>
          <w:szCs w:val="24"/>
          <w:lang w:val="en-GB"/>
        </w:rPr>
        <w:t xml:space="preserve">(KPT) melaksanakan tiga strategi utama bagi memastikan PSH sehingga tahun 2025. </w:t>
      </w:r>
      <w:r w:rsidRPr="00D57F4E">
        <w:rPr>
          <w:rFonts w:ascii="Times New Roman" w:eastAsia="Times New Roman" w:hAnsi="Times New Roman" w:cs="Times New Roman"/>
          <w:color w:val="000000" w:themeColor="text1"/>
          <w:sz w:val="24"/>
          <w:szCs w:val="24"/>
        </w:rPr>
        <w:t>Tiga strategi tersebut melibatkan penjenamaan s</w:t>
      </w:r>
      <w:r w:rsidR="00395AE8">
        <w:rPr>
          <w:rFonts w:ascii="Times New Roman" w:eastAsia="Times New Roman" w:hAnsi="Times New Roman" w:cs="Times New Roman"/>
          <w:color w:val="000000" w:themeColor="text1"/>
          <w:sz w:val="24"/>
          <w:szCs w:val="24"/>
        </w:rPr>
        <w:t>emula PSH, p</w:t>
      </w:r>
      <w:r w:rsidRPr="00D57F4E">
        <w:rPr>
          <w:rFonts w:ascii="Times New Roman" w:eastAsia="Times New Roman" w:hAnsi="Times New Roman" w:cs="Times New Roman"/>
          <w:color w:val="000000" w:themeColor="text1"/>
          <w:sz w:val="24"/>
          <w:szCs w:val="24"/>
        </w:rPr>
        <w:t>embudayaan PSH dan meningkatkan kualiti program PSH. Ketiga-ketiga strategi ini dipacu dengan beberapa inisiatif bagi memastikan PSH di Malaysia berkesan dan bermanfaat. Antara inisiatif yang telah dikenal</w:t>
      </w:r>
      <w:r w:rsidR="00395AE8">
        <w:rPr>
          <w:rFonts w:ascii="Times New Roman" w:eastAsia="Times New Roman" w:hAnsi="Times New Roman" w:cs="Times New Roman"/>
          <w:color w:val="000000" w:themeColor="text1"/>
          <w:sz w:val="24"/>
          <w:szCs w:val="24"/>
        </w:rPr>
        <w:t xml:space="preserve"> </w:t>
      </w:r>
      <w:r w:rsidRPr="00D57F4E">
        <w:rPr>
          <w:rFonts w:ascii="Times New Roman" w:eastAsia="Times New Roman" w:hAnsi="Times New Roman" w:cs="Times New Roman"/>
          <w:color w:val="000000" w:themeColor="text1"/>
          <w:sz w:val="24"/>
          <w:szCs w:val="24"/>
        </w:rPr>
        <w:t>pasti ialah:</w:t>
      </w:r>
    </w:p>
    <w:p w14:paraId="06DF8E5F" w14:textId="77777777" w:rsidR="00B13757" w:rsidRPr="00D57F4E" w:rsidRDefault="00B13757" w:rsidP="00665616">
      <w:pPr>
        <w:numPr>
          <w:ilvl w:val="0"/>
          <w:numId w:val="1"/>
        </w:numPr>
        <w:suppressAutoHyphens w:val="0"/>
        <w:spacing w:after="0" w:line="240" w:lineRule="auto"/>
        <w:ind w:leftChars="0" w:left="426" w:firstLineChars="0" w:hanging="426"/>
        <w:jc w:val="both"/>
        <w:textDirection w:val="lrTb"/>
        <w:textAlignment w:val="auto"/>
        <w:outlineLvl w:val="9"/>
        <w:rPr>
          <w:rFonts w:ascii="Times New Roman" w:eastAsia="Times New Roman" w:hAnsi="Times New Roman" w:cs="Times New Roman"/>
          <w:color w:val="000000" w:themeColor="text1"/>
          <w:sz w:val="24"/>
          <w:szCs w:val="24"/>
        </w:rPr>
      </w:pPr>
      <w:r w:rsidRPr="00D57F4E">
        <w:rPr>
          <w:rFonts w:ascii="Times New Roman" w:eastAsia="Times New Roman" w:hAnsi="Times New Roman" w:cs="Times New Roman"/>
          <w:color w:val="000000" w:themeColor="text1"/>
          <w:sz w:val="24"/>
          <w:szCs w:val="24"/>
        </w:rPr>
        <w:t>meningkatkan program promosi</w:t>
      </w:r>
      <w:r w:rsidR="00395AE8">
        <w:rPr>
          <w:rFonts w:ascii="Times New Roman" w:eastAsia="Times New Roman" w:hAnsi="Times New Roman" w:cs="Times New Roman"/>
          <w:color w:val="000000" w:themeColor="text1"/>
          <w:sz w:val="24"/>
          <w:szCs w:val="24"/>
        </w:rPr>
        <w:t>;</w:t>
      </w:r>
    </w:p>
    <w:p w14:paraId="496594AC" w14:textId="77777777" w:rsidR="00B13757" w:rsidRPr="00D57F4E" w:rsidRDefault="00B13757" w:rsidP="00665616">
      <w:pPr>
        <w:numPr>
          <w:ilvl w:val="0"/>
          <w:numId w:val="1"/>
        </w:numPr>
        <w:suppressAutoHyphens w:val="0"/>
        <w:spacing w:after="0" w:line="240" w:lineRule="auto"/>
        <w:ind w:leftChars="0" w:left="426" w:firstLineChars="0" w:hanging="426"/>
        <w:jc w:val="both"/>
        <w:textDirection w:val="lrTb"/>
        <w:textAlignment w:val="auto"/>
        <w:outlineLvl w:val="9"/>
        <w:rPr>
          <w:rFonts w:ascii="Times New Roman" w:eastAsia="Times New Roman" w:hAnsi="Times New Roman" w:cs="Times New Roman"/>
          <w:color w:val="000000" w:themeColor="text1"/>
          <w:sz w:val="24"/>
          <w:szCs w:val="24"/>
        </w:rPr>
      </w:pPr>
      <w:r w:rsidRPr="00D57F4E">
        <w:rPr>
          <w:rFonts w:ascii="Times New Roman" w:eastAsia="Times New Roman" w:hAnsi="Times New Roman" w:cs="Times New Roman"/>
          <w:color w:val="000000" w:themeColor="text1"/>
          <w:sz w:val="24"/>
          <w:szCs w:val="24"/>
        </w:rPr>
        <w:t>pemantapan prasarana</w:t>
      </w:r>
      <w:r w:rsidR="00395AE8">
        <w:rPr>
          <w:rFonts w:ascii="Times New Roman" w:eastAsia="Times New Roman" w:hAnsi="Times New Roman" w:cs="Times New Roman"/>
          <w:color w:val="000000" w:themeColor="text1"/>
          <w:sz w:val="24"/>
          <w:szCs w:val="24"/>
        </w:rPr>
        <w:t>;</w:t>
      </w:r>
    </w:p>
    <w:p w14:paraId="5905733C" w14:textId="77777777" w:rsidR="00B13757" w:rsidRPr="00D57F4E" w:rsidRDefault="00B13757" w:rsidP="00665616">
      <w:pPr>
        <w:numPr>
          <w:ilvl w:val="0"/>
          <w:numId w:val="1"/>
        </w:numPr>
        <w:suppressAutoHyphens w:val="0"/>
        <w:spacing w:after="0" w:line="240" w:lineRule="auto"/>
        <w:ind w:leftChars="0" w:left="426" w:firstLineChars="0" w:hanging="426"/>
        <w:jc w:val="both"/>
        <w:textDirection w:val="lrTb"/>
        <w:textAlignment w:val="auto"/>
        <w:outlineLvl w:val="9"/>
        <w:rPr>
          <w:rFonts w:ascii="Times New Roman" w:eastAsia="Times New Roman" w:hAnsi="Times New Roman" w:cs="Times New Roman"/>
          <w:color w:val="000000" w:themeColor="text1"/>
          <w:sz w:val="24"/>
          <w:szCs w:val="24"/>
        </w:rPr>
      </w:pPr>
      <w:r w:rsidRPr="00D57F4E">
        <w:rPr>
          <w:rFonts w:ascii="Times New Roman" w:eastAsia="Times New Roman" w:hAnsi="Times New Roman" w:cs="Times New Roman"/>
          <w:color w:val="000000" w:themeColor="text1"/>
          <w:sz w:val="24"/>
          <w:szCs w:val="24"/>
        </w:rPr>
        <w:t>penjajaran PSH dengan keperluan akreditasi</w:t>
      </w:r>
      <w:r w:rsidR="00395AE8">
        <w:rPr>
          <w:rFonts w:ascii="Times New Roman" w:eastAsia="Times New Roman" w:hAnsi="Times New Roman" w:cs="Times New Roman"/>
          <w:color w:val="000000" w:themeColor="text1"/>
          <w:sz w:val="24"/>
          <w:szCs w:val="24"/>
        </w:rPr>
        <w:t>; dan</w:t>
      </w:r>
    </w:p>
    <w:p w14:paraId="41229C17" w14:textId="77777777" w:rsidR="00B13757" w:rsidRPr="00D57F4E" w:rsidRDefault="00B13757" w:rsidP="00665616">
      <w:pPr>
        <w:numPr>
          <w:ilvl w:val="0"/>
          <w:numId w:val="1"/>
        </w:numPr>
        <w:suppressAutoHyphens w:val="0"/>
        <w:spacing w:after="0" w:line="240" w:lineRule="auto"/>
        <w:ind w:leftChars="0" w:left="426" w:firstLineChars="0" w:hanging="426"/>
        <w:jc w:val="both"/>
        <w:textDirection w:val="lrTb"/>
        <w:textAlignment w:val="auto"/>
        <w:outlineLvl w:val="9"/>
        <w:rPr>
          <w:rFonts w:ascii="Times New Roman" w:eastAsia="Times New Roman" w:hAnsi="Times New Roman" w:cs="Times New Roman"/>
          <w:color w:val="000000" w:themeColor="text1"/>
          <w:sz w:val="24"/>
          <w:szCs w:val="24"/>
        </w:rPr>
      </w:pPr>
      <w:proofErr w:type="gramStart"/>
      <w:r w:rsidRPr="00D57F4E">
        <w:rPr>
          <w:rFonts w:ascii="Times New Roman" w:eastAsia="Times New Roman" w:hAnsi="Times New Roman" w:cs="Times New Roman"/>
          <w:color w:val="000000" w:themeColor="text1"/>
          <w:sz w:val="24"/>
          <w:szCs w:val="24"/>
        </w:rPr>
        <w:t>mengiktiraf</w:t>
      </w:r>
      <w:proofErr w:type="gramEnd"/>
      <w:r w:rsidRPr="00D57F4E">
        <w:rPr>
          <w:rFonts w:ascii="Times New Roman" w:eastAsia="Times New Roman" w:hAnsi="Times New Roman" w:cs="Times New Roman"/>
          <w:color w:val="000000" w:themeColor="text1"/>
          <w:sz w:val="24"/>
          <w:szCs w:val="24"/>
        </w:rPr>
        <w:t xml:space="preserve"> pembelajaran terdahulu</w:t>
      </w:r>
      <w:r w:rsidR="00395AE8">
        <w:rPr>
          <w:rFonts w:ascii="Times New Roman" w:eastAsia="Times New Roman" w:hAnsi="Times New Roman" w:cs="Times New Roman"/>
          <w:color w:val="000000" w:themeColor="text1"/>
          <w:sz w:val="24"/>
          <w:szCs w:val="24"/>
        </w:rPr>
        <w:t>.</w:t>
      </w:r>
    </w:p>
    <w:p w14:paraId="67CAE948" w14:textId="06612C0A" w:rsidR="00B13757" w:rsidRPr="00D57F4E" w:rsidRDefault="00B13757" w:rsidP="00665616">
      <w:pPr>
        <w:spacing w:after="0" w:line="240" w:lineRule="auto"/>
        <w:ind w:leftChars="0" w:left="0" w:firstLineChars="0" w:firstLine="0"/>
        <w:jc w:val="both"/>
        <w:rPr>
          <w:rFonts w:ascii="Times New Roman" w:eastAsia="Times New Roman" w:hAnsi="Times New Roman" w:cs="Times New Roman"/>
          <w:color w:val="000000" w:themeColor="text1"/>
          <w:sz w:val="24"/>
          <w:szCs w:val="24"/>
        </w:rPr>
      </w:pPr>
      <w:r w:rsidRPr="00D57F4E">
        <w:rPr>
          <w:rFonts w:ascii="Times New Roman" w:eastAsia="Times New Roman" w:hAnsi="Times New Roman" w:cs="Times New Roman"/>
          <w:color w:val="000000" w:themeColor="text1"/>
          <w:sz w:val="24"/>
          <w:szCs w:val="24"/>
        </w:rPr>
        <w:t>Kesemua strategi dan inisiatif PSH ini boleh dilaksanakan secara formal</w:t>
      </w:r>
      <w:r w:rsidR="005F666C">
        <w:rPr>
          <w:rFonts w:ascii="Times New Roman" w:eastAsia="Times New Roman" w:hAnsi="Times New Roman" w:cs="Times New Roman"/>
          <w:color w:val="000000" w:themeColor="text1"/>
          <w:sz w:val="24"/>
          <w:szCs w:val="24"/>
        </w:rPr>
        <w:t xml:space="preserve">, bukan formal dan tidak formal. </w:t>
      </w:r>
      <w:r w:rsidRPr="00D57F4E">
        <w:rPr>
          <w:rFonts w:ascii="Times New Roman" w:eastAsia="Times New Roman" w:hAnsi="Times New Roman" w:cs="Times New Roman"/>
          <w:color w:val="000000" w:themeColor="text1"/>
          <w:sz w:val="24"/>
          <w:szCs w:val="24"/>
        </w:rPr>
        <w:t>Program PSH berjaya sekiranya wujudnya:</w:t>
      </w:r>
    </w:p>
    <w:p w14:paraId="6E646192" w14:textId="77777777" w:rsidR="00B13757" w:rsidRPr="00D57F4E" w:rsidRDefault="006F36E6" w:rsidP="00665616">
      <w:pPr>
        <w:shd w:val="clear" w:color="auto" w:fill="FFFFFF"/>
        <w:spacing w:after="0" w:line="240" w:lineRule="auto"/>
        <w:ind w:leftChars="0" w:left="425" w:hangingChars="177"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 </w:t>
      </w:r>
      <w:r w:rsidR="00B13757" w:rsidRPr="00D57F4E">
        <w:rPr>
          <w:rFonts w:ascii="Times New Roman" w:eastAsia="Times New Roman" w:hAnsi="Times New Roman" w:cs="Times New Roman"/>
          <w:color w:val="000000" w:themeColor="text1"/>
          <w:sz w:val="24"/>
          <w:szCs w:val="24"/>
        </w:rPr>
        <w:t xml:space="preserve"> </w:t>
      </w:r>
      <w:r w:rsidR="00934A80" w:rsidRPr="00D57F4E">
        <w:rPr>
          <w:rFonts w:ascii="Times New Roman" w:eastAsia="Times New Roman" w:hAnsi="Times New Roman" w:cs="Times New Roman"/>
          <w:color w:val="000000" w:themeColor="text1"/>
          <w:sz w:val="24"/>
          <w:szCs w:val="24"/>
        </w:rPr>
        <w:tab/>
      </w:r>
      <w:r w:rsidR="00B13757" w:rsidRPr="00D57F4E">
        <w:rPr>
          <w:rFonts w:ascii="Times New Roman" w:eastAsia="Times New Roman" w:hAnsi="Times New Roman" w:cs="Times New Roman"/>
          <w:color w:val="000000" w:themeColor="text1"/>
          <w:sz w:val="24"/>
          <w:szCs w:val="24"/>
        </w:rPr>
        <w:t>Peningkatan kadar enrolmen PSH di IPT awam dan swasta;</w:t>
      </w:r>
    </w:p>
    <w:p w14:paraId="1C0005E4" w14:textId="77777777" w:rsidR="00B13757" w:rsidRPr="00D57F4E" w:rsidRDefault="006F36E6" w:rsidP="00665616">
      <w:pPr>
        <w:shd w:val="clear" w:color="auto" w:fill="FFFFFF"/>
        <w:spacing w:after="0" w:line="240" w:lineRule="auto"/>
        <w:ind w:leftChars="0" w:left="425" w:hangingChars="177"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ii.</w:t>
      </w:r>
      <w:r w:rsidR="00B13757" w:rsidRPr="00D57F4E">
        <w:rPr>
          <w:rFonts w:ascii="Times New Roman" w:eastAsia="Times New Roman" w:hAnsi="Times New Roman" w:cs="Times New Roman"/>
          <w:color w:val="000000" w:themeColor="text1"/>
          <w:sz w:val="24"/>
          <w:szCs w:val="24"/>
        </w:rPr>
        <w:t xml:space="preserve"> </w:t>
      </w:r>
      <w:r w:rsidR="00934A80" w:rsidRPr="00D57F4E">
        <w:rPr>
          <w:rFonts w:ascii="Times New Roman" w:eastAsia="Times New Roman" w:hAnsi="Times New Roman" w:cs="Times New Roman"/>
          <w:color w:val="000000" w:themeColor="text1"/>
          <w:sz w:val="24"/>
          <w:szCs w:val="24"/>
        </w:rPr>
        <w:tab/>
      </w:r>
      <w:r w:rsidR="00B13757" w:rsidRPr="00D57F4E">
        <w:rPr>
          <w:rFonts w:ascii="Times New Roman" w:eastAsia="Times New Roman" w:hAnsi="Times New Roman" w:cs="Times New Roman"/>
          <w:color w:val="000000" w:themeColor="text1"/>
          <w:sz w:val="24"/>
          <w:szCs w:val="24"/>
        </w:rPr>
        <w:t>Peningkatan bilangan calon PSH yang memperoleh kelayakan formal; dan</w:t>
      </w:r>
    </w:p>
    <w:p w14:paraId="47EECC60" w14:textId="77777777" w:rsidR="00B13757" w:rsidRPr="00D57F4E" w:rsidRDefault="006F36E6" w:rsidP="00665616">
      <w:pPr>
        <w:shd w:val="clear" w:color="auto" w:fill="FFFFFF"/>
        <w:spacing w:after="0" w:line="240" w:lineRule="auto"/>
        <w:ind w:leftChars="0" w:left="425" w:hangingChars="177"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iii.</w:t>
      </w:r>
      <w:r w:rsidR="0063654E" w:rsidRPr="00D57F4E">
        <w:rPr>
          <w:rFonts w:ascii="Times New Roman" w:eastAsia="Times New Roman" w:hAnsi="Times New Roman" w:cs="Times New Roman"/>
          <w:color w:val="000000" w:themeColor="text1"/>
          <w:sz w:val="24"/>
          <w:szCs w:val="24"/>
        </w:rPr>
        <w:t xml:space="preserve"> </w:t>
      </w:r>
      <w:r w:rsidR="00B13757" w:rsidRPr="00D57F4E">
        <w:rPr>
          <w:rFonts w:ascii="Times New Roman" w:eastAsia="Times New Roman" w:hAnsi="Times New Roman" w:cs="Times New Roman"/>
          <w:color w:val="000000" w:themeColor="text1"/>
          <w:sz w:val="24"/>
          <w:szCs w:val="24"/>
        </w:rPr>
        <w:t>Peningkatan enrolmen PSH dalam program inovatif (seperti pendidikan eksekutif, pembelajaran berasaskan kerja dan pembelajaran berasaskan modul).</w:t>
      </w:r>
    </w:p>
    <w:p w14:paraId="2F2362D5" w14:textId="03953A93" w:rsidR="00A03ABC" w:rsidRPr="00D57F4E" w:rsidRDefault="003E3501" w:rsidP="00665616">
      <w:pPr>
        <w:spacing w:after="0" w:line="240" w:lineRule="auto"/>
        <w:ind w:leftChars="0" w:left="0" w:firstLineChars="0" w:firstLine="720"/>
        <w:jc w:val="both"/>
        <w:rPr>
          <w:rFonts w:ascii="Times New Roman" w:eastAsia="Times New Roman" w:hAnsi="Times New Roman" w:cs="Times New Roman"/>
          <w:color w:val="000000" w:themeColor="text1"/>
          <w:sz w:val="24"/>
          <w:szCs w:val="24"/>
          <w:highlight w:val="white"/>
        </w:rPr>
      </w:pPr>
      <w:r w:rsidRPr="00D57F4E">
        <w:rPr>
          <w:rFonts w:ascii="Times New Roman" w:eastAsia="Times New Roman" w:hAnsi="Times New Roman" w:cs="Times New Roman"/>
          <w:color w:val="000000" w:themeColor="text1"/>
          <w:sz w:val="24"/>
          <w:szCs w:val="24"/>
        </w:rPr>
        <w:t>D</w:t>
      </w:r>
      <w:r w:rsidR="00A03ABC" w:rsidRPr="00D57F4E">
        <w:rPr>
          <w:rFonts w:ascii="Times New Roman" w:eastAsia="Times New Roman" w:hAnsi="Times New Roman" w:cs="Times New Roman"/>
          <w:color w:val="000000" w:themeColor="text1"/>
          <w:sz w:val="24"/>
          <w:szCs w:val="24"/>
        </w:rPr>
        <w:t>i samping itu juga PSH mampu dan berupaya meningkatkan pembangunan kendiri dan profesional terhadap sikap dan nilai yang diperlukan (</w:t>
      </w:r>
      <w:r w:rsidR="005F666C" w:rsidRPr="00D57F4E">
        <w:rPr>
          <w:rFonts w:ascii="Times New Roman" w:eastAsia="Times New Roman" w:hAnsi="Times New Roman" w:cs="Times New Roman"/>
          <w:color w:val="000000" w:themeColor="text1"/>
          <w:sz w:val="24"/>
          <w:szCs w:val="24"/>
        </w:rPr>
        <w:t>Tan &amp; Morris, 2005</w:t>
      </w:r>
      <w:r w:rsidR="005F666C">
        <w:rPr>
          <w:rFonts w:ascii="Times New Roman" w:eastAsia="Times New Roman" w:hAnsi="Times New Roman" w:cs="Times New Roman"/>
          <w:color w:val="000000" w:themeColor="text1"/>
          <w:sz w:val="24"/>
          <w:szCs w:val="24"/>
        </w:rPr>
        <w:t xml:space="preserve">; </w:t>
      </w:r>
      <w:r w:rsidR="00A03ABC" w:rsidRPr="00D57F4E">
        <w:rPr>
          <w:rFonts w:ascii="Times New Roman" w:eastAsia="Times New Roman" w:hAnsi="Times New Roman" w:cs="Times New Roman"/>
          <w:color w:val="000000" w:themeColor="text1"/>
          <w:sz w:val="24"/>
          <w:szCs w:val="24"/>
        </w:rPr>
        <w:t>Bozkurt &amp; Keefer, 2017). Malah bagi menghadapi pengetahuan yang baharu wujud dan kompentensi berskala tinggi</w:t>
      </w:r>
      <w:r w:rsidR="00395AE8">
        <w:rPr>
          <w:rFonts w:ascii="Times New Roman" w:eastAsia="Times New Roman" w:hAnsi="Times New Roman" w:cs="Times New Roman"/>
          <w:color w:val="000000" w:themeColor="text1"/>
          <w:sz w:val="24"/>
          <w:szCs w:val="24"/>
        </w:rPr>
        <w:t xml:space="preserve">, maka kemahiran asas akademik seperti </w:t>
      </w:r>
      <w:r w:rsidR="00A03ABC" w:rsidRPr="00D57F4E">
        <w:rPr>
          <w:rFonts w:ascii="Times New Roman" w:eastAsia="Times New Roman" w:hAnsi="Times New Roman" w:cs="Times New Roman"/>
          <w:color w:val="000000" w:themeColor="text1"/>
          <w:sz w:val="24"/>
          <w:szCs w:val="24"/>
        </w:rPr>
        <w:t>literasi bahasa, matematik, sa</w:t>
      </w:r>
      <w:r w:rsidR="00395AE8">
        <w:rPr>
          <w:rFonts w:ascii="Times New Roman" w:eastAsia="Times New Roman" w:hAnsi="Times New Roman" w:cs="Times New Roman"/>
          <w:color w:val="000000" w:themeColor="text1"/>
          <w:sz w:val="24"/>
          <w:szCs w:val="24"/>
        </w:rPr>
        <w:t>ins dan penguasaan bahasa asing</w:t>
      </w:r>
      <w:r w:rsidR="00A03ABC" w:rsidRPr="00D57F4E">
        <w:rPr>
          <w:rFonts w:ascii="Times New Roman" w:eastAsia="Times New Roman" w:hAnsi="Times New Roman" w:cs="Times New Roman"/>
          <w:color w:val="000000" w:themeColor="text1"/>
          <w:sz w:val="24"/>
          <w:szCs w:val="24"/>
        </w:rPr>
        <w:t xml:space="preserve"> perlu ditekankan (</w:t>
      </w:r>
      <w:r w:rsidR="00AD4E14" w:rsidRPr="00D57F4E">
        <w:rPr>
          <w:rFonts w:ascii="Times New Roman" w:eastAsia="Times New Roman" w:hAnsi="Times New Roman" w:cs="Times New Roman"/>
          <w:color w:val="000000" w:themeColor="text1"/>
          <w:sz w:val="24"/>
          <w:szCs w:val="24"/>
        </w:rPr>
        <w:t>World Bank, 2003</w:t>
      </w:r>
      <w:r w:rsidR="00AD4E14">
        <w:rPr>
          <w:rFonts w:ascii="Times New Roman" w:eastAsia="Times New Roman" w:hAnsi="Times New Roman" w:cs="Times New Roman"/>
          <w:color w:val="000000" w:themeColor="text1"/>
          <w:sz w:val="24"/>
          <w:szCs w:val="24"/>
        </w:rPr>
        <w:t>; Blaschke, 2012</w:t>
      </w:r>
      <w:r w:rsidR="00A03ABC" w:rsidRPr="00D57F4E">
        <w:rPr>
          <w:rFonts w:ascii="Times New Roman" w:eastAsia="Times New Roman" w:hAnsi="Times New Roman" w:cs="Times New Roman"/>
          <w:color w:val="000000" w:themeColor="text1"/>
          <w:sz w:val="24"/>
          <w:szCs w:val="24"/>
        </w:rPr>
        <w:t xml:space="preserve">). </w:t>
      </w:r>
      <w:r w:rsidR="00A03ABC" w:rsidRPr="00D57F4E">
        <w:rPr>
          <w:rFonts w:ascii="Times New Roman" w:eastAsia="Times New Roman" w:hAnsi="Times New Roman" w:cs="Times New Roman"/>
          <w:color w:val="000000" w:themeColor="text1"/>
          <w:sz w:val="24"/>
          <w:szCs w:val="24"/>
          <w:highlight w:val="white"/>
        </w:rPr>
        <w:t>Pekerja yang berkemahiran dan fleksibel mampu berupaya belajar sendiri melalu</w:t>
      </w:r>
      <w:r w:rsidR="00395AE8">
        <w:rPr>
          <w:rFonts w:ascii="Times New Roman" w:eastAsia="Times New Roman" w:hAnsi="Times New Roman" w:cs="Times New Roman"/>
          <w:color w:val="000000" w:themeColor="text1"/>
          <w:sz w:val="24"/>
          <w:szCs w:val="24"/>
          <w:highlight w:val="white"/>
        </w:rPr>
        <w:t>i PSH (Kanwar</w:t>
      </w:r>
      <w:r w:rsidR="00AD4E14">
        <w:rPr>
          <w:rFonts w:ascii="Times New Roman" w:eastAsia="Times New Roman" w:hAnsi="Times New Roman" w:cs="Times New Roman"/>
          <w:color w:val="000000" w:themeColor="text1"/>
          <w:sz w:val="24"/>
          <w:szCs w:val="24"/>
          <w:highlight w:val="white"/>
        </w:rPr>
        <w:t xml:space="preserve"> et al</w:t>
      </w:r>
      <w:r w:rsidR="00395AE8">
        <w:rPr>
          <w:rFonts w:ascii="Times New Roman" w:eastAsia="Times New Roman" w:hAnsi="Times New Roman" w:cs="Times New Roman"/>
          <w:color w:val="000000" w:themeColor="text1"/>
          <w:sz w:val="24"/>
          <w:szCs w:val="24"/>
          <w:highlight w:val="white"/>
        </w:rPr>
        <w:t xml:space="preserve">, </w:t>
      </w:r>
      <w:r w:rsidR="00A03ABC" w:rsidRPr="00D57F4E">
        <w:rPr>
          <w:rFonts w:ascii="Times New Roman" w:eastAsia="Times New Roman" w:hAnsi="Times New Roman" w:cs="Times New Roman"/>
          <w:color w:val="000000" w:themeColor="text1"/>
          <w:sz w:val="24"/>
          <w:szCs w:val="24"/>
          <w:highlight w:val="white"/>
        </w:rPr>
        <w:t>2019). Malah negara-negara di Er</w:t>
      </w:r>
      <w:r w:rsidR="00395AE8">
        <w:rPr>
          <w:rFonts w:ascii="Times New Roman" w:eastAsia="Times New Roman" w:hAnsi="Times New Roman" w:cs="Times New Roman"/>
          <w:color w:val="000000" w:themeColor="text1"/>
          <w:sz w:val="24"/>
          <w:szCs w:val="24"/>
          <w:highlight w:val="white"/>
        </w:rPr>
        <w:t>opah menyasarkan peningkatan 15 peratus</w:t>
      </w:r>
      <w:r w:rsidR="00A03ABC" w:rsidRPr="00D57F4E">
        <w:rPr>
          <w:rFonts w:ascii="Times New Roman" w:eastAsia="Times New Roman" w:hAnsi="Times New Roman" w:cs="Times New Roman"/>
          <w:color w:val="000000" w:themeColor="text1"/>
          <w:sz w:val="24"/>
          <w:szCs w:val="24"/>
          <w:highlight w:val="white"/>
        </w:rPr>
        <w:t xml:space="preserve"> menjelang 2020 terlibat dalam program pembelajaran sepanjang hayat (</w:t>
      </w:r>
      <w:r w:rsidR="00A03ABC" w:rsidRPr="00D57F4E">
        <w:rPr>
          <w:rFonts w:ascii="Times New Roman" w:eastAsia="Times New Roman" w:hAnsi="Times New Roman" w:cs="Times New Roman"/>
          <w:color w:val="000000" w:themeColor="text1"/>
          <w:sz w:val="24"/>
          <w:szCs w:val="24"/>
        </w:rPr>
        <w:t>Carlsen</w:t>
      </w:r>
      <w:r w:rsidR="00AD4E14">
        <w:rPr>
          <w:rFonts w:ascii="Times New Roman" w:eastAsia="Times New Roman" w:hAnsi="Times New Roman" w:cs="Times New Roman"/>
          <w:color w:val="000000" w:themeColor="text1"/>
          <w:sz w:val="24"/>
          <w:szCs w:val="24"/>
        </w:rPr>
        <w:t xml:space="preserve"> et al.</w:t>
      </w:r>
      <w:r w:rsidR="00A03ABC" w:rsidRPr="00D57F4E">
        <w:rPr>
          <w:rFonts w:ascii="Times New Roman" w:eastAsia="Times New Roman" w:hAnsi="Times New Roman" w:cs="Times New Roman"/>
          <w:color w:val="000000" w:themeColor="text1"/>
          <w:sz w:val="24"/>
          <w:szCs w:val="24"/>
        </w:rPr>
        <w:t>, 2016).</w:t>
      </w:r>
    </w:p>
    <w:p w14:paraId="5BBF26CC" w14:textId="054BDB09" w:rsidR="00A03ABC" w:rsidRPr="00D57F4E" w:rsidRDefault="00A03ABC" w:rsidP="00665616">
      <w:pPr>
        <w:spacing w:after="0" w:line="240" w:lineRule="auto"/>
        <w:ind w:leftChars="0" w:left="0" w:firstLineChars="0" w:firstLine="720"/>
        <w:jc w:val="both"/>
        <w:rPr>
          <w:rFonts w:ascii="Times New Roman" w:eastAsia="Times New Roman" w:hAnsi="Times New Roman" w:cs="Times New Roman"/>
          <w:color w:val="000000" w:themeColor="text1"/>
          <w:sz w:val="24"/>
          <w:szCs w:val="24"/>
          <w:highlight w:val="white"/>
        </w:rPr>
      </w:pPr>
      <w:r w:rsidRPr="00D57F4E">
        <w:rPr>
          <w:rFonts w:ascii="Times New Roman" w:eastAsia="Times New Roman" w:hAnsi="Times New Roman" w:cs="Times New Roman"/>
          <w:color w:val="000000" w:themeColor="text1"/>
          <w:sz w:val="24"/>
          <w:szCs w:val="24"/>
        </w:rPr>
        <w:t>Pihak majikan memerlukan lepasan universiti atau kolej mengetahui dan mempunyai kemahiran menyelesaikan masalah di tempat kerja (</w:t>
      </w:r>
      <w:r w:rsidR="00575797" w:rsidRPr="00D57F4E">
        <w:rPr>
          <w:rFonts w:ascii="Times New Roman" w:eastAsia="Times New Roman" w:hAnsi="Times New Roman" w:cs="Times New Roman"/>
          <w:color w:val="000000" w:themeColor="text1"/>
          <w:sz w:val="24"/>
          <w:szCs w:val="24"/>
        </w:rPr>
        <w:t>Kuhn, 1999</w:t>
      </w:r>
      <w:r w:rsidR="00575797">
        <w:rPr>
          <w:rFonts w:ascii="Times New Roman" w:eastAsia="Times New Roman" w:hAnsi="Times New Roman" w:cs="Times New Roman"/>
          <w:color w:val="000000" w:themeColor="text1"/>
          <w:sz w:val="24"/>
          <w:szCs w:val="24"/>
        </w:rPr>
        <w:t xml:space="preserve">; Harvey, 2001; </w:t>
      </w:r>
      <w:r w:rsidRPr="00D57F4E">
        <w:rPr>
          <w:rFonts w:ascii="Times New Roman" w:eastAsia="Times New Roman" w:hAnsi="Times New Roman" w:cs="Times New Roman"/>
          <w:color w:val="000000" w:themeColor="text1"/>
          <w:sz w:val="24"/>
          <w:szCs w:val="24"/>
        </w:rPr>
        <w:t xml:space="preserve">Trilling &amp; Fadel, 2009). Ini bagi memastikan segala proses, inovasi dan perubahan </w:t>
      </w:r>
      <w:proofErr w:type="gramStart"/>
      <w:r w:rsidRPr="00D57F4E">
        <w:rPr>
          <w:rFonts w:ascii="Times New Roman" w:eastAsia="Times New Roman" w:hAnsi="Times New Roman" w:cs="Times New Roman"/>
          <w:color w:val="000000" w:themeColor="text1"/>
          <w:sz w:val="24"/>
          <w:szCs w:val="24"/>
        </w:rPr>
        <w:t>sama</w:t>
      </w:r>
      <w:proofErr w:type="gramEnd"/>
      <w:r w:rsidRPr="00D57F4E">
        <w:rPr>
          <w:rFonts w:ascii="Times New Roman" w:eastAsia="Times New Roman" w:hAnsi="Times New Roman" w:cs="Times New Roman"/>
          <w:color w:val="000000" w:themeColor="text1"/>
          <w:sz w:val="24"/>
          <w:szCs w:val="24"/>
        </w:rPr>
        <w:t xml:space="preserve"> ada di dalam atau di luar organisasi dapat ditangani dengan cepat dan berkesan (</w:t>
      </w:r>
      <w:r w:rsidR="00395AE8">
        <w:rPr>
          <w:rFonts w:ascii="Times New Roman" w:eastAsia="Times New Roman" w:hAnsi="Times New Roman" w:cs="Times New Roman"/>
          <w:color w:val="000000" w:themeColor="text1"/>
          <w:sz w:val="24"/>
          <w:szCs w:val="24"/>
          <w:highlight w:val="white"/>
        </w:rPr>
        <w:t>Kanwar</w:t>
      </w:r>
      <w:r w:rsidR="00575797">
        <w:rPr>
          <w:rFonts w:ascii="Times New Roman" w:eastAsia="Times New Roman" w:hAnsi="Times New Roman" w:cs="Times New Roman"/>
          <w:color w:val="000000" w:themeColor="text1"/>
          <w:sz w:val="24"/>
          <w:szCs w:val="24"/>
          <w:highlight w:val="white"/>
        </w:rPr>
        <w:t xml:space="preserve"> et al.</w:t>
      </w:r>
      <w:r w:rsidR="00395AE8">
        <w:rPr>
          <w:rFonts w:ascii="Times New Roman" w:eastAsia="Times New Roman" w:hAnsi="Times New Roman" w:cs="Times New Roman"/>
          <w:color w:val="000000" w:themeColor="text1"/>
          <w:sz w:val="24"/>
          <w:szCs w:val="24"/>
          <w:highlight w:val="white"/>
        </w:rPr>
        <w:t xml:space="preserve">, 2019). </w:t>
      </w:r>
      <w:r w:rsidRPr="00D57F4E">
        <w:rPr>
          <w:rFonts w:ascii="Times New Roman" w:eastAsia="Times New Roman" w:hAnsi="Times New Roman" w:cs="Times New Roman"/>
          <w:color w:val="000000" w:themeColor="text1"/>
          <w:sz w:val="24"/>
          <w:szCs w:val="24"/>
          <w:highlight w:val="white"/>
        </w:rPr>
        <w:t>Malah berupaya menghadapi situasi kompleks dan tidak dijangkakan di masa depan. Trend bilangan pekerjaan masa kini dalam organisasi menunjukkan peningkatan pekerja yang berumur 55 hing</w:t>
      </w:r>
      <w:r w:rsidR="00395AE8">
        <w:rPr>
          <w:rFonts w:ascii="Times New Roman" w:eastAsia="Times New Roman" w:hAnsi="Times New Roman" w:cs="Times New Roman"/>
          <w:color w:val="000000" w:themeColor="text1"/>
          <w:sz w:val="24"/>
          <w:szCs w:val="24"/>
          <w:highlight w:val="white"/>
        </w:rPr>
        <w:t>ga 64 sebanyak 53 peratus</w:t>
      </w:r>
      <w:r w:rsidRPr="00D57F4E">
        <w:rPr>
          <w:rFonts w:ascii="Times New Roman" w:eastAsia="Times New Roman" w:hAnsi="Times New Roman" w:cs="Times New Roman"/>
          <w:color w:val="000000" w:themeColor="text1"/>
          <w:sz w:val="24"/>
          <w:szCs w:val="24"/>
          <w:highlight w:val="white"/>
        </w:rPr>
        <w:t xml:space="preserve"> </w:t>
      </w:r>
      <w:r w:rsidR="00395AE8" w:rsidRPr="00D57F4E">
        <w:rPr>
          <w:rFonts w:ascii="Times New Roman" w:eastAsia="Times New Roman" w:hAnsi="Times New Roman" w:cs="Times New Roman"/>
          <w:color w:val="000000" w:themeColor="text1"/>
          <w:sz w:val="24"/>
          <w:szCs w:val="24"/>
          <w:highlight w:val="white"/>
        </w:rPr>
        <w:t xml:space="preserve">semenjak tahun 2012 </w:t>
      </w:r>
      <w:r w:rsidRPr="00D57F4E">
        <w:rPr>
          <w:rFonts w:ascii="Times New Roman" w:eastAsia="Times New Roman" w:hAnsi="Times New Roman" w:cs="Times New Roman"/>
          <w:color w:val="000000" w:themeColor="text1"/>
          <w:sz w:val="24"/>
          <w:szCs w:val="24"/>
          <w:highlight w:val="white"/>
        </w:rPr>
        <w:t>(</w:t>
      </w:r>
      <w:r w:rsidR="00575797">
        <w:rPr>
          <w:rFonts w:ascii="Times New Roman" w:eastAsia="Times New Roman" w:hAnsi="Times New Roman" w:cs="Times New Roman"/>
          <w:color w:val="000000" w:themeColor="text1"/>
          <w:sz w:val="24"/>
          <w:szCs w:val="24"/>
        </w:rPr>
        <w:t>Soo &amp; Gusup</w:t>
      </w:r>
      <w:r w:rsidR="00575797" w:rsidRPr="00D57F4E">
        <w:rPr>
          <w:rFonts w:ascii="Times New Roman" w:eastAsia="Times New Roman" w:hAnsi="Times New Roman" w:cs="Times New Roman"/>
          <w:color w:val="000000" w:themeColor="text1"/>
          <w:sz w:val="24"/>
          <w:szCs w:val="24"/>
        </w:rPr>
        <w:t>, 2018</w:t>
      </w:r>
      <w:r w:rsidR="00575797">
        <w:rPr>
          <w:rFonts w:ascii="Times New Roman" w:eastAsia="Times New Roman" w:hAnsi="Times New Roman" w:cs="Times New Roman"/>
          <w:color w:val="000000" w:themeColor="text1"/>
          <w:sz w:val="24"/>
          <w:szCs w:val="24"/>
        </w:rPr>
        <w:t xml:space="preserve">; </w:t>
      </w:r>
      <w:r w:rsidR="009B158A" w:rsidRPr="00D57F4E">
        <w:rPr>
          <w:rFonts w:ascii="Times New Roman" w:eastAsia="Times New Roman" w:hAnsi="Times New Roman" w:cs="Times New Roman"/>
          <w:color w:val="000000" w:themeColor="text1"/>
          <w:sz w:val="24"/>
          <w:szCs w:val="24"/>
          <w:highlight w:val="white"/>
        </w:rPr>
        <w:t>OECD, 2019</w:t>
      </w:r>
      <w:r w:rsidRPr="00D57F4E">
        <w:rPr>
          <w:rFonts w:ascii="Times New Roman" w:eastAsia="Times New Roman" w:hAnsi="Times New Roman" w:cs="Times New Roman"/>
          <w:color w:val="000000" w:themeColor="text1"/>
          <w:sz w:val="24"/>
          <w:szCs w:val="24"/>
          <w:highlight w:val="white"/>
        </w:rPr>
        <w:t>)</w:t>
      </w:r>
      <w:r w:rsidR="00395AE8">
        <w:rPr>
          <w:rFonts w:ascii="Times New Roman" w:eastAsia="Times New Roman" w:hAnsi="Times New Roman" w:cs="Times New Roman"/>
          <w:color w:val="000000" w:themeColor="text1"/>
          <w:sz w:val="24"/>
          <w:szCs w:val="24"/>
          <w:highlight w:val="white"/>
        </w:rPr>
        <w:t xml:space="preserve">. </w:t>
      </w:r>
      <w:r w:rsidRPr="00D57F4E">
        <w:rPr>
          <w:rFonts w:ascii="Times New Roman" w:eastAsia="Times New Roman" w:hAnsi="Times New Roman" w:cs="Times New Roman"/>
          <w:color w:val="000000" w:themeColor="text1"/>
          <w:sz w:val="24"/>
          <w:szCs w:val="24"/>
          <w:highlight w:val="white"/>
        </w:rPr>
        <w:t>Berdasarkan data ini, pihak kerajaan dan organisasi perlu menyediakan program-program latihan dan peningkatan kemahiran pekerja di</w:t>
      </w:r>
      <w:r w:rsidR="00395AE8">
        <w:rPr>
          <w:rFonts w:ascii="Times New Roman" w:eastAsia="Times New Roman" w:hAnsi="Times New Roman" w:cs="Times New Roman"/>
          <w:color w:val="000000" w:themeColor="text1"/>
          <w:sz w:val="24"/>
          <w:szCs w:val="24"/>
          <w:highlight w:val="white"/>
        </w:rPr>
        <w:t xml:space="preserve"> </w:t>
      </w:r>
      <w:r w:rsidRPr="00D57F4E">
        <w:rPr>
          <w:rFonts w:ascii="Times New Roman" w:eastAsia="Times New Roman" w:hAnsi="Times New Roman" w:cs="Times New Roman"/>
          <w:color w:val="000000" w:themeColor="text1"/>
          <w:sz w:val="24"/>
          <w:szCs w:val="24"/>
          <w:highlight w:val="white"/>
        </w:rPr>
        <w:t>sepanjang kerjaya mereka. Kebanyakan organisasi telah menyediakan latihan dan bengkel bagi menyediakan pekerja berkompeten dalam menghadapi cabaran kelangsungan penghidupan masa depan (Fraile</w:t>
      </w:r>
      <w:r w:rsidR="00B80AFF">
        <w:rPr>
          <w:rFonts w:ascii="Times New Roman" w:eastAsia="Times New Roman" w:hAnsi="Times New Roman" w:cs="Times New Roman"/>
          <w:color w:val="000000" w:themeColor="text1"/>
          <w:sz w:val="24"/>
          <w:szCs w:val="24"/>
          <w:highlight w:val="white"/>
        </w:rPr>
        <w:t xml:space="preserve"> et </w:t>
      </w:r>
      <w:r w:rsidR="00B80AFF">
        <w:rPr>
          <w:rFonts w:ascii="Times New Roman" w:eastAsia="Times New Roman" w:hAnsi="Times New Roman" w:cs="Times New Roman"/>
          <w:color w:val="000000" w:themeColor="text1"/>
          <w:sz w:val="24"/>
          <w:szCs w:val="24"/>
          <w:highlight w:val="white"/>
        </w:rPr>
        <w:lastRenderedPageBreak/>
        <w:t xml:space="preserve">al., </w:t>
      </w:r>
      <w:r w:rsidRPr="00D57F4E">
        <w:rPr>
          <w:rFonts w:ascii="Times New Roman" w:eastAsia="Times New Roman" w:hAnsi="Times New Roman" w:cs="Times New Roman"/>
          <w:color w:val="000000" w:themeColor="text1"/>
          <w:sz w:val="24"/>
          <w:szCs w:val="24"/>
          <w:highlight w:val="white"/>
        </w:rPr>
        <w:t>2018; S</w:t>
      </w:r>
      <w:r w:rsidRPr="00D57F4E">
        <w:rPr>
          <w:rFonts w:ascii="Times New Roman" w:eastAsia="Times New Roman" w:hAnsi="Times New Roman" w:cs="Times New Roman"/>
          <w:color w:val="000000" w:themeColor="text1"/>
          <w:sz w:val="24"/>
          <w:szCs w:val="24"/>
        </w:rPr>
        <w:t>pante</w:t>
      </w:r>
      <w:r w:rsidR="00B80AFF">
        <w:rPr>
          <w:rFonts w:ascii="Times New Roman" w:eastAsia="Times New Roman" w:hAnsi="Times New Roman" w:cs="Times New Roman"/>
          <w:color w:val="000000" w:themeColor="text1"/>
          <w:sz w:val="24"/>
          <w:szCs w:val="24"/>
        </w:rPr>
        <w:t xml:space="preserve"> et al., </w:t>
      </w:r>
      <w:r w:rsidRPr="00D57F4E">
        <w:rPr>
          <w:rFonts w:ascii="Times New Roman" w:eastAsia="Times New Roman" w:hAnsi="Times New Roman" w:cs="Times New Roman"/>
          <w:color w:val="000000" w:themeColor="text1"/>
          <w:sz w:val="24"/>
          <w:szCs w:val="24"/>
        </w:rPr>
        <w:t>2018). Tambahan pula dalam memenuhi persaingan, penggunaan teknologi baharu, memperbaiki</w:t>
      </w:r>
      <w:r w:rsidR="00D53229" w:rsidRPr="00D57F4E">
        <w:rPr>
          <w:rFonts w:ascii="Times New Roman" w:eastAsia="Times New Roman" w:hAnsi="Times New Roman" w:cs="Times New Roman"/>
          <w:color w:val="000000" w:themeColor="text1"/>
          <w:sz w:val="24"/>
          <w:szCs w:val="24"/>
        </w:rPr>
        <w:t>,</w:t>
      </w:r>
      <w:r w:rsidR="00D53229" w:rsidRPr="00D57F4E">
        <w:rPr>
          <w:rFonts w:ascii="Times New Roman" w:eastAsia="Times New Roman" w:hAnsi="Times New Roman" w:cs="Times New Roman"/>
          <w:i/>
          <w:color w:val="000000" w:themeColor="text1"/>
          <w:sz w:val="24"/>
          <w:szCs w:val="24"/>
        </w:rPr>
        <w:t xml:space="preserve"> </w:t>
      </w:r>
      <w:r w:rsidR="00D53229" w:rsidRPr="00D57F4E">
        <w:rPr>
          <w:rFonts w:ascii="Times New Roman" w:eastAsia="Times New Roman" w:hAnsi="Times New Roman" w:cs="Times New Roman"/>
          <w:iCs/>
          <w:color w:val="000000" w:themeColor="text1"/>
          <w:sz w:val="24"/>
          <w:szCs w:val="24"/>
        </w:rPr>
        <w:t>perpaduan sosial,</w:t>
      </w:r>
      <w:r w:rsidRPr="00D57F4E">
        <w:rPr>
          <w:rFonts w:ascii="Times New Roman" w:eastAsia="Times New Roman" w:hAnsi="Times New Roman" w:cs="Times New Roman"/>
          <w:color w:val="000000" w:themeColor="text1"/>
          <w:sz w:val="24"/>
          <w:szCs w:val="24"/>
        </w:rPr>
        <w:t xml:space="preserve"> peluang kesamaan dan juga kualiti kehidupan </w:t>
      </w:r>
      <w:r w:rsidRPr="00D57F4E">
        <w:rPr>
          <w:rFonts w:ascii="Times New Roman" w:eastAsia="Times New Roman" w:hAnsi="Times New Roman" w:cs="Times New Roman"/>
          <w:color w:val="000000" w:themeColor="text1"/>
          <w:sz w:val="24"/>
          <w:szCs w:val="24"/>
          <w:highlight w:val="white"/>
        </w:rPr>
        <w:t>(</w:t>
      </w:r>
      <w:r w:rsidRPr="00D57F4E">
        <w:rPr>
          <w:rFonts w:ascii="Times New Roman" w:eastAsia="Times New Roman" w:hAnsi="Times New Roman" w:cs="Times New Roman"/>
          <w:color w:val="000000" w:themeColor="text1"/>
          <w:sz w:val="24"/>
          <w:szCs w:val="24"/>
        </w:rPr>
        <w:t>Carlsen</w:t>
      </w:r>
      <w:r w:rsidR="00AC34AD">
        <w:rPr>
          <w:rFonts w:ascii="Times New Roman" w:eastAsia="Times New Roman" w:hAnsi="Times New Roman" w:cs="Times New Roman"/>
          <w:color w:val="000000" w:themeColor="text1"/>
          <w:sz w:val="24"/>
          <w:szCs w:val="24"/>
        </w:rPr>
        <w:t xml:space="preserve"> et al., </w:t>
      </w:r>
      <w:r w:rsidRPr="00D57F4E">
        <w:rPr>
          <w:rFonts w:ascii="Times New Roman" w:eastAsia="Times New Roman" w:hAnsi="Times New Roman" w:cs="Times New Roman"/>
          <w:color w:val="000000" w:themeColor="text1"/>
          <w:sz w:val="24"/>
          <w:szCs w:val="24"/>
        </w:rPr>
        <w:t>2016).</w:t>
      </w:r>
    </w:p>
    <w:p w14:paraId="4F403A8C" w14:textId="3F680957" w:rsidR="00A03ABC" w:rsidRPr="00D57F4E" w:rsidRDefault="00A03ABC" w:rsidP="00665616">
      <w:pPr>
        <w:spacing w:after="0" w:line="240" w:lineRule="auto"/>
        <w:ind w:leftChars="0" w:left="0" w:firstLineChars="0" w:firstLine="720"/>
        <w:jc w:val="both"/>
        <w:rPr>
          <w:rFonts w:ascii="Times New Roman" w:eastAsia="Times New Roman" w:hAnsi="Times New Roman" w:cs="Times New Roman"/>
          <w:color w:val="000000" w:themeColor="text1"/>
          <w:sz w:val="24"/>
          <w:szCs w:val="24"/>
          <w:highlight w:val="white"/>
        </w:rPr>
      </w:pPr>
      <w:r w:rsidRPr="00D57F4E">
        <w:rPr>
          <w:rFonts w:ascii="Times New Roman" w:eastAsia="Times New Roman" w:hAnsi="Times New Roman" w:cs="Times New Roman"/>
          <w:color w:val="000000" w:themeColor="text1"/>
          <w:sz w:val="24"/>
          <w:szCs w:val="24"/>
        </w:rPr>
        <w:t>Penekanan berterusan gelombang globalisasi dan pengetahuan berasaskan ekonomi telah menyebabkan bidang pendidikan juga turut terkesan (Brine,</w:t>
      </w:r>
      <w:r w:rsidR="00395AE8">
        <w:rPr>
          <w:rFonts w:ascii="Times New Roman" w:eastAsia="Times New Roman" w:hAnsi="Times New Roman" w:cs="Times New Roman"/>
          <w:color w:val="000000" w:themeColor="text1"/>
          <w:sz w:val="24"/>
          <w:szCs w:val="24"/>
        </w:rPr>
        <w:t xml:space="preserve"> </w:t>
      </w:r>
      <w:r w:rsidRPr="00D57F4E">
        <w:rPr>
          <w:rFonts w:ascii="Times New Roman" w:eastAsia="Times New Roman" w:hAnsi="Times New Roman" w:cs="Times New Roman"/>
          <w:color w:val="000000" w:themeColor="text1"/>
          <w:sz w:val="24"/>
          <w:szCs w:val="24"/>
        </w:rPr>
        <w:t>2006). Tambahan pula persediaan ke arah IR4.00 juga menuntut para pekerja sentiasa berusaha memperbaiki dan meningkatkan diri dalam kerjaya. Justeru itu, pembelajaran sepanjang hayat merupakan respons te</w:t>
      </w:r>
      <w:r w:rsidR="00CF3D6D">
        <w:rPr>
          <w:rFonts w:ascii="Times New Roman" w:eastAsia="Times New Roman" w:hAnsi="Times New Roman" w:cs="Times New Roman"/>
          <w:color w:val="000000" w:themeColor="text1"/>
          <w:sz w:val="24"/>
          <w:szCs w:val="24"/>
        </w:rPr>
        <w:t>rhadap fenomena tersebut (Broek</w:t>
      </w:r>
      <w:r w:rsidRPr="00D57F4E">
        <w:rPr>
          <w:rFonts w:ascii="Times New Roman" w:eastAsia="Times New Roman" w:hAnsi="Times New Roman" w:cs="Times New Roman"/>
          <w:color w:val="000000" w:themeColor="text1"/>
          <w:sz w:val="24"/>
          <w:szCs w:val="24"/>
        </w:rPr>
        <w:t xml:space="preserve"> &amp; Hake, 2012;</w:t>
      </w:r>
      <w:r w:rsidR="00D53229" w:rsidRPr="00D57F4E">
        <w:rPr>
          <w:rFonts w:ascii="Times New Roman" w:eastAsia="Times New Roman" w:hAnsi="Times New Roman" w:cs="Times New Roman"/>
          <w:color w:val="000000" w:themeColor="text1"/>
          <w:sz w:val="24"/>
          <w:szCs w:val="24"/>
        </w:rPr>
        <w:t xml:space="preserve"> </w:t>
      </w:r>
      <w:r w:rsidRPr="00D57F4E">
        <w:rPr>
          <w:rFonts w:ascii="Times New Roman" w:eastAsia="Times New Roman" w:hAnsi="Times New Roman" w:cs="Times New Roman"/>
          <w:color w:val="000000" w:themeColor="text1"/>
          <w:sz w:val="24"/>
          <w:szCs w:val="24"/>
          <w:highlight w:val="white"/>
        </w:rPr>
        <w:t>Fraile</w:t>
      </w:r>
      <w:r w:rsidR="00CF3D6D">
        <w:rPr>
          <w:rFonts w:ascii="Times New Roman" w:eastAsia="Times New Roman" w:hAnsi="Times New Roman" w:cs="Times New Roman"/>
          <w:color w:val="000000" w:themeColor="text1"/>
          <w:sz w:val="24"/>
          <w:szCs w:val="24"/>
          <w:highlight w:val="white"/>
        </w:rPr>
        <w:t xml:space="preserve"> et al.</w:t>
      </w:r>
      <w:r w:rsidRPr="00D57F4E">
        <w:rPr>
          <w:rFonts w:ascii="Times New Roman" w:eastAsia="Times New Roman" w:hAnsi="Times New Roman" w:cs="Times New Roman"/>
          <w:color w:val="000000" w:themeColor="text1"/>
          <w:sz w:val="24"/>
          <w:szCs w:val="24"/>
          <w:highlight w:val="white"/>
        </w:rPr>
        <w:t>, 2018</w:t>
      </w:r>
      <w:r w:rsidRPr="00D57F4E">
        <w:rPr>
          <w:rFonts w:ascii="Times New Roman" w:eastAsia="Times New Roman" w:hAnsi="Times New Roman" w:cs="Times New Roman"/>
          <w:color w:val="000000" w:themeColor="text1"/>
          <w:sz w:val="24"/>
          <w:szCs w:val="24"/>
        </w:rPr>
        <w:t>)</w:t>
      </w:r>
      <w:r w:rsidRPr="00D57F4E">
        <w:rPr>
          <w:rFonts w:ascii="Times New Roman" w:eastAsia="Times New Roman" w:hAnsi="Times New Roman" w:cs="Times New Roman"/>
          <w:color w:val="000000" w:themeColor="text1"/>
          <w:sz w:val="24"/>
          <w:szCs w:val="24"/>
          <w:highlight w:val="white"/>
        </w:rPr>
        <w:t>.</w:t>
      </w:r>
    </w:p>
    <w:p w14:paraId="6E12EFE9" w14:textId="77777777" w:rsidR="00A03ABC" w:rsidRPr="008A0AAF" w:rsidRDefault="00A03ABC" w:rsidP="00665616">
      <w:pPr>
        <w:spacing w:after="0" w:line="240" w:lineRule="auto"/>
        <w:ind w:leftChars="0" w:left="0" w:firstLineChars="0" w:firstLine="720"/>
        <w:jc w:val="both"/>
        <w:rPr>
          <w:rFonts w:ascii="Times New Roman" w:eastAsia="Times New Roman" w:hAnsi="Times New Roman" w:cs="Times New Roman"/>
          <w:color w:val="000000" w:themeColor="text1"/>
          <w:sz w:val="24"/>
          <w:szCs w:val="24"/>
        </w:rPr>
      </w:pPr>
      <w:r w:rsidRPr="008A0AAF">
        <w:rPr>
          <w:rFonts w:ascii="Times New Roman" w:eastAsia="Times New Roman" w:hAnsi="Times New Roman" w:cs="Times New Roman"/>
          <w:color w:val="000000" w:themeColor="text1"/>
          <w:sz w:val="24"/>
          <w:szCs w:val="24"/>
        </w:rPr>
        <w:t xml:space="preserve">Pada peringkat awal Program Pensiwazahan Guru Besar (PPGB) diperkenalkan khas untuk mensiswazahan guru besar </w:t>
      </w:r>
      <w:r w:rsidR="00690013" w:rsidRPr="008A0AAF">
        <w:rPr>
          <w:rFonts w:ascii="Times New Roman" w:eastAsia="Times New Roman" w:hAnsi="Times New Roman" w:cs="Times New Roman"/>
          <w:color w:val="000000" w:themeColor="text1"/>
          <w:sz w:val="24"/>
          <w:szCs w:val="24"/>
        </w:rPr>
        <w:t xml:space="preserve">oleh pihak </w:t>
      </w:r>
      <w:r w:rsidRPr="008A0AAF">
        <w:rPr>
          <w:rFonts w:ascii="Times New Roman" w:eastAsia="Times New Roman" w:hAnsi="Times New Roman" w:cs="Times New Roman"/>
          <w:color w:val="000000" w:themeColor="text1"/>
          <w:sz w:val="24"/>
          <w:szCs w:val="24"/>
        </w:rPr>
        <w:t>Kementerian Pendidikan</w:t>
      </w:r>
      <w:r w:rsidR="00690013" w:rsidRPr="008A0AAF">
        <w:rPr>
          <w:rFonts w:ascii="Times New Roman" w:eastAsia="Times New Roman" w:hAnsi="Times New Roman" w:cs="Times New Roman"/>
          <w:color w:val="000000" w:themeColor="text1"/>
          <w:sz w:val="24"/>
          <w:szCs w:val="24"/>
        </w:rPr>
        <w:t xml:space="preserve"> Malaysia</w:t>
      </w:r>
      <w:r w:rsidR="00395AE8" w:rsidRPr="008A0AAF">
        <w:rPr>
          <w:rFonts w:ascii="Times New Roman" w:eastAsia="Times New Roman" w:hAnsi="Times New Roman" w:cs="Times New Roman"/>
          <w:color w:val="000000" w:themeColor="text1"/>
          <w:sz w:val="24"/>
          <w:szCs w:val="24"/>
        </w:rPr>
        <w:t xml:space="preserve"> (KPM)</w:t>
      </w:r>
      <w:r w:rsidRPr="008A0AAF">
        <w:rPr>
          <w:rFonts w:ascii="Times New Roman" w:eastAsia="Times New Roman" w:hAnsi="Times New Roman" w:cs="Times New Roman"/>
          <w:color w:val="000000" w:themeColor="text1"/>
          <w:sz w:val="24"/>
          <w:szCs w:val="24"/>
        </w:rPr>
        <w:t xml:space="preserve">. Namun program ini telah menarik minat pihak Jabatan Agama Islam Selangor </w:t>
      </w:r>
      <w:r w:rsidR="00690013" w:rsidRPr="008A0AAF">
        <w:rPr>
          <w:rFonts w:ascii="Times New Roman" w:eastAsia="Times New Roman" w:hAnsi="Times New Roman" w:cs="Times New Roman"/>
          <w:color w:val="000000" w:themeColor="text1"/>
          <w:sz w:val="24"/>
          <w:szCs w:val="24"/>
        </w:rPr>
        <w:t xml:space="preserve">(JAIS) </w:t>
      </w:r>
      <w:r w:rsidRPr="008A0AAF">
        <w:rPr>
          <w:rFonts w:ascii="Times New Roman" w:eastAsia="Times New Roman" w:hAnsi="Times New Roman" w:cs="Times New Roman"/>
          <w:color w:val="000000" w:themeColor="text1"/>
          <w:sz w:val="24"/>
          <w:szCs w:val="24"/>
        </w:rPr>
        <w:t xml:space="preserve">bagi membantu guru-guru besar sekolah agama meningkatkan kelayakan akademik. Justeru itu, JAIS telah mengambil inisiatif untuk membantu guru besar dan guru-guru sekolah agama meningkatkan kelayakan akademik dengan bantuan pihak </w:t>
      </w:r>
      <w:r w:rsidR="00690013" w:rsidRPr="008A0AAF">
        <w:rPr>
          <w:rFonts w:ascii="Times New Roman" w:eastAsia="Times New Roman" w:hAnsi="Times New Roman" w:cs="Times New Roman"/>
          <w:color w:val="000000" w:themeColor="text1"/>
          <w:sz w:val="24"/>
          <w:szCs w:val="24"/>
        </w:rPr>
        <w:t>Universiti Pendidikan Sultan Idris (</w:t>
      </w:r>
      <w:r w:rsidRPr="008A0AAF">
        <w:rPr>
          <w:rFonts w:ascii="Times New Roman" w:eastAsia="Times New Roman" w:hAnsi="Times New Roman" w:cs="Times New Roman"/>
          <w:color w:val="000000" w:themeColor="text1"/>
          <w:sz w:val="24"/>
          <w:szCs w:val="24"/>
        </w:rPr>
        <w:t>UPSI</w:t>
      </w:r>
      <w:r w:rsidR="00690013" w:rsidRPr="008A0AAF">
        <w:rPr>
          <w:rFonts w:ascii="Times New Roman" w:eastAsia="Times New Roman" w:hAnsi="Times New Roman" w:cs="Times New Roman"/>
          <w:color w:val="000000" w:themeColor="text1"/>
          <w:sz w:val="24"/>
          <w:szCs w:val="24"/>
        </w:rPr>
        <w:t>).</w:t>
      </w:r>
    </w:p>
    <w:p w14:paraId="678AC2CA" w14:textId="77777777" w:rsidR="00A03ABC" w:rsidRPr="008A0AAF" w:rsidRDefault="00A03ABC" w:rsidP="00665616">
      <w:pPr>
        <w:spacing w:after="0" w:line="240" w:lineRule="auto"/>
        <w:ind w:leftChars="0" w:left="0" w:firstLineChars="0" w:firstLine="720"/>
        <w:jc w:val="both"/>
        <w:rPr>
          <w:rFonts w:ascii="Times New Roman" w:eastAsia="Times New Roman" w:hAnsi="Times New Roman" w:cs="Times New Roman"/>
          <w:color w:val="000000" w:themeColor="text1"/>
          <w:sz w:val="24"/>
          <w:szCs w:val="24"/>
        </w:rPr>
      </w:pPr>
      <w:r w:rsidRPr="008A0AAF">
        <w:rPr>
          <w:rFonts w:ascii="Times New Roman" w:eastAsia="Times New Roman" w:hAnsi="Times New Roman" w:cs="Times New Roman"/>
          <w:color w:val="000000" w:themeColor="text1"/>
          <w:sz w:val="24"/>
          <w:szCs w:val="24"/>
        </w:rPr>
        <w:t>Dalam konteks PPGB-JAIS</w:t>
      </w:r>
      <w:r w:rsidR="00C06CDE" w:rsidRPr="008A0AAF">
        <w:rPr>
          <w:rFonts w:ascii="Times New Roman" w:eastAsia="Times New Roman" w:hAnsi="Times New Roman" w:cs="Times New Roman"/>
          <w:color w:val="000000" w:themeColor="text1"/>
          <w:sz w:val="24"/>
          <w:szCs w:val="24"/>
        </w:rPr>
        <w:t>-UPSI</w:t>
      </w:r>
      <w:r w:rsidRPr="008A0AAF">
        <w:rPr>
          <w:rFonts w:ascii="Times New Roman" w:eastAsia="Times New Roman" w:hAnsi="Times New Roman" w:cs="Times New Roman"/>
          <w:color w:val="000000" w:themeColor="text1"/>
          <w:sz w:val="24"/>
          <w:szCs w:val="24"/>
        </w:rPr>
        <w:t>, ia lebih merupakan pembelajaran secara formal kerana atas keperluan pemberian kelayakan akademik atau pengiktirafan.</w:t>
      </w:r>
      <w:r w:rsidR="00690013" w:rsidRPr="008A0AAF">
        <w:rPr>
          <w:rFonts w:ascii="Times New Roman" w:eastAsia="Times New Roman" w:hAnsi="Times New Roman" w:cs="Times New Roman"/>
          <w:color w:val="000000" w:themeColor="text1"/>
          <w:sz w:val="24"/>
          <w:szCs w:val="24"/>
        </w:rPr>
        <w:t xml:space="preserve"> Struktur dan kurikulum pengajian digubal, dikawal dan diselaraskan mengikut keperluan pihak JAIS, UPSI dan MQA.</w:t>
      </w:r>
      <w:r w:rsidRPr="008A0AAF">
        <w:rPr>
          <w:rFonts w:ascii="Times New Roman" w:eastAsia="Times New Roman" w:hAnsi="Times New Roman" w:cs="Times New Roman"/>
          <w:color w:val="000000" w:themeColor="text1"/>
          <w:sz w:val="24"/>
          <w:szCs w:val="24"/>
        </w:rPr>
        <w:t xml:space="preserve"> </w:t>
      </w:r>
      <w:r w:rsidR="00D53229" w:rsidRPr="008A0AAF">
        <w:rPr>
          <w:rFonts w:ascii="Times New Roman" w:eastAsia="Times New Roman" w:hAnsi="Times New Roman" w:cs="Times New Roman"/>
          <w:color w:val="000000" w:themeColor="text1"/>
          <w:sz w:val="24"/>
          <w:szCs w:val="24"/>
        </w:rPr>
        <w:t>Program ini</w:t>
      </w:r>
      <w:r w:rsidRPr="008A0AAF">
        <w:rPr>
          <w:rFonts w:ascii="Times New Roman" w:eastAsia="Times New Roman" w:hAnsi="Times New Roman" w:cs="Times New Roman"/>
          <w:color w:val="000000" w:themeColor="text1"/>
          <w:sz w:val="24"/>
          <w:szCs w:val="24"/>
        </w:rPr>
        <w:t xml:space="preserve"> dilaksanakan</w:t>
      </w:r>
      <w:r w:rsidR="00D53229" w:rsidRPr="008A0AAF">
        <w:rPr>
          <w:rFonts w:ascii="Times New Roman" w:eastAsia="Times New Roman" w:hAnsi="Times New Roman" w:cs="Times New Roman"/>
          <w:color w:val="000000" w:themeColor="text1"/>
          <w:sz w:val="24"/>
          <w:szCs w:val="24"/>
        </w:rPr>
        <w:t xml:space="preserve"> oleh pihak UPSI</w:t>
      </w:r>
      <w:r w:rsidRPr="008A0AAF">
        <w:rPr>
          <w:rFonts w:ascii="Times New Roman" w:eastAsia="Times New Roman" w:hAnsi="Times New Roman" w:cs="Times New Roman"/>
          <w:color w:val="000000" w:themeColor="text1"/>
          <w:sz w:val="24"/>
          <w:szCs w:val="24"/>
        </w:rPr>
        <w:t xml:space="preserve"> pada hujung minggu</w:t>
      </w:r>
      <w:r w:rsidR="00D53229" w:rsidRPr="008A0AAF">
        <w:rPr>
          <w:rFonts w:ascii="Times New Roman" w:eastAsia="Times New Roman" w:hAnsi="Times New Roman" w:cs="Times New Roman"/>
          <w:color w:val="000000" w:themeColor="text1"/>
          <w:sz w:val="24"/>
          <w:szCs w:val="24"/>
        </w:rPr>
        <w:t xml:space="preserve"> iaitu pada hari sabtu dan ahad,</w:t>
      </w:r>
      <w:r w:rsidRPr="008A0AAF">
        <w:rPr>
          <w:rFonts w:ascii="Times New Roman" w:eastAsia="Times New Roman" w:hAnsi="Times New Roman" w:cs="Times New Roman"/>
          <w:color w:val="000000" w:themeColor="text1"/>
          <w:sz w:val="24"/>
          <w:szCs w:val="24"/>
        </w:rPr>
        <w:t xml:space="preserve"> atau cuti sekolah berdasarkan keperluan pelajar-pelajar dan peraturan JAIS. Atas kejayaan perjalanan program tersebut, pihak JAIS meneruskan program ini agar guru-gurunya dapat meningkatkan kelayakan akademik dan kemahiran yang relevan dengan keperluan JAIS. Ini menunjukkan bahawa program ini memberi kesan atau impak kepada JAIS khususnya dalam meningkatkan bilangan guru-guru JAIS yang mempunyai tahap kelayakan akademik ke tahap sarjana muda.</w:t>
      </w:r>
    </w:p>
    <w:p w14:paraId="515FB70B" w14:textId="77777777" w:rsidR="00A03ABC" w:rsidRPr="008A0AAF" w:rsidRDefault="00A03ABC" w:rsidP="00665616">
      <w:pPr>
        <w:spacing w:after="0" w:line="240" w:lineRule="auto"/>
        <w:ind w:leftChars="0" w:left="0" w:firstLineChars="0" w:firstLine="720"/>
        <w:jc w:val="both"/>
        <w:rPr>
          <w:rFonts w:ascii="Times New Roman" w:eastAsia="Times New Roman" w:hAnsi="Times New Roman" w:cs="Times New Roman"/>
          <w:color w:val="000000" w:themeColor="text1"/>
          <w:sz w:val="24"/>
          <w:szCs w:val="24"/>
        </w:rPr>
      </w:pPr>
      <w:r w:rsidRPr="008A0AAF">
        <w:rPr>
          <w:rFonts w:ascii="Times New Roman" w:eastAsia="Times New Roman" w:hAnsi="Times New Roman" w:cs="Times New Roman"/>
          <w:color w:val="000000" w:themeColor="text1"/>
          <w:sz w:val="24"/>
          <w:szCs w:val="24"/>
        </w:rPr>
        <w:t xml:space="preserve">Penyertaan guru-guru JAIS dalam program ini amat menggalakkan dan dapat ditunjukkan melalui rekod kemasukan mengikut kohort, yang mana kohort pertama menyenaraikan 56 orang peserta yang terdiri daripada guru besar dan penolong kanan sekolah agama JAIS, kohort kedua 88 orang, kohort ketiga 40 orang dan kohort keempat 43 orang. Program ini dijalankan secara eksekutif dan kelas di hujung minggu. </w:t>
      </w:r>
    </w:p>
    <w:p w14:paraId="5FFDFDE8" w14:textId="6D2B3787" w:rsidR="00A03ABC" w:rsidRDefault="00A03ABC" w:rsidP="00665616">
      <w:pPr>
        <w:shd w:val="clear" w:color="auto" w:fill="FFFFFF"/>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color w:val="000000" w:themeColor="text1"/>
          <w:sz w:val="24"/>
          <w:szCs w:val="24"/>
        </w:rPr>
      </w:pPr>
      <w:r w:rsidRPr="008A0AAF">
        <w:rPr>
          <w:rFonts w:asciiTheme="majorBidi" w:eastAsia="Times New Roman" w:hAnsiTheme="majorBidi" w:cstheme="majorBidi"/>
          <w:color w:val="000000" w:themeColor="text1"/>
          <w:sz w:val="24"/>
          <w:szCs w:val="24"/>
        </w:rPr>
        <w:t>Lanjutan dari ke</w:t>
      </w:r>
      <w:r w:rsidR="00395AE8" w:rsidRPr="008A0AAF">
        <w:rPr>
          <w:rFonts w:asciiTheme="majorBidi" w:eastAsia="Times New Roman" w:hAnsiTheme="majorBidi" w:cstheme="majorBidi"/>
          <w:color w:val="000000" w:themeColor="text1"/>
          <w:sz w:val="24"/>
          <w:szCs w:val="24"/>
        </w:rPr>
        <w:t xml:space="preserve">jayaan program ini, pihak JAIS </w:t>
      </w:r>
      <w:r w:rsidRPr="008A0AAF">
        <w:rPr>
          <w:rFonts w:asciiTheme="majorBidi" w:eastAsia="Times New Roman" w:hAnsiTheme="majorBidi" w:cstheme="majorBidi"/>
          <w:color w:val="000000" w:themeColor="text1"/>
          <w:sz w:val="24"/>
          <w:szCs w:val="24"/>
        </w:rPr>
        <w:t>terus melaksanakan program ini kerana ia telah memberi kesan atau impak kepada JAIS khususnya dalam meningkatkan bilangan guru-guru JAIS mempunyai kelayakan akademik</w:t>
      </w:r>
      <w:r w:rsidR="00395AE8" w:rsidRPr="008A0AAF">
        <w:rPr>
          <w:rFonts w:asciiTheme="majorBidi" w:eastAsia="Times New Roman" w:hAnsiTheme="majorBidi" w:cstheme="majorBidi"/>
          <w:color w:val="000000" w:themeColor="text1"/>
          <w:sz w:val="24"/>
          <w:szCs w:val="24"/>
        </w:rPr>
        <w:t>.</w:t>
      </w:r>
      <w:r w:rsidR="0063654E" w:rsidRPr="008A0AAF">
        <w:rPr>
          <w:rFonts w:asciiTheme="majorBidi" w:eastAsia="Times New Roman" w:hAnsiTheme="majorBidi" w:cstheme="majorBidi"/>
          <w:color w:val="000000" w:themeColor="text1"/>
          <w:sz w:val="24"/>
          <w:szCs w:val="24"/>
        </w:rPr>
        <w:t xml:space="preserve"> Sehubungan dengan itu, kajian </w:t>
      </w:r>
      <w:r w:rsidR="00F91A6E" w:rsidRPr="008A0AAF">
        <w:rPr>
          <w:rFonts w:asciiTheme="majorBidi" w:eastAsia="Times New Roman" w:hAnsiTheme="majorBidi" w:cstheme="majorBidi"/>
          <w:color w:val="000000" w:themeColor="text1"/>
          <w:sz w:val="24"/>
          <w:szCs w:val="24"/>
        </w:rPr>
        <w:t>ini ingin</w:t>
      </w:r>
      <w:r w:rsidRPr="008A0AAF">
        <w:rPr>
          <w:rFonts w:asciiTheme="majorBidi" w:eastAsia="Times New Roman" w:hAnsiTheme="majorBidi" w:cstheme="majorBidi"/>
          <w:color w:val="000000" w:themeColor="text1"/>
          <w:sz w:val="24"/>
          <w:szCs w:val="24"/>
        </w:rPr>
        <w:t xml:space="preserve"> mengetahui apakah faktor-faktor yang menyebabkan guru-guru JAIS berminat mengikut progam ini</w:t>
      </w:r>
      <w:r w:rsidR="0063654E" w:rsidRPr="008A0AAF">
        <w:rPr>
          <w:rFonts w:asciiTheme="majorBidi" w:eastAsia="Times New Roman" w:hAnsiTheme="majorBidi" w:cstheme="majorBidi"/>
          <w:color w:val="000000" w:themeColor="text1"/>
          <w:sz w:val="24"/>
          <w:szCs w:val="24"/>
        </w:rPr>
        <w:t>.</w:t>
      </w:r>
      <w:r w:rsidRPr="008A0AAF">
        <w:rPr>
          <w:rFonts w:asciiTheme="majorBidi" w:eastAsia="Times New Roman" w:hAnsiTheme="majorBidi" w:cstheme="majorBidi"/>
          <w:color w:val="000000" w:themeColor="text1"/>
          <w:sz w:val="24"/>
          <w:szCs w:val="24"/>
        </w:rPr>
        <w:t xml:space="preserve"> </w:t>
      </w:r>
      <w:r w:rsidR="00F91A6E" w:rsidRPr="008A0AAF">
        <w:rPr>
          <w:rFonts w:asciiTheme="majorBidi" w:eastAsia="Times New Roman" w:hAnsiTheme="majorBidi" w:cstheme="majorBidi"/>
          <w:color w:val="000000" w:themeColor="text1"/>
          <w:sz w:val="24"/>
          <w:szCs w:val="24"/>
        </w:rPr>
        <w:t>Kajian-kajian sebelum</w:t>
      </w:r>
      <w:r w:rsidRPr="008A0AAF">
        <w:rPr>
          <w:rFonts w:asciiTheme="majorBidi" w:eastAsia="Times New Roman" w:hAnsiTheme="majorBidi" w:cstheme="majorBidi"/>
          <w:color w:val="000000" w:themeColor="text1"/>
          <w:sz w:val="24"/>
          <w:szCs w:val="24"/>
        </w:rPr>
        <w:t xml:space="preserve"> </w:t>
      </w:r>
      <w:r w:rsidR="00F91A6E" w:rsidRPr="008A0AAF">
        <w:rPr>
          <w:rFonts w:asciiTheme="majorBidi" w:eastAsia="Times New Roman" w:hAnsiTheme="majorBidi" w:cstheme="majorBidi"/>
          <w:color w:val="000000" w:themeColor="text1"/>
          <w:sz w:val="24"/>
          <w:szCs w:val="24"/>
        </w:rPr>
        <w:t>ini</w:t>
      </w:r>
      <w:r w:rsidR="0063654E" w:rsidRPr="008A0AAF">
        <w:rPr>
          <w:rFonts w:asciiTheme="majorBidi" w:eastAsia="Times New Roman" w:hAnsiTheme="majorBidi" w:cstheme="majorBidi"/>
          <w:color w:val="000000" w:themeColor="text1"/>
          <w:sz w:val="24"/>
          <w:szCs w:val="24"/>
        </w:rPr>
        <w:t xml:space="preserve"> kurang dibincangkan oleh penyelidik-penyelidik terdahulu seperti Ahmad (1999)</w:t>
      </w:r>
      <w:r w:rsidR="00CF3D6D">
        <w:rPr>
          <w:rFonts w:asciiTheme="majorBidi" w:eastAsia="Times New Roman" w:hAnsiTheme="majorBidi" w:cstheme="majorBidi"/>
          <w:color w:val="000000" w:themeColor="text1"/>
          <w:sz w:val="24"/>
          <w:szCs w:val="24"/>
        </w:rPr>
        <w:t>,</w:t>
      </w:r>
      <w:r w:rsidR="009B158A" w:rsidRPr="008A0AAF">
        <w:rPr>
          <w:rFonts w:asciiTheme="majorBidi" w:eastAsia="Times New Roman" w:hAnsiTheme="majorBidi" w:cstheme="majorBidi"/>
          <w:color w:val="000000" w:themeColor="text1"/>
          <w:sz w:val="24"/>
          <w:szCs w:val="24"/>
        </w:rPr>
        <w:t xml:space="preserve"> </w:t>
      </w:r>
      <w:r w:rsidR="0063654E" w:rsidRPr="008A0AAF">
        <w:rPr>
          <w:rFonts w:asciiTheme="majorBidi" w:eastAsia="Times New Roman" w:hAnsiTheme="majorBidi" w:cstheme="majorBidi"/>
          <w:color w:val="000000" w:themeColor="text1"/>
          <w:position w:val="0"/>
          <w:sz w:val="24"/>
          <w:szCs w:val="24"/>
          <w:lang w:eastAsia="zh-CN"/>
        </w:rPr>
        <w:t>Mohd Faeez</w:t>
      </w:r>
      <w:r w:rsidR="00CF3D6D">
        <w:rPr>
          <w:rFonts w:asciiTheme="majorBidi" w:eastAsia="Times New Roman" w:hAnsiTheme="majorBidi" w:cstheme="majorBidi"/>
          <w:color w:val="000000" w:themeColor="text1"/>
          <w:position w:val="0"/>
          <w:sz w:val="24"/>
          <w:szCs w:val="24"/>
          <w:lang w:eastAsia="zh-CN"/>
        </w:rPr>
        <w:t xml:space="preserve"> et al.</w:t>
      </w:r>
      <w:r w:rsidR="0063654E" w:rsidRPr="008A0AAF">
        <w:rPr>
          <w:rFonts w:asciiTheme="majorBidi" w:eastAsia="Times New Roman" w:hAnsiTheme="majorBidi" w:cstheme="majorBidi"/>
          <w:color w:val="000000" w:themeColor="text1"/>
          <w:position w:val="0"/>
          <w:sz w:val="24"/>
          <w:szCs w:val="24"/>
          <w:lang w:eastAsia="zh-CN"/>
        </w:rPr>
        <w:t xml:space="preserve"> (2017)</w:t>
      </w:r>
      <w:r w:rsidR="00395AE8" w:rsidRPr="008A0AAF">
        <w:rPr>
          <w:rFonts w:asciiTheme="majorBidi" w:eastAsia="Times New Roman" w:hAnsiTheme="majorBidi" w:cstheme="majorBidi"/>
          <w:color w:val="000000" w:themeColor="text1"/>
          <w:position w:val="0"/>
          <w:sz w:val="24"/>
          <w:szCs w:val="24"/>
          <w:lang w:eastAsia="zh-CN"/>
        </w:rPr>
        <w:t xml:space="preserve"> serta Sufean</w:t>
      </w:r>
      <w:r w:rsidR="00CF3D6D">
        <w:rPr>
          <w:rFonts w:asciiTheme="majorBidi" w:eastAsia="Times New Roman" w:hAnsiTheme="majorBidi" w:cstheme="majorBidi"/>
          <w:color w:val="000000" w:themeColor="text1"/>
          <w:position w:val="0"/>
          <w:sz w:val="24"/>
          <w:szCs w:val="24"/>
          <w:lang w:eastAsia="zh-CN"/>
        </w:rPr>
        <w:t xml:space="preserve"> et al.</w:t>
      </w:r>
      <w:r w:rsidR="00395AE8" w:rsidRPr="008A0AAF">
        <w:rPr>
          <w:rFonts w:asciiTheme="majorBidi" w:eastAsia="Times New Roman" w:hAnsiTheme="majorBidi" w:cstheme="majorBidi"/>
          <w:color w:val="000000" w:themeColor="text1"/>
          <w:position w:val="0"/>
          <w:sz w:val="24"/>
          <w:szCs w:val="24"/>
          <w:lang w:eastAsia="zh-CN"/>
        </w:rPr>
        <w:t xml:space="preserve"> </w:t>
      </w:r>
      <w:r w:rsidR="0063654E" w:rsidRPr="008A0AAF">
        <w:rPr>
          <w:rFonts w:asciiTheme="majorBidi" w:hAnsiTheme="majorBidi" w:cstheme="majorBidi"/>
          <w:color w:val="000000" w:themeColor="text1"/>
          <w:sz w:val="24"/>
          <w:szCs w:val="24"/>
        </w:rPr>
        <w:t>(2005</w:t>
      </w:r>
      <w:r w:rsidR="00F91A6E" w:rsidRPr="008A0AAF">
        <w:rPr>
          <w:rFonts w:asciiTheme="majorBidi" w:hAnsiTheme="majorBidi" w:cstheme="majorBidi"/>
          <w:color w:val="000000" w:themeColor="text1"/>
          <w:sz w:val="24"/>
          <w:szCs w:val="24"/>
        </w:rPr>
        <w:t>)</w:t>
      </w:r>
      <w:r w:rsidR="00F91A6E" w:rsidRPr="008A0AAF">
        <w:rPr>
          <w:rFonts w:asciiTheme="majorBidi" w:eastAsia="Times New Roman" w:hAnsiTheme="majorBidi" w:cstheme="majorBidi"/>
          <w:color w:val="000000" w:themeColor="text1"/>
          <w:sz w:val="24"/>
          <w:szCs w:val="24"/>
        </w:rPr>
        <w:t xml:space="preserve"> berkaitan </w:t>
      </w:r>
      <w:r w:rsidR="00395AE8" w:rsidRPr="008A0AAF">
        <w:rPr>
          <w:rFonts w:asciiTheme="majorBidi" w:eastAsia="Times New Roman" w:hAnsiTheme="majorBidi" w:cstheme="majorBidi"/>
          <w:color w:val="000000" w:themeColor="text1"/>
          <w:sz w:val="24"/>
          <w:szCs w:val="24"/>
        </w:rPr>
        <w:t xml:space="preserve">dengan </w:t>
      </w:r>
      <w:r w:rsidR="00F91A6E" w:rsidRPr="008A0AAF">
        <w:rPr>
          <w:rFonts w:asciiTheme="majorBidi" w:eastAsia="Times New Roman" w:hAnsiTheme="majorBidi" w:cstheme="majorBidi"/>
          <w:color w:val="000000" w:themeColor="text1"/>
          <w:sz w:val="24"/>
          <w:szCs w:val="24"/>
        </w:rPr>
        <w:t>faktor-faktor yang menyebabkan pelajar-pelajar (guru-guru JAIS) berminat mengikuti program ini</w:t>
      </w:r>
      <w:r w:rsidR="0063654E" w:rsidRPr="008A0AAF">
        <w:rPr>
          <w:rFonts w:asciiTheme="majorBidi" w:hAnsiTheme="majorBidi" w:cstheme="majorBidi"/>
          <w:color w:val="000000" w:themeColor="text1"/>
          <w:sz w:val="24"/>
          <w:szCs w:val="24"/>
        </w:rPr>
        <w:t xml:space="preserve">. </w:t>
      </w:r>
      <w:r w:rsidRPr="008A0AAF">
        <w:rPr>
          <w:rFonts w:asciiTheme="majorBidi" w:eastAsia="Times New Roman" w:hAnsiTheme="majorBidi" w:cstheme="majorBidi"/>
          <w:color w:val="000000" w:themeColor="text1"/>
          <w:sz w:val="24"/>
          <w:szCs w:val="24"/>
        </w:rPr>
        <w:t>Justeru itu</w:t>
      </w:r>
      <w:r w:rsidR="006F36E6" w:rsidRPr="008A0AAF">
        <w:rPr>
          <w:rFonts w:asciiTheme="majorBidi" w:eastAsia="Times New Roman" w:hAnsiTheme="majorBidi" w:cstheme="majorBidi"/>
          <w:color w:val="000000" w:themeColor="text1"/>
          <w:sz w:val="24"/>
          <w:szCs w:val="24"/>
        </w:rPr>
        <w:t>,</w:t>
      </w:r>
      <w:r w:rsidRPr="008A0AAF">
        <w:rPr>
          <w:rFonts w:asciiTheme="majorBidi" w:eastAsia="Times New Roman" w:hAnsiTheme="majorBidi" w:cstheme="majorBidi"/>
          <w:color w:val="000000" w:themeColor="text1"/>
          <w:sz w:val="24"/>
          <w:szCs w:val="24"/>
        </w:rPr>
        <w:t xml:space="preserve"> tujuan utama kajian ini ialah mengenal</w:t>
      </w:r>
      <w:r w:rsidR="00395AE8" w:rsidRPr="008A0AAF">
        <w:rPr>
          <w:rFonts w:asciiTheme="majorBidi" w:eastAsia="Times New Roman" w:hAnsiTheme="majorBidi" w:cstheme="majorBidi"/>
          <w:color w:val="000000" w:themeColor="text1"/>
          <w:sz w:val="24"/>
          <w:szCs w:val="24"/>
        </w:rPr>
        <w:t xml:space="preserve"> </w:t>
      </w:r>
      <w:r w:rsidRPr="008A0AAF">
        <w:rPr>
          <w:rFonts w:asciiTheme="majorBidi" w:eastAsia="Times New Roman" w:hAnsiTheme="majorBidi" w:cstheme="majorBidi"/>
          <w:color w:val="000000" w:themeColor="text1"/>
          <w:sz w:val="24"/>
          <w:szCs w:val="24"/>
        </w:rPr>
        <w:t>pasti faktor-faktor yang mempengaruhi</w:t>
      </w:r>
      <w:r w:rsidR="00395AE8" w:rsidRPr="008A0AAF">
        <w:rPr>
          <w:rFonts w:asciiTheme="majorBidi" w:eastAsia="Times New Roman" w:hAnsiTheme="majorBidi" w:cstheme="majorBidi"/>
          <w:color w:val="000000" w:themeColor="text1"/>
          <w:sz w:val="24"/>
          <w:szCs w:val="24"/>
        </w:rPr>
        <w:t xml:space="preserve"> mereka</w:t>
      </w:r>
      <w:r w:rsidRPr="008A0AAF">
        <w:rPr>
          <w:rFonts w:asciiTheme="majorBidi" w:eastAsia="Times New Roman" w:hAnsiTheme="majorBidi" w:cstheme="majorBidi"/>
          <w:color w:val="000000" w:themeColor="text1"/>
          <w:sz w:val="24"/>
          <w:szCs w:val="24"/>
        </w:rPr>
        <w:t xml:space="preserve"> mengikuti</w:t>
      </w:r>
      <w:r w:rsidRPr="008A0AAF">
        <w:rPr>
          <w:rFonts w:ascii="Times New Roman" w:eastAsia="Times New Roman" w:hAnsi="Times New Roman" w:cs="Times New Roman"/>
          <w:color w:val="000000" w:themeColor="text1"/>
          <w:sz w:val="24"/>
          <w:szCs w:val="24"/>
        </w:rPr>
        <w:t xml:space="preserve"> program ini.</w:t>
      </w:r>
    </w:p>
    <w:p w14:paraId="7DED8D63" w14:textId="77777777" w:rsidR="004E0A04" w:rsidRPr="008A0AAF" w:rsidRDefault="004E0A04" w:rsidP="00DF137A">
      <w:pPr>
        <w:shd w:val="clear" w:color="auto" w:fill="FFFFFF"/>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sz w:val="24"/>
          <w:szCs w:val="24"/>
        </w:rPr>
      </w:pPr>
    </w:p>
    <w:p w14:paraId="2E02901D" w14:textId="77777777" w:rsidR="00A03ABC" w:rsidRPr="008A0AAF" w:rsidRDefault="00A03ABC" w:rsidP="00665616">
      <w:pPr>
        <w:spacing w:after="0" w:line="240" w:lineRule="auto"/>
        <w:ind w:left="0" w:hanging="2"/>
        <w:jc w:val="both"/>
        <w:rPr>
          <w:rFonts w:ascii="Times New Roman" w:eastAsia="Times New Roman" w:hAnsi="Times New Roman" w:cs="Times New Roman"/>
          <w:color w:val="000000" w:themeColor="text1"/>
          <w:sz w:val="24"/>
          <w:szCs w:val="24"/>
          <w:highlight w:val="white"/>
        </w:rPr>
      </w:pPr>
    </w:p>
    <w:p w14:paraId="335F726A" w14:textId="2189C7BA" w:rsidR="00A03ABC" w:rsidRDefault="00395AE8" w:rsidP="00665616">
      <w:pPr>
        <w:spacing w:after="0" w:line="240" w:lineRule="auto"/>
        <w:ind w:left="0" w:hanging="2"/>
        <w:jc w:val="both"/>
        <w:rPr>
          <w:rFonts w:ascii="Times New Roman" w:eastAsia="Times New Roman" w:hAnsi="Times New Roman" w:cs="Times New Roman"/>
          <w:b/>
          <w:color w:val="000000" w:themeColor="text1"/>
          <w:sz w:val="24"/>
          <w:szCs w:val="24"/>
        </w:rPr>
      </w:pPr>
      <w:r w:rsidRPr="008A0AAF">
        <w:rPr>
          <w:rFonts w:ascii="Times New Roman" w:eastAsia="Times New Roman" w:hAnsi="Times New Roman" w:cs="Times New Roman"/>
          <w:b/>
          <w:color w:val="000000" w:themeColor="text1"/>
          <w:sz w:val="24"/>
          <w:szCs w:val="24"/>
        </w:rPr>
        <w:t xml:space="preserve">Kajian </w:t>
      </w:r>
      <w:r w:rsidR="004E0A04">
        <w:rPr>
          <w:rFonts w:ascii="Times New Roman" w:eastAsia="Times New Roman" w:hAnsi="Times New Roman" w:cs="Times New Roman"/>
          <w:b/>
          <w:color w:val="000000" w:themeColor="text1"/>
          <w:sz w:val="24"/>
          <w:szCs w:val="24"/>
        </w:rPr>
        <w:t>literature</w:t>
      </w:r>
    </w:p>
    <w:p w14:paraId="1D560A39" w14:textId="77777777" w:rsidR="004E0A04" w:rsidRPr="008A0AAF" w:rsidRDefault="004E0A04" w:rsidP="00665616">
      <w:pPr>
        <w:spacing w:after="0" w:line="240" w:lineRule="auto"/>
        <w:ind w:left="0" w:hanging="2"/>
        <w:jc w:val="both"/>
        <w:rPr>
          <w:rFonts w:ascii="Times New Roman" w:eastAsia="Times New Roman" w:hAnsi="Times New Roman" w:cs="Times New Roman"/>
          <w:b/>
          <w:color w:val="000000" w:themeColor="text1"/>
          <w:sz w:val="24"/>
          <w:szCs w:val="24"/>
        </w:rPr>
      </w:pPr>
    </w:p>
    <w:p w14:paraId="6FB52A17" w14:textId="77777777" w:rsidR="005537AB" w:rsidRDefault="005537AB" w:rsidP="00665616">
      <w:pPr>
        <w:spacing w:after="0" w:line="240" w:lineRule="auto"/>
        <w:ind w:left="0" w:hanging="2"/>
        <w:jc w:val="both"/>
        <w:rPr>
          <w:rFonts w:ascii="Times New Roman" w:eastAsia="Times New Roman" w:hAnsi="Times New Roman" w:cs="Times New Roman"/>
          <w:bCs/>
          <w:i/>
          <w:iCs/>
          <w:color w:val="000000" w:themeColor="text1"/>
          <w:sz w:val="24"/>
          <w:szCs w:val="24"/>
        </w:rPr>
      </w:pPr>
      <w:r w:rsidRPr="008A0AAF">
        <w:rPr>
          <w:rFonts w:ascii="Times New Roman" w:eastAsia="Times New Roman" w:hAnsi="Times New Roman" w:cs="Times New Roman"/>
          <w:bCs/>
          <w:i/>
          <w:iCs/>
          <w:color w:val="000000" w:themeColor="text1"/>
          <w:sz w:val="24"/>
          <w:szCs w:val="24"/>
        </w:rPr>
        <w:t>Model PSH</w:t>
      </w:r>
    </w:p>
    <w:p w14:paraId="3DBFDBF3" w14:textId="77777777" w:rsidR="004E0A04" w:rsidRPr="008A0AAF" w:rsidRDefault="004E0A04" w:rsidP="00665616">
      <w:pPr>
        <w:spacing w:after="0" w:line="240" w:lineRule="auto"/>
        <w:ind w:left="0" w:hanging="2"/>
        <w:jc w:val="both"/>
        <w:rPr>
          <w:rFonts w:ascii="Times New Roman" w:eastAsia="Times New Roman" w:hAnsi="Times New Roman" w:cs="Times New Roman"/>
          <w:bCs/>
          <w:i/>
          <w:iCs/>
          <w:color w:val="000000" w:themeColor="text1"/>
          <w:sz w:val="24"/>
          <w:szCs w:val="24"/>
          <w:highlight w:val="white"/>
        </w:rPr>
      </w:pPr>
    </w:p>
    <w:p w14:paraId="141CAF8A" w14:textId="70A67B2F" w:rsidR="00A03ABC" w:rsidRPr="008A0AAF" w:rsidRDefault="008219EA" w:rsidP="00665616">
      <w:pPr>
        <w:spacing w:after="0" w:line="240" w:lineRule="auto"/>
        <w:ind w:leftChars="0" w:left="0" w:firstLineChars="0" w:firstLine="0"/>
        <w:jc w:val="both"/>
        <w:rPr>
          <w:rFonts w:ascii="Times New Roman" w:eastAsia="Times New Roman" w:hAnsi="Times New Roman" w:cs="Times New Roman"/>
          <w:color w:val="000000" w:themeColor="text1"/>
          <w:sz w:val="24"/>
          <w:szCs w:val="24"/>
          <w:highlight w:val="white"/>
        </w:rPr>
      </w:pPr>
      <w:r w:rsidRPr="008A0AAF">
        <w:rPr>
          <w:rFonts w:ascii="Times New Roman" w:eastAsia="Times New Roman" w:hAnsi="Times New Roman" w:cs="Times New Roman"/>
          <w:color w:val="000000" w:themeColor="text1"/>
          <w:sz w:val="24"/>
          <w:szCs w:val="24"/>
        </w:rPr>
        <w:t>Umumnya m</w:t>
      </w:r>
      <w:r w:rsidR="00A03ABC" w:rsidRPr="008A0AAF">
        <w:rPr>
          <w:rFonts w:ascii="Times New Roman" w:eastAsia="Times New Roman" w:hAnsi="Times New Roman" w:cs="Times New Roman"/>
          <w:color w:val="000000" w:themeColor="text1"/>
          <w:sz w:val="24"/>
          <w:szCs w:val="24"/>
        </w:rPr>
        <w:t xml:space="preserve">odel PSH mengutamakan pembelajaran </w:t>
      </w:r>
      <w:r w:rsidR="00690013" w:rsidRPr="008A0AAF">
        <w:rPr>
          <w:rFonts w:ascii="Times New Roman" w:eastAsia="Times New Roman" w:hAnsi="Times New Roman" w:cs="Times New Roman"/>
          <w:color w:val="000000" w:themeColor="text1"/>
          <w:sz w:val="24"/>
          <w:szCs w:val="24"/>
        </w:rPr>
        <w:t xml:space="preserve">pengarahan kendiri </w:t>
      </w:r>
      <w:r w:rsidR="00A03ABC" w:rsidRPr="008A0AAF">
        <w:rPr>
          <w:rFonts w:ascii="Times New Roman" w:eastAsia="Times New Roman" w:hAnsi="Times New Roman" w:cs="Times New Roman"/>
          <w:color w:val="000000" w:themeColor="text1"/>
          <w:sz w:val="24"/>
          <w:szCs w:val="24"/>
        </w:rPr>
        <w:t>dan</w:t>
      </w:r>
      <w:r w:rsidR="00F85D18" w:rsidRPr="008A0AAF">
        <w:rPr>
          <w:rFonts w:ascii="Times New Roman" w:eastAsia="Times New Roman" w:hAnsi="Times New Roman" w:cs="Times New Roman"/>
          <w:color w:val="000000" w:themeColor="text1"/>
          <w:sz w:val="24"/>
          <w:szCs w:val="24"/>
        </w:rPr>
        <w:t xml:space="preserve"> </w:t>
      </w:r>
      <w:r w:rsidR="00690013" w:rsidRPr="008A0AAF">
        <w:rPr>
          <w:rFonts w:ascii="Times New Roman" w:eastAsia="Times New Roman" w:hAnsi="Times New Roman" w:cs="Times New Roman"/>
          <w:color w:val="000000" w:themeColor="text1"/>
          <w:sz w:val="24"/>
          <w:szCs w:val="24"/>
        </w:rPr>
        <w:t xml:space="preserve">penentuan kendiri </w:t>
      </w:r>
      <w:r w:rsidR="00A03ABC" w:rsidRPr="008A0AAF">
        <w:rPr>
          <w:rFonts w:ascii="Times New Roman" w:eastAsia="Times New Roman" w:hAnsi="Times New Roman" w:cs="Times New Roman"/>
          <w:color w:val="000000" w:themeColor="text1"/>
          <w:sz w:val="24"/>
          <w:szCs w:val="24"/>
        </w:rPr>
        <w:t xml:space="preserve">yang mengarahkan </w:t>
      </w:r>
      <w:proofErr w:type="gramStart"/>
      <w:r w:rsidR="00A03ABC" w:rsidRPr="008A0AAF">
        <w:rPr>
          <w:rFonts w:ascii="Times New Roman" w:eastAsia="Times New Roman" w:hAnsi="Times New Roman" w:cs="Times New Roman"/>
          <w:color w:val="000000" w:themeColor="text1"/>
          <w:sz w:val="24"/>
          <w:szCs w:val="24"/>
        </w:rPr>
        <w:t>apa</w:t>
      </w:r>
      <w:proofErr w:type="gramEnd"/>
      <w:r w:rsidR="00A03ABC" w:rsidRPr="008A0AAF">
        <w:rPr>
          <w:rFonts w:ascii="Times New Roman" w:eastAsia="Times New Roman" w:hAnsi="Times New Roman" w:cs="Times New Roman"/>
          <w:color w:val="000000" w:themeColor="text1"/>
          <w:sz w:val="24"/>
          <w:szCs w:val="24"/>
        </w:rPr>
        <w:t xml:space="preserve"> yang perlu dipelajari, bagaimana dipelajari dan di mana perlu dipelajari </w:t>
      </w:r>
      <w:r w:rsidR="00A03ABC" w:rsidRPr="008A0AAF">
        <w:rPr>
          <w:rFonts w:ascii="Times New Roman" w:eastAsia="Times New Roman" w:hAnsi="Times New Roman" w:cs="Times New Roman"/>
          <w:color w:val="000000" w:themeColor="text1"/>
          <w:sz w:val="24"/>
          <w:szCs w:val="24"/>
          <w:highlight w:val="white"/>
        </w:rPr>
        <w:t xml:space="preserve">serta memahaminya dalam memenuhi keperluan profesional </w:t>
      </w:r>
      <w:r w:rsidR="00A03ABC" w:rsidRPr="008A0AAF">
        <w:rPr>
          <w:rFonts w:ascii="Times New Roman" w:eastAsia="Times New Roman" w:hAnsi="Times New Roman" w:cs="Times New Roman"/>
          <w:color w:val="000000" w:themeColor="text1"/>
          <w:sz w:val="24"/>
          <w:szCs w:val="24"/>
        </w:rPr>
        <w:t xml:space="preserve">(Blaschke, 2012; </w:t>
      </w:r>
      <w:r w:rsidR="00A03ABC" w:rsidRPr="008A0AAF">
        <w:rPr>
          <w:rFonts w:ascii="Times New Roman" w:eastAsia="Times New Roman" w:hAnsi="Times New Roman" w:cs="Times New Roman"/>
          <w:color w:val="000000" w:themeColor="text1"/>
          <w:sz w:val="24"/>
          <w:szCs w:val="24"/>
          <w:highlight w:val="white"/>
        </w:rPr>
        <w:t>Qalehsari</w:t>
      </w:r>
      <w:r w:rsidR="00DF137A">
        <w:rPr>
          <w:rFonts w:ascii="Times New Roman" w:eastAsia="Times New Roman" w:hAnsi="Times New Roman" w:cs="Times New Roman"/>
          <w:color w:val="000000" w:themeColor="text1"/>
          <w:sz w:val="24"/>
          <w:szCs w:val="24"/>
          <w:highlight w:val="white"/>
        </w:rPr>
        <w:t xml:space="preserve"> et al., </w:t>
      </w:r>
      <w:r w:rsidR="00A03ABC" w:rsidRPr="008A0AAF">
        <w:rPr>
          <w:rFonts w:ascii="Times New Roman" w:eastAsia="Times New Roman" w:hAnsi="Times New Roman" w:cs="Times New Roman"/>
          <w:color w:val="000000" w:themeColor="text1"/>
          <w:sz w:val="24"/>
          <w:szCs w:val="24"/>
          <w:highlight w:val="white"/>
        </w:rPr>
        <w:t xml:space="preserve">2017). </w:t>
      </w:r>
      <w:r w:rsidRPr="008A0AAF">
        <w:rPr>
          <w:rFonts w:ascii="Times New Roman" w:eastAsia="Times New Roman" w:hAnsi="Times New Roman" w:cs="Times New Roman"/>
          <w:color w:val="000000" w:themeColor="text1"/>
          <w:sz w:val="24"/>
          <w:szCs w:val="24"/>
          <w:highlight w:val="white"/>
        </w:rPr>
        <w:t>Model ini menekankan peningk</w:t>
      </w:r>
      <w:r w:rsidR="00C1509E" w:rsidRPr="008A0AAF">
        <w:rPr>
          <w:rFonts w:ascii="Times New Roman" w:eastAsia="Times New Roman" w:hAnsi="Times New Roman" w:cs="Times New Roman"/>
          <w:color w:val="000000" w:themeColor="text1"/>
          <w:sz w:val="24"/>
          <w:szCs w:val="24"/>
          <w:highlight w:val="white"/>
        </w:rPr>
        <w:t xml:space="preserve">atan kemahiran dan pengetahuan </w:t>
      </w:r>
      <w:r w:rsidRPr="008A0AAF">
        <w:rPr>
          <w:rFonts w:ascii="Times New Roman" w:eastAsia="Times New Roman" w:hAnsi="Times New Roman" w:cs="Times New Roman"/>
          <w:color w:val="000000" w:themeColor="text1"/>
          <w:sz w:val="24"/>
          <w:szCs w:val="24"/>
          <w:highlight w:val="white"/>
        </w:rPr>
        <w:lastRenderedPageBreak/>
        <w:t>dengan bantuan insitusi-insti</w:t>
      </w:r>
      <w:r w:rsidR="00C1509E" w:rsidRPr="008A0AAF">
        <w:rPr>
          <w:rFonts w:ascii="Times New Roman" w:eastAsia="Times New Roman" w:hAnsi="Times New Roman" w:cs="Times New Roman"/>
          <w:color w:val="000000" w:themeColor="text1"/>
          <w:sz w:val="24"/>
          <w:szCs w:val="24"/>
          <w:highlight w:val="white"/>
        </w:rPr>
        <w:t>tusi p</w:t>
      </w:r>
      <w:r w:rsidRPr="008A0AAF">
        <w:rPr>
          <w:rFonts w:ascii="Times New Roman" w:eastAsia="Times New Roman" w:hAnsi="Times New Roman" w:cs="Times New Roman"/>
          <w:color w:val="000000" w:themeColor="text1"/>
          <w:sz w:val="24"/>
          <w:szCs w:val="24"/>
          <w:highlight w:val="white"/>
        </w:rPr>
        <w:t>endidikan (</w:t>
      </w:r>
      <w:r w:rsidR="009B158A" w:rsidRPr="008A0AAF">
        <w:rPr>
          <w:rFonts w:ascii="Times New Roman" w:eastAsia="Times New Roman" w:hAnsi="Times New Roman" w:cs="Times New Roman"/>
          <w:color w:val="000000" w:themeColor="text1"/>
          <w:sz w:val="24"/>
          <w:szCs w:val="24"/>
          <w:highlight w:val="white"/>
        </w:rPr>
        <w:t>A</w:t>
      </w:r>
      <w:r w:rsidRPr="008A0AAF">
        <w:rPr>
          <w:rFonts w:ascii="Times New Roman" w:eastAsia="Times New Roman" w:hAnsi="Times New Roman" w:cs="Times New Roman"/>
          <w:color w:val="000000" w:themeColor="text1"/>
          <w:sz w:val="24"/>
          <w:szCs w:val="24"/>
          <w:highlight w:val="white"/>
        </w:rPr>
        <w:t>llan</w:t>
      </w:r>
      <w:r w:rsidR="008A0AAF">
        <w:rPr>
          <w:rFonts w:ascii="Times New Roman" w:eastAsia="Times New Roman" w:hAnsi="Times New Roman" w:cs="Times New Roman"/>
          <w:color w:val="000000" w:themeColor="text1"/>
          <w:sz w:val="24"/>
          <w:szCs w:val="24"/>
          <w:highlight w:val="white"/>
        </w:rPr>
        <w:t xml:space="preserve"> &amp; Lewis</w:t>
      </w:r>
      <w:r w:rsidRPr="008A0AAF">
        <w:rPr>
          <w:rFonts w:ascii="Times New Roman" w:eastAsia="Times New Roman" w:hAnsi="Times New Roman" w:cs="Times New Roman"/>
          <w:color w:val="000000" w:themeColor="text1"/>
          <w:sz w:val="24"/>
          <w:szCs w:val="24"/>
          <w:highlight w:val="white"/>
        </w:rPr>
        <w:t xml:space="preserve">, 2009). </w:t>
      </w:r>
      <w:r w:rsidR="00A03ABC" w:rsidRPr="008A0AAF">
        <w:rPr>
          <w:rFonts w:ascii="Times New Roman" w:eastAsia="Times New Roman" w:hAnsi="Times New Roman" w:cs="Times New Roman"/>
          <w:color w:val="000000" w:themeColor="text1"/>
          <w:sz w:val="24"/>
          <w:szCs w:val="24"/>
          <w:highlight w:val="white"/>
        </w:rPr>
        <w:t xml:space="preserve">World Bank (2003) telah membandingkan pendekatan pembelajaran tradisional dengan </w:t>
      </w:r>
      <w:r w:rsidR="00C1509E" w:rsidRPr="008A0AAF">
        <w:rPr>
          <w:rFonts w:ascii="Times New Roman" w:eastAsia="Times New Roman" w:hAnsi="Times New Roman" w:cs="Times New Roman"/>
          <w:color w:val="000000" w:themeColor="text1"/>
          <w:sz w:val="24"/>
          <w:szCs w:val="24"/>
          <w:highlight w:val="white"/>
        </w:rPr>
        <w:t>PSH seperti dalam J</w:t>
      </w:r>
      <w:r w:rsidR="00A03ABC" w:rsidRPr="008A0AAF">
        <w:rPr>
          <w:rFonts w:ascii="Times New Roman" w:eastAsia="Times New Roman" w:hAnsi="Times New Roman" w:cs="Times New Roman"/>
          <w:color w:val="000000" w:themeColor="text1"/>
          <w:sz w:val="24"/>
          <w:szCs w:val="24"/>
          <w:highlight w:val="white"/>
        </w:rPr>
        <w:t>adual 1.</w:t>
      </w:r>
    </w:p>
    <w:p w14:paraId="2B870C4A" w14:textId="77777777" w:rsidR="00FF5772" w:rsidRPr="008A0AAF" w:rsidRDefault="00FF5772" w:rsidP="00665616">
      <w:pPr>
        <w:spacing w:after="0" w:line="240" w:lineRule="auto"/>
        <w:ind w:leftChars="0" w:left="0" w:firstLineChars="0" w:firstLine="720"/>
        <w:jc w:val="both"/>
        <w:rPr>
          <w:rFonts w:ascii="Times New Roman" w:eastAsia="Times New Roman" w:hAnsi="Times New Roman" w:cs="Times New Roman"/>
          <w:color w:val="000000" w:themeColor="text1"/>
          <w:sz w:val="24"/>
          <w:szCs w:val="24"/>
          <w:highlight w:val="white"/>
        </w:rPr>
      </w:pPr>
    </w:p>
    <w:p w14:paraId="76EF2D79" w14:textId="77777777" w:rsidR="00A03ABC" w:rsidRDefault="00A03ABC" w:rsidP="00DF137A">
      <w:pPr>
        <w:spacing w:after="0" w:line="240" w:lineRule="auto"/>
        <w:ind w:left="0" w:hanging="2"/>
        <w:jc w:val="center"/>
        <w:rPr>
          <w:rFonts w:ascii="Times New Roman" w:eastAsia="Times New Roman" w:hAnsi="Times New Roman" w:cs="Times New Roman"/>
          <w:color w:val="000000" w:themeColor="text1"/>
          <w:sz w:val="20"/>
          <w:szCs w:val="20"/>
          <w:highlight w:val="white"/>
          <w:lang w:val="es-ES_tradnl"/>
        </w:rPr>
      </w:pPr>
      <w:r w:rsidRPr="00D57F4E">
        <w:rPr>
          <w:rFonts w:ascii="Times New Roman" w:eastAsia="Times New Roman" w:hAnsi="Times New Roman" w:cs="Times New Roman"/>
          <w:b/>
          <w:color w:val="000000" w:themeColor="text1"/>
          <w:sz w:val="20"/>
          <w:szCs w:val="20"/>
          <w:highlight w:val="white"/>
          <w:lang w:val="es-ES_tradnl"/>
        </w:rPr>
        <w:t>Jadual 1.</w:t>
      </w:r>
      <w:r w:rsidRPr="00D57F4E">
        <w:rPr>
          <w:rFonts w:ascii="Times New Roman" w:eastAsia="Times New Roman" w:hAnsi="Times New Roman" w:cs="Times New Roman"/>
          <w:color w:val="000000" w:themeColor="text1"/>
          <w:sz w:val="20"/>
          <w:szCs w:val="20"/>
          <w:highlight w:val="white"/>
          <w:lang w:val="es-ES_tradnl"/>
        </w:rPr>
        <w:t xml:space="preserve"> Perbandingan</w:t>
      </w:r>
      <w:r w:rsidR="00C1509E">
        <w:rPr>
          <w:rFonts w:ascii="Times New Roman" w:eastAsia="Times New Roman" w:hAnsi="Times New Roman" w:cs="Times New Roman"/>
          <w:color w:val="000000" w:themeColor="text1"/>
          <w:sz w:val="20"/>
          <w:szCs w:val="20"/>
          <w:highlight w:val="white"/>
          <w:lang w:val="es-ES_tradnl"/>
        </w:rPr>
        <w:t xml:space="preserve"> pembelajaran t</w:t>
      </w:r>
      <w:r w:rsidRPr="00D57F4E">
        <w:rPr>
          <w:rFonts w:ascii="Times New Roman" w:eastAsia="Times New Roman" w:hAnsi="Times New Roman" w:cs="Times New Roman"/>
          <w:color w:val="000000" w:themeColor="text1"/>
          <w:sz w:val="20"/>
          <w:szCs w:val="20"/>
          <w:highlight w:val="white"/>
          <w:lang w:val="es-ES_tradnl"/>
        </w:rPr>
        <w:t>radisional dan PSH</w:t>
      </w:r>
    </w:p>
    <w:p w14:paraId="3DD0A479" w14:textId="77777777" w:rsidR="00DF137A" w:rsidRPr="00D57F4E" w:rsidRDefault="00DF137A" w:rsidP="00665616">
      <w:pPr>
        <w:spacing w:after="0" w:line="240" w:lineRule="auto"/>
        <w:ind w:left="0" w:hanging="2"/>
        <w:jc w:val="both"/>
        <w:rPr>
          <w:rFonts w:ascii="Times New Roman" w:eastAsia="Times New Roman" w:hAnsi="Times New Roman" w:cs="Times New Roman"/>
          <w:color w:val="000000" w:themeColor="text1"/>
          <w:sz w:val="20"/>
          <w:szCs w:val="20"/>
          <w:highlight w:val="white"/>
          <w:lang w:val="es-ES_tradnl"/>
        </w:rPr>
      </w:pPr>
    </w:p>
    <w:tbl>
      <w:tblPr>
        <w:tblW w:w="9026" w:type="dxa"/>
        <w:tblLayout w:type="fixed"/>
        <w:tblLook w:val="0600" w:firstRow="0" w:lastRow="0" w:firstColumn="0" w:lastColumn="0" w:noHBand="1" w:noVBand="1"/>
      </w:tblPr>
      <w:tblGrid>
        <w:gridCol w:w="4678"/>
        <w:gridCol w:w="4348"/>
      </w:tblGrid>
      <w:tr w:rsidR="00A03ABC" w:rsidRPr="00D57F4E" w14:paraId="25F97E88" w14:textId="77777777" w:rsidTr="00C06CDE">
        <w:tc>
          <w:tcPr>
            <w:tcW w:w="4678" w:type="dxa"/>
            <w:tcBorders>
              <w:top w:val="single" w:sz="4" w:space="0" w:color="auto"/>
              <w:bottom w:val="single" w:sz="4" w:space="0" w:color="auto"/>
            </w:tcBorders>
            <w:shd w:val="clear" w:color="auto" w:fill="95B3D7" w:themeFill="accent1" w:themeFillTint="99"/>
            <w:tcMar>
              <w:top w:w="100" w:type="dxa"/>
              <w:left w:w="100" w:type="dxa"/>
              <w:bottom w:w="100" w:type="dxa"/>
              <w:right w:w="100" w:type="dxa"/>
            </w:tcMar>
          </w:tcPr>
          <w:p w14:paraId="50B07CCF" w14:textId="77777777" w:rsidR="00A03ABC" w:rsidRPr="00C1509E" w:rsidRDefault="00C1509E" w:rsidP="00665616">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Pembelajaran t</w:t>
            </w:r>
            <w:r w:rsidR="00A03ABC" w:rsidRPr="00C1509E">
              <w:rPr>
                <w:rFonts w:ascii="Times New Roman" w:eastAsia="Times New Roman" w:hAnsi="Times New Roman" w:cs="Times New Roman"/>
                <w:b/>
                <w:bCs/>
                <w:color w:val="000000" w:themeColor="text1"/>
                <w:sz w:val="20"/>
                <w:szCs w:val="20"/>
              </w:rPr>
              <w:t>radisional</w:t>
            </w:r>
          </w:p>
        </w:tc>
        <w:tc>
          <w:tcPr>
            <w:tcW w:w="4348" w:type="dxa"/>
            <w:tcBorders>
              <w:top w:val="single" w:sz="4" w:space="0" w:color="auto"/>
              <w:bottom w:val="single" w:sz="4" w:space="0" w:color="auto"/>
            </w:tcBorders>
            <w:shd w:val="clear" w:color="auto" w:fill="95B3D7" w:themeFill="accent1" w:themeFillTint="99"/>
            <w:tcMar>
              <w:top w:w="100" w:type="dxa"/>
              <w:left w:w="100" w:type="dxa"/>
              <w:bottom w:w="100" w:type="dxa"/>
              <w:right w:w="100" w:type="dxa"/>
            </w:tcMar>
          </w:tcPr>
          <w:p w14:paraId="1DB0E2CC" w14:textId="77777777" w:rsidR="00A03ABC" w:rsidRPr="00C1509E" w:rsidRDefault="00A03ABC" w:rsidP="00665616">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themeColor="text1"/>
                <w:sz w:val="20"/>
                <w:szCs w:val="20"/>
              </w:rPr>
            </w:pPr>
            <w:r w:rsidRPr="00C1509E">
              <w:rPr>
                <w:rFonts w:ascii="Times New Roman" w:eastAsia="Times New Roman" w:hAnsi="Times New Roman" w:cs="Times New Roman"/>
                <w:b/>
                <w:bCs/>
                <w:color w:val="000000" w:themeColor="text1"/>
                <w:sz w:val="20"/>
                <w:szCs w:val="20"/>
              </w:rPr>
              <w:t>Pembelajaran sepanjang hayat</w:t>
            </w:r>
          </w:p>
        </w:tc>
      </w:tr>
      <w:tr w:rsidR="00A03ABC" w:rsidRPr="00D57F4E" w14:paraId="0978AD6D" w14:textId="77777777" w:rsidTr="00C06CDE">
        <w:tc>
          <w:tcPr>
            <w:tcW w:w="4678" w:type="dxa"/>
            <w:tcBorders>
              <w:top w:val="single" w:sz="4" w:space="0" w:color="auto"/>
            </w:tcBorders>
            <w:shd w:val="clear" w:color="auto" w:fill="auto"/>
            <w:tcMar>
              <w:top w:w="100" w:type="dxa"/>
              <w:left w:w="100" w:type="dxa"/>
              <w:bottom w:w="100" w:type="dxa"/>
              <w:right w:w="100" w:type="dxa"/>
            </w:tcMar>
          </w:tcPr>
          <w:p w14:paraId="6F77F9C0" w14:textId="77777777" w:rsidR="00A03ABC" w:rsidRPr="00D57F4E" w:rsidRDefault="00A03ABC" w:rsidP="00665616">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sz w:val="20"/>
                <w:szCs w:val="20"/>
                <w:highlight w:val="white"/>
              </w:rPr>
            </w:pPr>
            <w:r w:rsidRPr="00D57F4E">
              <w:rPr>
                <w:rFonts w:ascii="Times New Roman" w:eastAsia="Times New Roman" w:hAnsi="Times New Roman" w:cs="Times New Roman"/>
                <w:color w:val="000000" w:themeColor="text1"/>
                <w:sz w:val="20"/>
                <w:szCs w:val="20"/>
                <w:highlight w:val="white"/>
              </w:rPr>
              <w:t>Guru sumber utama pengetahuan</w:t>
            </w:r>
          </w:p>
        </w:tc>
        <w:tc>
          <w:tcPr>
            <w:tcW w:w="4348" w:type="dxa"/>
            <w:tcBorders>
              <w:top w:val="single" w:sz="4" w:space="0" w:color="auto"/>
            </w:tcBorders>
            <w:shd w:val="clear" w:color="auto" w:fill="auto"/>
            <w:tcMar>
              <w:top w:w="100" w:type="dxa"/>
              <w:left w:w="100" w:type="dxa"/>
              <w:bottom w:w="100" w:type="dxa"/>
              <w:right w:w="100" w:type="dxa"/>
            </w:tcMar>
          </w:tcPr>
          <w:p w14:paraId="68B52C7D" w14:textId="77777777" w:rsidR="00A03ABC" w:rsidRPr="00D57F4E" w:rsidRDefault="00A03ABC" w:rsidP="00665616">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sz w:val="20"/>
                <w:szCs w:val="20"/>
                <w:highlight w:val="white"/>
              </w:rPr>
            </w:pPr>
            <w:r w:rsidRPr="00D57F4E">
              <w:rPr>
                <w:rFonts w:ascii="Times New Roman" w:eastAsia="Times New Roman" w:hAnsi="Times New Roman" w:cs="Times New Roman"/>
                <w:color w:val="000000" w:themeColor="text1"/>
                <w:sz w:val="20"/>
                <w:szCs w:val="20"/>
                <w:highlight w:val="white"/>
              </w:rPr>
              <w:t>Pendidik menunjuk sumber-sumber pengetahuan</w:t>
            </w:r>
          </w:p>
        </w:tc>
      </w:tr>
      <w:tr w:rsidR="00A03ABC" w:rsidRPr="00D57F4E" w14:paraId="46D7DE2A" w14:textId="77777777" w:rsidTr="00C06CDE">
        <w:tc>
          <w:tcPr>
            <w:tcW w:w="4678" w:type="dxa"/>
            <w:shd w:val="clear" w:color="auto" w:fill="auto"/>
            <w:tcMar>
              <w:top w:w="100" w:type="dxa"/>
              <w:left w:w="100" w:type="dxa"/>
              <w:bottom w:w="100" w:type="dxa"/>
              <w:right w:w="100" w:type="dxa"/>
            </w:tcMar>
          </w:tcPr>
          <w:p w14:paraId="75A1E54B" w14:textId="77777777" w:rsidR="00A03ABC" w:rsidRPr="00D57F4E" w:rsidRDefault="00A03ABC" w:rsidP="00665616">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sz w:val="20"/>
                <w:szCs w:val="20"/>
                <w:highlight w:val="white"/>
                <w:lang w:val="es-ES_tradnl"/>
              </w:rPr>
            </w:pPr>
            <w:r w:rsidRPr="00D57F4E">
              <w:rPr>
                <w:rFonts w:ascii="Times New Roman" w:eastAsia="Times New Roman" w:hAnsi="Times New Roman" w:cs="Times New Roman"/>
                <w:color w:val="000000" w:themeColor="text1"/>
                <w:sz w:val="20"/>
                <w:szCs w:val="20"/>
                <w:highlight w:val="white"/>
                <w:lang w:val="es-ES_tradnl"/>
              </w:rPr>
              <w:t>Pelajar menerima pengetahuan dari guru</w:t>
            </w:r>
          </w:p>
        </w:tc>
        <w:tc>
          <w:tcPr>
            <w:tcW w:w="4348" w:type="dxa"/>
            <w:shd w:val="clear" w:color="auto" w:fill="auto"/>
            <w:tcMar>
              <w:top w:w="100" w:type="dxa"/>
              <w:left w:w="100" w:type="dxa"/>
              <w:bottom w:w="100" w:type="dxa"/>
              <w:right w:w="100" w:type="dxa"/>
            </w:tcMar>
          </w:tcPr>
          <w:p w14:paraId="5EE65F03" w14:textId="77777777" w:rsidR="00A03ABC" w:rsidRPr="00D57F4E" w:rsidRDefault="00A03ABC" w:rsidP="00665616">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sz w:val="20"/>
                <w:szCs w:val="20"/>
                <w:highlight w:val="white"/>
              </w:rPr>
            </w:pPr>
            <w:r w:rsidRPr="00D57F4E">
              <w:rPr>
                <w:rFonts w:ascii="Times New Roman" w:eastAsia="Times New Roman" w:hAnsi="Times New Roman" w:cs="Times New Roman"/>
                <w:color w:val="000000" w:themeColor="text1"/>
                <w:sz w:val="20"/>
                <w:szCs w:val="20"/>
                <w:highlight w:val="white"/>
              </w:rPr>
              <w:t>Belajar melalui tingkah</w:t>
            </w:r>
            <w:r w:rsidR="00F85D18" w:rsidRPr="00D57F4E">
              <w:rPr>
                <w:rFonts w:ascii="Times New Roman" w:eastAsia="Times New Roman" w:hAnsi="Times New Roman" w:cs="Times New Roman"/>
                <w:color w:val="000000" w:themeColor="text1"/>
                <w:sz w:val="20"/>
                <w:szCs w:val="20"/>
                <w:highlight w:val="white"/>
              </w:rPr>
              <w:t xml:space="preserve"> </w:t>
            </w:r>
            <w:r w:rsidRPr="00D57F4E">
              <w:rPr>
                <w:rFonts w:ascii="Times New Roman" w:eastAsia="Times New Roman" w:hAnsi="Times New Roman" w:cs="Times New Roman"/>
                <w:color w:val="000000" w:themeColor="text1"/>
                <w:sz w:val="20"/>
                <w:szCs w:val="20"/>
                <w:highlight w:val="white"/>
              </w:rPr>
              <w:t>laku</w:t>
            </w:r>
          </w:p>
        </w:tc>
      </w:tr>
      <w:tr w:rsidR="00A03ABC" w:rsidRPr="00D57F4E" w14:paraId="4EA3C1C6" w14:textId="77777777" w:rsidTr="00C06CDE">
        <w:tc>
          <w:tcPr>
            <w:tcW w:w="4678" w:type="dxa"/>
            <w:shd w:val="clear" w:color="auto" w:fill="auto"/>
            <w:tcMar>
              <w:top w:w="100" w:type="dxa"/>
              <w:left w:w="100" w:type="dxa"/>
              <w:bottom w:w="100" w:type="dxa"/>
              <w:right w:w="100" w:type="dxa"/>
            </w:tcMar>
          </w:tcPr>
          <w:p w14:paraId="6272D68F" w14:textId="77777777" w:rsidR="00A03ABC" w:rsidRPr="00D57F4E" w:rsidRDefault="00A03ABC" w:rsidP="00665616">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sz w:val="20"/>
                <w:szCs w:val="20"/>
                <w:highlight w:val="white"/>
              </w:rPr>
            </w:pPr>
            <w:r w:rsidRPr="00D57F4E">
              <w:rPr>
                <w:rFonts w:ascii="Times New Roman" w:eastAsia="Times New Roman" w:hAnsi="Times New Roman" w:cs="Times New Roman"/>
                <w:color w:val="000000" w:themeColor="text1"/>
                <w:sz w:val="20"/>
                <w:szCs w:val="20"/>
                <w:highlight w:val="white"/>
              </w:rPr>
              <w:t>Belajar melalui diri sendiri</w:t>
            </w:r>
          </w:p>
        </w:tc>
        <w:tc>
          <w:tcPr>
            <w:tcW w:w="4348" w:type="dxa"/>
            <w:shd w:val="clear" w:color="auto" w:fill="auto"/>
            <w:tcMar>
              <w:top w:w="100" w:type="dxa"/>
              <w:left w:w="100" w:type="dxa"/>
              <w:bottom w:w="100" w:type="dxa"/>
              <w:right w:w="100" w:type="dxa"/>
            </w:tcMar>
          </w:tcPr>
          <w:p w14:paraId="6A9E1BF7" w14:textId="77777777" w:rsidR="00A03ABC" w:rsidRPr="00D57F4E" w:rsidRDefault="00A03ABC" w:rsidP="00665616">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sz w:val="20"/>
                <w:szCs w:val="20"/>
                <w:highlight w:val="white"/>
                <w:lang w:val="es-ES_tradnl"/>
              </w:rPr>
            </w:pPr>
            <w:r w:rsidRPr="00D57F4E">
              <w:rPr>
                <w:rFonts w:ascii="Times New Roman" w:eastAsia="Times New Roman" w:hAnsi="Times New Roman" w:cs="Times New Roman"/>
                <w:color w:val="000000" w:themeColor="text1"/>
                <w:sz w:val="20"/>
                <w:szCs w:val="20"/>
                <w:highlight w:val="white"/>
                <w:lang w:val="es-ES_tradnl"/>
              </w:rPr>
              <w:t>Belajar dari orang lain dan dalam kumpulan</w:t>
            </w:r>
          </w:p>
        </w:tc>
      </w:tr>
      <w:tr w:rsidR="00A03ABC" w:rsidRPr="00D57F4E" w14:paraId="77E453D5" w14:textId="77777777" w:rsidTr="00C06CDE">
        <w:tc>
          <w:tcPr>
            <w:tcW w:w="4678" w:type="dxa"/>
            <w:shd w:val="clear" w:color="auto" w:fill="auto"/>
            <w:tcMar>
              <w:top w:w="100" w:type="dxa"/>
              <w:left w:w="100" w:type="dxa"/>
              <w:bottom w:w="100" w:type="dxa"/>
              <w:right w:w="100" w:type="dxa"/>
            </w:tcMar>
          </w:tcPr>
          <w:p w14:paraId="7B4DAA1C" w14:textId="77777777" w:rsidR="00A03ABC" w:rsidRPr="00D57F4E" w:rsidRDefault="00A03ABC" w:rsidP="00665616">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sz w:val="20"/>
                <w:szCs w:val="20"/>
                <w:highlight w:val="white"/>
              </w:rPr>
            </w:pPr>
            <w:r w:rsidRPr="00D57F4E">
              <w:rPr>
                <w:rFonts w:ascii="Times New Roman" w:eastAsia="Times New Roman" w:hAnsi="Times New Roman" w:cs="Times New Roman"/>
                <w:color w:val="000000" w:themeColor="text1"/>
                <w:sz w:val="20"/>
                <w:szCs w:val="20"/>
                <w:highlight w:val="white"/>
              </w:rPr>
              <w:t>Ujian dijadikan pengukur tahap penguasaan kemahiran</w:t>
            </w:r>
          </w:p>
        </w:tc>
        <w:tc>
          <w:tcPr>
            <w:tcW w:w="4348" w:type="dxa"/>
            <w:shd w:val="clear" w:color="auto" w:fill="auto"/>
            <w:tcMar>
              <w:top w:w="100" w:type="dxa"/>
              <w:left w:w="100" w:type="dxa"/>
              <w:bottom w:w="100" w:type="dxa"/>
              <w:right w:w="100" w:type="dxa"/>
            </w:tcMar>
          </w:tcPr>
          <w:p w14:paraId="6D83E490" w14:textId="77777777" w:rsidR="00A03ABC" w:rsidRPr="00D57F4E" w:rsidRDefault="00A03ABC" w:rsidP="00665616">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sz w:val="20"/>
                <w:szCs w:val="20"/>
                <w:highlight w:val="white"/>
              </w:rPr>
            </w:pPr>
            <w:r w:rsidRPr="00D57F4E">
              <w:rPr>
                <w:rFonts w:ascii="Times New Roman" w:eastAsia="Times New Roman" w:hAnsi="Times New Roman" w:cs="Times New Roman"/>
                <w:color w:val="000000" w:themeColor="text1"/>
                <w:sz w:val="20"/>
                <w:szCs w:val="20"/>
                <w:highlight w:val="white"/>
              </w:rPr>
              <w:t>Pentaksiran dijadikan panduan strategi pembelajaran dan masa depan</w:t>
            </w:r>
          </w:p>
        </w:tc>
      </w:tr>
      <w:tr w:rsidR="00A03ABC" w:rsidRPr="00D57F4E" w14:paraId="541937FA" w14:textId="77777777" w:rsidTr="00C06CDE">
        <w:tc>
          <w:tcPr>
            <w:tcW w:w="4678" w:type="dxa"/>
            <w:shd w:val="clear" w:color="auto" w:fill="auto"/>
            <w:tcMar>
              <w:top w:w="100" w:type="dxa"/>
              <w:left w:w="100" w:type="dxa"/>
              <w:bottom w:w="100" w:type="dxa"/>
              <w:right w:w="100" w:type="dxa"/>
            </w:tcMar>
          </w:tcPr>
          <w:p w14:paraId="0D710566" w14:textId="77777777" w:rsidR="00A03ABC" w:rsidRPr="00D57F4E" w:rsidRDefault="00A03ABC" w:rsidP="00665616">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sz w:val="20"/>
                <w:szCs w:val="20"/>
                <w:highlight w:val="white"/>
              </w:rPr>
            </w:pPr>
            <w:r w:rsidRPr="00D57F4E">
              <w:rPr>
                <w:rFonts w:ascii="Times New Roman" w:eastAsia="Times New Roman" w:hAnsi="Times New Roman" w:cs="Times New Roman"/>
                <w:color w:val="000000" w:themeColor="text1"/>
                <w:sz w:val="20"/>
                <w:szCs w:val="20"/>
                <w:highlight w:val="white"/>
              </w:rPr>
              <w:t xml:space="preserve">Guru menerima latihan secara </w:t>
            </w:r>
            <w:r w:rsidRPr="00D57F4E">
              <w:rPr>
                <w:rFonts w:ascii="Times New Roman" w:eastAsia="Times New Roman" w:hAnsi="Times New Roman" w:cs="Times New Roman"/>
                <w:i/>
                <w:iCs/>
                <w:color w:val="000000" w:themeColor="text1"/>
                <w:sz w:val="20"/>
                <w:szCs w:val="20"/>
                <w:highlight w:val="white"/>
              </w:rPr>
              <w:t>ad-hoc</w:t>
            </w:r>
            <w:r w:rsidRPr="00D57F4E">
              <w:rPr>
                <w:rFonts w:ascii="Times New Roman" w:eastAsia="Times New Roman" w:hAnsi="Times New Roman" w:cs="Times New Roman"/>
                <w:color w:val="000000" w:themeColor="text1"/>
                <w:sz w:val="20"/>
                <w:szCs w:val="20"/>
                <w:highlight w:val="white"/>
              </w:rPr>
              <w:t xml:space="preserve"> semasa latihan dalam perk</w:t>
            </w:r>
            <w:r w:rsidR="002877FE" w:rsidRPr="00D57F4E">
              <w:rPr>
                <w:rFonts w:ascii="Times New Roman" w:eastAsia="Times New Roman" w:hAnsi="Times New Roman" w:cs="Times New Roman"/>
                <w:color w:val="000000" w:themeColor="text1"/>
                <w:sz w:val="20"/>
                <w:szCs w:val="20"/>
                <w:highlight w:val="white"/>
              </w:rPr>
              <w:t>h</w:t>
            </w:r>
            <w:r w:rsidRPr="00D57F4E">
              <w:rPr>
                <w:rFonts w:ascii="Times New Roman" w:eastAsia="Times New Roman" w:hAnsi="Times New Roman" w:cs="Times New Roman"/>
                <w:color w:val="000000" w:themeColor="text1"/>
                <w:sz w:val="20"/>
                <w:szCs w:val="20"/>
                <w:highlight w:val="white"/>
              </w:rPr>
              <w:t>idmatan</w:t>
            </w:r>
          </w:p>
        </w:tc>
        <w:tc>
          <w:tcPr>
            <w:tcW w:w="4348" w:type="dxa"/>
            <w:shd w:val="clear" w:color="auto" w:fill="auto"/>
            <w:tcMar>
              <w:top w:w="100" w:type="dxa"/>
              <w:left w:w="100" w:type="dxa"/>
              <w:bottom w:w="100" w:type="dxa"/>
              <w:right w:w="100" w:type="dxa"/>
            </w:tcMar>
          </w:tcPr>
          <w:p w14:paraId="43E8C6A3" w14:textId="77777777" w:rsidR="00A03ABC" w:rsidRPr="00D57F4E" w:rsidRDefault="00A03ABC" w:rsidP="00665616">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sz w:val="20"/>
                <w:szCs w:val="20"/>
                <w:highlight w:val="white"/>
              </w:rPr>
            </w:pPr>
            <w:r w:rsidRPr="00D57F4E">
              <w:rPr>
                <w:rFonts w:ascii="Times New Roman" w:eastAsia="Times New Roman" w:hAnsi="Times New Roman" w:cs="Times New Roman"/>
                <w:color w:val="000000" w:themeColor="text1"/>
                <w:sz w:val="20"/>
                <w:szCs w:val="20"/>
                <w:highlight w:val="white"/>
              </w:rPr>
              <w:t>Pendidik sendiri belajar, latihan dan perkembangan profesional yang berkaitan</w:t>
            </w:r>
          </w:p>
        </w:tc>
      </w:tr>
      <w:tr w:rsidR="00A03ABC" w:rsidRPr="00D57F4E" w14:paraId="0F486CC9" w14:textId="77777777" w:rsidTr="00C06CDE">
        <w:tc>
          <w:tcPr>
            <w:tcW w:w="4678" w:type="dxa"/>
            <w:shd w:val="clear" w:color="auto" w:fill="auto"/>
            <w:tcMar>
              <w:top w:w="100" w:type="dxa"/>
              <w:left w:w="100" w:type="dxa"/>
              <w:bottom w:w="100" w:type="dxa"/>
              <w:right w:w="100" w:type="dxa"/>
            </w:tcMar>
          </w:tcPr>
          <w:p w14:paraId="668546B6" w14:textId="77777777" w:rsidR="00A03ABC" w:rsidRPr="00D57F4E" w:rsidRDefault="00A03ABC" w:rsidP="00665616">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sz w:val="20"/>
                <w:szCs w:val="20"/>
                <w:highlight w:val="white"/>
              </w:rPr>
            </w:pPr>
            <w:r w:rsidRPr="00D57F4E">
              <w:rPr>
                <w:rFonts w:ascii="Times New Roman" w:eastAsia="Times New Roman" w:hAnsi="Times New Roman" w:cs="Times New Roman"/>
                <w:color w:val="000000" w:themeColor="text1"/>
                <w:sz w:val="20"/>
                <w:szCs w:val="20"/>
                <w:highlight w:val="white"/>
              </w:rPr>
              <w:t>Semua pelajar melakukan perkara yang sama</w:t>
            </w:r>
          </w:p>
        </w:tc>
        <w:tc>
          <w:tcPr>
            <w:tcW w:w="4348" w:type="dxa"/>
            <w:shd w:val="clear" w:color="auto" w:fill="auto"/>
            <w:tcMar>
              <w:top w:w="100" w:type="dxa"/>
              <w:left w:w="100" w:type="dxa"/>
              <w:bottom w:w="100" w:type="dxa"/>
              <w:right w:w="100" w:type="dxa"/>
            </w:tcMar>
          </w:tcPr>
          <w:p w14:paraId="21F6AC9B" w14:textId="77777777" w:rsidR="00A03ABC" w:rsidRPr="00D57F4E" w:rsidRDefault="00A03ABC" w:rsidP="00665616">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sz w:val="20"/>
                <w:szCs w:val="20"/>
                <w:highlight w:val="white"/>
              </w:rPr>
            </w:pPr>
            <w:r w:rsidRPr="00D57F4E">
              <w:rPr>
                <w:rFonts w:ascii="Times New Roman" w:eastAsia="Times New Roman" w:hAnsi="Times New Roman" w:cs="Times New Roman"/>
                <w:color w:val="000000" w:themeColor="text1"/>
                <w:sz w:val="20"/>
                <w:szCs w:val="20"/>
                <w:highlight w:val="white"/>
              </w:rPr>
              <w:t>Setiap individu merancang pembelajarannya</w:t>
            </w:r>
          </w:p>
        </w:tc>
      </w:tr>
      <w:tr w:rsidR="00A03ABC" w:rsidRPr="00D57F4E" w14:paraId="55D3DCA3" w14:textId="77777777" w:rsidTr="00C06CDE">
        <w:tc>
          <w:tcPr>
            <w:tcW w:w="4678" w:type="dxa"/>
            <w:tcBorders>
              <w:bottom w:val="single" w:sz="4" w:space="0" w:color="auto"/>
            </w:tcBorders>
            <w:shd w:val="clear" w:color="auto" w:fill="auto"/>
            <w:tcMar>
              <w:top w:w="100" w:type="dxa"/>
              <w:left w:w="100" w:type="dxa"/>
              <w:bottom w:w="100" w:type="dxa"/>
              <w:right w:w="100" w:type="dxa"/>
            </w:tcMar>
          </w:tcPr>
          <w:p w14:paraId="68821084" w14:textId="77777777" w:rsidR="00A03ABC" w:rsidRPr="00D57F4E" w:rsidRDefault="00A03ABC" w:rsidP="00665616">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sz w:val="20"/>
                <w:szCs w:val="20"/>
                <w:highlight w:val="white"/>
              </w:rPr>
            </w:pPr>
            <w:r w:rsidRPr="00D57F4E">
              <w:rPr>
                <w:rFonts w:ascii="Times New Roman" w:eastAsia="Times New Roman" w:hAnsi="Times New Roman" w:cs="Times New Roman"/>
                <w:color w:val="000000" w:themeColor="text1"/>
                <w:sz w:val="20"/>
                <w:szCs w:val="20"/>
                <w:highlight w:val="white"/>
              </w:rPr>
              <w:t>Pelajar yang baik mengindinfikasikan</w:t>
            </w:r>
            <w:r w:rsidR="002877FE" w:rsidRPr="00D57F4E">
              <w:rPr>
                <w:rFonts w:ascii="Times New Roman" w:eastAsia="Times New Roman" w:hAnsi="Times New Roman" w:cs="Times New Roman"/>
                <w:color w:val="000000" w:themeColor="text1"/>
                <w:sz w:val="20"/>
                <w:szCs w:val="20"/>
                <w:highlight w:val="white"/>
              </w:rPr>
              <w:t xml:space="preserve"> </w:t>
            </w:r>
            <w:r w:rsidRPr="00D57F4E">
              <w:rPr>
                <w:rFonts w:ascii="Times New Roman" w:eastAsia="Times New Roman" w:hAnsi="Times New Roman" w:cs="Times New Roman"/>
                <w:color w:val="000000" w:themeColor="text1"/>
                <w:sz w:val="20"/>
                <w:szCs w:val="20"/>
                <w:highlight w:val="white"/>
              </w:rPr>
              <w:t>pembelajarannya</w:t>
            </w:r>
          </w:p>
        </w:tc>
        <w:tc>
          <w:tcPr>
            <w:tcW w:w="4348" w:type="dxa"/>
            <w:tcBorders>
              <w:bottom w:val="single" w:sz="4" w:space="0" w:color="auto"/>
            </w:tcBorders>
            <w:shd w:val="clear" w:color="auto" w:fill="auto"/>
            <w:tcMar>
              <w:top w:w="100" w:type="dxa"/>
              <w:left w:w="100" w:type="dxa"/>
              <w:bottom w:w="100" w:type="dxa"/>
              <w:right w:w="100" w:type="dxa"/>
            </w:tcMar>
          </w:tcPr>
          <w:p w14:paraId="60C08C51" w14:textId="77777777" w:rsidR="00A03ABC" w:rsidRPr="00D57F4E" w:rsidRDefault="00A03ABC" w:rsidP="00665616">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sz w:val="20"/>
                <w:szCs w:val="20"/>
                <w:highlight w:val="white"/>
              </w:rPr>
            </w:pPr>
            <w:r w:rsidRPr="00D57F4E">
              <w:rPr>
                <w:rFonts w:ascii="Times New Roman" w:eastAsia="Times New Roman" w:hAnsi="Times New Roman" w:cs="Times New Roman"/>
                <w:color w:val="000000" w:themeColor="text1"/>
                <w:sz w:val="20"/>
                <w:szCs w:val="20"/>
                <w:highlight w:val="white"/>
              </w:rPr>
              <w:t>Mengakses peluang pembelajaran sepanjang hayat</w:t>
            </w:r>
          </w:p>
        </w:tc>
      </w:tr>
    </w:tbl>
    <w:p w14:paraId="3BC4318E" w14:textId="35835781" w:rsidR="00A03ABC" w:rsidRDefault="00A03ABC" w:rsidP="00665616">
      <w:pPr>
        <w:spacing w:after="0" w:line="240" w:lineRule="auto"/>
        <w:ind w:left="0" w:hanging="2"/>
        <w:jc w:val="both"/>
        <w:rPr>
          <w:rFonts w:ascii="Times New Roman" w:eastAsia="Times New Roman" w:hAnsi="Times New Roman" w:cs="Times New Roman"/>
          <w:color w:val="000000" w:themeColor="text1"/>
          <w:sz w:val="20"/>
          <w:szCs w:val="20"/>
          <w:highlight w:val="white"/>
        </w:rPr>
      </w:pPr>
      <w:r w:rsidRPr="00D57F4E">
        <w:rPr>
          <w:rFonts w:ascii="Times New Roman" w:eastAsia="Times New Roman" w:hAnsi="Times New Roman" w:cs="Times New Roman"/>
          <w:color w:val="000000" w:themeColor="text1"/>
          <w:sz w:val="20"/>
          <w:szCs w:val="20"/>
          <w:highlight w:val="white"/>
        </w:rPr>
        <w:t>Sumber: World Bank</w:t>
      </w:r>
      <w:r w:rsidR="00862C22">
        <w:rPr>
          <w:rFonts w:ascii="Times New Roman" w:eastAsia="Times New Roman" w:hAnsi="Times New Roman" w:cs="Times New Roman"/>
          <w:color w:val="000000" w:themeColor="text1"/>
          <w:sz w:val="20"/>
          <w:szCs w:val="20"/>
          <w:highlight w:val="white"/>
        </w:rPr>
        <w:t>, 2003</w:t>
      </w:r>
    </w:p>
    <w:p w14:paraId="08428D1A" w14:textId="77777777" w:rsidR="00DF137A" w:rsidRPr="00D57F4E" w:rsidRDefault="00DF137A" w:rsidP="00665616">
      <w:pPr>
        <w:spacing w:after="0" w:line="240" w:lineRule="auto"/>
        <w:ind w:left="0" w:hanging="2"/>
        <w:jc w:val="both"/>
        <w:rPr>
          <w:rFonts w:ascii="Times New Roman" w:eastAsia="Times New Roman" w:hAnsi="Times New Roman" w:cs="Times New Roman"/>
          <w:color w:val="000000" w:themeColor="text1"/>
          <w:sz w:val="20"/>
          <w:szCs w:val="20"/>
          <w:highlight w:val="white"/>
        </w:rPr>
      </w:pPr>
    </w:p>
    <w:p w14:paraId="70ADF457" w14:textId="77777777" w:rsidR="00A03ABC" w:rsidRPr="00D57F4E" w:rsidRDefault="00A03ABC" w:rsidP="00665616">
      <w:pPr>
        <w:spacing w:after="0" w:line="240" w:lineRule="auto"/>
        <w:ind w:leftChars="0" w:left="0" w:firstLineChars="0" w:firstLine="720"/>
        <w:jc w:val="both"/>
        <w:rPr>
          <w:rFonts w:ascii="Times New Roman" w:eastAsia="Times New Roman" w:hAnsi="Times New Roman" w:cs="Times New Roman"/>
          <w:color w:val="000000" w:themeColor="text1"/>
          <w:sz w:val="24"/>
          <w:szCs w:val="24"/>
        </w:rPr>
      </w:pPr>
      <w:r w:rsidRPr="00D57F4E">
        <w:rPr>
          <w:rFonts w:ascii="Times New Roman" w:eastAsia="Times New Roman" w:hAnsi="Times New Roman" w:cs="Times New Roman"/>
          <w:color w:val="000000" w:themeColor="text1"/>
          <w:sz w:val="24"/>
          <w:szCs w:val="24"/>
        </w:rPr>
        <w:t>Kerajaan Malaysia bersungguh-sungguh memastikan PSH dapat dilaksanakan dengan jayanya. Setiap universiti awam diminta menggiatkan lagi program-program PSH sama ada dalam bentuk jangka pendek atau jangka panjang. Pada masa yang sama akan meningkatkan pendapatan universiti dan membantu masyarakat dalam meningkatkan kemahiran, pengetahuan dan kompetensi terkini, berfokus dan terkehadapan (Mohd Rashid, 2018). Ia juga sekaligus menyokong agenda Transformasi Nasi</w:t>
      </w:r>
      <w:r w:rsidR="00F91A6E" w:rsidRPr="00D57F4E">
        <w:rPr>
          <w:rFonts w:ascii="Times New Roman" w:eastAsia="Times New Roman" w:hAnsi="Times New Roman" w:cs="Times New Roman"/>
          <w:color w:val="000000" w:themeColor="text1"/>
          <w:sz w:val="24"/>
          <w:szCs w:val="24"/>
        </w:rPr>
        <w:t>o</w:t>
      </w:r>
      <w:r w:rsidRPr="00D57F4E">
        <w:rPr>
          <w:rFonts w:ascii="Times New Roman" w:eastAsia="Times New Roman" w:hAnsi="Times New Roman" w:cs="Times New Roman"/>
          <w:color w:val="000000" w:themeColor="text1"/>
          <w:sz w:val="24"/>
          <w:szCs w:val="24"/>
        </w:rPr>
        <w:t>nal 2050 (TN50)</w:t>
      </w:r>
      <w:r w:rsidR="00F91A6E" w:rsidRPr="00D57F4E">
        <w:rPr>
          <w:rFonts w:ascii="Times New Roman" w:eastAsia="Times New Roman" w:hAnsi="Times New Roman" w:cs="Times New Roman"/>
          <w:color w:val="000000" w:themeColor="text1"/>
          <w:sz w:val="24"/>
          <w:szCs w:val="24"/>
        </w:rPr>
        <w:t xml:space="preserve"> </w:t>
      </w:r>
      <w:r w:rsidR="008E5135" w:rsidRPr="00D57F4E">
        <w:rPr>
          <w:rFonts w:ascii="Times New Roman" w:eastAsia="Times New Roman" w:hAnsi="Times New Roman" w:cs="Times New Roman"/>
          <w:color w:val="000000" w:themeColor="text1"/>
          <w:sz w:val="24"/>
          <w:szCs w:val="24"/>
        </w:rPr>
        <w:t>d</w:t>
      </w:r>
      <w:r w:rsidR="00F91A6E" w:rsidRPr="00D57F4E">
        <w:rPr>
          <w:rFonts w:ascii="Times New Roman" w:eastAsia="Times New Roman" w:hAnsi="Times New Roman" w:cs="Times New Roman"/>
          <w:color w:val="000000" w:themeColor="text1"/>
          <w:sz w:val="24"/>
          <w:szCs w:val="24"/>
        </w:rPr>
        <w:t>an Wawasan Kemakmuran Bersama 2030.</w:t>
      </w:r>
      <w:r w:rsidR="00B71CE2" w:rsidRPr="00D57F4E">
        <w:rPr>
          <w:rFonts w:ascii="Times New Roman" w:eastAsia="Times New Roman" w:hAnsi="Times New Roman" w:cs="Times New Roman"/>
          <w:color w:val="000000" w:themeColor="text1"/>
          <w:sz w:val="24"/>
          <w:szCs w:val="24"/>
        </w:rPr>
        <w:t xml:space="preserve"> Beb</w:t>
      </w:r>
      <w:r w:rsidR="002877FE" w:rsidRPr="00D57F4E">
        <w:rPr>
          <w:rFonts w:ascii="Times New Roman" w:eastAsia="Times New Roman" w:hAnsi="Times New Roman" w:cs="Times New Roman"/>
          <w:color w:val="000000" w:themeColor="text1"/>
          <w:sz w:val="24"/>
          <w:szCs w:val="24"/>
        </w:rPr>
        <w:t>e</w:t>
      </w:r>
      <w:r w:rsidR="00B71CE2" w:rsidRPr="00D57F4E">
        <w:rPr>
          <w:rFonts w:ascii="Times New Roman" w:eastAsia="Times New Roman" w:hAnsi="Times New Roman" w:cs="Times New Roman"/>
          <w:color w:val="000000" w:themeColor="text1"/>
          <w:sz w:val="24"/>
          <w:szCs w:val="24"/>
        </w:rPr>
        <w:t>rapa universit</w:t>
      </w:r>
      <w:r w:rsidR="002877FE" w:rsidRPr="00D57F4E">
        <w:rPr>
          <w:rFonts w:ascii="Times New Roman" w:eastAsia="Times New Roman" w:hAnsi="Times New Roman" w:cs="Times New Roman"/>
          <w:color w:val="000000" w:themeColor="text1"/>
          <w:sz w:val="24"/>
          <w:szCs w:val="24"/>
        </w:rPr>
        <w:t>i</w:t>
      </w:r>
      <w:r w:rsidR="00B71CE2" w:rsidRPr="00D57F4E">
        <w:rPr>
          <w:rFonts w:ascii="Times New Roman" w:eastAsia="Times New Roman" w:hAnsi="Times New Roman" w:cs="Times New Roman"/>
          <w:color w:val="000000" w:themeColor="text1"/>
          <w:sz w:val="24"/>
          <w:szCs w:val="24"/>
        </w:rPr>
        <w:t xml:space="preserve"> dan institusi </w:t>
      </w:r>
      <w:r w:rsidR="002877FE" w:rsidRPr="00D57F4E">
        <w:rPr>
          <w:rFonts w:ascii="Times New Roman" w:eastAsia="Times New Roman" w:hAnsi="Times New Roman" w:cs="Times New Roman"/>
          <w:color w:val="000000" w:themeColor="text1"/>
          <w:sz w:val="24"/>
          <w:szCs w:val="24"/>
        </w:rPr>
        <w:t>p</w:t>
      </w:r>
      <w:r w:rsidR="00B71CE2" w:rsidRPr="00D57F4E">
        <w:rPr>
          <w:rFonts w:ascii="Times New Roman" w:eastAsia="Times New Roman" w:hAnsi="Times New Roman" w:cs="Times New Roman"/>
          <w:color w:val="000000" w:themeColor="text1"/>
          <w:sz w:val="24"/>
          <w:szCs w:val="24"/>
        </w:rPr>
        <w:t xml:space="preserve">endidikan awam telah menubuhkan dan menjalankan pembeajaran sepanjang hayat. Antaranya Universiti Malaya melalui </w:t>
      </w:r>
      <w:r w:rsidR="00C1509E">
        <w:rPr>
          <w:rFonts w:ascii="Times New Roman" w:eastAsia="Times New Roman" w:hAnsi="Times New Roman" w:cs="Times New Roman"/>
          <w:i/>
          <w:iCs/>
          <w:color w:val="000000" w:themeColor="text1"/>
          <w:sz w:val="24"/>
          <w:szCs w:val="24"/>
        </w:rPr>
        <w:t>Centre of Continuing S</w:t>
      </w:r>
      <w:r w:rsidR="00B71CE2" w:rsidRPr="00D57F4E">
        <w:rPr>
          <w:rFonts w:ascii="Times New Roman" w:eastAsia="Times New Roman" w:hAnsi="Times New Roman" w:cs="Times New Roman"/>
          <w:i/>
          <w:iCs/>
          <w:color w:val="000000" w:themeColor="text1"/>
          <w:sz w:val="24"/>
          <w:szCs w:val="24"/>
        </w:rPr>
        <w:t>tudies</w:t>
      </w:r>
      <w:r w:rsidR="00B71CE2" w:rsidRPr="00D57F4E">
        <w:rPr>
          <w:rFonts w:ascii="Times New Roman" w:eastAsia="Times New Roman" w:hAnsi="Times New Roman" w:cs="Times New Roman"/>
          <w:color w:val="000000" w:themeColor="text1"/>
          <w:sz w:val="24"/>
          <w:szCs w:val="24"/>
        </w:rPr>
        <w:t>, Pusat Pendidikan Berterusan Unversiti Tun Hussein Onn, Pusat Khidmat Masyarakat dan Pendidikan Berterusan Universiti Isla</w:t>
      </w:r>
      <w:r w:rsidR="00C1509E">
        <w:rPr>
          <w:rFonts w:ascii="Times New Roman" w:eastAsia="Times New Roman" w:hAnsi="Times New Roman" w:cs="Times New Roman"/>
          <w:color w:val="000000" w:themeColor="text1"/>
          <w:sz w:val="24"/>
          <w:szCs w:val="24"/>
        </w:rPr>
        <w:t>m Antarabangsa, politeknik dan kolej-kolej k</w:t>
      </w:r>
      <w:r w:rsidR="00B71CE2" w:rsidRPr="00D57F4E">
        <w:rPr>
          <w:rFonts w:ascii="Times New Roman" w:eastAsia="Times New Roman" w:hAnsi="Times New Roman" w:cs="Times New Roman"/>
          <w:color w:val="000000" w:themeColor="text1"/>
          <w:sz w:val="24"/>
          <w:szCs w:val="24"/>
        </w:rPr>
        <w:t>omuniti Malaysia.</w:t>
      </w:r>
    </w:p>
    <w:p w14:paraId="5C83B30D"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4"/>
          <w:szCs w:val="24"/>
        </w:rPr>
      </w:pPr>
    </w:p>
    <w:p w14:paraId="4378E6E5" w14:textId="77777777" w:rsidR="00A03ABC" w:rsidRPr="00D57F4E" w:rsidRDefault="00A03ABC" w:rsidP="00665616">
      <w:pPr>
        <w:spacing w:after="0" w:line="240" w:lineRule="auto"/>
        <w:ind w:left="0" w:hanging="2"/>
        <w:jc w:val="both"/>
        <w:rPr>
          <w:rFonts w:ascii="Times New Roman" w:eastAsia="Times New Roman" w:hAnsi="Times New Roman" w:cs="Times New Roman"/>
          <w:i/>
          <w:color w:val="000000" w:themeColor="text1"/>
          <w:sz w:val="24"/>
          <w:szCs w:val="24"/>
          <w:lang w:val="da-DK"/>
        </w:rPr>
      </w:pPr>
      <w:r w:rsidRPr="00D57F4E">
        <w:rPr>
          <w:rFonts w:ascii="Times New Roman" w:eastAsia="Times New Roman" w:hAnsi="Times New Roman" w:cs="Times New Roman"/>
          <w:i/>
          <w:color w:val="000000" w:themeColor="text1"/>
          <w:sz w:val="24"/>
          <w:szCs w:val="24"/>
          <w:lang w:val="da-DK"/>
        </w:rPr>
        <w:t xml:space="preserve">Latar </w:t>
      </w:r>
      <w:r w:rsidR="00C1509E" w:rsidRPr="00D57F4E">
        <w:rPr>
          <w:rFonts w:ascii="Times New Roman" w:eastAsia="Times New Roman" w:hAnsi="Times New Roman" w:cs="Times New Roman"/>
          <w:i/>
          <w:color w:val="000000" w:themeColor="text1"/>
          <w:sz w:val="24"/>
          <w:szCs w:val="24"/>
          <w:lang w:val="da-DK"/>
        </w:rPr>
        <w:t>teori faktor-faktor mempengaruhi minat</w:t>
      </w:r>
    </w:p>
    <w:p w14:paraId="103EAB9F" w14:textId="77777777" w:rsidR="003E3501" w:rsidRPr="00D57F4E" w:rsidRDefault="003E3501" w:rsidP="00665616">
      <w:pPr>
        <w:spacing w:after="0" w:line="240" w:lineRule="auto"/>
        <w:ind w:left="0" w:hanging="2"/>
        <w:jc w:val="both"/>
        <w:rPr>
          <w:rFonts w:ascii="Times New Roman" w:eastAsia="Times New Roman" w:hAnsi="Times New Roman" w:cs="Times New Roman"/>
          <w:i/>
          <w:color w:val="000000" w:themeColor="text1"/>
          <w:sz w:val="24"/>
          <w:szCs w:val="24"/>
          <w:lang w:val="da-DK"/>
        </w:rPr>
      </w:pPr>
    </w:p>
    <w:p w14:paraId="4F4AB0BA"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4"/>
          <w:szCs w:val="24"/>
          <w:lang w:val="da-DK"/>
        </w:rPr>
      </w:pPr>
      <w:r w:rsidRPr="00D57F4E">
        <w:rPr>
          <w:rFonts w:ascii="Times New Roman" w:eastAsia="Times New Roman" w:hAnsi="Times New Roman" w:cs="Times New Roman"/>
          <w:color w:val="000000" w:themeColor="text1"/>
          <w:sz w:val="24"/>
          <w:szCs w:val="24"/>
          <w:lang w:val="da-DK"/>
        </w:rPr>
        <w:t>Kajian ini berasaskan kepada teori pilihan Glasser (1996). Teori ini menekankan bahawa semakin baik atau tetap pemilihan sesuatu perkara itu akan menjadikan hidup seseorang lebih bermakna. Menurutnya lagi bahawa sebarang tingkah</w:t>
      </w:r>
      <w:r w:rsidR="00F85D18" w:rsidRPr="00D57F4E">
        <w:rPr>
          <w:rFonts w:ascii="Times New Roman" w:eastAsia="Times New Roman" w:hAnsi="Times New Roman" w:cs="Times New Roman"/>
          <w:color w:val="000000" w:themeColor="text1"/>
          <w:sz w:val="24"/>
          <w:szCs w:val="24"/>
          <w:lang w:val="da-DK"/>
        </w:rPr>
        <w:t xml:space="preserve"> </w:t>
      </w:r>
      <w:r w:rsidRPr="00D57F4E">
        <w:rPr>
          <w:rFonts w:ascii="Times New Roman" w:eastAsia="Times New Roman" w:hAnsi="Times New Roman" w:cs="Times New Roman"/>
          <w:color w:val="000000" w:themeColor="text1"/>
          <w:sz w:val="24"/>
          <w:szCs w:val="24"/>
          <w:lang w:val="da-DK"/>
        </w:rPr>
        <w:t>laku yang ditunjukkan berasal dari dalam dirinya (Glasser</w:t>
      </w:r>
      <w:r w:rsidR="00C1509E">
        <w:rPr>
          <w:rFonts w:ascii="Times New Roman" w:eastAsia="Times New Roman" w:hAnsi="Times New Roman" w:cs="Times New Roman"/>
          <w:color w:val="000000" w:themeColor="text1"/>
          <w:sz w:val="24"/>
          <w:szCs w:val="24"/>
          <w:lang w:val="da-DK"/>
        </w:rPr>
        <w:t>,</w:t>
      </w:r>
      <w:r w:rsidRPr="00D57F4E">
        <w:rPr>
          <w:rFonts w:ascii="Times New Roman" w:eastAsia="Times New Roman" w:hAnsi="Times New Roman" w:cs="Times New Roman"/>
          <w:color w:val="000000" w:themeColor="text1"/>
          <w:sz w:val="24"/>
          <w:szCs w:val="24"/>
          <w:lang w:val="da-DK"/>
        </w:rPr>
        <w:t xml:space="preserve"> 1997). Teori ini membantu seseorang untuk mengawal dan memimpin diri mengenal</w:t>
      </w:r>
      <w:r w:rsidR="00C1509E">
        <w:rPr>
          <w:rFonts w:ascii="Times New Roman" w:eastAsia="Times New Roman" w:hAnsi="Times New Roman" w:cs="Times New Roman"/>
          <w:color w:val="000000" w:themeColor="text1"/>
          <w:sz w:val="24"/>
          <w:szCs w:val="24"/>
          <w:lang w:val="da-DK"/>
        </w:rPr>
        <w:t xml:space="preserve"> </w:t>
      </w:r>
      <w:r w:rsidRPr="00D57F4E">
        <w:rPr>
          <w:rFonts w:ascii="Times New Roman" w:eastAsia="Times New Roman" w:hAnsi="Times New Roman" w:cs="Times New Roman"/>
          <w:color w:val="000000" w:themeColor="text1"/>
          <w:sz w:val="24"/>
          <w:szCs w:val="24"/>
          <w:lang w:val="da-DK"/>
        </w:rPr>
        <w:t>pasti tingkah</w:t>
      </w:r>
      <w:r w:rsidR="00C1509E">
        <w:rPr>
          <w:rFonts w:ascii="Times New Roman" w:eastAsia="Times New Roman" w:hAnsi="Times New Roman" w:cs="Times New Roman"/>
          <w:color w:val="000000" w:themeColor="text1"/>
          <w:sz w:val="24"/>
          <w:szCs w:val="24"/>
          <w:lang w:val="da-DK"/>
        </w:rPr>
        <w:t xml:space="preserve"> </w:t>
      </w:r>
      <w:r w:rsidRPr="00D57F4E">
        <w:rPr>
          <w:rFonts w:ascii="Times New Roman" w:eastAsia="Times New Roman" w:hAnsi="Times New Roman" w:cs="Times New Roman"/>
          <w:color w:val="000000" w:themeColor="text1"/>
          <w:sz w:val="24"/>
          <w:szCs w:val="24"/>
          <w:lang w:val="da-DK"/>
        </w:rPr>
        <w:t xml:space="preserve">laku yang berkesan bagi mencapai matlamat hidup akan datang. </w:t>
      </w:r>
    </w:p>
    <w:p w14:paraId="7F6AB1B9" w14:textId="77777777" w:rsidR="00A03ABC" w:rsidRPr="00D57F4E" w:rsidRDefault="00A03ABC" w:rsidP="00665616">
      <w:pPr>
        <w:spacing w:after="0" w:line="240" w:lineRule="auto"/>
        <w:ind w:leftChars="0" w:left="0" w:firstLineChars="0" w:firstLine="720"/>
        <w:jc w:val="both"/>
        <w:rPr>
          <w:rFonts w:ascii="Times New Roman" w:eastAsia="Times New Roman" w:hAnsi="Times New Roman" w:cs="Times New Roman"/>
          <w:color w:val="000000" w:themeColor="text1"/>
          <w:sz w:val="24"/>
          <w:szCs w:val="24"/>
          <w:lang w:val="da-DK"/>
        </w:rPr>
      </w:pPr>
      <w:r w:rsidRPr="00D57F4E">
        <w:rPr>
          <w:rFonts w:ascii="Times New Roman" w:eastAsia="Times New Roman" w:hAnsi="Times New Roman" w:cs="Times New Roman"/>
          <w:color w:val="000000" w:themeColor="text1"/>
          <w:sz w:val="24"/>
          <w:szCs w:val="24"/>
          <w:lang w:val="da-DK"/>
        </w:rPr>
        <w:t>Namun</w:t>
      </w:r>
      <w:r w:rsidR="00C1509E">
        <w:rPr>
          <w:rFonts w:ascii="Times New Roman" w:eastAsia="Times New Roman" w:hAnsi="Times New Roman" w:cs="Times New Roman"/>
          <w:color w:val="000000" w:themeColor="text1"/>
          <w:sz w:val="24"/>
          <w:szCs w:val="24"/>
          <w:lang w:val="da-DK"/>
        </w:rPr>
        <w:t>,</w:t>
      </w:r>
      <w:r w:rsidRPr="00D57F4E">
        <w:rPr>
          <w:rFonts w:ascii="Times New Roman" w:eastAsia="Times New Roman" w:hAnsi="Times New Roman" w:cs="Times New Roman"/>
          <w:color w:val="000000" w:themeColor="text1"/>
          <w:sz w:val="24"/>
          <w:szCs w:val="24"/>
          <w:lang w:val="da-DK"/>
        </w:rPr>
        <w:t xml:space="preserve"> segala tingkah</w:t>
      </w:r>
      <w:r w:rsidR="00C1509E">
        <w:rPr>
          <w:rFonts w:ascii="Times New Roman" w:eastAsia="Times New Roman" w:hAnsi="Times New Roman" w:cs="Times New Roman"/>
          <w:color w:val="000000" w:themeColor="text1"/>
          <w:sz w:val="24"/>
          <w:szCs w:val="24"/>
          <w:lang w:val="da-DK"/>
        </w:rPr>
        <w:t xml:space="preserve"> </w:t>
      </w:r>
      <w:r w:rsidRPr="00D57F4E">
        <w:rPr>
          <w:rFonts w:ascii="Times New Roman" w:eastAsia="Times New Roman" w:hAnsi="Times New Roman" w:cs="Times New Roman"/>
          <w:color w:val="000000" w:themeColor="text1"/>
          <w:sz w:val="24"/>
          <w:szCs w:val="24"/>
          <w:lang w:val="da-DK"/>
        </w:rPr>
        <w:t>laku ini boleh dikawal sama ada melalui tindakan (</w:t>
      </w:r>
      <w:r w:rsidRPr="00D57F4E">
        <w:rPr>
          <w:rFonts w:ascii="Times New Roman" w:eastAsia="Times New Roman" w:hAnsi="Times New Roman" w:cs="Times New Roman"/>
          <w:i/>
          <w:iCs/>
          <w:color w:val="000000" w:themeColor="text1"/>
          <w:sz w:val="24"/>
          <w:szCs w:val="24"/>
          <w:lang w:val="da-DK"/>
        </w:rPr>
        <w:t>acting</w:t>
      </w:r>
      <w:r w:rsidRPr="00D57F4E">
        <w:rPr>
          <w:rFonts w:ascii="Times New Roman" w:eastAsia="Times New Roman" w:hAnsi="Times New Roman" w:cs="Times New Roman"/>
          <w:color w:val="000000" w:themeColor="text1"/>
          <w:sz w:val="24"/>
          <w:szCs w:val="24"/>
          <w:lang w:val="da-DK"/>
        </w:rPr>
        <w:t>) atau pemikiran (</w:t>
      </w:r>
      <w:r w:rsidRPr="00D57F4E">
        <w:rPr>
          <w:rFonts w:ascii="Times New Roman" w:eastAsia="Times New Roman" w:hAnsi="Times New Roman" w:cs="Times New Roman"/>
          <w:i/>
          <w:iCs/>
          <w:color w:val="000000" w:themeColor="text1"/>
          <w:sz w:val="24"/>
          <w:szCs w:val="24"/>
          <w:lang w:val="da-DK"/>
        </w:rPr>
        <w:t>thinking</w:t>
      </w:r>
      <w:r w:rsidRPr="00D57F4E">
        <w:rPr>
          <w:rFonts w:ascii="Times New Roman" w:eastAsia="Times New Roman" w:hAnsi="Times New Roman" w:cs="Times New Roman"/>
          <w:color w:val="000000" w:themeColor="text1"/>
          <w:sz w:val="24"/>
          <w:szCs w:val="24"/>
          <w:lang w:val="da-DK"/>
        </w:rPr>
        <w:t>). Dalam konteks kajian ini pemilihan merupakan tingkah</w:t>
      </w:r>
      <w:r w:rsidR="00F91A6E" w:rsidRPr="00D57F4E">
        <w:rPr>
          <w:rFonts w:ascii="Times New Roman" w:eastAsia="Times New Roman" w:hAnsi="Times New Roman" w:cs="Times New Roman"/>
          <w:color w:val="000000" w:themeColor="text1"/>
          <w:sz w:val="24"/>
          <w:szCs w:val="24"/>
          <w:lang w:val="da-DK"/>
        </w:rPr>
        <w:t xml:space="preserve"> </w:t>
      </w:r>
      <w:r w:rsidRPr="00D57F4E">
        <w:rPr>
          <w:rFonts w:ascii="Times New Roman" w:eastAsia="Times New Roman" w:hAnsi="Times New Roman" w:cs="Times New Roman"/>
          <w:color w:val="000000" w:themeColor="text1"/>
          <w:sz w:val="24"/>
          <w:szCs w:val="24"/>
          <w:lang w:val="da-DK"/>
        </w:rPr>
        <w:t>laku yang menimbulkan minat kepada sesuatu perkara yang diingini. Minat dikonsepkan sebagai kecenderungan memberi</w:t>
      </w:r>
      <w:r w:rsidR="00C1509E">
        <w:rPr>
          <w:rFonts w:ascii="Times New Roman" w:eastAsia="Times New Roman" w:hAnsi="Times New Roman" w:cs="Times New Roman"/>
          <w:color w:val="000000" w:themeColor="text1"/>
          <w:sz w:val="24"/>
          <w:szCs w:val="24"/>
          <w:lang w:val="da-DK"/>
        </w:rPr>
        <w:t xml:space="preserve"> perhatian, kesukaan, tertarik </w:t>
      </w:r>
      <w:r w:rsidRPr="00D57F4E">
        <w:rPr>
          <w:rFonts w:ascii="Times New Roman" w:eastAsia="Times New Roman" w:hAnsi="Times New Roman" w:cs="Times New Roman"/>
          <w:color w:val="000000" w:themeColor="text1"/>
          <w:sz w:val="24"/>
          <w:szCs w:val="24"/>
          <w:lang w:val="da-DK"/>
        </w:rPr>
        <w:t>dan me</w:t>
      </w:r>
      <w:r w:rsidR="00C1509E">
        <w:rPr>
          <w:rFonts w:ascii="Times New Roman" w:eastAsia="Times New Roman" w:hAnsi="Times New Roman" w:cs="Times New Roman"/>
          <w:color w:val="000000" w:themeColor="text1"/>
          <w:sz w:val="24"/>
          <w:szCs w:val="24"/>
          <w:lang w:val="da-DK"/>
        </w:rPr>
        <w:t xml:space="preserve">milih kepada sesuatu (Xihe Zhu &amp; </w:t>
      </w:r>
      <w:r w:rsidRPr="00D57F4E">
        <w:rPr>
          <w:rFonts w:ascii="Times New Roman" w:eastAsia="Times New Roman" w:hAnsi="Times New Roman" w:cs="Times New Roman"/>
          <w:color w:val="000000" w:themeColor="text1"/>
          <w:sz w:val="24"/>
          <w:szCs w:val="24"/>
          <w:lang w:val="da-DK"/>
        </w:rPr>
        <w:t>Senlin Chen</w:t>
      </w:r>
      <w:r w:rsidR="009B158A" w:rsidRPr="00D57F4E">
        <w:rPr>
          <w:rFonts w:ascii="Times New Roman" w:eastAsia="Times New Roman" w:hAnsi="Times New Roman" w:cs="Times New Roman"/>
          <w:color w:val="000000" w:themeColor="text1"/>
          <w:sz w:val="24"/>
          <w:szCs w:val="24"/>
          <w:lang w:val="da-DK"/>
        </w:rPr>
        <w:t xml:space="preserve">, </w:t>
      </w:r>
      <w:r w:rsidRPr="00D57F4E">
        <w:rPr>
          <w:rFonts w:ascii="Times New Roman" w:eastAsia="Times New Roman" w:hAnsi="Times New Roman" w:cs="Times New Roman"/>
          <w:color w:val="000000" w:themeColor="text1"/>
          <w:sz w:val="24"/>
          <w:szCs w:val="24"/>
          <w:lang w:val="da-DK"/>
        </w:rPr>
        <w:t xml:space="preserve">2017). Minat </w:t>
      </w:r>
      <w:r w:rsidR="00F91A6E" w:rsidRPr="00D57F4E">
        <w:rPr>
          <w:rFonts w:ascii="Times New Roman" w:eastAsia="Times New Roman" w:hAnsi="Times New Roman" w:cs="Times New Roman"/>
          <w:color w:val="000000" w:themeColor="text1"/>
          <w:sz w:val="24"/>
          <w:szCs w:val="24"/>
          <w:lang w:val="da-DK"/>
        </w:rPr>
        <w:t xml:space="preserve">wujud </w:t>
      </w:r>
      <w:r w:rsidRPr="00D57F4E">
        <w:rPr>
          <w:rFonts w:ascii="Times New Roman" w:eastAsia="Times New Roman" w:hAnsi="Times New Roman" w:cs="Times New Roman"/>
          <w:color w:val="000000" w:themeColor="text1"/>
          <w:sz w:val="24"/>
          <w:szCs w:val="24"/>
          <w:lang w:val="da-DK"/>
        </w:rPr>
        <w:t>dari</w:t>
      </w:r>
      <w:r w:rsidR="00F91A6E" w:rsidRPr="00D57F4E">
        <w:rPr>
          <w:rFonts w:ascii="Times New Roman" w:eastAsia="Times New Roman" w:hAnsi="Times New Roman" w:cs="Times New Roman"/>
          <w:color w:val="000000" w:themeColor="text1"/>
          <w:sz w:val="24"/>
          <w:szCs w:val="24"/>
          <w:lang w:val="da-DK"/>
        </w:rPr>
        <w:t>pada</w:t>
      </w:r>
      <w:r w:rsidRPr="00D57F4E">
        <w:rPr>
          <w:rFonts w:ascii="Times New Roman" w:eastAsia="Times New Roman" w:hAnsi="Times New Roman" w:cs="Times New Roman"/>
          <w:color w:val="000000" w:themeColor="text1"/>
          <w:sz w:val="24"/>
          <w:szCs w:val="24"/>
          <w:lang w:val="da-DK"/>
        </w:rPr>
        <w:t xml:space="preserve"> faktor dalam dan luaran diri </w:t>
      </w:r>
      <w:r w:rsidR="00F91A6E" w:rsidRPr="00D57F4E">
        <w:rPr>
          <w:rFonts w:ascii="Times New Roman" w:eastAsia="Times New Roman" w:hAnsi="Times New Roman" w:cs="Times New Roman"/>
          <w:color w:val="000000" w:themeColor="text1"/>
          <w:sz w:val="24"/>
          <w:szCs w:val="24"/>
          <w:lang w:val="da-DK"/>
        </w:rPr>
        <w:t xml:space="preserve">seseorang </w:t>
      </w:r>
      <w:r w:rsidRPr="00D57F4E">
        <w:rPr>
          <w:rFonts w:ascii="Times New Roman" w:eastAsia="Times New Roman" w:hAnsi="Times New Roman" w:cs="Times New Roman"/>
          <w:color w:val="000000" w:themeColor="text1"/>
          <w:sz w:val="24"/>
          <w:szCs w:val="24"/>
          <w:lang w:val="da-DK"/>
        </w:rPr>
        <w:t xml:space="preserve">(Schiefele, 1991). Faktor dalaman diri merujuk kepada keinginan, keseronokan atau suka kepada subjek, topik ataupun aktiviti. Malah minat merupakan elemen penting dalam proses pembelajaran (Ridzwan &amp; Mohamed Nor Azhari, 2016). Manakala faktor luaran diri juga </w:t>
      </w:r>
      <w:r w:rsidRPr="00D57F4E">
        <w:rPr>
          <w:rFonts w:ascii="Times New Roman" w:eastAsia="Times New Roman" w:hAnsi="Times New Roman" w:cs="Times New Roman"/>
          <w:color w:val="000000" w:themeColor="text1"/>
          <w:sz w:val="24"/>
          <w:szCs w:val="24"/>
          <w:lang w:val="da-DK"/>
        </w:rPr>
        <w:lastRenderedPageBreak/>
        <w:t xml:space="preserve">dikenali sebagai faktor situasi yang merupakan persekitaran atau objek berkaitan dengan dirinya secara sedar ataupun tidak. </w:t>
      </w:r>
    </w:p>
    <w:p w14:paraId="3B310476" w14:textId="0F71B3DD" w:rsidR="00A03ABC" w:rsidRPr="00D57F4E" w:rsidRDefault="00A03ABC" w:rsidP="00665616">
      <w:pPr>
        <w:spacing w:after="0" w:line="240" w:lineRule="auto"/>
        <w:ind w:leftChars="0" w:left="0" w:firstLineChars="0" w:firstLine="720"/>
        <w:jc w:val="both"/>
        <w:rPr>
          <w:rFonts w:ascii="Times New Roman" w:eastAsia="Times New Roman" w:hAnsi="Times New Roman" w:cs="Times New Roman"/>
          <w:b/>
          <w:color w:val="000000" w:themeColor="text1"/>
          <w:sz w:val="24"/>
          <w:szCs w:val="24"/>
          <w:lang w:val="da-DK"/>
        </w:rPr>
      </w:pPr>
      <w:r w:rsidRPr="00D57F4E">
        <w:rPr>
          <w:rFonts w:ascii="Times New Roman" w:eastAsia="Times New Roman" w:hAnsi="Times New Roman" w:cs="Times New Roman"/>
          <w:color w:val="000000" w:themeColor="text1"/>
          <w:sz w:val="24"/>
          <w:szCs w:val="24"/>
          <w:lang w:val="da-DK"/>
        </w:rPr>
        <w:t>Faktor kejayaan PSH bergantung kepada ni</w:t>
      </w:r>
      <w:r w:rsidR="00C1509E">
        <w:rPr>
          <w:rFonts w:ascii="Times New Roman" w:eastAsia="Times New Roman" w:hAnsi="Times New Roman" w:cs="Times New Roman"/>
          <w:color w:val="000000" w:themeColor="text1"/>
          <w:sz w:val="24"/>
          <w:szCs w:val="24"/>
          <w:lang w:val="da-DK"/>
        </w:rPr>
        <w:t>lai pembelajaran yang diperoleh</w:t>
      </w:r>
      <w:r w:rsidRPr="00D57F4E">
        <w:rPr>
          <w:rFonts w:ascii="Times New Roman" w:eastAsia="Times New Roman" w:hAnsi="Times New Roman" w:cs="Times New Roman"/>
          <w:color w:val="000000" w:themeColor="text1"/>
          <w:sz w:val="24"/>
          <w:szCs w:val="24"/>
          <w:lang w:val="da-DK"/>
        </w:rPr>
        <w:t>, peluang pendidikan, prasarana penyedia PSH (Godinez, 2010), peranan penyedia PSH bagi menyebar, membuadayakan dan kolaboratif dengan institus</w:t>
      </w:r>
      <w:r w:rsidR="005712A1" w:rsidRPr="00D57F4E">
        <w:rPr>
          <w:rFonts w:ascii="Times New Roman" w:eastAsia="Times New Roman" w:hAnsi="Times New Roman" w:cs="Times New Roman"/>
          <w:color w:val="000000" w:themeColor="text1"/>
          <w:sz w:val="24"/>
          <w:szCs w:val="24"/>
          <w:lang w:val="da-DK"/>
        </w:rPr>
        <w:t>i</w:t>
      </w:r>
      <w:r w:rsidRPr="00D57F4E">
        <w:rPr>
          <w:rFonts w:ascii="Times New Roman" w:eastAsia="Times New Roman" w:hAnsi="Times New Roman" w:cs="Times New Roman"/>
          <w:color w:val="000000" w:themeColor="text1"/>
          <w:sz w:val="24"/>
          <w:szCs w:val="24"/>
          <w:lang w:val="da-DK"/>
        </w:rPr>
        <w:t xml:space="preserve"> lain (Su</w:t>
      </w:r>
      <w:r w:rsidR="00D731CD">
        <w:rPr>
          <w:rFonts w:ascii="Times New Roman" w:eastAsia="Times New Roman" w:hAnsi="Times New Roman" w:cs="Times New Roman"/>
          <w:color w:val="000000" w:themeColor="text1"/>
          <w:sz w:val="24"/>
          <w:szCs w:val="24"/>
          <w:lang w:val="da-DK"/>
        </w:rPr>
        <w:t xml:space="preserve"> et al., </w:t>
      </w:r>
      <w:r w:rsidRPr="00D57F4E">
        <w:rPr>
          <w:rFonts w:ascii="Times New Roman" w:eastAsia="Times New Roman" w:hAnsi="Times New Roman" w:cs="Times New Roman"/>
          <w:color w:val="000000" w:themeColor="text1"/>
          <w:sz w:val="24"/>
          <w:szCs w:val="24"/>
          <w:lang w:val="da-DK"/>
        </w:rPr>
        <w:t>2012). Malah pemindahan dan kepelbagaian teknologi memudahkan menyampaikan pengetahuan dalam pelbagai mod (seperti video, internet dan dan telesidang) bagi memenuhi keperluan pelajar (</w:t>
      </w:r>
      <w:r w:rsidR="00D731CD" w:rsidRPr="00D57F4E">
        <w:rPr>
          <w:rFonts w:ascii="Times New Roman" w:eastAsia="Times New Roman" w:hAnsi="Times New Roman" w:cs="Times New Roman"/>
          <w:color w:val="000000" w:themeColor="text1"/>
          <w:sz w:val="24"/>
          <w:szCs w:val="24"/>
          <w:lang w:val="da-DK"/>
        </w:rPr>
        <w:t>World Bank, 2003</w:t>
      </w:r>
      <w:r w:rsidR="00D731CD">
        <w:rPr>
          <w:rFonts w:ascii="Times New Roman" w:eastAsia="Times New Roman" w:hAnsi="Times New Roman" w:cs="Times New Roman"/>
          <w:color w:val="000000" w:themeColor="text1"/>
          <w:sz w:val="24"/>
          <w:szCs w:val="24"/>
          <w:lang w:val="da-DK"/>
        </w:rPr>
        <w:t>; Blaschke, 2012</w:t>
      </w:r>
      <w:r w:rsidRPr="00D57F4E">
        <w:rPr>
          <w:rFonts w:ascii="Times New Roman" w:eastAsia="Times New Roman" w:hAnsi="Times New Roman" w:cs="Times New Roman"/>
          <w:color w:val="000000" w:themeColor="text1"/>
          <w:sz w:val="24"/>
          <w:szCs w:val="24"/>
          <w:lang w:val="da-DK"/>
        </w:rPr>
        <w:t>). Faktor-faktor ini juga boleh menarik minat dalam mengikuti program PSH.</w:t>
      </w:r>
    </w:p>
    <w:p w14:paraId="6284FF41" w14:textId="7660BD4B" w:rsidR="00A03ABC" w:rsidRPr="00D57F4E" w:rsidRDefault="00A03ABC" w:rsidP="00665616">
      <w:pPr>
        <w:spacing w:after="0" w:line="240" w:lineRule="auto"/>
        <w:ind w:leftChars="0" w:left="0" w:firstLineChars="0" w:firstLine="720"/>
        <w:jc w:val="both"/>
        <w:rPr>
          <w:rFonts w:ascii="Times New Roman" w:eastAsia="Times New Roman" w:hAnsi="Times New Roman" w:cs="Times New Roman"/>
          <w:color w:val="000000" w:themeColor="text1"/>
          <w:sz w:val="24"/>
          <w:szCs w:val="24"/>
          <w:highlight w:val="white"/>
          <w:lang w:val="da-DK"/>
        </w:rPr>
      </w:pPr>
      <w:r w:rsidRPr="00D57F4E">
        <w:rPr>
          <w:rFonts w:ascii="Times New Roman" w:eastAsia="Times New Roman" w:hAnsi="Times New Roman" w:cs="Times New Roman"/>
          <w:color w:val="000000" w:themeColor="text1"/>
          <w:sz w:val="24"/>
          <w:szCs w:val="24"/>
          <w:lang w:val="da-DK"/>
        </w:rPr>
        <w:t>Berdasarkan kajian lepas, menunjukkan terdapat dua kategori utama yang mempengaruhi minat pe</w:t>
      </w:r>
      <w:r w:rsidR="00C1509E">
        <w:rPr>
          <w:rFonts w:ascii="Times New Roman" w:eastAsia="Times New Roman" w:hAnsi="Times New Roman" w:cs="Times New Roman"/>
          <w:color w:val="000000" w:themeColor="text1"/>
          <w:sz w:val="24"/>
          <w:szCs w:val="24"/>
          <w:lang w:val="da-DK"/>
        </w:rPr>
        <w:t>lajar mengikuti program PSH i</w:t>
      </w:r>
      <w:r w:rsidRPr="00D57F4E">
        <w:rPr>
          <w:rFonts w:ascii="Times New Roman" w:eastAsia="Times New Roman" w:hAnsi="Times New Roman" w:cs="Times New Roman"/>
          <w:color w:val="000000" w:themeColor="text1"/>
          <w:sz w:val="24"/>
          <w:szCs w:val="24"/>
          <w:lang w:val="da-DK"/>
        </w:rPr>
        <w:t>aitu faktor kendiri dan faktor institusi. Faktor kendiri meliputi pengingkatan kerjaya, kelayakan akademik, dorongan keluarga dan diri sendiri (Godinez, 2010;</w:t>
      </w:r>
      <w:r w:rsidR="00B66A8E" w:rsidRPr="00D57F4E">
        <w:rPr>
          <w:rFonts w:ascii="Times New Roman" w:eastAsia="Times New Roman" w:hAnsi="Times New Roman" w:cs="Times New Roman"/>
          <w:color w:val="000000" w:themeColor="text1"/>
          <w:sz w:val="24"/>
          <w:szCs w:val="24"/>
          <w:lang w:val="da-DK"/>
        </w:rPr>
        <w:t xml:space="preserve"> </w:t>
      </w:r>
      <w:r w:rsidR="00D731CD" w:rsidRPr="00D57F4E">
        <w:rPr>
          <w:rFonts w:ascii="Times New Roman" w:eastAsia="Times New Roman" w:hAnsi="Times New Roman" w:cs="Times New Roman"/>
          <w:color w:val="000000" w:themeColor="text1"/>
          <w:sz w:val="24"/>
          <w:szCs w:val="24"/>
          <w:lang w:val="da-DK"/>
        </w:rPr>
        <w:t>Khasniza &amp; Nurul Akmar, 2017</w:t>
      </w:r>
      <w:r w:rsidR="00D731CD">
        <w:rPr>
          <w:rFonts w:ascii="Times New Roman" w:eastAsia="Times New Roman" w:hAnsi="Times New Roman" w:cs="Times New Roman"/>
          <w:color w:val="000000" w:themeColor="text1"/>
          <w:sz w:val="24"/>
          <w:szCs w:val="24"/>
          <w:lang w:val="da-DK"/>
        </w:rPr>
        <w:t xml:space="preserve">; </w:t>
      </w:r>
      <w:r w:rsidR="00C1509E">
        <w:rPr>
          <w:rFonts w:ascii="Times New Roman" w:eastAsia="Times New Roman" w:hAnsi="Times New Roman" w:cs="Times New Roman"/>
          <w:color w:val="000000" w:themeColor="text1"/>
          <w:sz w:val="24"/>
          <w:szCs w:val="24"/>
          <w:highlight w:val="white"/>
          <w:lang w:val="da-DK"/>
        </w:rPr>
        <w:t>Kanwar</w:t>
      </w:r>
      <w:r w:rsidR="00D731CD">
        <w:rPr>
          <w:rFonts w:ascii="Times New Roman" w:eastAsia="Times New Roman" w:hAnsi="Times New Roman" w:cs="Times New Roman"/>
          <w:color w:val="000000" w:themeColor="text1"/>
          <w:sz w:val="24"/>
          <w:szCs w:val="24"/>
          <w:highlight w:val="white"/>
          <w:lang w:val="da-DK"/>
        </w:rPr>
        <w:t xml:space="preserve"> et al.</w:t>
      </w:r>
      <w:r w:rsidR="00C1509E">
        <w:rPr>
          <w:rFonts w:ascii="Times New Roman" w:eastAsia="Times New Roman" w:hAnsi="Times New Roman" w:cs="Times New Roman"/>
          <w:color w:val="000000" w:themeColor="text1"/>
          <w:sz w:val="24"/>
          <w:szCs w:val="24"/>
          <w:highlight w:val="white"/>
          <w:lang w:val="da-DK"/>
        </w:rPr>
        <w:t xml:space="preserve">, </w:t>
      </w:r>
      <w:r w:rsidR="009B158A" w:rsidRPr="00D57F4E">
        <w:rPr>
          <w:rFonts w:ascii="Times New Roman" w:eastAsia="Times New Roman" w:hAnsi="Times New Roman" w:cs="Times New Roman"/>
          <w:color w:val="000000" w:themeColor="text1"/>
          <w:sz w:val="24"/>
          <w:szCs w:val="24"/>
          <w:highlight w:val="white"/>
          <w:lang w:val="da-DK"/>
        </w:rPr>
        <w:t>2019</w:t>
      </w:r>
      <w:r w:rsidRPr="00D57F4E">
        <w:rPr>
          <w:rFonts w:ascii="Times New Roman" w:eastAsia="Times New Roman" w:hAnsi="Times New Roman" w:cs="Times New Roman"/>
          <w:color w:val="000000" w:themeColor="text1"/>
          <w:sz w:val="24"/>
          <w:szCs w:val="24"/>
          <w:highlight w:val="white"/>
          <w:lang w:val="da-DK"/>
        </w:rPr>
        <w:t>). Faktor kedua ialah faktor institusi atau penyedia PSH. Institusi dalam konteks penyedia program PSH boleh terdiri daripada universiti, kolej, sekolah, di rumah, perpustakaan, jawatankuasa atau mana-mana entiti berkait rapat dalam menyediakan program PSH (</w:t>
      </w:r>
      <w:r w:rsidRPr="00D57F4E">
        <w:rPr>
          <w:rFonts w:ascii="Times New Roman" w:eastAsia="Times New Roman" w:hAnsi="Times New Roman" w:cs="Times New Roman"/>
          <w:color w:val="000000" w:themeColor="text1"/>
          <w:sz w:val="24"/>
          <w:szCs w:val="24"/>
          <w:lang w:val="da-DK"/>
        </w:rPr>
        <w:t>Schuller &amp; Watson, 2009). Setiap penyedia program PSH hendaklah mudah diakses untuk belajar, latihan dan pembangunan seperti yang diperlukan oleh peserta program.</w:t>
      </w:r>
    </w:p>
    <w:p w14:paraId="23413908"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4"/>
          <w:szCs w:val="24"/>
          <w:highlight w:val="white"/>
          <w:lang w:val="da-DK"/>
        </w:rPr>
      </w:pPr>
    </w:p>
    <w:p w14:paraId="1835A846" w14:textId="77777777" w:rsidR="00A03ABC" w:rsidRPr="00D57F4E" w:rsidRDefault="00A03ABC" w:rsidP="00665616">
      <w:pPr>
        <w:spacing w:after="0" w:line="240" w:lineRule="auto"/>
        <w:ind w:left="0" w:hanging="2"/>
        <w:jc w:val="both"/>
        <w:rPr>
          <w:rFonts w:ascii="Times New Roman" w:eastAsia="Times New Roman" w:hAnsi="Times New Roman" w:cs="Times New Roman"/>
          <w:i/>
          <w:color w:val="000000" w:themeColor="text1"/>
          <w:sz w:val="24"/>
          <w:szCs w:val="24"/>
          <w:highlight w:val="white"/>
          <w:lang w:val="da-DK"/>
        </w:rPr>
      </w:pPr>
      <w:r w:rsidRPr="00D57F4E">
        <w:rPr>
          <w:rFonts w:ascii="Times New Roman" w:eastAsia="Times New Roman" w:hAnsi="Times New Roman" w:cs="Times New Roman"/>
          <w:i/>
          <w:color w:val="000000" w:themeColor="text1"/>
          <w:sz w:val="24"/>
          <w:szCs w:val="24"/>
          <w:highlight w:val="white"/>
          <w:lang w:val="da-DK"/>
        </w:rPr>
        <w:t>Kajian-kajian berkaitan</w:t>
      </w:r>
    </w:p>
    <w:p w14:paraId="5D853A07" w14:textId="77777777" w:rsidR="0037502C" w:rsidRPr="00D57F4E" w:rsidRDefault="0037502C" w:rsidP="00665616">
      <w:pPr>
        <w:spacing w:after="0" w:line="240" w:lineRule="auto"/>
        <w:ind w:left="0" w:hanging="2"/>
        <w:jc w:val="both"/>
        <w:rPr>
          <w:rFonts w:ascii="Times New Roman" w:eastAsia="Times New Roman" w:hAnsi="Times New Roman" w:cs="Times New Roman"/>
          <w:i/>
          <w:color w:val="000000" w:themeColor="text1"/>
          <w:sz w:val="24"/>
          <w:szCs w:val="24"/>
          <w:highlight w:val="white"/>
          <w:lang w:val="da-DK"/>
        </w:rPr>
      </w:pPr>
    </w:p>
    <w:p w14:paraId="5B100C03" w14:textId="0D5AA3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4"/>
          <w:szCs w:val="24"/>
          <w:lang w:val="da-DK"/>
        </w:rPr>
      </w:pPr>
      <w:r w:rsidRPr="00D57F4E">
        <w:rPr>
          <w:rFonts w:ascii="Times New Roman" w:eastAsia="Times New Roman" w:hAnsi="Times New Roman" w:cs="Times New Roman"/>
          <w:color w:val="000000" w:themeColor="text1"/>
          <w:sz w:val="24"/>
          <w:szCs w:val="24"/>
          <w:lang w:val="da-DK"/>
        </w:rPr>
        <w:t xml:space="preserve">Kajian Godinez (2010) mendapati wujudnya korelasi yang signifikan antara faktor individu seperti menghargai pembelajaran, akses kepada peluang pembelajaran dan ciri-ciri demografi dengan </w:t>
      </w:r>
      <w:r w:rsidR="00C1509E">
        <w:rPr>
          <w:rFonts w:ascii="Times New Roman" w:eastAsia="Times New Roman" w:hAnsi="Times New Roman" w:cs="Times New Roman"/>
          <w:color w:val="000000" w:themeColor="text1"/>
          <w:sz w:val="24"/>
          <w:szCs w:val="24"/>
          <w:lang w:val="da-DK"/>
        </w:rPr>
        <w:t>PSH</w:t>
      </w:r>
      <w:r w:rsidRPr="00D57F4E">
        <w:rPr>
          <w:rFonts w:ascii="Times New Roman" w:eastAsia="Times New Roman" w:hAnsi="Times New Roman" w:cs="Times New Roman"/>
          <w:color w:val="000000" w:themeColor="text1"/>
          <w:sz w:val="24"/>
          <w:szCs w:val="24"/>
          <w:lang w:val="da-DK"/>
        </w:rPr>
        <w:t xml:space="preserve">. Manakala faktor-faktor penggalak luaran seperti bahasa pengantar, jarak fizikal dengan institusi dan kos pendidikan di kampus serta faktor-faktor penggalak dalaman seperti reputasi institusi dan kecenderungan pembelajaran individu turut memainkan peranan </w:t>
      </w:r>
      <w:r w:rsidR="00C1509E" w:rsidRPr="00D57F4E">
        <w:rPr>
          <w:rFonts w:ascii="Times New Roman" w:eastAsia="Times New Roman" w:hAnsi="Times New Roman" w:cs="Times New Roman"/>
          <w:color w:val="000000" w:themeColor="text1"/>
          <w:sz w:val="24"/>
          <w:szCs w:val="24"/>
          <w:lang w:val="da-DK"/>
        </w:rPr>
        <w:t xml:space="preserve">dalam mempengaruhi minat mengikuti PSH </w:t>
      </w:r>
      <w:r w:rsidRPr="00D57F4E">
        <w:rPr>
          <w:rFonts w:ascii="Times New Roman" w:eastAsia="Times New Roman" w:hAnsi="Times New Roman" w:cs="Times New Roman"/>
          <w:color w:val="000000" w:themeColor="text1"/>
          <w:sz w:val="24"/>
          <w:szCs w:val="24"/>
          <w:lang w:val="da-DK"/>
        </w:rPr>
        <w:t>(Carlsen</w:t>
      </w:r>
      <w:r w:rsidR="00B16552">
        <w:rPr>
          <w:rFonts w:ascii="Times New Roman" w:eastAsia="Times New Roman" w:hAnsi="Times New Roman" w:cs="Times New Roman"/>
          <w:color w:val="000000" w:themeColor="text1"/>
          <w:sz w:val="24"/>
          <w:szCs w:val="24"/>
          <w:lang w:val="da-DK"/>
        </w:rPr>
        <w:t xml:space="preserve"> et al., </w:t>
      </w:r>
      <w:r w:rsidRPr="00D57F4E">
        <w:rPr>
          <w:rFonts w:ascii="Times New Roman" w:eastAsia="Times New Roman" w:hAnsi="Times New Roman" w:cs="Times New Roman"/>
          <w:color w:val="000000" w:themeColor="text1"/>
          <w:sz w:val="24"/>
          <w:szCs w:val="24"/>
          <w:lang w:val="da-DK"/>
        </w:rPr>
        <w:t>2016).</w:t>
      </w:r>
    </w:p>
    <w:p w14:paraId="11A9B765" w14:textId="04B4C0E1" w:rsidR="00A03ABC" w:rsidRPr="00D57F4E" w:rsidRDefault="00A03ABC" w:rsidP="00665616">
      <w:pPr>
        <w:spacing w:after="0" w:line="240" w:lineRule="auto"/>
        <w:ind w:leftChars="0" w:left="0" w:firstLineChars="0" w:firstLine="720"/>
        <w:jc w:val="both"/>
        <w:rPr>
          <w:rFonts w:ascii="Times New Roman" w:eastAsia="Times New Roman" w:hAnsi="Times New Roman" w:cs="Times New Roman"/>
          <w:color w:val="000000" w:themeColor="text1"/>
          <w:sz w:val="24"/>
          <w:szCs w:val="24"/>
          <w:highlight w:val="white"/>
          <w:lang w:val="da-DK"/>
        </w:rPr>
      </w:pPr>
      <w:r w:rsidRPr="00D57F4E">
        <w:rPr>
          <w:rFonts w:ascii="Times New Roman" w:eastAsia="Times New Roman" w:hAnsi="Times New Roman" w:cs="Times New Roman"/>
          <w:color w:val="000000" w:themeColor="text1"/>
          <w:sz w:val="24"/>
          <w:szCs w:val="24"/>
          <w:lang w:val="da-DK"/>
        </w:rPr>
        <w:t>Dapatan kajian yang di</w:t>
      </w:r>
      <w:r w:rsidR="00A20EFC" w:rsidRPr="00D57F4E">
        <w:rPr>
          <w:rFonts w:ascii="Times New Roman" w:eastAsia="Times New Roman" w:hAnsi="Times New Roman" w:cs="Times New Roman"/>
          <w:color w:val="000000" w:themeColor="text1"/>
          <w:sz w:val="24"/>
          <w:szCs w:val="24"/>
          <w:lang w:val="da-DK"/>
        </w:rPr>
        <w:t>jalan</w:t>
      </w:r>
      <w:r w:rsidRPr="00D57F4E">
        <w:rPr>
          <w:rFonts w:ascii="Times New Roman" w:eastAsia="Times New Roman" w:hAnsi="Times New Roman" w:cs="Times New Roman"/>
          <w:color w:val="000000" w:themeColor="text1"/>
          <w:sz w:val="24"/>
          <w:szCs w:val="24"/>
          <w:lang w:val="da-DK"/>
        </w:rPr>
        <w:t>kan oleh Absher dan Crawford (1996) serta Hassan</w:t>
      </w:r>
      <w:r w:rsidR="00B16552">
        <w:rPr>
          <w:rFonts w:ascii="Times New Roman" w:eastAsia="Times New Roman" w:hAnsi="Times New Roman" w:cs="Times New Roman"/>
          <w:color w:val="000000" w:themeColor="text1"/>
          <w:sz w:val="24"/>
          <w:szCs w:val="24"/>
          <w:lang w:val="da-DK"/>
        </w:rPr>
        <w:t xml:space="preserve"> et al.</w:t>
      </w:r>
      <w:r w:rsidRPr="00D57F4E">
        <w:rPr>
          <w:rFonts w:ascii="Times New Roman" w:eastAsia="Times New Roman" w:hAnsi="Times New Roman" w:cs="Times New Roman"/>
          <w:color w:val="000000" w:themeColor="text1"/>
          <w:sz w:val="24"/>
          <w:szCs w:val="24"/>
          <w:lang w:val="da-DK"/>
        </w:rPr>
        <w:t xml:space="preserve"> (2008) menyatakan bahawa prasarana pendidikan seperti bilik kuliah, makmal dan perpustakaan merupakan faktor penting dalam pemilihan kolej atau universiti oleh para pelajar. Malah sebelum itu, </w:t>
      </w:r>
      <w:r w:rsidRPr="00D57F4E">
        <w:rPr>
          <w:rFonts w:ascii="Times New Roman" w:eastAsia="Times New Roman" w:hAnsi="Times New Roman" w:cs="Times New Roman"/>
          <w:color w:val="000000" w:themeColor="text1"/>
          <w:sz w:val="24"/>
          <w:szCs w:val="24"/>
          <w:highlight w:val="white"/>
          <w:lang w:val="da-DK"/>
        </w:rPr>
        <w:t>kajian Marjan Laal (2011)</w:t>
      </w:r>
      <w:r w:rsidR="00ED08F0" w:rsidRPr="00D57F4E">
        <w:rPr>
          <w:rFonts w:ascii="Times New Roman" w:eastAsia="Times New Roman" w:hAnsi="Times New Roman" w:cs="Times New Roman"/>
          <w:color w:val="000000" w:themeColor="text1"/>
          <w:sz w:val="24"/>
          <w:szCs w:val="24"/>
          <w:highlight w:val="white"/>
          <w:lang w:val="da-DK"/>
        </w:rPr>
        <w:t xml:space="preserve"> juga</w:t>
      </w:r>
      <w:r w:rsidRPr="00D57F4E">
        <w:rPr>
          <w:rFonts w:ascii="Times New Roman" w:eastAsia="Times New Roman" w:hAnsi="Times New Roman" w:cs="Times New Roman"/>
          <w:color w:val="000000" w:themeColor="text1"/>
          <w:sz w:val="24"/>
          <w:szCs w:val="24"/>
          <w:highlight w:val="white"/>
          <w:lang w:val="da-DK"/>
        </w:rPr>
        <w:t xml:space="preserve"> mendapati institusi yang menawarkan program perlu mengatasi isu peraturan yang </w:t>
      </w:r>
      <w:r w:rsidRPr="00852285">
        <w:rPr>
          <w:rFonts w:ascii="Times New Roman" w:eastAsia="Times New Roman" w:hAnsi="Times New Roman" w:cs="Times New Roman"/>
          <w:i/>
          <w:color w:val="000000" w:themeColor="text1"/>
          <w:sz w:val="24"/>
          <w:szCs w:val="24"/>
          <w:highlight w:val="white"/>
          <w:lang w:val="da-DK"/>
        </w:rPr>
        <w:t>rigid</w:t>
      </w:r>
      <w:r w:rsidRPr="00D57F4E">
        <w:rPr>
          <w:rFonts w:ascii="Times New Roman" w:eastAsia="Times New Roman" w:hAnsi="Times New Roman" w:cs="Times New Roman"/>
          <w:color w:val="000000" w:themeColor="text1"/>
          <w:sz w:val="24"/>
          <w:szCs w:val="24"/>
          <w:highlight w:val="white"/>
          <w:lang w:val="da-DK"/>
        </w:rPr>
        <w:t xml:space="preserve">, </w:t>
      </w:r>
      <w:r w:rsidR="00ED08F0" w:rsidRPr="00D57F4E">
        <w:rPr>
          <w:rFonts w:ascii="Times New Roman" w:eastAsia="Times New Roman" w:hAnsi="Times New Roman" w:cs="Times New Roman"/>
          <w:color w:val="000000" w:themeColor="text1"/>
          <w:sz w:val="24"/>
          <w:szCs w:val="24"/>
          <w:highlight w:val="white"/>
          <w:lang w:val="da-DK"/>
        </w:rPr>
        <w:t>prasarana</w:t>
      </w:r>
      <w:r w:rsidRPr="00D57F4E">
        <w:rPr>
          <w:rFonts w:ascii="Times New Roman" w:eastAsia="Times New Roman" w:hAnsi="Times New Roman" w:cs="Times New Roman"/>
          <w:color w:val="000000" w:themeColor="text1"/>
          <w:sz w:val="24"/>
          <w:szCs w:val="24"/>
          <w:highlight w:val="white"/>
          <w:lang w:val="da-DK"/>
        </w:rPr>
        <w:t xml:space="preserve">, yuran atau kos pembiayaan, promosi, pengendali program, kesesuaian program dengan peserta dan ICT. </w:t>
      </w:r>
    </w:p>
    <w:p w14:paraId="36ED4B2C" w14:textId="1CD9D231" w:rsidR="00A03ABC" w:rsidRPr="00D57F4E" w:rsidRDefault="00A03ABC" w:rsidP="00665616">
      <w:pPr>
        <w:spacing w:after="0" w:line="240" w:lineRule="auto"/>
        <w:ind w:leftChars="0" w:left="0" w:firstLineChars="0" w:firstLine="720"/>
        <w:jc w:val="both"/>
        <w:rPr>
          <w:rFonts w:ascii="Times New Roman" w:eastAsia="Times New Roman" w:hAnsi="Times New Roman" w:cs="Times New Roman"/>
          <w:color w:val="000000" w:themeColor="text1"/>
          <w:sz w:val="24"/>
          <w:szCs w:val="24"/>
          <w:lang w:val="da-DK"/>
        </w:rPr>
      </w:pPr>
      <w:r w:rsidRPr="00D57F4E">
        <w:rPr>
          <w:rFonts w:ascii="Times New Roman" w:eastAsia="Times New Roman" w:hAnsi="Times New Roman" w:cs="Times New Roman"/>
          <w:color w:val="000000" w:themeColor="text1"/>
          <w:sz w:val="24"/>
          <w:szCs w:val="24"/>
          <w:lang w:val="da-DK"/>
        </w:rPr>
        <w:t xml:space="preserve">Manakala </w:t>
      </w:r>
      <w:r w:rsidRPr="00D57F4E">
        <w:rPr>
          <w:rFonts w:ascii="Times New Roman" w:eastAsia="Times New Roman" w:hAnsi="Times New Roman" w:cs="Times New Roman"/>
          <w:color w:val="000000" w:themeColor="text1"/>
          <w:sz w:val="24"/>
          <w:szCs w:val="24"/>
          <w:highlight w:val="white"/>
          <w:lang w:val="da-DK"/>
        </w:rPr>
        <w:t>Arpan</w:t>
      </w:r>
      <w:r w:rsidR="00B16552">
        <w:rPr>
          <w:rFonts w:ascii="Times New Roman" w:eastAsia="Times New Roman" w:hAnsi="Times New Roman" w:cs="Times New Roman"/>
          <w:color w:val="000000" w:themeColor="text1"/>
          <w:sz w:val="24"/>
          <w:szCs w:val="24"/>
          <w:highlight w:val="white"/>
          <w:lang w:val="da-DK"/>
        </w:rPr>
        <w:t xml:space="preserve"> et al. </w:t>
      </w:r>
      <w:r w:rsidRPr="00D57F4E">
        <w:rPr>
          <w:rFonts w:ascii="Times New Roman" w:eastAsia="Times New Roman" w:hAnsi="Times New Roman" w:cs="Times New Roman"/>
          <w:color w:val="000000" w:themeColor="text1"/>
          <w:sz w:val="24"/>
          <w:szCs w:val="24"/>
          <w:highlight w:val="white"/>
          <w:lang w:val="da-DK"/>
        </w:rPr>
        <w:t>(2003)</w:t>
      </w:r>
      <w:r w:rsidRPr="00D57F4E">
        <w:rPr>
          <w:rFonts w:ascii="Times New Roman" w:eastAsia="Times New Roman" w:hAnsi="Times New Roman" w:cs="Times New Roman"/>
          <w:color w:val="000000" w:themeColor="text1"/>
          <w:sz w:val="24"/>
          <w:szCs w:val="24"/>
          <w:lang w:val="da-DK"/>
        </w:rPr>
        <w:t xml:space="preserve"> mendedahkan bahawa faktor-faktor yang diambil kira oleh para pelajar dalam menilai imej universiti termasuklah </w:t>
      </w:r>
      <w:r w:rsidR="00E96218" w:rsidRPr="00D57F4E">
        <w:rPr>
          <w:rFonts w:ascii="Times New Roman" w:eastAsia="Times New Roman" w:hAnsi="Times New Roman" w:cs="Times New Roman"/>
          <w:color w:val="000000" w:themeColor="text1"/>
          <w:sz w:val="24"/>
          <w:szCs w:val="24"/>
          <w:lang w:val="da-DK"/>
        </w:rPr>
        <w:t xml:space="preserve">program </w:t>
      </w:r>
      <w:r w:rsidRPr="00D57F4E">
        <w:rPr>
          <w:rFonts w:ascii="Times New Roman" w:eastAsia="Times New Roman" w:hAnsi="Times New Roman" w:cs="Times New Roman"/>
          <w:color w:val="000000" w:themeColor="text1"/>
          <w:sz w:val="24"/>
          <w:szCs w:val="24"/>
          <w:lang w:val="da-DK"/>
        </w:rPr>
        <w:t xml:space="preserve">akademik, kehidupan sosial, </w:t>
      </w:r>
      <w:r w:rsidR="00E96218" w:rsidRPr="00D57F4E">
        <w:rPr>
          <w:rFonts w:ascii="Times New Roman" w:eastAsia="Times New Roman" w:hAnsi="Times New Roman" w:cs="Times New Roman"/>
          <w:color w:val="000000" w:themeColor="text1"/>
          <w:sz w:val="24"/>
          <w:szCs w:val="24"/>
          <w:lang w:val="da-DK"/>
        </w:rPr>
        <w:t xml:space="preserve">prasarana pembelajaran </w:t>
      </w:r>
      <w:r w:rsidRPr="00D57F4E">
        <w:rPr>
          <w:rFonts w:ascii="Times New Roman" w:eastAsia="Times New Roman" w:hAnsi="Times New Roman" w:cs="Times New Roman"/>
          <w:color w:val="000000" w:themeColor="text1"/>
          <w:sz w:val="24"/>
          <w:szCs w:val="24"/>
          <w:lang w:val="da-DK"/>
        </w:rPr>
        <w:t>dan persekitaran fizikal universiti yang positif secara keseluruhan atau global bagi kebanyakan orang. Faktor yang mempunyai pengaruh terbesar terhadap imej institusi pendidikan adalah kualiti profesor dan kuliah mereka (Maric</w:t>
      </w:r>
      <w:r w:rsidR="00B16552">
        <w:rPr>
          <w:rFonts w:ascii="Times New Roman" w:eastAsia="Times New Roman" w:hAnsi="Times New Roman" w:cs="Times New Roman"/>
          <w:color w:val="000000" w:themeColor="text1"/>
          <w:sz w:val="24"/>
          <w:szCs w:val="24"/>
          <w:lang w:val="da-DK"/>
        </w:rPr>
        <w:t xml:space="preserve"> et al.</w:t>
      </w:r>
      <w:r w:rsidRPr="00D57F4E">
        <w:rPr>
          <w:rFonts w:ascii="Times New Roman" w:eastAsia="Times New Roman" w:hAnsi="Times New Roman" w:cs="Times New Roman"/>
          <w:color w:val="000000" w:themeColor="text1"/>
          <w:sz w:val="24"/>
          <w:szCs w:val="24"/>
          <w:lang w:val="da-DK"/>
        </w:rPr>
        <w:t>, 2010). Kajian Ancheh</w:t>
      </w:r>
      <w:r w:rsidR="00B16552">
        <w:rPr>
          <w:rFonts w:ascii="Times New Roman" w:eastAsia="Times New Roman" w:hAnsi="Times New Roman" w:cs="Times New Roman"/>
          <w:color w:val="000000" w:themeColor="text1"/>
          <w:sz w:val="24"/>
          <w:szCs w:val="24"/>
          <w:lang w:val="da-DK"/>
        </w:rPr>
        <w:t xml:space="preserve"> et al. </w:t>
      </w:r>
      <w:r w:rsidRPr="00D57F4E">
        <w:rPr>
          <w:rFonts w:ascii="Times New Roman" w:eastAsia="Times New Roman" w:hAnsi="Times New Roman" w:cs="Times New Roman"/>
          <w:color w:val="000000" w:themeColor="text1"/>
          <w:sz w:val="24"/>
          <w:szCs w:val="24"/>
          <w:lang w:val="da-DK"/>
        </w:rPr>
        <w:t xml:space="preserve">(2007) juga yang mendapati bahawa faktor reputasi institusi merupakan penyumbang utama dalam penentuan </w:t>
      </w:r>
      <w:r w:rsidR="00ED08F0" w:rsidRPr="00D57F4E">
        <w:rPr>
          <w:rFonts w:ascii="Times New Roman" w:eastAsia="Times New Roman" w:hAnsi="Times New Roman" w:cs="Times New Roman"/>
          <w:color w:val="000000" w:themeColor="text1"/>
          <w:sz w:val="24"/>
          <w:szCs w:val="24"/>
          <w:lang w:val="da-DK"/>
        </w:rPr>
        <w:t xml:space="preserve">pemilihan </w:t>
      </w:r>
      <w:r w:rsidRPr="00D57F4E">
        <w:rPr>
          <w:rFonts w:ascii="Times New Roman" w:eastAsia="Times New Roman" w:hAnsi="Times New Roman" w:cs="Times New Roman"/>
          <w:color w:val="000000" w:themeColor="text1"/>
          <w:sz w:val="24"/>
          <w:szCs w:val="24"/>
          <w:lang w:val="da-DK"/>
        </w:rPr>
        <w:t xml:space="preserve">institusi pendidikan di Malaysia. Manakala </w:t>
      </w:r>
      <w:hyperlink r:id="rId12">
        <w:r w:rsidRPr="00D57F4E">
          <w:rPr>
            <w:rFonts w:ascii="Times New Roman" w:eastAsia="Times New Roman" w:hAnsi="Times New Roman" w:cs="Times New Roman"/>
            <w:color w:val="000000" w:themeColor="text1"/>
            <w:sz w:val="24"/>
            <w:szCs w:val="24"/>
            <w:highlight w:val="white"/>
            <w:lang w:val="da-DK"/>
          </w:rPr>
          <w:t>Osman</w:t>
        </w:r>
      </w:hyperlink>
      <w:r w:rsidRPr="00D57F4E">
        <w:rPr>
          <w:rFonts w:ascii="Times New Roman" w:eastAsia="Times New Roman" w:hAnsi="Times New Roman" w:cs="Times New Roman"/>
          <w:color w:val="000000" w:themeColor="text1"/>
          <w:sz w:val="24"/>
          <w:szCs w:val="24"/>
          <w:highlight w:val="white"/>
          <w:lang w:val="da-DK"/>
        </w:rPr>
        <w:t xml:space="preserve"> dan </w:t>
      </w:r>
      <w:hyperlink r:id="rId13">
        <w:r w:rsidRPr="00D57F4E">
          <w:rPr>
            <w:rFonts w:ascii="Times New Roman" w:eastAsia="Times New Roman" w:hAnsi="Times New Roman" w:cs="Times New Roman"/>
            <w:color w:val="000000" w:themeColor="text1"/>
            <w:sz w:val="24"/>
            <w:szCs w:val="24"/>
            <w:highlight w:val="white"/>
            <w:lang w:val="da-DK"/>
          </w:rPr>
          <w:t>Saputra</w:t>
        </w:r>
      </w:hyperlink>
      <w:r w:rsidRPr="00D57F4E">
        <w:rPr>
          <w:rFonts w:ascii="Times New Roman" w:eastAsia="Times New Roman" w:hAnsi="Times New Roman" w:cs="Times New Roman"/>
          <w:color w:val="000000" w:themeColor="text1"/>
          <w:sz w:val="24"/>
          <w:szCs w:val="24"/>
          <w:highlight w:val="white"/>
          <w:lang w:val="da-DK"/>
        </w:rPr>
        <w:t xml:space="preserve"> (2019), mendapati imej universiti juga mempengaruhi pelajar mengikuti program pengajian khususnya berkaitan dengan kurikulum, kepuasan dan kualiti program.</w:t>
      </w:r>
      <w:r w:rsidR="00E96218" w:rsidRPr="00D57F4E">
        <w:rPr>
          <w:rFonts w:ascii="Times New Roman" w:eastAsia="Times New Roman" w:hAnsi="Times New Roman" w:cs="Times New Roman"/>
          <w:color w:val="000000" w:themeColor="text1"/>
          <w:sz w:val="24"/>
          <w:szCs w:val="24"/>
          <w:lang w:val="da-DK"/>
        </w:rPr>
        <w:t xml:space="preserve"> </w:t>
      </w:r>
    </w:p>
    <w:p w14:paraId="4869BAA4" w14:textId="52854EE7" w:rsidR="00E96218" w:rsidRPr="00D57F4E" w:rsidRDefault="00E96218" w:rsidP="00665616">
      <w:pPr>
        <w:spacing w:after="0" w:line="240" w:lineRule="auto"/>
        <w:ind w:leftChars="0" w:left="0" w:firstLineChars="0" w:firstLine="720"/>
        <w:jc w:val="both"/>
        <w:rPr>
          <w:rFonts w:ascii="Times New Roman" w:eastAsia="Times New Roman" w:hAnsi="Times New Roman" w:cs="Times New Roman"/>
          <w:color w:val="000000" w:themeColor="text1"/>
          <w:sz w:val="24"/>
          <w:szCs w:val="24"/>
          <w:lang w:val="da-DK"/>
        </w:rPr>
      </w:pPr>
      <w:r w:rsidRPr="00D57F4E">
        <w:rPr>
          <w:rFonts w:ascii="Times New Roman" w:eastAsia="Times New Roman" w:hAnsi="Times New Roman" w:cs="Times New Roman"/>
          <w:color w:val="000000" w:themeColor="text1"/>
          <w:sz w:val="24"/>
          <w:szCs w:val="24"/>
          <w:lang w:val="da-DK"/>
        </w:rPr>
        <w:t xml:space="preserve">Kajian berkaitan PSH dalam kalangan </w:t>
      </w:r>
      <w:r w:rsidR="00A20EFC" w:rsidRPr="00D57F4E">
        <w:rPr>
          <w:rFonts w:ascii="Times New Roman" w:eastAsia="Times New Roman" w:hAnsi="Times New Roman" w:cs="Times New Roman"/>
          <w:color w:val="000000" w:themeColor="text1"/>
          <w:sz w:val="24"/>
          <w:szCs w:val="24"/>
          <w:lang w:val="da-DK"/>
        </w:rPr>
        <w:t>pendidik</w:t>
      </w:r>
      <w:r w:rsidRPr="00D57F4E">
        <w:rPr>
          <w:rFonts w:ascii="Times New Roman" w:eastAsia="Times New Roman" w:hAnsi="Times New Roman" w:cs="Times New Roman"/>
          <w:color w:val="000000" w:themeColor="text1"/>
          <w:sz w:val="24"/>
          <w:szCs w:val="24"/>
          <w:lang w:val="da-DK"/>
        </w:rPr>
        <w:t xml:space="preserve"> di Malaysia menunjukkan </w:t>
      </w:r>
      <w:r w:rsidR="00ED08F0" w:rsidRPr="00D57F4E">
        <w:rPr>
          <w:rFonts w:ascii="Times New Roman" w:eastAsia="Times New Roman" w:hAnsi="Times New Roman" w:cs="Times New Roman"/>
          <w:color w:val="000000" w:themeColor="text1"/>
          <w:sz w:val="24"/>
          <w:szCs w:val="24"/>
          <w:lang w:val="da-DK"/>
        </w:rPr>
        <w:t>guru bersemangat memajukan diri dan me</w:t>
      </w:r>
      <w:r w:rsidR="00FB4B2F" w:rsidRPr="00D57F4E">
        <w:rPr>
          <w:rFonts w:ascii="Times New Roman" w:eastAsia="Times New Roman" w:hAnsi="Times New Roman" w:cs="Times New Roman"/>
          <w:color w:val="000000" w:themeColor="text1"/>
          <w:sz w:val="24"/>
          <w:szCs w:val="24"/>
          <w:lang w:val="da-DK"/>
        </w:rPr>
        <w:t>m</w:t>
      </w:r>
      <w:r w:rsidR="00852285">
        <w:rPr>
          <w:rFonts w:ascii="Times New Roman" w:eastAsia="Times New Roman" w:hAnsi="Times New Roman" w:cs="Times New Roman"/>
          <w:color w:val="000000" w:themeColor="text1"/>
          <w:sz w:val="24"/>
          <w:szCs w:val="24"/>
          <w:lang w:val="da-DK"/>
        </w:rPr>
        <w:t>beri perkhid</w:t>
      </w:r>
      <w:r w:rsidR="00ED08F0" w:rsidRPr="00D57F4E">
        <w:rPr>
          <w:rFonts w:ascii="Times New Roman" w:eastAsia="Times New Roman" w:hAnsi="Times New Roman" w:cs="Times New Roman"/>
          <w:color w:val="000000" w:themeColor="text1"/>
          <w:sz w:val="24"/>
          <w:szCs w:val="24"/>
          <w:lang w:val="da-DK"/>
        </w:rPr>
        <w:t>mat</w:t>
      </w:r>
      <w:r w:rsidR="00FB4B2F" w:rsidRPr="00D57F4E">
        <w:rPr>
          <w:rFonts w:ascii="Times New Roman" w:eastAsia="Times New Roman" w:hAnsi="Times New Roman" w:cs="Times New Roman"/>
          <w:color w:val="000000" w:themeColor="text1"/>
          <w:sz w:val="24"/>
          <w:szCs w:val="24"/>
          <w:lang w:val="da-DK"/>
        </w:rPr>
        <w:t>an</w:t>
      </w:r>
      <w:r w:rsidR="00ED08F0" w:rsidRPr="00D57F4E">
        <w:rPr>
          <w:rFonts w:ascii="Times New Roman" w:eastAsia="Times New Roman" w:hAnsi="Times New Roman" w:cs="Times New Roman"/>
          <w:color w:val="000000" w:themeColor="text1"/>
          <w:sz w:val="24"/>
          <w:szCs w:val="24"/>
          <w:lang w:val="da-DK"/>
        </w:rPr>
        <w:t xml:space="preserve"> terbaik</w:t>
      </w:r>
      <w:r w:rsidR="008B0AD8" w:rsidRPr="00D57F4E">
        <w:rPr>
          <w:rFonts w:ascii="Times New Roman" w:eastAsia="Times New Roman" w:hAnsi="Times New Roman" w:cs="Times New Roman"/>
          <w:color w:val="000000" w:themeColor="text1"/>
          <w:sz w:val="24"/>
          <w:szCs w:val="24"/>
          <w:lang w:val="da-DK"/>
        </w:rPr>
        <w:t>, perlukan sokongan keluarga dan rakan, kemahiran penggunaan atas talian dan yakin diri (</w:t>
      </w:r>
      <w:r w:rsidR="005C0BE8">
        <w:rPr>
          <w:rFonts w:ascii="Times New Roman" w:eastAsia="Times New Roman" w:hAnsi="Times New Roman" w:cs="Times New Roman"/>
          <w:color w:val="000000" w:themeColor="text1"/>
          <w:sz w:val="24"/>
          <w:szCs w:val="24"/>
          <w:lang w:val="da-DK"/>
        </w:rPr>
        <w:t>Rashid</w:t>
      </w:r>
      <w:r w:rsidR="008B0AD8" w:rsidRPr="00D57F4E">
        <w:rPr>
          <w:rFonts w:ascii="Times New Roman" w:eastAsia="Times New Roman" w:hAnsi="Times New Roman" w:cs="Times New Roman"/>
          <w:color w:val="000000" w:themeColor="text1"/>
          <w:sz w:val="24"/>
          <w:szCs w:val="24"/>
          <w:lang w:val="da-DK"/>
        </w:rPr>
        <w:t>, 2015</w:t>
      </w:r>
      <w:r w:rsidR="00B16552">
        <w:rPr>
          <w:rFonts w:ascii="Times New Roman" w:eastAsia="Times New Roman" w:hAnsi="Times New Roman" w:cs="Times New Roman"/>
          <w:color w:val="000000" w:themeColor="text1"/>
          <w:sz w:val="24"/>
          <w:szCs w:val="24"/>
          <w:lang w:val="da-DK"/>
        </w:rPr>
        <w:t xml:space="preserve">) </w:t>
      </w:r>
      <w:r w:rsidR="00ED08F0" w:rsidRPr="00D57F4E">
        <w:rPr>
          <w:rFonts w:ascii="Times New Roman" w:eastAsia="Times New Roman" w:hAnsi="Times New Roman" w:cs="Times New Roman"/>
          <w:color w:val="000000" w:themeColor="text1"/>
          <w:sz w:val="24"/>
          <w:szCs w:val="24"/>
          <w:lang w:val="da-DK"/>
        </w:rPr>
        <w:t>mendapat sokongan pihak pentadbiran tetapi kurang mendapat kemudahan kewangan dan masa (Nor Kamaliah &amp; Ahmad Zabidi, 2018)</w:t>
      </w:r>
      <w:r w:rsidR="00FB4B2F" w:rsidRPr="00D57F4E">
        <w:rPr>
          <w:rFonts w:ascii="Times New Roman" w:eastAsia="Times New Roman" w:hAnsi="Times New Roman" w:cs="Times New Roman"/>
          <w:color w:val="000000" w:themeColor="text1"/>
          <w:sz w:val="24"/>
          <w:szCs w:val="24"/>
          <w:lang w:val="da-DK"/>
        </w:rPr>
        <w:t xml:space="preserve"> serta</w:t>
      </w:r>
      <w:r w:rsidR="00A63832" w:rsidRPr="00D57F4E">
        <w:rPr>
          <w:rFonts w:ascii="Times New Roman" w:eastAsia="Times New Roman" w:hAnsi="Times New Roman" w:cs="Times New Roman"/>
          <w:color w:val="000000" w:themeColor="text1"/>
          <w:sz w:val="24"/>
          <w:szCs w:val="24"/>
          <w:lang w:val="da-DK"/>
        </w:rPr>
        <w:t xml:space="preserve"> </w:t>
      </w:r>
      <w:r w:rsidR="00151009" w:rsidRPr="00D57F4E">
        <w:rPr>
          <w:rFonts w:ascii="Times New Roman" w:eastAsia="Times New Roman" w:hAnsi="Times New Roman" w:cs="Times New Roman"/>
          <w:color w:val="000000" w:themeColor="text1"/>
          <w:sz w:val="24"/>
          <w:szCs w:val="24"/>
          <w:lang w:val="da-DK"/>
        </w:rPr>
        <w:t>bermotivasi tinggi dan berminat mengikuti program PSH (</w:t>
      </w:r>
      <w:r w:rsidR="004A76E0">
        <w:rPr>
          <w:rFonts w:ascii="Times New Roman" w:eastAsia="Times New Roman" w:hAnsi="Times New Roman" w:cs="Times New Roman"/>
          <w:color w:val="000000" w:themeColor="text1"/>
          <w:sz w:val="24"/>
          <w:szCs w:val="24"/>
          <w:lang w:val="da-DK"/>
        </w:rPr>
        <w:t>Yusop &amp; Abbas</w:t>
      </w:r>
      <w:r w:rsidR="00852285">
        <w:rPr>
          <w:rFonts w:ascii="Times New Roman" w:eastAsia="Times New Roman" w:hAnsi="Times New Roman" w:cs="Times New Roman"/>
          <w:color w:val="000000" w:themeColor="text1"/>
          <w:sz w:val="24"/>
          <w:szCs w:val="24"/>
          <w:lang w:val="da-DK"/>
        </w:rPr>
        <w:t>,</w:t>
      </w:r>
      <w:r w:rsidR="00151009" w:rsidRPr="00D57F4E">
        <w:rPr>
          <w:rFonts w:ascii="Times New Roman" w:eastAsia="Times New Roman" w:hAnsi="Times New Roman" w:cs="Times New Roman"/>
          <w:color w:val="000000" w:themeColor="text1"/>
          <w:sz w:val="24"/>
          <w:szCs w:val="24"/>
          <w:lang w:val="da-DK"/>
        </w:rPr>
        <w:t xml:space="preserve"> 2016)</w:t>
      </w:r>
      <w:r w:rsidR="00FB4B2F" w:rsidRPr="00D57F4E">
        <w:rPr>
          <w:rFonts w:ascii="Times New Roman" w:eastAsia="Times New Roman" w:hAnsi="Times New Roman" w:cs="Times New Roman"/>
          <w:color w:val="000000" w:themeColor="text1"/>
          <w:sz w:val="24"/>
          <w:szCs w:val="24"/>
          <w:lang w:val="da-DK"/>
        </w:rPr>
        <w:t xml:space="preserve">. Pengkaji lain seperti </w:t>
      </w:r>
      <w:bookmarkStart w:id="6" w:name="_Hlk30933104"/>
      <w:r w:rsidR="00852285">
        <w:rPr>
          <w:rFonts w:ascii="Times New Roman" w:eastAsia="Times New Roman" w:hAnsi="Times New Roman" w:cs="Times New Roman"/>
          <w:color w:val="000000" w:themeColor="text1"/>
          <w:sz w:val="24"/>
          <w:szCs w:val="24"/>
          <w:lang w:val="da-DK"/>
        </w:rPr>
        <w:t>Hasami dan</w:t>
      </w:r>
      <w:r w:rsidR="00FB4B2F" w:rsidRPr="00D57F4E">
        <w:rPr>
          <w:rFonts w:ascii="Times New Roman" w:eastAsia="Times New Roman" w:hAnsi="Times New Roman" w:cs="Times New Roman"/>
          <w:color w:val="000000" w:themeColor="text1"/>
          <w:sz w:val="24"/>
          <w:szCs w:val="24"/>
          <w:lang w:val="da-DK"/>
        </w:rPr>
        <w:t xml:space="preserve"> Buang (2018) turut mengakui </w:t>
      </w:r>
      <w:bookmarkEnd w:id="6"/>
      <w:r w:rsidR="00FB4B2F" w:rsidRPr="00D57F4E">
        <w:rPr>
          <w:rFonts w:ascii="Times New Roman" w:eastAsia="Times New Roman" w:hAnsi="Times New Roman" w:cs="Times New Roman"/>
          <w:color w:val="000000" w:themeColor="text1"/>
          <w:sz w:val="24"/>
          <w:szCs w:val="24"/>
          <w:lang w:val="da-DK"/>
        </w:rPr>
        <w:t xml:space="preserve">bahawa PSH dapat meningkatkan pengetahuan dan nilai tambah diri </w:t>
      </w:r>
      <w:r w:rsidR="00FB4B2F" w:rsidRPr="00D57F4E">
        <w:rPr>
          <w:rFonts w:ascii="Times New Roman" w:eastAsia="Times New Roman" w:hAnsi="Times New Roman" w:cs="Times New Roman"/>
          <w:color w:val="000000" w:themeColor="text1"/>
          <w:sz w:val="24"/>
          <w:szCs w:val="24"/>
          <w:lang w:val="da-DK"/>
        </w:rPr>
        <w:lastRenderedPageBreak/>
        <w:t xml:space="preserve">pada pelajar tersebut. </w:t>
      </w:r>
      <w:r w:rsidR="001C2E8D" w:rsidRPr="00D57F4E">
        <w:rPr>
          <w:rFonts w:ascii="Times New Roman" w:eastAsia="Times New Roman" w:hAnsi="Times New Roman" w:cs="Times New Roman"/>
          <w:color w:val="000000" w:themeColor="text1"/>
          <w:sz w:val="24"/>
          <w:szCs w:val="24"/>
          <w:lang w:val="da-DK"/>
        </w:rPr>
        <w:t>Tinjauan literatur menunjukkan dapatan lepas bersetuju bahawa faktor-</w:t>
      </w:r>
      <w:r w:rsidR="00B16552">
        <w:rPr>
          <w:rFonts w:ascii="Times New Roman" w:eastAsia="Times New Roman" w:hAnsi="Times New Roman" w:cs="Times New Roman"/>
          <w:color w:val="000000" w:themeColor="text1"/>
          <w:sz w:val="24"/>
          <w:szCs w:val="24"/>
          <w:lang w:val="da-DK"/>
        </w:rPr>
        <w:t>f</w:t>
      </w:r>
      <w:r w:rsidR="001C2E8D" w:rsidRPr="00D57F4E">
        <w:rPr>
          <w:rFonts w:ascii="Times New Roman" w:eastAsia="Times New Roman" w:hAnsi="Times New Roman" w:cs="Times New Roman"/>
          <w:color w:val="000000" w:themeColor="text1"/>
          <w:sz w:val="24"/>
          <w:szCs w:val="24"/>
          <w:lang w:val="da-DK"/>
        </w:rPr>
        <w:t>aktor kendiri dan institusi merupakan pengaruh ke atas minat pelajar mengikuti program PSH.</w:t>
      </w:r>
    </w:p>
    <w:p w14:paraId="1B29EF63" w14:textId="77777777" w:rsidR="00A03ABC" w:rsidRDefault="00A03ABC" w:rsidP="00665616">
      <w:pPr>
        <w:spacing w:after="0" w:line="240" w:lineRule="auto"/>
        <w:ind w:left="0" w:hanging="2"/>
        <w:jc w:val="both"/>
        <w:rPr>
          <w:rFonts w:ascii="Times New Roman" w:eastAsia="Times New Roman" w:hAnsi="Times New Roman" w:cs="Times New Roman"/>
          <w:color w:val="000000" w:themeColor="text1"/>
          <w:sz w:val="24"/>
          <w:szCs w:val="24"/>
          <w:highlight w:val="white"/>
          <w:lang w:val="da-DK"/>
        </w:rPr>
      </w:pPr>
    </w:p>
    <w:p w14:paraId="71AAF69B" w14:textId="77777777" w:rsidR="00B16552" w:rsidRPr="00D57F4E" w:rsidRDefault="00B16552" w:rsidP="00665616">
      <w:pPr>
        <w:spacing w:after="0" w:line="240" w:lineRule="auto"/>
        <w:ind w:left="0" w:hanging="2"/>
        <w:jc w:val="both"/>
        <w:rPr>
          <w:rFonts w:ascii="Times New Roman" w:eastAsia="Times New Roman" w:hAnsi="Times New Roman" w:cs="Times New Roman"/>
          <w:color w:val="000000" w:themeColor="text1"/>
          <w:sz w:val="24"/>
          <w:szCs w:val="24"/>
          <w:highlight w:val="white"/>
          <w:lang w:val="da-DK"/>
        </w:rPr>
      </w:pPr>
    </w:p>
    <w:p w14:paraId="32D15938" w14:textId="77777777" w:rsidR="00A03ABC" w:rsidRDefault="00852285" w:rsidP="00665616">
      <w:pPr>
        <w:spacing w:after="0" w:line="240" w:lineRule="auto"/>
        <w:ind w:left="0" w:hanging="2"/>
        <w:jc w:val="both"/>
        <w:rPr>
          <w:rFonts w:ascii="Times New Roman" w:eastAsia="Times New Roman" w:hAnsi="Times New Roman" w:cs="Times New Roman"/>
          <w:b/>
          <w:color w:val="000000" w:themeColor="text1"/>
          <w:sz w:val="24"/>
          <w:szCs w:val="24"/>
          <w:lang w:val="da-DK"/>
        </w:rPr>
      </w:pPr>
      <w:r>
        <w:rPr>
          <w:rFonts w:ascii="Times New Roman" w:eastAsia="Times New Roman" w:hAnsi="Times New Roman" w:cs="Times New Roman"/>
          <w:b/>
          <w:color w:val="000000" w:themeColor="text1"/>
          <w:sz w:val="24"/>
          <w:szCs w:val="24"/>
          <w:lang w:val="da-DK"/>
        </w:rPr>
        <w:t>Kaedah k</w:t>
      </w:r>
      <w:r w:rsidR="00A03ABC" w:rsidRPr="00D57F4E">
        <w:rPr>
          <w:rFonts w:ascii="Times New Roman" w:eastAsia="Times New Roman" w:hAnsi="Times New Roman" w:cs="Times New Roman"/>
          <w:b/>
          <w:color w:val="000000" w:themeColor="text1"/>
          <w:sz w:val="24"/>
          <w:szCs w:val="24"/>
          <w:lang w:val="da-DK"/>
        </w:rPr>
        <w:t>ajian</w:t>
      </w:r>
    </w:p>
    <w:p w14:paraId="5F30E416" w14:textId="77777777" w:rsidR="00B16552" w:rsidRPr="00D57F4E" w:rsidRDefault="00B16552" w:rsidP="00665616">
      <w:pPr>
        <w:spacing w:after="0" w:line="240" w:lineRule="auto"/>
        <w:ind w:left="0" w:hanging="2"/>
        <w:jc w:val="both"/>
        <w:rPr>
          <w:rFonts w:ascii="Times New Roman" w:eastAsia="Times New Roman" w:hAnsi="Times New Roman" w:cs="Times New Roman"/>
          <w:b/>
          <w:color w:val="000000" w:themeColor="text1"/>
          <w:sz w:val="24"/>
          <w:szCs w:val="24"/>
          <w:lang w:val="da-DK"/>
        </w:rPr>
      </w:pPr>
    </w:p>
    <w:p w14:paraId="24589249" w14:textId="22C436AA"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4"/>
          <w:szCs w:val="24"/>
          <w:lang w:val="da-DK"/>
        </w:rPr>
      </w:pPr>
      <w:r w:rsidRPr="00D57F4E">
        <w:rPr>
          <w:rFonts w:ascii="Times New Roman" w:eastAsia="Times New Roman" w:hAnsi="Times New Roman" w:cs="Times New Roman"/>
          <w:color w:val="000000" w:themeColor="text1"/>
          <w:sz w:val="24"/>
          <w:szCs w:val="24"/>
          <w:lang w:val="da-DK"/>
        </w:rPr>
        <w:t>Reka bentuk kajian ini merupakan kajian deskriptif tinjauan iaitu kajian `</w:t>
      </w:r>
      <w:r w:rsidRPr="00D57F4E">
        <w:rPr>
          <w:rFonts w:ascii="Times New Roman" w:eastAsia="Times New Roman" w:hAnsi="Times New Roman" w:cs="Times New Roman"/>
          <w:i/>
          <w:color w:val="000000" w:themeColor="text1"/>
          <w:sz w:val="24"/>
          <w:szCs w:val="24"/>
          <w:lang w:val="da-DK"/>
        </w:rPr>
        <w:t>exploratory</w:t>
      </w:r>
      <w:r w:rsidRPr="00D57F4E">
        <w:rPr>
          <w:rFonts w:ascii="Times New Roman" w:eastAsia="Times New Roman" w:hAnsi="Times New Roman" w:cs="Times New Roman"/>
          <w:color w:val="000000" w:themeColor="text1"/>
          <w:sz w:val="24"/>
          <w:szCs w:val="24"/>
          <w:lang w:val="da-DK"/>
        </w:rPr>
        <w:t>` serta `</w:t>
      </w:r>
      <w:r w:rsidRPr="00D57F4E">
        <w:rPr>
          <w:rFonts w:ascii="Times New Roman" w:eastAsia="Times New Roman" w:hAnsi="Times New Roman" w:cs="Times New Roman"/>
          <w:i/>
          <w:color w:val="000000" w:themeColor="text1"/>
          <w:sz w:val="24"/>
          <w:szCs w:val="24"/>
          <w:lang w:val="da-DK"/>
        </w:rPr>
        <w:t>explanatory</w:t>
      </w:r>
      <w:r w:rsidRPr="00D57F4E">
        <w:rPr>
          <w:rFonts w:ascii="Times New Roman" w:eastAsia="Times New Roman" w:hAnsi="Times New Roman" w:cs="Times New Roman"/>
          <w:color w:val="000000" w:themeColor="text1"/>
          <w:sz w:val="24"/>
          <w:szCs w:val="24"/>
          <w:lang w:val="da-DK"/>
        </w:rPr>
        <w:t>` sesuatu isu yang boleh diterokai (</w:t>
      </w:r>
      <w:r w:rsidRPr="00D57F4E">
        <w:rPr>
          <w:rFonts w:ascii="Times New Roman" w:eastAsia="Times New Roman" w:hAnsi="Times New Roman" w:cs="Times New Roman"/>
          <w:color w:val="000000" w:themeColor="text1"/>
          <w:sz w:val="24"/>
          <w:szCs w:val="24"/>
          <w:highlight w:val="white"/>
          <w:lang w:val="da-DK"/>
        </w:rPr>
        <w:t>Ary</w:t>
      </w:r>
      <w:r w:rsidR="00204F09">
        <w:rPr>
          <w:rFonts w:ascii="Times New Roman" w:eastAsia="Times New Roman" w:hAnsi="Times New Roman" w:cs="Times New Roman"/>
          <w:color w:val="000000" w:themeColor="text1"/>
          <w:sz w:val="24"/>
          <w:szCs w:val="24"/>
          <w:highlight w:val="white"/>
          <w:lang w:val="da-DK"/>
        </w:rPr>
        <w:t xml:space="preserve"> et al., </w:t>
      </w:r>
      <w:r w:rsidRPr="00D57F4E">
        <w:rPr>
          <w:rFonts w:ascii="Times New Roman" w:eastAsia="Times New Roman" w:hAnsi="Times New Roman" w:cs="Times New Roman"/>
          <w:color w:val="000000" w:themeColor="text1"/>
          <w:sz w:val="24"/>
          <w:szCs w:val="24"/>
          <w:highlight w:val="white"/>
          <w:lang w:val="da-DK"/>
        </w:rPr>
        <w:t>2018; McBride</w:t>
      </w:r>
      <w:r w:rsidR="00204F09">
        <w:rPr>
          <w:rFonts w:ascii="Times New Roman" w:eastAsia="Times New Roman" w:hAnsi="Times New Roman" w:cs="Times New Roman"/>
          <w:color w:val="000000" w:themeColor="text1"/>
          <w:sz w:val="24"/>
          <w:szCs w:val="24"/>
          <w:highlight w:val="white"/>
          <w:lang w:val="da-DK"/>
        </w:rPr>
        <w:t xml:space="preserve"> et al.</w:t>
      </w:r>
      <w:r w:rsidRPr="00D57F4E">
        <w:rPr>
          <w:rFonts w:ascii="Times New Roman" w:eastAsia="Times New Roman" w:hAnsi="Times New Roman" w:cs="Times New Roman"/>
          <w:color w:val="000000" w:themeColor="text1"/>
          <w:sz w:val="24"/>
          <w:szCs w:val="24"/>
          <w:highlight w:val="white"/>
          <w:lang w:val="da-DK"/>
        </w:rPr>
        <w:t xml:space="preserve">, </w:t>
      </w:r>
      <w:r w:rsidR="00710E81">
        <w:rPr>
          <w:rFonts w:ascii="Times New Roman" w:eastAsia="Times New Roman" w:hAnsi="Times New Roman" w:cs="Times New Roman"/>
          <w:color w:val="000000" w:themeColor="text1"/>
          <w:sz w:val="24"/>
          <w:szCs w:val="24"/>
          <w:highlight w:val="white"/>
          <w:lang w:val="da-DK"/>
        </w:rPr>
        <w:t>2018</w:t>
      </w:r>
      <w:r w:rsidR="009B158A" w:rsidRPr="00D57F4E">
        <w:rPr>
          <w:rFonts w:ascii="Times New Roman" w:eastAsia="Times New Roman" w:hAnsi="Times New Roman" w:cs="Times New Roman"/>
          <w:color w:val="000000" w:themeColor="text1"/>
          <w:sz w:val="24"/>
          <w:szCs w:val="24"/>
          <w:highlight w:val="white"/>
          <w:lang w:val="da-DK"/>
        </w:rPr>
        <w:t>; Nardi, 2018</w:t>
      </w:r>
      <w:r w:rsidRPr="00D57F4E">
        <w:rPr>
          <w:rFonts w:ascii="Times New Roman" w:eastAsia="Times New Roman" w:hAnsi="Times New Roman" w:cs="Times New Roman"/>
          <w:color w:val="000000" w:themeColor="text1"/>
          <w:sz w:val="24"/>
          <w:szCs w:val="24"/>
          <w:highlight w:val="white"/>
          <w:lang w:val="da-DK"/>
        </w:rPr>
        <w:t>)</w:t>
      </w:r>
      <w:r w:rsidRPr="00D57F4E">
        <w:rPr>
          <w:rFonts w:ascii="Times New Roman" w:eastAsia="Times New Roman" w:hAnsi="Times New Roman" w:cs="Times New Roman"/>
          <w:color w:val="000000" w:themeColor="text1"/>
          <w:sz w:val="24"/>
          <w:szCs w:val="24"/>
          <w:lang w:val="da-DK"/>
        </w:rPr>
        <w:t xml:space="preserve">. Kajian ini turut menentukan faktor-faktor utama mempengaruhi minat mengikut program PSH dalam kalangan guru-guru JAIS dengan mengumpul data daripada satu kumpulan populasi yang dipanggil sampel. </w:t>
      </w:r>
    </w:p>
    <w:p w14:paraId="74F0C54C" w14:textId="77777777" w:rsidR="00A03ABC" w:rsidRPr="00D57F4E" w:rsidRDefault="00852285" w:rsidP="00665616">
      <w:pPr>
        <w:spacing w:after="0" w:line="240" w:lineRule="auto"/>
        <w:ind w:leftChars="0" w:left="0" w:firstLineChars="0"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da-DK"/>
        </w:rPr>
        <w:t>Soal selidik kajian ini di</w:t>
      </w:r>
      <w:r w:rsidR="00A03ABC" w:rsidRPr="00D57F4E">
        <w:rPr>
          <w:rFonts w:ascii="Times New Roman" w:eastAsia="Times New Roman" w:hAnsi="Times New Roman" w:cs="Times New Roman"/>
          <w:color w:val="000000" w:themeColor="text1"/>
          <w:sz w:val="24"/>
          <w:szCs w:val="24"/>
          <w:lang w:val="da-DK"/>
        </w:rPr>
        <w:t>bina melalui bacaan tinjauan literatur, kajian-kajian terdahulu dan perbincangan ahli penyelidik dengan peneraju berkaitan dengan PSH</w:t>
      </w:r>
      <w:r>
        <w:rPr>
          <w:rFonts w:ascii="Times New Roman" w:eastAsia="Times New Roman" w:hAnsi="Times New Roman" w:cs="Times New Roman"/>
          <w:color w:val="000000" w:themeColor="text1"/>
          <w:sz w:val="24"/>
          <w:szCs w:val="24"/>
          <w:lang w:val="da-DK"/>
        </w:rPr>
        <w:t xml:space="preserve"> (J</w:t>
      </w:r>
      <w:r w:rsidR="00216E24" w:rsidRPr="00D57F4E">
        <w:rPr>
          <w:rFonts w:ascii="Times New Roman" w:eastAsia="Times New Roman" w:hAnsi="Times New Roman" w:cs="Times New Roman"/>
          <w:color w:val="000000" w:themeColor="text1"/>
          <w:sz w:val="24"/>
          <w:szCs w:val="24"/>
          <w:lang w:val="da-DK"/>
        </w:rPr>
        <w:t>adual 2)</w:t>
      </w:r>
      <w:r w:rsidR="00A03ABC" w:rsidRPr="00D57F4E">
        <w:rPr>
          <w:rFonts w:ascii="Times New Roman" w:eastAsia="Times New Roman" w:hAnsi="Times New Roman" w:cs="Times New Roman"/>
          <w:color w:val="000000" w:themeColor="text1"/>
          <w:sz w:val="24"/>
          <w:szCs w:val="24"/>
          <w:lang w:val="da-DK"/>
        </w:rPr>
        <w:t xml:space="preserve">. Instrumen yang digunakan dalam kajian ini adalah borang soal selidik sebagai alat pengukur. Item-item dalam soal selidik ini merupakan soalan-soalan berbentuk tertutup. Ia menggunakan kaedah skala Likert tujuh mata poin, iaitu: (1) Sangat tidak setuju hingga (7) Sangat setuju. </w:t>
      </w:r>
      <w:r w:rsidR="00A03ABC" w:rsidRPr="00D57F4E">
        <w:rPr>
          <w:rFonts w:ascii="Times New Roman" w:eastAsia="Times New Roman" w:hAnsi="Times New Roman" w:cs="Times New Roman"/>
          <w:color w:val="000000" w:themeColor="text1"/>
          <w:sz w:val="24"/>
          <w:szCs w:val="24"/>
        </w:rPr>
        <w:t xml:space="preserve">Perincian soal selidik mengikut taburan item seperti yang ditunjukkan dalam Jadual </w:t>
      </w:r>
      <w:r>
        <w:rPr>
          <w:rFonts w:ascii="Times New Roman" w:eastAsia="Times New Roman" w:hAnsi="Times New Roman" w:cs="Times New Roman"/>
          <w:color w:val="000000" w:themeColor="text1"/>
          <w:sz w:val="24"/>
          <w:szCs w:val="24"/>
        </w:rPr>
        <w:t>2</w:t>
      </w:r>
      <w:r w:rsidR="00A03ABC" w:rsidRPr="00D57F4E">
        <w:rPr>
          <w:rFonts w:ascii="Times New Roman" w:eastAsia="Times New Roman" w:hAnsi="Times New Roman" w:cs="Times New Roman"/>
          <w:color w:val="000000" w:themeColor="text1"/>
          <w:sz w:val="24"/>
          <w:szCs w:val="24"/>
        </w:rPr>
        <w:t>.</w:t>
      </w:r>
    </w:p>
    <w:p w14:paraId="53CDD916"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4"/>
          <w:szCs w:val="24"/>
        </w:rPr>
      </w:pPr>
    </w:p>
    <w:p w14:paraId="1B0E112A" w14:textId="77777777" w:rsidR="00A03ABC" w:rsidRPr="00D57F4E" w:rsidRDefault="00A03ABC" w:rsidP="00B62737">
      <w:pPr>
        <w:spacing w:after="0" w:line="240" w:lineRule="auto"/>
        <w:ind w:left="0" w:hanging="2"/>
        <w:jc w:val="center"/>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b/>
          <w:bCs/>
          <w:color w:val="000000" w:themeColor="text1"/>
          <w:sz w:val="20"/>
          <w:szCs w:val="20"/>
        </w:rPr>
        <w:t>Jadual 2.</w:t>
      </w:r>
      <w:r w:rsidRPr="00D57F4E">
        <w:rPr>
          <w:rFonts w:ascii="Times New Roman" w:eastAsia="Times New Roman" w:hAnsi="Times New Roman" w:cs="Times New Roman"/>
          <w:color w:val="000000" w:themeColor="text1"/>
          <w:sz w:val="20"/>
          <w:szCs w:val="20"/>
        </w:rPr>
        <w:t xml:space="preserve"> Taburan </w:t>
      </w:r>
      <w:r w:rsidR="00852285" w:rsidRPr="00D57F4E">
        <w:rPr>
          <w:rFonts w:ascii="Times New Roman" w:eastAsia="Times New Roman" w:hAnsi="Times New Roman" w:cs="Times New Roman"/>
          <w:color w:val="000000" w:themeColor="text1"/>
          <w:sz w:val="20"/>
          <w:szCs w:val="20"/>
        </w:rPr>
        <w:t>item mengikut bahagian soal selidik</w:t>
      </w:r>
    </w:p>
    <w:p w14:paraId="05B52884"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p>
    <w:tbl>
      <w:tblPr>
        <w:tblW w:w="9498" w:type="dxa"/>
        <w:tblLayout w:type="fixed"/>
        <w:tblLook w:val="0600" w:firstRow="0" w:lastRow="0" w:firstColumn="0" w:lastColumn="0" w:noHBand="1" w:noVBand="1"/>
      </w:tblPr>
      <w:tblGrid>
        <w:gridCol w:w="2127"/>
        <w:gridCol w:w="2268"/>
        <w:gridCol w:w="1559"/>
        <w:gridCol w:w="3544"/>
      </w:tblGrid>
      <w:tr w:rsidR="00D50F2E" w:rsidRPr="00D57F4E" w14:paraId="7ECE4512" w14:textId="77777777" w:rsidTr="003C0A32">
        <w:trPr>
          <w:trHeight w:val="57"/>
        </w:trPr>
        <w:tc>
          <w:tcPr>
            <w:tcW w:w="2127" w:type="dxa"/>
            <w:tcBorders>
              <w:top w:val="single" w:sz="4" w:space="0" w:color="auto"/>
              <w:bottom w:val="single" w:sz="4" w:space="0" w:color="auto"/>
            </w:tcBorders>
            <w:shd w:val="clear" w:color="auto" w:fill="95B3D7" w:themeFill="accent1" w:themeFillTint="99"/>
            <w:tcMar>
              <w:top w:w="100" w:type="dxa"/>
              <w:left w:w="100" w:type="dxa"/>
              <w:bottom w:w="100" w:type="dxa"/>
              <w:right w:w="100" w:type="dxa"/>
            </w:tcMar>
          </w:tcPr>
          <w:p w14:paraId="11E00288" w14:textId="77777777" w:rsidR="00D50F2E" w:rsidRPr="00D57F4E" w:rsidRDefault="00D50F2E" w:rsidP="00665616">
            <w:pPr>
              <w:spacing w:after="0" w:line="240" w:lineRule="auto"/>
              <w:ind w:left="0" w:hanging="2"/>
              <w:jc w:val="both"/>
              <w:rPr>
                <w:rFonts w:ascii="Times New Roman" w:eastAsia="Times New Roman" w:hAnsi="Times New Roman" w:cs="Times New Roman"/>
                <w:b/>
                <w:bCs/>
                <w:color w:val="000000" w:themeColor="text1"/>
                <w:sz w:val="20"/>
                <w:szCs w:val="20"/>
              </w:rPr>
            </w:pPr>
            <w:r w:rsidRPr="00D57F4E">
              <w:rPr>
                <w:rFonts w:ascii="Times New Roman" w:eastAsia="Times New Roman" w:hAnsi="Times New Roman" w:cs="Times New Roman"/>
                <w:b/>
                <w:bCs/>
                <w:color w:val="000000" w:themeColor="text1"/>
                <w:sz w:val="20"/>
                <w:szCs w:val="20"/>
              </w:rPr>
              <w:t>Bahagian</w:t>
            </w:r>
          </w:p>
        </w:tc>
        <w:tc>
          <w:tcPr>
            <w:tcW w:w="2268" w:type="dxa"/>
            <w:tcBorders>
              <w:top w:val="single" w:sz="4" w:space="0" w:color="auto"/>
              <w:bottom w:val="single" w:sz="4" w:space="0" w:color="auto"/>
            </w:tcBorders>
            <w:shd w:val="clear" w:color="auto" w:fill="95B3D7" w:themeFill="accent1" w:themeFillTint="99"/>
            <w:tcMar>
              <w:top w:w="100" w:type="dxa"/>
              <w:left w:w="100" w:type="dxa"/>
              <w:bottom w:w="100" w:type="dxa"/>
              <w:right w:w="100" w:type="dxa"/>
            </w:tcMar>
          </w:tcPr>
          <w:p w14:paraId="59CDE62F" w14:textId="77777777" w:rsidR="00D50F2E" w:rsidRPr="00D57F4E" w:rsidRDefault="00D50F2E" w:rsidP="00665616">
            <w:pPr>
              <w:spacing w:after="0" w:line="240" w:lineRule="auto"/>
              <w:ind w:left="0" w:hanging="2"/>
              <w:jc w:val="both"/>
              <w:rPr>
                <w:rFonts w:ascii="Times New Roman" w:eastAsia="Times New Roman" w:hAnsi="Times New Roman" w:cs="Times New Roman"/>
                <w:b/>
                <w:bCs/>
                <w:color w:val="000000" w:themeColor="text1"/>
                <w:sz w:val="20"/>
                <w:szCs w:val="20"/>
              </w:rPr>
            </w:pPr>
            <w:r w:rsidRPr="00D57F4E">
              <w:rPr>
                <w:rFonts w:ascii="Times New Roman" w:eastAsia="Times New Roman" w:hAnsi="Times New Roman" w:cs="Times New Roman"/>
                <w:b/>
                <w:bCs/>
                <w:color w:val="000000" w:themeColor="text1"/>
                <w:sz w:val="20"/>
                <w:szCs w:val="20"/>
              </w:rPr>
              <w:t>Item Soal Selidik</w:t>
            </w:r>
          </w:p>
        </w:tc>
        <w:tc>
          <w:tcPr>
            <w:tcW w:w="1559" w:type="dxa"/>
            <w:tcBorders>
              <w:top w:val="single" w:sz="4" w:space="0" w:color="auto"/>
              <w:bottom w:val="single" w:sz="4" w:space="0" w:color="auto"/>
            </w:tcBorders>
            <w:shd w:val="clear" w:color="auto" w:fill="95B3D7" w:themeFill="accent1" w:themeFillTint="99"/>
            <w:tcMar>
              <w:top w:w="100" w:type="dxa"/>
              <w:left w:w="100" w:type="dxa"/>
              <w:bottom w:w="100" w:type="dxa"/>
              <w:right w:w="100" w:type="dxa"/>
            </w:tcMar>
          </w:tcPr>
          <w:p w14:paraId="4B047D8D" w14:textId="77777777" w:rsidR="00D50F2E" w:rsidRPr="00D57F4E" w:rsidRDefault="00D50F2E" w:rsidP="00665616">
            <w:pPr>
              <w:spacing w:after="0" w:line="240" w:lineRule="auto"/>
              <w:ind w:left="0" w:hanging="2"/>
              <w:jc w:val="both"/>
              <w:rPr>
                <w:rFonts w:ascii="Times New Roman" w:eastAsia="Times New Roman" w:hAnsi="Times New Roman" w:cs="Times New Roman"/>
                <w:b/>
                <w:bCs/>
                <w:color w:val="000000" w:themeColor="text1"/>
                <w:sz w:val="20"/>
                <w:szCs w:val="20"/>
              </w:rPr>
            </w:pPr>
            <w:r w:rsidRPr="00D57F4E">
              <w:rPr>
                <w:rFonts w:ascii="Times New Roman" w:eastAsia="Times New Roman" w:hAnsi="Times New Roman" w:cs="Times New Roman"/>
                <w:b/>
                <w:bCs/>
                <w:color w:val="000000" w:themeColor="text1"/>
                <w:sz w:val="20"/>
                <w:szCs w:val="20"/>
              </w:rPr>
              <w:t>Jumlah Item</w:t>
            </w:r>
          </w:p>
        </w:tc>
        <w:tc>
          <w:tcPr>
            <w:tcW w:w="3544" w:type="dxa"/>
            <w:tcBorders>
              <w:top w:val="single" w:sz="4" w:space="0" w:color="auto"/>
              <w:bottom w:val="single" w:sz="4" w:space="0" w:color="auto"/>
            </w:tcBorders>
            <w:shd w:val="clear" w:color="auto" w:fill="95B3D7" w:themeFill="accent1" w:themeFillTint="99"/>
          </w:tcPr>
          <w:p w14:paraId="06517A52" w14:textId="77777777" w:rsidR="00D50F2E" w:rsidRPr="00D57F4E" w:rsidRDefault="00852285" w:rsidP="00665616">
            <w:pPr>
              <w:spacing w:after="0" w:line="240" w:lineRule="auto"/>
              <w:ind w:left="0" w:hanging="2"/>
              <w:jc w:val="both"/>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Sumber I</w:t>
            </w:r>
            <w:r w:rsidR="00302C1D" w:rsidRPr="00D57F4E">
              <w:rPr>
                <w:rFonts w:ascii="Times New Roman" w:eastAsia="Times New Roman" w:hAnsi="Times New Roman" w:cs="Times New Roman"/>
                <w:b/>
                <w:bCs/>
                <w:color w:val="000000" w:themeColor="text1"/>
                <w:sz w:val="20"/>
                <w:szCs w:val="20"/>
              </w:rPr>
              <w:t>tem</w:t>
            </w:r>
          </w:p>
        </w:tc>
      </w:tr>
      <w:tr w:rsidR="00D50F2E" w:rsidRPr="00D57F4E" w14:paraId="0E788BF7" w14:textId="77777777" w:rsidTr="003C0A32">
        <w:trPr>
          <w:trHeight w:val="1189"/>
        </w:trPr>
        <w:tc>
          <w:tcPr>
            <w:tcW w:w="2127" w:type="dxa"/>
            <w:tcBorders>
              <w:top w:val="single" w:sz="4" w:space="0" w:color="auto"/>
            </w:tcBorders>
            <w:tcMar>
              <w:top w:w="100" w:type="dxa"/>
              <w:left w:w="100" w:type="dxa"/>
              <w:bottom w:w="100" w:type="dxa"/>
              <w:right w:w="100" w:type="dxa"/>
            </w:tcMar>
          </w:tcPr>
          <w:p w14:paraId="4A3CC6F7" w14:textId="77777777" w:rsidR="00D50F2E" w:rsidRPr="00D57F4E" w:rsidRDefault="00D50F2E"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A.    Profil Guru</w:t>
            </w:r>
          </w:p>
        </w:tc>
        <w:tc>
          <w:tcPr>
            <w:tcW w:w="2268" w:type="dxa"/>
            <w:tcBorders>
              <w:top w:val="single" w:sz="4" w:space="0" w:color="auto"/>
            </w:tcBorders>
            <w:tcMar>
              <w:top w:w="100" w:type="dxa"/>
              <w:left w:w="100" w:type="dxa"/>
              <w:bottom w:w="100" w:type="dxa"/>
              <w:right w:w="100" w:type="dxa"/>
            </w:tcMar>
          </w:tcPr>
          <w:p w14:paraId="18A9BC49" w14:textId="77777777" w:rsidR="00D50F2E" w:rsidRPr="00D57F4E" w:rsidRDefault="00D50F2E"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Jantina</w:t>
            </w:r>
          </w:p>
          <w:p w14:paraId="42A90C18" w14:textId="77777777" w:rsidR="00D50F2E" w:rsidRPr="00D57F4E" w:rsidRDefault="00D50F2E"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Umur</w:t>
            </w:r>
          </w:p>
          <w:p w14:paraId="6A41CACF" w14:textId="77777777" w:rsidR="00D50F2E" w:rsidRPr="00D57F4E" w:rsidRDefault="00852285" w:rsidP="00665616">
            <w:pPr>
              <w:spacing w:after="0" w:line="240" w:lineRule="auto"/>
              <w:ind w:left="0" w:hanging="2"/>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Kelulusan a</w:t>
            </w:r>
            <w:r w:rsidR="00D50F2E" w:rsidRPr="00D57F4E">
              <w:rPr>
                <w:rFonts w:ascii="Times New Roman" w:eastAsia="Times New Roman" w:hAnsi="Times New Roman" w:cs="Times New Roman"/>
                <w:color w:val="000000" w:themeColor="text1"/>
                <w:sz w:val="20"/>
                <w:szCs w:val="20"/>
              </w:rPr>
              <w:t>kademik</w:t>
            </w:r>
          </w:p>
          <w:p w14:paraId="790E5C16" w14:textId="77777777" w:rsidR="00D50F2E" w:rsidRPr="00D57F4E" w:rsidRDefault="00852285" w:rsidP="00665616">
            <w:pPr>
              <w:spacing w:after="0" w:line="240" w:lineRule="auto"/>
              <w:ind w:left="0" w:hanging="2"/>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Kelulusan i</w:t>
            </w:r>
            <w:r w:rsidR="00D50F2E" w:rsidRPr="00D57F4E">
              <w:rPr>
                <w:rFonts w:ascii="Times New Roman" w:eastAsia="Times New Roman" w:hAnsi="Times New Roman" w:cs="Times New Roman"/>
                <w:color w:val="000000" w:themeColor="text1"/>
                <w:sz w:val="20"/>
                <w:szCs w:val="20"/>
              </w:rPr>
              <w:t>khtisas</w:t>
            </w:r>
          </w:p>
          <w:p w14:paraId="36EF9F9E" w14:textId="77777777" w:rsidR="00D50F2E" w:rsidRPr="00D57F4E" w:rsidRDefault="00D50F2E"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Tempoh perkhidmatan</w:t>
            </w:r>
          </w:p>
        </w:tc>
        <w:tc>
          <w:tcPr>
            <w:tcW w:w="1559" w:type="dxa"/>
            <w:tcBorders>
              <w:top w:val="single" w:sz="4" w:space="0" w:color="auto"/>
            </w:tcBorders>
            <w:tcMar>
              <w:top w:w="100" w:type="dxa"/>
              <w:left w:w="100" w:type="dxa"/>
              <w:bottom w:w="100" w:type="dxa"/>
              <w:right w:w="100" w:type="dxa"/>
            </w:tcMar>
          </w:tcPr>
          <w:p w14:paraId="21CB5255" w14:textId="77777777" w:rsidR="00D50F2E" w:rsidRPr="00D57F4E" w:rsidRDefault="00D50F2E"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5</w:t>
            </w:r>
          </w:p>
        </w:tc>
        <w:tc>
          <w:tcPr>
            <w:tcW w:w="3544" w:type="dxa"/>
            <w:tcBorders>
              <w:top w:val="single" w:sz="4" w:space="0" w:color="auto"/>
            </w:tcBorders>
          </w:tcPr>
          <w:p w14:paraId="102249DE" w14:textId="77777777" w:rsidR="00D50F2E" w:rsidRPr="00D57F4E" w:rsidRDefault="00302C1D"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Penyelidik sendiri</w:t>
            </w:r>
          </w:p>
        </w:tc>
      </w:tr>
      <w:tr w:rsidR="00D50F2E" w:rsidRPr="00D57F4E" w14:paraId="661A9777" w14:textId="77777777" w:rsidTr="003C0A32">
        <w:trPr>
          <w:trHeight w:val="643"/>
        </w:trPr>
        <w:tc>
          <w:tcPr>
            <w:tcW w:w="2127" w:type="dxa"/>
            <w:tcMar>
              <w:top w:w="100" w:type="dxa"/>
              <w:left w:w="100" w:type="dxa"/>
              <w:bottom w:w="100" w:type="dxa"/>
              <w:right w:w="100" w:type="dxa"/>
            </w:tcMar>
          </w:tcPr>
          <w:p w14:paraId="419E2CB1" w14:textId="77777777" w:rsidR="00D50F2E" w:rsidRPr="00D57F4E" w:rsidRDefault="00D50F2E"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B.     Faktor Kendiri</w:t>
            </w:r>
          </w:p>
        </w:tc>
        <w:tc>
          <w:tcPr>
            <w:tcW w:w="2268" w:type="dxa"/>
            <w:tcMar>
              <w:top w:w="100" w:type="dxa"/>
              <w:left w:w="100" w:type="dxa"/>
              <w:bottom w:w="100" w:type="dxa"/>
              <w:right w:w="100" w:type="dxa"/>
            </w:tcMar>
          </w:tcPr>
          <w:p w14:paraId="6C255159" w14:textId="77777777" w:rsidR="00D50F2E" w:rsidRPr="00D57F4E" w:rsidRDefault="00D50F2E"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Kerjaya</w:t>
            </w:r>
          </w:p>
          <w:p w14:paraId="6EAEB55F" w14:textId="77777777" w:rsidR="00D50F2E" w:rsidRPr="00D57F4E" w:rsidRDefault="00D50F2E"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Akademik</w:t>
            </w:r>
          </w:p>
          <w:p w14:paraId="3F70E909" w14:textId="77777777" w:rsidR="00D50F2E" w:rsidRPr="00D57F4E" w:rsidRDefault="00D50F2E"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Dorongan keluarga</w:t>
            </w:r>
          </w:p>
          <w:p w14:paraId="69A8CAEB" w14:textId="77777777" w:rsidR="00D50F2E" w:rsidRPr="00D57F4E" w:rsidRDefault="00852285" w:rsidP="00665616">
            <w:pPr>
              <w:spacing w:after="0" w:line="240" w:lineRule="auto"/>
              <w:ind w:left="0" w:hanging="2"/>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K</w:t>
            </w:r>
            <w:r w:rsidR="00D50F2E" w:rsidRPr="00D57F4E">
              <w:rPr>
                <w:rFonts w:ascii="Times New Roman" w:eastAsia="Times New Roman" w:hAnsi="Times New Roman" w:cs="Times New Roman"/>
                <w:color w:val="000000" w:themeColor="text1"/>
                <w:sz w:val="20"/>
                <w:szCs w:val="20"/>
              </w:rPr>
              <w:t>ehendak sendiri</w:t>
            </w:r>
          </w:p>
          <w:p w14:paraId="0B7D929C" w14:textId="77777777" w:rsidR="00D50F2E" w:rsidRPr="00D57F4E" w:rsidRDefault="00852285" w:rsidP="00665616">
            <w:pPr>
              <w:spacing w:after="0" w:line="240" w:lineRule="auto"/>
              <w:ind w:left="0" w:hanging="2"/>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K</w:t>
            </w:r>
            <w:r w:rsidR="00302C1D" w:rsidRPr="00D57F4E">
              <w:rPr>
                <w:rFonts w:ascii="Times New Roman" w:eastAsia="Times New Roman" w:hAnsi="Times New Roman" w:cs="Times New Roman"/>
                <w:color w:val="000000" w:themeColor="text1"/>
                <w:sz w:val="20"/>
                <w:szCs w:val="20"/>
              </w:rPr>
              <w:t xml:space="preserve">enaikan </w:t>
            </w:r>
            <w:r w:rsidR="00D50F2E" w:rsidRPr="00D57F4E">
              <w:rPr>
                <w:rFonts w:ascii="Times New Roman" w:eastAsia="Times New Roman" w:hAnsi="Times New Roman" w:cs="Times New Roman"/>
                <w:color w:val="000000" w:themeColor="text1"/>
                <w:sz w:val="20"/>
                <w:szCs w:val="20"/>
              </w:rPr>
              <w:t>pangkat</w:t>
            </w:r>
          </w:p>
        </w:tc>
        <w:tc>
          <w:tcPr>
            <w:tcW w:w="1559" w:type="dxa"/>
            <w:tcMar>
              <w:top w:w="100" w:type="dxa"/>
              <w:left w:w="100" w:type="dxa"/>
              <w:bottom w:w="100" w:type="dxa"/>
              <w:right w:w="100" w:type="dxa"/>
            </w:tcMar>
          </w:tcPr>
          <w:p w14:paraId="6B6E1A19" w14:textId="77777777" w:rsidR="00D50F2E" w:rsidRPr="00D57F4E" w:rsidRDefault="00D50F2E"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5</w:t>
            </w:r>
          </w:p>
        </w:tc>
        <w:tc>
          <w:tcPr>
            <w:tcW w:w="3544" w:type="dxa"/>
          </w:tcPr>
          <w:p w14:paraId="79EC3075" w14:textId="77777777" w:rsidR="005537AB" w:rsidRPr="00D57F4E" w:rsidRDefault="00E7286E" w:rsidP="00665616">
            <w:pPr>
              <w:spacing w:after="0" w:line="240" w:lineRule="auto"/>
              <w:ind w:left="0" w:hanging="2"/>
              <w:jc w:val="both"/>
              <w:rPr>
                <w:rFonts w:asciiTheme="majorBidi" w:eastAsia="Times New Roman" w:hAnsiTheme="majorBidi" w:cstheme="majorBidi"/>
                <w:color w:val="000000" w:themeColor="text1"/>
                <w:sz w:val="20"/>
                <w:szCs w:val="20"/>
              </w:rPr>
            </w:pPr>
            <w:r w:rsidRPr="00D57F4E">
              <w:rPr>
                <w:rFonts w:ascii="Times New Roman" w:eastAsia="Times New Roman" w:hAnsi="Times New Roman" w:cs="Times New Roman"/>
                <w:color w:val="000000" w:themeColor="text1"/>
                <w:sz w:val="20"/>
                <w:szCs w:val="20"/>
              </w:rPr>
              <w:t>Ubahsuai</w:t>
            </w:r>
            <w:r>
              <w:rPr>
                <w:rFonts w:ascii="Times New Roman" w:eastAsia="Times New Roman" w:hAnsi="Times New Roman" w:cs="Times New Roman"/>
                <w:color w:val="000000" w:themeColor="text1"/>
                <w:sz w:val="20"/>
                <w:szCs w:val="20"/>
              </w:rPr>
              <w:t xml:space="preserve"> daripada </w:t>
            </w:r>
            <w:r w:rsidR="00852285">
              <w:rPr>
                <w:rFonts w:ascii="Times New Roman" w:eastAsia="Times New Roman" w:hAnsi="Times New Roman" w:cs="Times New Roman"/>
                <w:color w:val="000000" w:themeColor="text1"/>
                <w:sz w:val="20"/>
                <w:szCs w:val="20"/>
              </w:rPr>
              <w:t>Godinez (</w:t>
            </w:r>
            <w:r w:rsidR="003C0A32" w:rsidRPr="00D57F4E">
              <w:rPr>
                <w:rFonts w:ascii="Times New Roman" w:eastAsia="Times New Roman" w:hAnsi="Times New Roman" w:cs="Times New Roman"/>
                <w:color w:val="000000" w:themeColor="text1"/>
                <w:sz w:val="20"/>
                <w:szCs w:val="20"/>
              </w:rPr>
              <w:t>2010</w:t>
            </w:r>
            <w:r w:rsidR="00852285">
              <w:rPr>
                <w:rFonts w:ascii="Times New Roman" w:eastAsia="Times New Roman" w:hAnsi="Times New Roman" w:cs="Times New Roman"/>
                <w:color w:val="000000" w:themeColor="text1"/>
                <w:sz w:val="20"/>
                <w:szCs w:val="20"/>
              </w:rPr>
              <w:t>)</w:t>
            </w:r>
            <w:r w:rsidR="003C0A32" w:rsidRPr="00D57F4E">
              <w:rPr>
                <w:rFonts w:ascii="Times New Roman" w:eastAsia="Times New Roman" w:hAnsi="Times New Roman" w:cs="Times New Roman"/>
                <w:color w:val="000000" w:themeColor="text1"/>
                <w:sz w:val="20"/>
                <w:szCs w:val="20"/>
              </w:rPr>
              <w:t xml:space="preserve">; </w:t>
            </w:r>
            <w:r w:rsidR="005537AB" w:rsidRPr="00D57F4E">
              <w:rPr>
                <w:rFonts w:asciiTheme="majorBidi" w:hAnsiTheme="majorBidi" w:cstheme="majorBidi"/>
                <w:color w:val="000000" w:themeColor="text1"/>
                <w:sz w:val="20"/>
                <w:szCs w:val="20"/>
                <w:shd w:val="clear" w:color="auto" w:fill="FCFCFC"/>
              </w:rPr>
              <w:t>Kyndt, E., Govaerts, N., Dochy, F. </w:t>
            </w:r>
            <w:r w:rsidR="005537AB" w:rsidRPr="00852285">
              <w:rPr>
                <w:rFonts w:asciiTheme="majorBidi" w:hAnsiTheme="majorBidi" w:cstheme="majorBidi"/>
                <w:iCs/>
                <w:color w:val="000000" w:themeColor="text1"/>
                <w:sz w:val="20"/>
                <w:szCs w:val="20"/>
                <w:shd w:val="clear" w:color="auto" w:fill="FCFCFC"/>
              </w:rPr>
              <w:t>et al</w:t>
            </w:r>
            <w:r w:rsidR="00852285">
              <w:rPr>
                <w:rFonts w:asciiTheme="majorBidi" w:hAnsiTheme="majorBidi" w:cstheme="majorBidi"/>
                <w:color w:val="000000" w:themeColor="text1"/>
                <w:sz w:val="20"/>
                <w:szCs w:val="20"/>
                <w:shd w:val="clear" w:color="auto" w:fill="FCFCFC"/>
              </w:rPr>
              <w:t>.</w:t>
            </w:r>
            <w:r w:rsidR="005537AB" w:rsidRPr="00852285">
              <w:rPr>
                <w:rFonts w:asciiTheme="majorBidi" w:hAnsiTheme="majorBidi" w:cstheme="majorBidi"/>
                <w:color w:val="000000" w:themeColor="text1"/>
                <w:sz w:val="20"/>
                <w:szCs w:val="20"/>
                <w:shd w:val="clear" w:color="auto" w:fill="FCFCFC"/>
              </w:rPr>
              <w:t xml:space="preserve">  </w:t>
            </w:r>
            <w:r w:rsidR="005537AB" w:rsidRPr="00D57F4E">
              <w:rPr>
                <w:rFonts w:asciiTheme="majorBidi" w:hAnsiTheme="majorBidi" w:cstheme="majorBidi"/>
                <w:color w:val="000000" w:themeColor="text1"/>
                <w:sz w:val="20"/>
                <w:szCs w:val="20"/>
                <w:shd w:val="clear" w:color="auto" w:fill="FCFCFC"/>
              </w:rPr>
              <w:t>(</w:t>
            </w:r>
            <w:r w:rsidR="005537AB" w:rsidRPr="00D57F4E">
              <w:rPr>
                <w:rFonts w:ascii="Times New Roman" w:eastAsia="Times New Roman" w:hAnsi="Times New Roman" w:cs="Times New Roman"/>
                <w:color w:val="000000" w:themeColor="text1"/>
                <w:sz w:val="20"/>
                <w:szCs w:val="20"/>
              </w:rPr>
              <w:t xml:space="preserve">2011); </w:t>
            </w:r>
            <w:r w:rsidR="00852285">
              <w:rPr>
                <w:rFonts w:ascii="Times New Roman" w:eastAsia="Times New Roman" w:hAnsi="Times New Roman" w:cs="Times New Roman"/>
                <w:color w:val="000000" w:themeColor="text1"/>
                <w:sz w:val="20"/>
                <w:szCs w:val="20"/>
                <w:highlight w:val="white"/>
              </w:rPr>
              <w:t>Kanwar, Balasubramanian &amp; Carr</w:t>
            </w:r>
            <w:r w:rsidR="00FB4D6A" w:rsidRPr="00D57F4E">
              <w:rPr>
                <w:rFonts w:ascii="Times New Roman" w:eastAsia="Times New Roman" w:hAnsi="Times New Roman" w:cs="Times New Roman"/>
                <w:color w:val="000000" w:themeColor="text1"/>
                <w:sz w:val="20"/>
                <w:szCs w:val="20"/>
                <w:highlight w:val="white"/>
              </w:rPr>
              <w:t xml:space="preserve"> </w:t>
            </w:r>
            <w:r w:rsidR="00852285">
              <w:rPr>
                <w:rFonts w:ascii="Times New Roman" w:eastAsia="Times New Roman" w:hAnsi="Times New Roman" w:cs="Times New Roman"/>
                <w:color w:val="000000" w:themeColor="text1"/>
                <w:sz w:val="20"/>
                <w:szCs w:val="20"/>
                <w:highlight w:val="white"/>
              </w:rPr>
              <w:t>(</w:t>
            </w:r>
            <w:r w:rsidR="00FB4D6A" w:rsidRPr="00D57F4E">
              <w:rPr>
                <w:rFonts w:ascii="Times New Roman" w:eastAsia="Times New Roman" w:hAnsi="Times New Roman" w:cs="Times New Roman"/>
                <w:color w:val="000000" w:themeColor="text1"/>
                <w:sz w:val="20"/>
                <w:szCs w:val="20"/>
                <w:highlight w:val="white"/>
              </w:rPr>
              <w:t>2019</w:t>
            </w:r>
            <w:r w:rsidR="00852285">
              <w:rPr>
                <w:rFonts w:ascii="Times New Roman" w:eastAsia="Times New Roman" w:hAnsi="Times New Roman" w:cs="Times New Roman"/>
                <w:color w:val="000000" w:themeColor="text1"/>
                <w:sz w:val="20"/>
                <w:szCs w:val="20"/>
              </w:rPr>
              <w:t>)</w:t>
            </w:r>
            <w:r w:rsidR="00DA02D8" w:rsidRPr="00D57F4E">
              <w:rPr>
                <w:rFonts w:asciiTheme="majorBidi" w:eastAsia="Times New Roman" w:hAnsiTheme="majorBidi" w:cstheme="majorBidi"/>
                <w:color w:val="000000" w:themeColor="text1"/>
                <w:sz w:val="20"/>
                <w:szCs w:val="20"/>
              </w:rPr>
              <w:t xml:space="preserve">; </w:t>
            </w:r>
            <w:r w:rsidR="00DA02D8" w:rsidRPr="00D57F4E">
              <w:rPr>
                <w:rFonts w:asciiTheme="majorBidi" w:hAnsiTheme="majorBidi" w:cstheme="majorBidi"/>
                <w:color w:val="000000" w:themeColor="text1"/>
                <w:sz w:val="20"/>
                <w:szCs w:val="20"/>
                <w:shd w:val="clear" w:color="auto" w:fill="FFFFFF"/>
              </w:rPr>
              <w:t>Tikkanen (2006)</w:t>
            </w:r>
            <w:r w:rsidR="00C9500E" w:rsidRPr="00D57F4E">
              <w:rPr>
                <w:rFonts w:asciiTheme="majorBidi" w:hAnsiTheme="majorBidi" w:cstheme="majorBidi"/>
                <w:color w:val="000000" w:themeColor="text1"/>
                <w:sz w:val="20"/>
                <w:szCs w:val="20"/>
                <w:shd w:val="clear" w:color="auto" w:fill="FFFFFF"/>
              </w:rPr>
              <w:t xml:space="preserve">; Kassim, Buang &amp; Mohamad </w:t>
            </w:r>
            <w:r w:rsidR="00852285">
              <w:rPr>
                <w:rFonts w:asciiTheme="majorBidi" w:hAnsiTheme="majorBidi" w:cstheme="majorBidi"/>
                <w:color w:val="000000" w:themeColor="text1"/>
                <w:sz w:val="20"/>
                <w:szCs w:val="20"/>
                <w:shd w:val="clear" w:color="auto" w:fill="FFFFFF"/>
              </w:rPr>
              <w:t>(</w:t>
            </w:r>
            <w:r w:rsidR="00C9500E" w:rsidRPr="00D57F4E">
              <w:rPr>
                <w:rFonts w:asciiTheme="majorBidi" w:hAnsiTheme="majorBidi" w:cstheme="majorBidi"/>
                <w:color w:val="000000" w:themeColor="text1"/>
                <w:sz w:val="20"/>
                <w:szCs w:val="20"/>
                <w:shd w:val="clear" w:color="auto" w:fill="FFFFFF"/>
              </w:rPr>
              <w:t>2019</w:t>
            </w:r>
            <w:r w:rsidR="00852285">
              <w:rPr>
                <w:rFonts w:asciiTheme="majorBidi" w:hAnsiTheme="majorBidi" w:cstheme="majorBidi"/>
                <w:color w:val="000000" w:themeColor="text1"/>
                <w:sz w:val="20"/>
                <w:szCs w:val="20"/>
                <w:shd w:val="clear" w:color="auto" w:fill="FFFFFF"/>
              </w:rPr>
              <w:t>)</w:t>
            </w:r>
            <w:r w:rsidR="00C9500E" w:rsidRPr="00D57F4E">
              <w:rPr>
                <w:rFonts w:asciiTheme="majorBidi" w:hAnsiTheme="majorBidi" w:cstheme="majorBidi"/>
                <w:color w:val="000000" w:themeColor="text1"/>
                <w:sz w:val="20"/>
                <w:szCs w:val="20"/>
                <w:shd w:val="clear" w:color="auto" w:fill="FFFFFF"/>
              </w:rPr>
              <w:t>.</w:t>
            </w:r>
          </w:p>
          <w:p w14:paraId="750BF09C" w14:textId="77777777" w:rsidR="00FB4D6A" w:rsidRPr="00D57F4E" w:rsidRDefault="00FB4D6A" w:rsidP="00665616">
            <w:pPr>
              <w:spacing w:after="0" w:line="240" w:lineRule="auto"/>
              <w:ind w:left="0" w:hanging="2"/>
              <w:jc w:val="both"/>
              <w:rPr>
                <w:rFonts w:ascii="Times New Roman" w:eastAsia="Times New Roman" w:hAnsi="Times New Roman" w:cs="Times New Roman"/>
                <w:color w:val="000000" w:themeColor="text1"/>
                <w:sz w:val="20"/>
                <w:szCs w:val="20"/>
              </w:rPr>
            </w:pPr>
          </w:p>
        </w:tc>
      </w:tr>
      <w:tr w:rsidR="00D50F2E" w:rsidRPr="00D57F4E" w14:paraId="037E8107" w14:textId="77777777" w:rsidTr="003C0A32">
        <w:trPr>
          <w:trHeight w:val="846"/>
        </w:trPr>
        <w:tc>
          <w:tcPr>
            <w:tcW w:w="2127" w:type="dxa"/>
            <w:tcMar>
              <w:top w:w="100" w:type="dxa"/>
              <w:left w:w="100" w:type="dxa"/>
              <w:bottom w:w="100" w:type="dxa"/>
              <w:right w:w="100" w:type="dxa"/>
            </w:tcMar>
          </w:tcPr>
          <w:p w14:paraId="2531A7BE" w14:textId="77777777" w:rsidR="00D50F2E" w:rsidRPr="00D57F4E" w:rsidRDefault="00D50F2E"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C.     Faktor Institusi</w:t>
            </w:r>
          </w:p>
        </w:tc>
        <w:tc>
          <w:tcPr>
            <w:tcW w:w="2268" w:type="dxa"/>
            <w:tcMar>
              <w:top w:w="100" w:type="dxa"/>
              <w:left w:w="100" w:type="dxa"/>
              <w:bottom w:w="100" w:type="dxa"/>
              <w:right w:w="100" w:type="dxa"/>
            </w:tcMar>
          </w:tcPr>
          <w:p w14:paraId="7CFCF2FF" w14:textId="77777777" w:rsidR="00D50F2E" w:rsidRPr="00D57F4E" w:rsidRDefault="00852285" w:rsidP="00665616">
            <w:pPr>
              <w:spacing w:after="0" w:line="240" w:lineRule="auto"/>
              <w:ind w:left="0" w:hanging="2"/>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B</w:t>
            </w:r>
            <w:r w:rsidR="00D50F2E" w:rsidRPr="00D57F4E">
              <w:rPr>
                <w:rFonts w:ascii="Times New Roman" w:eastAsia="Times New Roman" w:hAnsi="Times New Roman" w:cs="Times New Roman"/>
                <w:color w:val="000000" w:themeColor="text1"/>
                <w:sz w:val="20"/>
                <w:szCs w:val="20"/>
              </w:rPr>
              <w:t>idang pendidikan</w:t>
            </w:r>
          </w:p>
          <w:p w14:paraId="0F030BB6" w14:textId="77777777" w:rsidR="00D50F2E" w:rsidRPr="00D57F4E" w:rsidRDefault="00852285" w:rsidP="00665616">
            <w:pPr>
              <w:spacing w:after="0" w:line="240" w:lineRule="auto"/>
              <w:ind w:left="0" w:hanging="2"/>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w:t>
            </w:r>
            <w:r w:rsidR="00D50F2E" w:rsidRPr="00D57F4E">
              <w:rPr>
                <w:rFonts w:ascii="Times New Roman" w:eastAsia="Times New Roman" w:hAnsi="Times New Roman" w:cs="Times New Roman"/>
                <w:color w:val="000000" w:themeColor="text1"/>
                <w:sz w:val="20"/>
                <w:szCs w:val="20"/>
              </w:rPr>
              <w:t>romosi</w:t>
            </w:r>
          </w:p>
          <w:p w14:paraId="02E50E54" w14:textId="77777777" w:rsidR="00D50F2E" w:rsidRPr="00D57F4E" w:rsidRDefault="00852285" w:rsidP="00665616">
            <w:pPr>
              <w:spacing w:after="0" w:line="240" w:lineRule="auto"/>
              <w:ind w:left="0" w:hanging="2"/>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K</w:t>
            </w:r>
            <w:r w:rsidR="00D50F2E" w:rsidRPr="00D57F4E">
              <w:rPr>
                <w:rFonts w:ascii="Times New Roman" w:eastAsia="Times New Roman" w:hAnsi="Times New Roman" w:cs="Times New Roman"/>
                <w:color w:val="000000" w:themeColor="text1"/>
                <w:sz w:val="20"/>
                <w:szCs w:val="20"/>
              </w:rPr>
              <w:t>emudahan infrastruktur</w:t>
            </w:r>
          </w:p>
          <w:p w14:paraId="28634B63" w14:textId="77777777" w:rsidR="00D50F2E" w:rsidRPr="00D57F4E" w:rsidRDefault="00852285" w:rsidP="00665616">
            <w:pPr>
              <w:spacing w:after="0" w:line="240" w:lineRule="auto"/>
              <w:ind w:left="0" w:hanging="2"/>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w:t>
            </w:r>
            <w:r w:rsidR="00D50F2E" w:rsidRPr="00D57F4E">
              <w:rPr>
                <w:rFonts w:ascii="Times New Roman" w:eastAsia="Times New Roman" w:hAnsi="Times New Roman" w:cs="Times New Roman"/>
                <w:color w:val="000000" w:themeColor="text1"/>
                <w:sz w:val="20"/>
                <w:szCs w:val="20"/>
              </w:rPr>
              <w:t>ensyarah</w:t>
            </w:r>
          </w:p>
          <w:p w14:paraId="044FE884" w14:textId="77777777" w:rsidR="00D50F2E" w:rsidRPr="00D57F4E" w:rsidRDefault="00852285" w:rsidP="00665616">
            <w:pPr>
              <w:spacing w:after="0" w:line="240" w:lineRule="auto"/>
              <w:ind w:left="0" w:hanging="2"/>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K</w:t>
            </w:r>
            <w:r w:rsidR="00D50F2E" w:rsidRPr="00D57F4E">
              <w:rPr>
                <w:rFonts w:ascii="Times New Roman" w:eastAsia="Times New Roman" w:hAnsi="Times New Roman" w:cs="Times New Roman"/>
                <w:color w:val="000000" w:themeColor="text1"/>
                <w:sz w:val="20"/>
                <w:szCs w:val="20"/>
              </w:rPr>
              <w:t>adar yuran</w:t>
            </w:r>
          </w:p>
        </w:tc>
        <w:tc>
          <w:tcPr>
            <w:tcW w:w="1559" w:type="dxa"/>
            <w:tcMar>
              <w:top w:w="100" w:type="dxa"/>
              <w:left w:w="100" w:type="dxa"/>
              <w:bottom w:w="100" w:type="dxa"/>
              <w:right w:w="100" w:type="dxa"/>
            </w:tcMar>
          </w:tcPr>
          <w:p w14:paraId="0897C861" w14:textId="77777777" w:rsidR="00D50F2E" w:rsidRPr="00D57F4E" w:rsidRDefault="00D50F2E"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5</w:t>
            </w:r>
          </w:p>
        </w:tc>
        <w:tc>
          <w:tcPr>
            <w:tcW w:w="3544" w:type="dxa"/>
          </w:tcPr>
          <w:p w14:paraId="41EEDC19" w14:textId="77777777" w:rsidR="00D50F2E" w:rsidRPr="00D57F4E" w:rsidRDefault="00E7286E" w:rsidP="00665616">
            <w:pPr>
              <w:spacing w:after="0" w:line="240" w:lineRule="auto"/>
              <w:ind w:left="0" w:hanging="2"/>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Ubahsuai daripada </w:t>
            </w:r>
            <w:r w:rsidR="007C3EB4" w:rsidRPr="00D57F4E">
              <w:rPr>
                <w:rFonts w:ascii="Times New Roman" w:eastAsia="Times New Roman" w:hAnsi="Times New Roman" w:cs="Times New Roman"/>
                <w:color w:val="000000" w:themeColor="text1"/>
                <w:sz w:val="20"/>
                <w:szCs w:val="20"/>
              </w:rPr>
              <w:t>Carlsen, Holm</w:t>
            </w:r>
            <w:r w:rsidR="00852285">
              <w:rPr>
                <w:rFonts w:ascii="Times New Roman" w:eastAsia="Times New Roman" w:hAnsi="Times New Roman" w:cs="Times New Roman"/>
                <w:color w:val="000000" w:themeColor="text1"/>
                <w:sz w:val="20"/>
                <w:szCs w:val="20"/>
              </w:rPr>
              <w:t>berg, Neghina &amp; Owusu-Boampong (</w:t>
            </w:r>
            <w:r w:rsidR="007C3EB4" w:rsidRPr="00D57F4E">
              <w:rPr>
                <w:rFonts w:ascii="Times New Roman" w:eastAsia="Times New Roman" w:hAnsi="Times New Roman" w:cs="Times New Roman"/>
                <w:color w:val="000000" w:themeColor="text1"/>
                <w:sz w:val="20"/>
                <w:szCs w:val="20"/>
              </w:rPr>
              <w:t>2016</w:t>
            </w:r>
            <w:r w:rsidR="00852285">
              <w:rPr>
                <w:rFonts w:ascii="Times New Roman" w:eastAsia="Times New Roman" w:hAnsi="Times New Roman" w:cs="Times New Roman"/>
                <w:color w:val="000000" w:themeColor="text1"/>
                <w:sz w:val="20"/>
                <w:szCs w:val="20"/>
              </w:rPr>
              <w:t>)</w:t>
            </w:r>
            <w:r w:rsidR="003C0A32" w:rsidRPr="00D57F4E">
              <w:rPr>
                <w:rFonts w:ascii="Times New Roman" w:eastAsia="Times New Roman" w:hAnsi="Times New Roman" w:cs="Times New Roman"/>
                <w:color w:val="000000" w:themeColor="text1"/>
                <w:sz w:val="20"/>
                <w:szCs w:val="20"/>
              </w:rPr>
              <w:t xml:space="preserve">; </w:t>
            </w:r>
            <w:bookmarkStart w:id="7" w:name="_Hlk30935278"/>
            <w:r w:rsidR="003C0A32" w:rsidRPr="00D57F4E">
              <w:rPr>
                <w:rFonts w:ascii="Times New Roman" w:eastAsia="Times New Roman" w:hAnsi="Times New Roman" w:cs="Times New Roman"/>
                <w:color w:val="000000" w:themeColor="text1"/>
                <w:sz w:val="20"/>
                <w:szCs w:val="20"/>
              </w:rPr>
              <w:t xml:space="preserve">Absher </w:t>
            </w:r>
            <w:r w:rsidR="00852285">
              <w:rPr>
                <w:rFonts w:ascii="Times New Roman" w:eastAsia="Times New Roman" w:hAnsi="Times New Roman" w:cs="Times New Roman"/>
                <w:color w:val="000000" w:themeColor="text1"/>
                <w:sz w:val="20"/>
                <w:szCs w:val="20"/>
              </w:rPr>
              <w:t>&amp;</w:t>
            </w:r>
            <w:r w:rsidR="003C0A32" w:rsidRPr="00D57F4E">
              <w:rPr>
                <w:rFonts w:ascii="Times New Roman" w:eastAsia="Times New Roman" w:hAnsi="Times New Roman" w:cs="Times New Roman"/>
                <w:color w:val="000000" w:themeColor="text1"/>
                <w:sz w:val="20"/>
                <w:szCs w:val="20"/>
              </w:rPr>
              <w:t xml:space="preserve"> Crawford (1996); Hassan, Azmi </w:t>
            </w:r>
            <w:r w:rsidR="00852285">
              <w:rPr>
                <w:rFonts w:ascii="Times New Roman" w:eastAsia="Times New Roman" w:hAnsi="Times New Roman" w:cs="Times New Roman"/>
                <w:color w:val="000000" w:themeColor="text1"/>
                <w:sz w:val="20"/>
                <w:szCs w:val="20"/>
              </w:rPr>
              <w:t>&amp;</w:t>
            </w:r>
            <w:r w:rsidR="003C0A32" w:rsidRPr="00D57F4E">
              <w:rPr>
                <w:rFonts w:ascii="Times New Roman" w:eastAsia="Times New Roman" w:hAnsi="Times New Roman" w:cs="Times New Roman"/>
                <w:color w:val="000000" w:themeColor="text1"/>
                <w:sz w:val="20"/>
                <w:szCs w:val="20"/>
              </w:rPr>
              <w:t xml:space="preserve"> Mohamad (2008); </w:t>
            </w:r>
            <w:r w:rsidR="003C0A32" w:rsidRPr="00D57F4E">
              <w:rPr>
                <w:rFonts w:ascii="Times New Roman" w:eastAsia="Times New Roman" w:hAnsi="Times New Roman" w:cs="Times New Roman"/>
                <w:color w:val="000000" w:themeColor="text1"/>
                <w:sz w:val="20"/>
                <w:szCs w:val="20"/>
                <w:highlight w:val="white"/>
              </w:rPr>
              <w:t xml:space="preserve">Arpan, Raney </w:t>
            </w:r>
            <w:r w:rsidR="00852285">
              <w:rPr>
                <w:rFonts w:ascii="Times New Roman" w:eastAsia="Times New Roman" w:hAnsi="Times New Roman" w:cs="Times New Roman"/>
                <w:color w:val="000000" w:themeColor="text1"/>
                <w:sz w:val="20"/>
                <w:szCs w:val="20"/>
                <w:highlight w:val="white"/>
              </w:rPr>
              <w:t>&amp;</w:t>
            </w:r>
            <w:r w:rsidR="003C0A32" w:rsidRPr="00D57F4E">
              <w:rPr>
                <w:rFonts w:ascii="Times New Roman" w:eastAsia="Times New Roman" w:hAnsi="Times New Roman" w:cs="Times New Roman"/>
                <w:color w:val="000000" w:themeColor="text1"/>
                <w:sz w:val="20"/>
                <w:szCs w:val="20"/>
                <w:highlight w:val="white"/>
              </w:rPr>
              <w:t xml:space="preserve"> Zivnuska (2003</w:t>
            </w:r>
            <w:r w:rsidR="003C0A32" w:rsidRPr="00D57F4E">
              <w:rPr>
                <w:rFonts w:ascii="Times New Roman" w:eastAsia="Times New Roman" w:hAnsi="Times New Roman" w:cs="Times New Roman"/>
                <w:color w:val="000000" w:themeColor="text1"/>
                <w:sz w:val="24"/>
                <w:szCs w:val="24"/>
                <w:highlight w:val="white"/>
              </w:rPr>
              <w:t>)</w:t>
            </w:r>
            <w:bookmarkEnd w:id="7"/>
            <w:r w:rsidR="00852285">
              <w:rPr>
                <w:rFonts w:ascii="Times New Roman" w:eastAsia="Times New Roman" w:hAnsi="Times New Roman" w:cs="Times New Roman"/>
                <w:color w:val="000000" w:themeColor="text1"/>
                <w:sz w:val="24"/>
                <w:szCs w:val="24"/>
              </w:rPr>
              <w:t>.</w:t>
            </w:r>
          </w:p>
        </w:tc>
      </w:tr>
      <w:tr w:rsidR="00D50F2E" w:rsidRPr="00D57F4E" w14:paraId="3126C8C4" w14:textId="77777777" w:rsidTr="003C0A32">
        <w:trPr>
          <w:trHeight w:val="354"/>
        </w:trPr>
        <w:tc>
          <w:tcPr>
            <w:tcW w:w="2127" w:type="dxa"/>
            <w:tcMar>
              <w:top w:w="100" w:type="dxa"/>
              <w:left w:w="100" w:type="dxa"/>
              <w:bottom w:w="100" w:type="dxa"/>
              <w:right w:w="100" w:type="dxa"/>
            </w:tcMar>
          </w:tcPr>
          <w:p w14:paraId="2728AA22" w14:textId="77777777" w:rsidR="00D50F2E" w:rsidRPr="00D57F4E" w:rsidRDefault="00D50F2E"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D.   Minat</w:t>
            </w:r>
          </w:p>
        </w:tc>
        <w:tc>
          <w:tcPr>
            <w:tcW w:w="2268" w:type="dxa"/>
            <w:tcMar>
              <w:top w:w="100" w:type="dxa"/>
              <w:left w:w="100" w:type="dxa"/>
              <w:bottom w:w="100" w:type="dxa"/>
              <w:right w:w="100" w:type="dxa"/>
            </w:tcMar>
          </w:tcPr>
          <w:p w14:paraId="5E13A3DB" w14:textId="77777777" w:rsidR="00D50F2E" w:rsidRPr="00D57F4E" w:rsidRDefault="00852285" w:rsidP="00665616">
            <w:pPr>
              <w:spacing w:after="0" w:line="240" w:lineRule="auto"/>
              <w:ind w:left="0" w:hanging="2"/>
              <w:jc w:val="both"/>
              <w:rPr>
                <w:rFonts w:ascii="Times New Roman" w:eastAsia="Times New Roman" w:hAnsi="Times New Roman" w:cs="Times New Roman"/>
                <w:color w:val="000000" w:themeColor="text1"/>
                <w:sz w:val="20"/>
                <w:szCs w:val="20"/>
                <w:lang w:val="es-ES_tradnl"/>
              </w:rPr>
            </w:pPr>
            <w:r>
              <w:rPr>
                <w:rFonts w:ascii="Times New Roman" w:eastAsia="Times New Roman" w:hAnsi="Times New Roman" w:cs="Times New Roman"/>
                <w:color w:val="000000" w:themeColor="text1"/>
                <w:sz w:val="20"/>
                <w:szCs w:val="20"/>
                <w:lang w:val="es-ES_tradnl"/>
              </w:rPr>
              <w:t>M</w:t>
            </w:r>
            <w:r w:rsidR="00D50F2E" w:rsidRPr="00D57F4E">
              <w:rPr>
                <w:rFonts w:ascii="Times New Roman" w:eastAsia="Times New Roman" w:hAnsi="Times New Roman" w:cs="Times New Roman"/>
                <w:color w:val="000000" w:themeColor="text1"/>
                <w:sz w:val="20"/>
                <w:szCs w:val="20"/>
                <w:lang w:val="es-ES_tradnl"/>
              </w:rPr>
              <w:t>erasa suka</w:t>
            </w:r>
          </w:p>
          <w:p w14:paraId="3281E9AB" w14:textId="77777777" w:rsidR="00D50F2E" w:rsidRPr="00D57F4E" w:rsidRDefault="00852285" w:rsidP="00665616">
            <w:pPr>
              <w:spacing w:after="0" w:line="240" w:lineRule="auto"/>
              <w:ind w:left="0" w:hanging="2"/>
              <w:jc w:val="both"/>
              <w:rPr>
                <w:rFonts w:ascii="Times New Roman" w:eastAsia="Times New Roman" w:hAnsi="Times New Roman" w:cs="Times New Roman"/>
                <w:color w:val="000000" w:themeColor="text1"/>
                <w:sz w:val="20"/>
                <w:szCs w:val="20"/>
                <w:lang w:val="es-ES_tradnl"/>
              </w:rPr>
            </w:pPr>
            <w:r>
              <w:rPr>
                <w:rFonts w:ascii="Times New Roman" w:eastAsia="Times New Roman" w:hAnsi="Times New Roman" w:cs="Times New Roman"/>
                <w:color w:val="000000" w:themeColor="text1"/>
                <w:sz w:val="20"/>
                <w:szCs w:val="20"/>
                <w:lang w:val="es-ES_tradnl"/>
              </w:rPr>
              <w:t>M</w:t>
            </w:r>
            <w:r w:rsidR="00D50F2E" w:rsidRPr="00D57F4E">
              <w:rPr>
                <w:rFonts w:ascii="Times New Roman" w:eastAsia="Times New Roman" w:hAnsi="Times New Roman" w:cs="Times New Roman"/>
                <w:color w:val="000000" w:themeColor="text1"/>
                <w:sz w:val="20"/>
                <w:szCs w:val="20"/>
                <w:lang w:val="es-ES_tradnl"/>
              </w:rPr>
              <w:t>erasa seronok</w:t>
            </w:r>
          </w:p>
          <w:p w14:paraId="3CEE082F" w14:textId="77777777" w:rsidR="00D50F2E" w:rsidRPr="00D57F4E" w:rsidRDefault="00852285" w:rsidP="00665616">
            <w:pPr>
              <w:spacing w:after="0" w:line="240" w:lineRule="auto"/>
              <w:ind w:left="0" w:hanging="2"/>
              <w:jc w:val="both"/>
              <w:rPr>
                <w:rFonts w:ascii="Times New Roman" w:eastAsia="Times New Roman" w:hAnsi="Times New Roman" w:cs="Times New Roman"/>
                <w:color w:val="000000" w:themeColor="text1"/>
                <w:sz w:val="20"/>
                <w:szCs w:val="20"/>
                <w:lang w:val="es-ES_tradnl"/>
              </w:rPr>
            </w:pPr>
            <w:r>
              <w:rPr>
                <w:rFonts w:ascii="Times New Roman" w:eastAsia="Times New Roman" w:hAnsi="Times New Roman" w:cs="Times New Roman"/>
                <w:color w:val="000000" w:themeColor="text1"/>
                <w:sz w:val="20"/>
                <w:szCs w:val="20"/>
                <w:lang w:val="es-ES_tradnl"/>
              </w:rPr>
              <w:t>S</w:t>
            </w:r>
            <w:r w:rsidR="00D50F2E" w:rsidRPr="00D57F4E">
              <w:rPr>
                <w:rFonts w:ascii="Times New Roman" w:eastAsia="Times New Roman" w:hAnsi="Times New Roman" w:cs="Times New Roman"/>
                <w:color w:val="000000" w:themeColor="text1"/>
                <w:sz w:val="20"/>
                <w:szCs w:val="20"/>
                <w:lang w:val="es-ES_tradnl"/>
              </w:rPr>
              <w:t>angat teruja</w:t>
            </w:r>
          </w:p>
        </w:tc>
        <w:tc>
          <w:tcPr>
            <w:tcW w:w="1559" w:type="dxa"/>
            <w:tcMar>
              <w:top w:w="100" w:type="dxa"/>
              <w:left w:w="100" w:type="dxa"/>
              <w:bottom w:w="100" w:type="dxa"/>
              <w:right w:w="100" w:type="dxa"/>
            </w:tcMar>
          </w:tcPr>
          <w:p w14:paraId="12BCBC5B" w14:textId="77777777" w:rsidR="00D50F2E" w:rsidRPr="00D57F4E" w:rsidRDefault="00D50F2E"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3</w:t>
            </w:r>
          </w:p>
        </w:tc>
        <w:tc>
          <w:tcPr>
            <w:tcW w:w="3544" w:type="dxa"/>
          </w:tcPr>
          <w:p w14:paraId="6D92BB42" w14:textId="77777777" w:rsidR="003C0A32" w:rsidRPr="008A0AAF" w:rsidRDefault="00E7286E" w:rsidP="00665616">
            <w:pPr>
              <w:spacing w:after="0" w:line="240" w:lineRule="auto"/>
              <w:ind w:left="0" w:hanging="2"/>
              <w:jc w:val="both"/>
              <w:rPr>
                <w:rFonts w:ascii="Times New Roman" w:eastAsia="Times New Roman" w:hAnsi="Times New Roman" w:cs="Times New Roman"/>
                <w:color w:val="000000" w:themeColor="text1"/>
                <w:sz w:val="20"/>
                <w:szCs w:val="20"/>
              </w:rPr>
            </w:pPr>
            <w:r w:rsidRPr="008A0AAF">
              <w:rPr>
                <w:rFonts w:ascii="Times New Roman" w:eastAsia="Times New Roman" w:hAnsi="Times New Roman" w:cs="Times New Roman"/>
                <w:color w:val="000000" w:themeColor="text1"/>
                <w:sz w:val="20"/>
                <w:szCs w:val="20"/>
              </w:rPr>
              <w:t xml:space="preserve">Ubahsuai daripada </w:t>
            </w:r>
            <w:r w:rsidR="00852285" w:rsidRPr="008A0AAF">
              <w:rPr>
                <w:rFonts w:ascii="Times New Roman" w:eastAsia="Times New Roman" w:hAnsi="Times New Roman" w:cs="Times New Roman"/>
                <w:color w:val="000000" w:themeColor="text1"/>
                <w:sz w:val="20"/>
                <w:szCs w:val="20"/>
              </w:rPr>
              <w:t>Xihe Zhu &amp; Senlin Chen</w:t>
            </w:r>
            <w:r w:rsidR="003C0A32" w:rsidRPr="008A0AAF">
              <w:rPr>
                <w:rFonts w:ascii="Times New Roman" w:eastAsia="Times New Roman" w:hAnsi="Times New Roman" w:cs="Times New Roman"/>
                <w:color w:val="000000" w:themeColor="text1"/>
                <w:sz w:val="20"/>
                <w:szCs w:val="20"/>
              </w:rPr>
              <w:t xml:space="preserve"> (2017);</w:t>
            </w:r>
            <w:r w:rsidR="00852285" w:rsidRPr="008A0AAF">
              <w:rPr>
                <w:rFonts w:ascii="Times New Roman" w:eastAsia="Times New Roman" w:hAnsi="Times New Roman" w:cs="Times New Roman"/>
                <w:color w:val="000000" w:themeColor="text1"/>
                <w:sz w:val="20"/>
                <w:szCs w:val="20"/>
              </w:rPr>
              <w:t xml:space="preserve"> Schiefele (</w:t>
            </w:r>
            <w:r w:rsidR="003C0A32" w:rsidRPr="008A0AAF">
              <w:rPr>
                <w:rFonts w:ascii="Times New Roman" w:eastAsia="Times New Roman" w:hAnsi="Times New Roman" w:cs="Times New Roman"/>
                <w:color w:val="000000" w:themeColor="text1"/>
                <w:sz w:val="20"/>
                <w:szCs w:val="20"/>
              </w:rPr>
              <w:t>1991</w:t>
            </w:r>
            <w:r w:rsidR="00852285" w:rsidRPr="008A0AAF">
              <w:rPr>
                <w:rFonts w:ascii="Times New Roman" w:eastAsia="Times New Roman" w:hAnsi="Times New Roman" w:cs="Times New Roman"/>
                <w:color w:val="000000" w:themeColor="text1"/>
                <w:sz w:val="20"/>
                <w:szCs w:val="20"/>
              </w:rPr>
              <w:t>).</w:t>
            </w:r>
          </w:p>
        </w:tc>
      </w:tr>
      <w:tr w:rsidR="00D50F2E" w:rsidRPr="00D57F4E" w14:paraId="4920EA98" w14:textId="77777777" w:rsidTr="003C0A32">
        <w:trPr>
          <w:trHeight w:val="169"/>
        </w:trPr>
        <w:tc>
          <w:tcPr>
            <w:tcW w:w="2127" w:type="dxa"/>
            <w:tcBorders>
              <w:bottom w:val="single" w:sz="4" w:space="0" w:color="auto"/>
            </w:tcBorders>
            <w:tcMar>
              <w:top w:w="100" w:type="dxa"/>
              <w:left w:w="100" w:type="dxa"/>
              <w:bottom w:w="100" w:type="dxa"/>
              <w:right w:w="100" w:type="dxa"/>
            </w:tcMar>
          </w:tcPr>
          <w:p w14:paraId="37F0CF5C" w14:textId="77777777" w:rsidR="00D50F2E" w:rsidRPr="008A0AAF" w:rsidRDefault="00D50F2E" w:rsidP="00665616">
            <w:pPr>
              <w:spacing w:after="0" w:line="240" w:lineRule="auto"/>
              <w:ind w:left="0" w:hanging="2"/>
              <w:jc w:val="both"/>
              <w:rPr>
                <w:rFonts w:ascii="Times New Roman" w:eastAsia="Times New Roman" w:hAnsi="Times New Roman" w:cs="Times New Roman"/>
                <w:color w:val="000000" w:themeColor="text1"/>
                <w:sz w:val="20"/>
                <w:szCs w:val="20"/>
              </w:rPr>
            </w:pPr>
            <w:r w:rsidRPr="008A0AAF">
              <w:rPr>
                <w:rFonts w:ascii="Times New Roman" w:eastAsia="Times New Roman" w:hAnsi="Times New Roman" w:cs="Times New Roman"/>
                <w:color w:val="000000" w:themeColor="text1"/>
                <w:sz w:val="20"/>
                <w:szCs w:val="20"/>
              </w:rPr>
              <w:t xml:space="preserve"> </w:t>
            </w:r>
          </w:p>
        </w:tc>
        <w:tc>
          <w:tcPr>
            <w:tcW w:w="2268" w:type="dxa"/>
            <w:tcBorders>
              <w:bottom w:val="single" w:sz="4" w:space="0" w:color="auto"/>
            </w:tcBorders>
            <w:tcMar>
              <w:top w:w="100" w:type="dxa"/>
              <w:left w:w="100" w:type="dxa"/>
              <w:bottom w:w="100" w:type="dxa"/>
              <w:right w:w="100" w:type="dxa"/>
            </w:tcMar>
          </w:tcPr>
          <w:p w14:paraId="2C4FD331" w14:textId="77777777" w:rsidR="00D50F2E" w:rsidRPr="00D57F4E" w:rsidRDefault="00D50F2E"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Jumlah keseluruhan</w:t>
            </w:r>
          </w:p>
        </w:tc>
        <w:tc>
          <w:tcPr>
            <w:tcW w:w="1559" w:type="dxa"/>
            <w:tcBorders>
              <w:bottom w:val="single" w:sz="4" w:space="0" w:color="auto"/>
            </w:tcBorders>
            <w:tcMar>
              <w:top w:w="100" w:type="dxa"/>
              <w:left w:w="100" w:type="dxa"/>
              <w:bottom w:w="100" w:type="dxa"/>
              <w:right w:w="100" w:type="dxa"/>
            </w:tcMar>
          </w:tcPr>
          <w:p w14:paraId="0D65BF51" w14:textId="77777777" w:rsidR="00D50F2E" w:rsidRPr="00D57F4E" w:rsidRDefault="00D50F2E"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18</w:t>
            </w:r>
          </w:p>
        </w:tc>
        <w:tc>
          <w:tcPr>
            <w:tcW w:w="3544" w:type="dxa"/>
            <w:tcBorders>
              <w:bottom w:val="single" w:sz="4" w:space="0" w:color="auto"/>
            </w:tcBorders>
          </w:tcPr>
          <w:p w14:paraId="136948F7" w14:textId="77777777" w:rsidR="00D50F2E" w:rsidRPr="00D57F4E" w:rsidRDefault="00D50F2E" w:rsidP="00665616">
            <w:pPr>
              <w:spacing w:after="0" w:line="240" w:lineRule="auto"/>
              <w:ind w:left="0" w:hanging="2"/>
              <w:jc w:val="both"/>
              <w:rPr>
                <w:rFonts w:ascii="Times New Roman" w:eastAsia="Times New Roman" w:hAnsi="Times New Roman" w:cs="Times New Roman"/>
                <w:color w:val="000000" w:themeColor="text1"/>
                <w:sz w:val="20"/>
                <w:szCs w:val="20"/>
              </w:rPr>
            </w:pPr>
          </w:p>
        </w:tc>
      </w:tr>
    </w:tbl>
    <w:p w14:paraId="0ED4B246" w14:textId="77777777" w:rsidR="00852285" w:rsidRDefault="00852285" w:rsidP="00665616">
      <w:pPr>
        <w:spacing w:after="0" w:line="240" w:lineRule="auto"/>
        <w:ind w:left="0" w:hanging="2"/>
        <w:jc w:val="both"/>
        <w:rPr>
          <w:rFonts w:ascii="Times New Roman" w:eastAsia="Times New Roman" w:hAnsi="Times New Roman" w:cs="Times New Roman"/>
          <w:color w:val="000000" w:themeColor="text1"/>
          <w:sz w:val="24"/>
          <w:szCs w:val="24"/>
        </w:rPr>
      </w:pPr>
    </w:p>
    <w:p w14:paraId="10C7CDDF" w14:textId="77777777" w:rsidR="00A03ABC" w:rsidRPr="00D57F4E" w:rsidRDefault="00A03ABC" w:rsidP="00665616">
      <w:pPr>
        <w:spacing w:after="0" w:line="240" w:lineRule="auto"/>
        <w:ind w:leftChars="0" w:left="0" w:firstLineChars="0" w:firstLine="720"/>
        <w:jc w:val="both"/>
        <w:rPr>
          <w:rFonts w:ascii="Arial" w:hAnsi="Arial" w:cs="Arial"/>
          <w:i/>
          <w:iCs/>
          <w:color w:val="000000" w:themeColor="text1"/>
          <w:bdr w:val="none" w:sz="0" w:space="0" w:color="auto" w:frame="1"/>
        </w:rPr>
      </w:pPr>
      <w:r w:rsidRPr="00D57F4E">
        <w:rPr>
          <w:rFonts w:ascii="Times New Roman" w:eastAsia="Times New Roman" w:hAnsi="Times New Roman" w:cs="Times New Roman"/>
          <w:color w:val="000000" w:themeColor="text1"/>
          <w:sz w:val="24"/>
          <w:szCs w:val="24"/>
        </w:rPr>
        <w:t>Kajian rintis dilakukan untuk menguji kesesuaian dan kefahaman item-item soal selidik. Di</w:t>
      </w:r>
      <w:r w:rsidR="00E7286E">
        <w:rPr>
          <w:rFonts w:ascii="Times New Roman" w:eastAsia="Times New Roman" w:hAnsi="Times New Roman" w:cs="Times New Roman"/>
          <w:color w:val="000000" w:themeColor="text1"/>
          <w:sz w:val="24"/>
          <w:szCs w:val="24"/>
        </w:rPr>
        <w:t xml:space="preserve"> samping itu juga ia</w:t>
      </w:r>
      <w:r w:rsidRPr="00D57F4E">
        <w:rPr>
          <w:rFonts w:ascii="Times New Roman" w:eastAsia="Times New Roman" w:hAnsi="Times New Roman" w:cs="Times New Roman"/>
          <w:color w:val="000000" w:themeColor="text1"/>
          <w:sz w:val="24"/>
          <w:szCs w:val="24"/>
        </w:rPr>
        <w:t xml:space="preserve"> bertujuan untuk mengetahui reaksi responden terhadap maksud item dan jangka masa untuk dijawab </w:t>
      </w:r>
      <w:r w:rsidRPr="00D57F4E">
        <w:rPr>
          <w:rFonts w:asciiTheme="majorBidi" w:eastAsia="Times New Roman" w:hAnsiTheme="majorBidi" w:cstheme="majorBidi"/>
          <w:color w:val="000000" w:themeColor="text1"/>
          <w:sz w:val="24"/>
          <w:szCs w:val="24"/>
        </w:rPr>
        <w:t>(</w:t>
      </w:r>
      <w:r w:rsidRPr="00D57F4E">
        <w:rPr>
          <w:rFonts w:asciiTheme="majorBidi" w:hAnsiTheme="majorBidi" w:cstheme="majorBidi"/>
          <w:color w:val="000000" w:themeColor="text1"/>
          <w:sz w:val="24"/>
          <w:szCs w:val="24"/>
        </w:rPr>
        <w:t>Frankel &amp; Wallen</w:t>
      </w:r>
      <w:r w:rsidR="00934A80" w:rsidRPr="00D57F4E">
        <w:rPr>
          <w:rFonts w:asciiTheme="majorBidi" w:hAnsiTheme="majorBidi" w:cstheme="majorBidi"/>
          <w:color w:val="000000" w:themeColor="text1"/>
          <w:sz w:val="24"/>
          <w:szCs w:val="24"/>
        </w:rPr>
        <w:t xml:space="preserve">, </w:t>
      </w:r>
      <w:r w:rsidRPr="00D57F4E">
        <w:rPr>
          <w:rFonts w:asciiTheme="majorBidi" w:hAnsiTheme="majorBidi" w:cstheme="majorBidi"/>
          <w:color w:val="000000" w:themeColor="text1"/>
          <w:sz w:val="24"/>
          <w:szCs w:val="24"/>
        </w:rPr>
        <w:t>2006)</w:t>
      </w:r>
      <w:r w:rsidRPr="00D57F4E">
        <w:rPr>
          <w:rFonts w:asciiTheme="majorBidi" w:hAnsiTheme="majorBidi" w:cstheme="majorBidi"/>
          <w:i/>
          <w:iCs/>
          <w:color w:val="000000" w:themeColor="text1"/>
          <w:sz w:val="24"/>
          <w:szCs w:val="24"/>
          <w:bdr w:val="none" w:sz="0" w:space="0" w:color="auto" w:frame="1"/>
        </w:rPr>
        <w:t>.</w:t>
      </w:r>
      <w:r w:rsidRPr="00D57F4E">
        <w:rPr>
          <w:rFonts w:asciiTheme="majorBidi" w:eastAsia="Times New Roman" w:hAnsiTheme="majorBidi" w:cstheme="majorBidi"/>
          <w:color w:val="000000" w:themeColor="text1"/>
          <w:sz w:val="24"/>
          <w:szCs w:val="24"/>
        </w:rPr>
        <w:t xml:space="preserve"> Manakala</w:t>
      </w:r>
      <w:r w:rsidRPr="00D57F4E">
        <w:rPr>
          <w:rFonts w:ascii="Times New Roman" w:eastAsia="Times New Roman" w:hAnsi="Times New Roman" w:cs="Times New Roman"/>
          <w:color w:val="000000" w:themeColor="text1"/>
          <w:sz w:val="24"/>
          <w:szCs w:val="24"/>
        </w:rPr>
        <w:t xml:space="preserve"> </w:t>
      </w:r>
      <w:r w:rsidRPr="00D57F4E">
        <w:rPr>
          <w:rFonts w:asciiTheme="majorBidi" w:eastAsia="Times New Roman" w:hAnsiTheme="majorBidi" w:cstheme="majorBidi"/>
          <w:color w:val="000000" w:themeColor="text1"/>
          <w:sz w:val="24"/>
          <w:szCs w:val="24"/>
          <w:highlight w:val="white"/>
        </w:rPr>
        <w:t>Hartas (2015)</w:t>
      </w:r>
      <w:r w:rsidRPr="00D57F4E">
        <w:rPr>
          <w:rFonts w:asciiTheme="majorBidi" w:eastAsia="Times New Roman" w:hAnsiTheme="majorBidi" w:cstheme="majorBidi"/>
          <w:color w:val="000000" w:themeColor="text1"/>
          <w:sz w:val="24"/>
          <w:szCs w:val="24"/>
        </w:rPr>
        <w:t xml:space="preserve"> </w:t>
      </w:r>
      <w:r w:rsidRPr="00D57F4E">
        <w:rPr>
          <w:rFonts w:ascii="Times New Roman" w:eastAsia="Times New Roman" w:hAnsi="Times New Roman" w:cs="Times New Roman"/>
          <w:color w:val="000000" w:themeColor="text1"/>
          <w:sz w:val="24"/>
          <w:szCs w:val="24"/>
        </w:rPr>
        <w:t xml:space="preserve">berpendapat kajian rintis merupakan cara yang terbaik untuk menyelesaikan masalah sebelum kajian sebenar dijalankan sama ada penyelidikan berbentuk kuantitatif atau kualitatif. Saiz </w:t>
      </w:r>
      <w:r w:rsidRPr="00D57F4E">
        <w:rPr>
          <w:rFonts w:ascii="Times New Roman" w:eastAsia="Times New Roman" w:hAnsi="Times New Roman" w:cs="Times New Roman"/>
          <w:color w:val="000000" w:themeColor="text1"/>
          <w:sz w:val="24"/>
          <w:szCs w:val="24"/>
        </w:rPr>
        <w:lastRenderedPageBreak/>
        <w:t xml:space="preserve">sampel kajian rintis tidak perlu besar tetapi memadai untuk memenuhi tujuan perbincangan awal yang berkesan tentang ujian iaitu sekitar enam hingga </w:t>
      </w:r>
      <w:r w:rsidR="002877FE" w:rsidRPr="00D57F4E">
        <w:rPr>
          <w:rFonts w:ascii="Times New Roman" w:eastAsia="Times New Roman" w:hAnsi="Times New Roman" w:cs="Times New Roman"/>
          <w:color w:val="000000" w:themeColor="text1"/>
          <w:sz w:val="24"/>
          <w:szCs w:val="24"/>
        </w:rPr>
        <w:t>10</w:t>
      </w:r>
      <w:r w:rsidRPr="00D57F4E">
        <w:rPr>
          <w:rFonts w:ascii="Times New Roman" w:eastAsia="Times New Roman" w:hAnsi="Times New Roman" w:cs="Times New Roman"/>
          <w:color w:val="000000" w:themeColor="text1"/>
          <w:sz w:val="24"/>
          <w:szCs w:val="24"/>
        </w:rPr>
        <w:t xml:space="preserve"> </w:t>
      </w:r>
      <w:r w:rsidRPr="00D57F4E">
        <w:rPr>
          <w:rFonts w:asciiTheme="majorBidi" w:eastAsia="Times New Roman" w:hAnsiTheme="majorBidi" w:cstheme="majorBidi"/>
          <w:color w:val="000000" w:themeColor="text1"/>
          <w:sz w:val="24"/>
          <w:szCs w:val="24"/>
        </w:rPr>
        <w:t>orang (</w:t>
      </w:r>
      <w:r w:rsidRPr="00D57F4E">
        <w:rPr>
          <w:rFonts w:asciiTheme="majorBidi" w:hAnsiTheme="majorBidi" w:cstheme="majorBidi"/>
          <w:color w:val="000000" w:themeColor="text1"/>
          <w:sz w:val="24"/>
          <w:szCs w:val="24"/>
        </w:rPr>
        <w:t>Mohd. Najib</w:t>
      </w:r>
      <w:r w:rsidR="00E7286E">
        <w:rPr>
          <w:rFonts w:asciiTheme="majorBidi" w:hAnsiTheme="majorBidi" w:cstheme="majorBidi"/>
          <w:color w:val="000000" w:themeColor="text1"/>
          <w:sz w:val="24"/>
          <w:szCs w:val="24"/>
        </w:rPr>
        <w:t>,</w:t>
      </w:r>
      <w:r w:rsidRPr="00D57F4E">
        <w:rPr>
          <w:rFonts w:asciiTheme="majorBidi" w:hAnsiTheme="majorBidi" w:cstheme="majorBidi"/>
          <w:color w:val="000000" w:themeColor="text1"/>
          <w:sz w:val="24"/>
          <w:szCs w:val="24"/>
        </w:rPr>
        <w:t xml:space="preserve"> 2003)</w:t>
      </w:r>
      <w:r w:rsidRPr="00D57F4E">
        <w:rPr>
          <w:rFonts w:asciiTheme="majorBidi" w:eastAsia="Times New Roman" w:hAnsiTheme="majorBidi" w:cstheme="majorBidi"/>
          <w:color w:val="000000" w:themeColor="text1"/>
          <w:sz w:val="24"/>
          <w:szCs w:val="24"/>
        </w:rPr>
        <w:t>.</w:t>
      </w:r>
      <w:r w:rsidRPr="00D57F4E">
        <w:rPr>
          <w:rFonts w:ascii="Times New Roman" w:eastAsia="Times New Roman" w:hAnsi="Times New Roman" w:cs="Times New Roman"/>
          <w:color w:val="000000" w:themeColor="text1"/>
          <w:sz w:val="24"/>
          <w:szCs w:val="24"/>
        </w:rPr>
        <w:t xml:space="preserve"> </w:t>
      </w:r>
      <w:r w:rsidR="002877FE" w:rsidRPr="00D57F4E">
        <w:rPr>
          <w:rFonts w:ascii="Times New Roman" w:eastAsia="Times New Roman" w:hAnsi="Times New Roman" w:cs="Times New Roman"/>
          <w:color w:val="000000" w:themeColor="text1"/>
          <w:sz w:val="24"/>
          <w:szCs w:val="24"/>
        </w:rPr>
        <w:t>Kajian rintis</w:t>
      </w:r>
      <w:r w:rsidR="00F85D18" w:rsidRPr="00D57F4E">
        <w:rPr>
          <w:rFonts w:ascii="Times New Roman" w:eastAsia="Times New Roman" w:hAnsi="Times New Roman" w:cs="Times New Roman"/>
          <w:color w:val="000000" w:themeColor="text1"/>
          <w:sz w:val="24"/>
          <w:szCs w:val="24"/>
        </w:rPr>
        <w:t xml:space="preserve"> ini </w:t>
      </w:r>
      <w:r w:rsidR="00010DE4" w:rsidRPr="00D57F4E">
        <w:rPr>
          <w:rFonts w:ascii="Times New Roman" w:eastAsia="Times New Roman" w:hAnsi="Times New Roman" w:cs="Times New Roman"/>
          <w:color w:val="000000" w:themeColor="text1"/>
          <w:sz w:val="24"/>
          <w:szCs w:val="24"/>
        </w:rPr>
        <w:t>telah dijalankan terhadap</w:t>
      </w:r>
      <w:r w:rsidR="002877FE" w:rsidRPr="00D57F4E">
        <w:rPr>
          <w:rFonts w:ascii="Times New Roman" w:eastAsia="Times New Roman" w:hAnsi="Times New Roman" w:cs="Times New Roman"/>
          <w:color w:val="000000" w:themeColor="text1"/>
          <w:sz w:val="24"/>
          <w:szCs w:val="24"/>
        </w:rPr>
        <w:t xml:space="preserve"> guru-guru JAIS tahun akhir pengajian PPGB-JAIS-UPSI.</w:t>
      </w:r>
    </w:p>
    <w:p w14:paraId="5C319E74" w14:textId="11740F6F" w:rsidR="00A03ABC" w:rsidRPr="00D57F4E" w:rsidRDefault="00A03ABC" w:rsidP="00665616">
      <w:pPr>
        <w:spacing w:after="0" w:line="240" w:lineRule="auto"/>
        <w:ind w:leftChars="0" w:left="0" w:firstLineChars="0" w:firstLine="720"/>
        <w:jc w:val="both"/>
        <w:rPr>
          <w:rFonts w:ascii="Times New Roman" w:eastAsia="Times New Roman" w:hAnsi="Times New Roman" w:cs="Times New Roman"/>
          <w:color w:val="000000" w:themeColor="text1"/>
          <w:sz w:val="24"/>
          <w:szCs w:val="24"/>
        </w:rPr>
      </w:pPr>
      <w:r w:rsidRPr="00D57F4E">
        <w:rPr>
          <w:rFonts w:ascii="Times New Roman" w:eastAsia="Times New Roman" w:hAnsi="Times New Roman" w:cs="Times New Roman"/>
          <w:color w:val="000000" w:themeColor="text1"/>
          <w:sz w:val="24"/>
          <w:szCs w:val="24"/>
        </w:rPr>
        <w:t>Penyelidik mengutip data dengan men</w:t>
      </w:r>
      <w:r w:rsidR="00E7286E">
        <w:rPr>
          <w:rFonts w:ascii="Times New Roman" w:eastAsia="Times New Roman" w:hAnsi="Times New Roman" w:cs="Times New Roman"/>
          <w:color w:val="000000" w:themeColor="text1"/>
          <w:sz w:val="24"/>
          <w:szCs w:val="24"/>
        </w:rPr>
        <w:t>ggunakan soal selidik yang diem</w:t>
      </w:r>
      <w:r w:rsidR="00010DE4" w:rsidRPr="00D57F4E">
        <w:rPr>
          <w:rFonts w:ascii="Times New Roman" w:eastAsia="Times New Roman" w:hAnsi="Times New Roman" w:cs="Times New Roman"/>
          <w:color w:val="000000" w:themeColor="text1"/>
          <w:sz w:val="24"/>
          <w:szCs w:val="24"/>
        </w:rPr>
        <w:t>e</w:t>
      </w:r>
      <w:r w:rsidRPr="00D57F4E">
        <w:rPr>
          <w:rFonts w:ascii="Times New Roman" w:eastAsia="Times New Roman" w:hAnsi="Times New Roman" w:cs="Times New Roman"/>
          <w:color w:val="000000" w:themeColor="text1"/>
          <w:sz w:val="24"/>
          <w:szCs w:val="24"/>
        </w:rPr>
        <w:t xml:space="preserve">lkan kepada 160 orang pelajar PPGB-JAIS secara sampel bertujuan dengan menggunakan </w:t>
      </w:r>
      <w:r w:rsidRPr="00D57F4E">
        <w:rPr>
          <w:rFonts w:ascii="Times New Roman" w:eastAsia="Times New Roman" w:hAnsi="Times New Roman" w:cs="Times New Roman"/>
          <w:i/>
          <w:color w:val="000000" w:themeColor="text1"/>
          <w:sz w:val="24"/>
          <w:szCs w:val="24"/>
        </w:rPr>
        <w:t>google form</w:t>
      </w:r>
      <w:r w:rsidRPr="00D57F4E">
        <w:rPr>
          <w:rFonts w:ascii="Times New Roman" w:eastAsia="Times New Roman" w:hAnsi="Times New Roman" w:cs="Times New Roman"/>
          <w:color w:val="000000" w:themeColor="text1"/>
          <w:sz w:val="24"/>
          <w:szCs w:val="24"/>
        </w:rPr>
        <w:t>. Namun</w:t>
      </w:r>
      <w:r w:rsidR="00E7286E">
        <w:rPr>
          <w:rFonts w:ascii="Times New Roman" w:eastAsia="Times New Roman" w:hAnsi="Times New Roman" w:cs="Times New Roman"/>
          <w:color w:val="000000" w:themeColor="text1"/>
          <w:sz w:val="24"/>
          <w:szCs w:val="24"/>
        </w:rPr>
        <w:t>,</w:t>
      </w:r>
      <w:r w:rsidRPr="00D57F4E">
        <w:rPr>
          <w:rFonts w:ascii="Times New Roman" w:eastAsia="Times New Roman" w:hAnsi="Times New Roman" w:cs="Times New Roman"/>
          <w:color w:val="000000" w:themeColor="text1"/>
          <w:sz w:val="24"/>
          <w:szCs w:val="24"/>
        </w:rPr>
        <w:t xml:space="preserve"> sebanyak 99 </w:t>
      </w:r>
      <w:r w:rsidR="00E7286E">
        <w:rPr>
          <w:rFonts w:ascii="Times New Roman" w:eastAsia="Times New Roman" w:hAnsi="Times New Roman" w:cs="Times New Roman"/>
          <w:color w:val="000000" w:themeColor="text1"/>
          <w:sz w:val="24"/>
          <w:szCs w:val="24"/>
        </w:rPr>
        <w:t xml:space="preserve">orang </w:t>
      </w:r>
      <w:r w:rsidR="00E7286E" w:rsidRPr="00D57F4E">
        <w:rPr>
          <w:rFonts w:ascii="Times New Roman" w:eastAsia="Times New Roman" w:hAnsi="Times New Roman" w:cs="Times New Roman"/>
          <w:color w:val="000000" w:themeColor="text1"/>
          <w:sz w:val="24"/>
          <w:szCs w:val="24"/>
        </w:rPr>
        <w:t xml:space="preserve">responden </w:t>
      </w:r>
      <w:r w:rsidRPr="00D57F4E">
        <w:rPr>
          <w:rFonts w:ascii="Times New Roman" w:eastAsia="Times New Roman" w:hAnsi="Times New Roman" w:cs="Times New Roman"/>
          <w:color w:val="000000" w:themeColor="text1"/>
          <w:sz w:val="24"/>
          <w:szCs w:val="24"/>
        </w:rPr>
        <w:t>(62%) sahaja yang menjawab soal selidik tersebut. Kadar menjawab yang rendah ini adalah seiring dengan kajian-kajian yang dilakukan oleh Cook</w:t>
      </w:r>
      <w:r w:rsidR="00A35173">
        <w:rPr>
          <w:rFonts w:ascii="Times New Roman" w:eastAsia="Times New Roman" w:hAnsi="Times New Roman" w:cs="Times New Roman"/>
          <w:color w:val="000000" w:themeColor="text1"/>
          <w:sz w:val="24"/>
          <w:szCs w:val="24"/>
        </w:rPr>
        <w:t xml:space="preserve"> et al. </w:t>
      </w:r>
      <w:r w:rsidRPr="00D57F4E">
        <w:rPr>
          <w:rFonts w:ascii="Times New Roman" w:eastAsia="Times New Roman" w:hAnsi="Times New Roman" w:cs="Times New Roman"/>
          <w:color w:val="000000" w:themeColor="text1"/>
          <w:sz w:val="24"/>
          <w:szCs w:val="24"/>
        </w:rPr>
        <w:t xml:space="preserve">(2000), </w:t>
      </w:r>
      <w:r w:rsidR="00274F5E" w:rsidRPr="00D57F4E">
        <w:rPr>
          <w:rFonts w:ascii="Times New Roman" w:eastAsia="Times New Roman" w:hAnsi="Times New Roman" w:cs="Times New Roman"/>
          <w:color w:val="000000" w:themeColor="text1"/>
          <w:sz w:val="24"/>
          <w:szCs w:val="24"/>
        </w:rPr>
        <w:t xml:space="preserve">Nulty (2008) serta </w:t>
      </w:r>
      <w:r w:rsidRPr="00D57F4E">
        <w:rPr>
          <w:rFonts w:ascii="Times New Roman" w:eastAsia="Times New Roman" w:hAnsi="Times New Roman" w:cs="Times New Roman"/>
          <w:color w:val="000000" w:themeColor="text1"/>
          <w:sz w:val="24"/>
          <w:szCs w:val="24"/>
        </w:rPr>
        <w:t xml:space="preserve">Shannon dan Bradshaw (2002) </w:t>
      </w:r>
      <w:r w:rsidR="00E7286E">
        <w:rPr>
          <w:rFonts w:ascii="Times New Roman" w:eastAsia="Times New Roman" w:hAnsi="Times New Roman" w:cs="Times New Roman"/>
          <w:color w:val="000000" w:themeColor="text1"/>
          <w:sz w:val="24"/>
          <w:szCs w:val="24"/>
        </w:rPr>
        <w:t xml:space="preserve">yang </w:t>
      </w:r>
      <w:r w:rsidRPr="00D57F4E">
        <w:rPr>
          <w:rFonts w:ascii="Times New Roman" w:eastAsia="Times New Roman" w:hAnsi="Times New Roman" w:cs="Times New Roman"/>
          <w:color w:val="000000" w:themeColor="text1"/>
          <w:sz w:val="24"/>
          <w:szCs w:val="24"/>
        </w:rPr>
        <w:t xml:space="preserve">menggunakan </w:t>
      </w:r>
      <w:r w:rsidR="00934A80" w:rsidRPr="00D57F4E">
        <w:rPr>
          <w:rFonts w:ascii="Times New Roman" w:eastAsia="Times New Roman" w:hAnsi="Times New Roman" w:cs="Times New Roman"/>
          <w:i/>
          <w:color w:val="000000" w:themeColor="text1"/>
          <w:sz w:val="24"/>
          <w:szCs w:val="24"/>
        </w:rPr>
        <w:t>web-based</w:t>
      </w:r>
      <w:r w:rsidRPr="00D57F4E">
        <w:rPr>
          <w:rFonts w:ascii="Times New Roman" w:eastAsia="Times New Roman" w:hAnsi="Times New Roman" w:cs="Times New Roman"/>
          <w:i/>
          <w:color w:val="000000" w:themeColor="text1"/>
          <w:sz w:val="24"/>
          <w:szCs w:val="24"/>
        </w:rPr>
        <w:t xml:space="preserve"> survey</w:t>
      </w:r>
      <w:r w:rsidRPr="00D57F4E">
        <w:rPr>
          <w:rFonts w:ascii="Times New Roman" w:eastAsia="Times New Roman" w:hAnsi="Times New Roman" w:cs="Times New Roman"/>
          <w:color w:val="000000" w:themeColor="text1"/>
          <w:sz w:val="24"/>
          <w:szCs w:val="24"/>
        </w:rPr>
        <w:t>. Pemilihan sampel bertuj</w:t>
      </w:r>
      <w:r w:rsidR="00E7286E">
        <w:rPr>
          <w:rFonts w:ascii="Times New Roman" w:eastAsia="Times New Roman" w:hAnsi="Times New Roman" w:cs="Times New Roman"/>
          <w:color w:val="000000" w:themeColor="text1"/>
          <w:sz w:val="24"/>
          <w:szCs w:val="24"/>
        </w:rPr>
        <w:t xml:space="preserve">uan ini adalah disebabkan </w:t>
      </w:r>
      <w:r w:rsidRPr="00D57F4E">
        <w:rPr>
          <w:rFonts w:ascii="Times New Roman" w:eastAsia="Times New Roman" w:hAnsi="Times New Roman" w:cs="Times New Roman"/>
          <w:color w:val="000000" w:themeColor="text1"/>
          <w:sz w:val="24"/>
          <w:szCs w:val="24"/>
        </w:rPr>
        <w:t xml:space="preserve">kebanyakan sampel tidak memberi </w:t>
      </w:r>
      <w:r w:rsidR="00010DE4" w:rsidRPr="00D57F4E">
        <w:rPr>
          <w:rFonts w:ascii="Times New Roman" w:eastAsia="Times New Roman" w:hAnsi="Times New Roman" w:cs="Times New Roman"/>
          <w:color w:val="000000" w:themeColor="text1"/>
          <w:sz w:val="24"/>
          <w:szCs w:val="24"/>
        </w:rPr>
        <w:t>alamat emel yang sebenar se</w:t>
      </w:r>
      <w:r w:rsidRPr="00D57F4E">
        <w:rPr>
          <w:rFonts w:ascii="Times New Roman" w:eastAsia="Times New Roman" w:hAnsi="Times New Roman" w:cs="Times New Roman"/>
          <w:color w:val="000000" w:themeColor="text1"/>
          <w:sz w:val="24"/>
          <w:szCs w:val="24"/>
        </w:rPr>
        <w:t>telah kembali berkhidmat ke sekolah masing</w:t>
      </w:r>
      <w:r w:rsidR="00010DE4" w:rsidRPr="00D57F4E">
        <w:rPr>
          <w:rFonts w:ascii="Times New Roman" w:eastAsia="Times New Roman" w:hAnsi="Times New Roman" w:cs="Times New Roman"/>
          <w:color w:val="000000" w:themeColor="text1"/>
          <w:sz w:val="24"/>
          <w:szCs w:val="24"/>
        </w:rPr>
        <w:t>-masing</w:t>
      </w:r>
      <w:r w:rsidRPr="00D57F4E">
        <w:rPr>
          <w:rFonts w:ascii="Times New Roman" w:eastAsia="Times New Roman" w:hAnsi="Times New Roman" w:cs="Times New Roman"/>
          <w:color w:val="000000" w:themeColor="text1"/>
          <w:sz w:val="24"/>
          <w:szCs w:val="24"/>
        </w:rPr>
        <w:t>. Alamat email yang diberikan adalah em</w:t>
      </w:r>
      <w:r w:rsidR="00010DE4" w:rsidRPr="00D57F4E">
        <w:rPr>
          <w:rFonts w:ascii="Times New Roman" w:eastAsia="Times New Roman" w:hAnsi="Times New Roman" w:cs="Times New Roman"/>
          <w:color w:val="000000" w:themeColor="text1"/>
          <w:sz w:val="24"/>
          <w:szCs w:val="24"/>
        </w:rPr>
        <w:t>e</w:t>
      </w:r>
      <w:r w:rsidRPr="00D57F4E">
        <w:rPr>
          <w:rFonts w:ascii="Times New Roman" w:eastAsia="Times New Roman" w:hAnsi="Times New Roman" w:cs="Times New Roman"/>
          <w:color w:val="000000" w:themeColor="text1"/>
          <w:sz w:val="24"/>
          <w:szCs w:val="24"/>
        </w:rPr>
        <w:t xml:space="preserve">l peribadi sama ada menggunakan </w:t>
      </w:r>
      <w:r w:rsidRPr="00D57F4E">
        <w:rPr>
          <w:rFonts w:ascii="Times New Roman" w:eastAsia="Times New Roman" w:hAnsi="Times New Roman" w:cs="Times New Roman"/>
          <w:iCs/>
          <w:color w:val="000000" w:themeColor="text1"/>
          <w:sz w:val="24"/>
          <w:szCs w:val="24"/>
        </w:rPr>
        <w:t>em</w:t>
      </w:r>
      <w:r w:rsidR="00010DE4" w:rsidRPr="00D57F4E">
        <w:rPr>
          <w:rFonts w:ascii="Times New Roman" w:eastAsia="Times New Roman" w:hAnsi="Times New Roman" w:cs="Times New Roman"/>
          <w:iCs/>
          <w:color w:val="000000" w:themeColor="text1"/>
          <w:sz w:val="24"/>
          <w:szCs w:val="24"/>
        </w:rPr>
        <w:t>el</w:t>
      </w:r>
      <w:r w:rsidRPr="00D57F4E">
        <w:rPr>
          <w:rFonts w:ascii="Times New Roman" w:eastAsia="Times New Roman" w:hAnsi="Times New Roman" w:cs="Times New Roman"/>
          <w:i/>
          <w:color w:val="000000" w:themeColor="text1"/>
          <w:sz w:val="24"/>
          <w:szCs w:val="24"/>
        </w:rPr>
        <w:t xml:space="preserve"> yahoo</w:t>
      </w:r>
      <w:r w:rsidRPr="00D57F4E">
        <w:rPr>
          <w:rFonts w:ascii="Times New Roman" w:eastAsia="Times New Roman" w:hAnsi="Times New Roman" w:cs="Times New Roman"/>
          <w:color w:val="000000" w:themeColor="text1"/>
          <w:sz w:val="24"/>
          <w:szCs w:val="24"/>
        </w:rPr>
        <w:t xml:space="preserve">, </w:t>
      </w:r>
      <w:r w:rsidRPr="00D57F4E">
        <w:rPr>
          <w:rFonts w:ascii="Times New Roman" w:eastAsia="Times New Roman" w:hAnsi="Times New Roman" w:cs="Times New Roman"/>
          <w:i/>
          <w:color w:val="000000" w:themeColor="text1"/>
          <w:sz w:val="24"/>
          <w:szCs w:val="24"/>
        </w:rPr>
        <w:t>gmail</w:t>
      </w:r>
      <w:r w:rsidRPr="00D57F4E">
        <w:rPr>
          <w:rFonts w:ascii="Times New Roman" w:eastAsia="Times New Roman" w:hAnsi="Times New Roman" w:cs="Times New Roman"/>
          <w:color w:val="000000" w:themeColor="text1"/>
          <w:sz w:val="24"/>
          <w:szCs w:val="24"/>
        </w:rPr>
        <w:t xml:space="preserve"> atau </w:t>
      </w:r>
      <w:r w:rsidRPr="00D57F4E">
        <w:rPr>
          <w:rFonts w:ascii="Times New Roman" w:eastAsia="Times New Roman" w:hAnsi="Times New Roman" w:cs="Times New Roman"/>
          <w:i/>
          <w:color w:val="000000" w:themeColor="text1"/>
          <w:sz w:val="24"/>
          <w:szCs w:val="24"/>
        </w:rPr>
        <w:t>outlook mail</w:t>
      </w:r>
      <w:r w:rsidRPr="00D57F4E">
        <w:rPr>
          <w:rFonts w:ascii="Times New Roman" w:eastAsia="Times New Roman" w:hAnsi="Times New Roman" w:cs="Times New Roman"/>
          <w:color w:val="000000" w:themeColor="text1"/>
          <w:sz w:val="24"/>
          <w:szCs w:val="24"/>
        </w:rPr>
        <w:t>.</w:t>
      </w:r>
    </w:p>
    <w:p w14:paraId="7698BC0D" w14:textId="77777777" w:rsidR="00A03ABC" w:rsidRPr="00D57F4E" w:rsidRDefault="00A03ABC" w:rsidP="00665616">
      <w:pPr>
        <w:spacing w:after="0" w:line="240" w:lineRule="auto"/>
        <w:ind w:leftChars="0" w:left="0" w:firstLineChars="0" w:firstLine="720"/>
        <w:jc w:val="both"/>
        <w:rPr>
          <w:rFonts w:ascii="Times New Roman" w:eastAsia="Times New Roman" w:hAnsi="Times New Roman" w:cs="Times New Roman"/>
          <w:color w:val="000000" w:themeColor="text1"/>
          <w:sz w:val="24"/>
          <w:szCs w:val="24"/>
        </w:rPr>
      </w:pPr>
      <w:r w:rsidRPr="00D57F4E">
        <w:rPr>
          <w:rFonts w:ascii="Times New Roman" w:eastAsia="Times New Roman" w:hAnsi="Times New Roman" w:cs="Times New Roman"/>
          <w:color w:val="000000" w:themeColor="text1"/>
          <w:sz w:val="24"/>
          <w:szCs w:val="24"/>
        </w:rPr>
        <w:t>Kemudiannya, data dianalisis secara statistik untuk menggambarkan pola mengenai respons terhadap item soal selidik. Penyelidik juga menterjemahkan maksud data dengan mengaitkan keputusan ujian statistik dengan kajian-kajian lepas</w:t>
      </w:r>
      <w:r w:rsidR="00010DE4" w:rsidRPr="00D57F4E">
        <w:rPr>
          <w:rFonts w:ascii="Times New Roman" w:eastAsia="Times New Roman" w:hAnsi="Times New Roman" w:cs="Times New Roman"/>
          <w:color w:val="000000" w:themeColor="text1"/>
          <w:sz w:val="24"/>
          <w:szCs w:val="24"/>
        </w:rPr>
        <w:t xml:space="preserve"> oleh</w:t>
      </w:r>
      <w:r w:rsidRPr="00D57F4E">
        <w:rPr>
          <w:rFonts w:ascii="Times New Roman" w:eastAsia="Times New Roman" w:hAnsi="Times New Roman" w:cs="Times New Roman"/>
          <w:color w:val="000000" w:themeColor="text1"/>
          <w:sz w:val="24"/>
          <w:szCs w:val="24"/>
        </w:rPr>
        <w:t xml:space="preserve"> </w:t>
      </w:r>
      <w:r w:rsidR="00952A22">
        <w:rPr>
          <w:rFonts w:ascii="Times New Roman" w:eastAsia="Times New Roman" w:hAnsi="Times New Roman" w:cs="Times New Roman"/>
          <w:color w:val="000000" w:themeColor="text1"/>
          <w:sz w:val="24"/>
          <w:szCs w:val="24"/>
        </w:rPr>
        <w:t xml:space="preserve">Briggs, </w:t>
      </w:r>
      <w:r w:rsidRPr="00D57F4E">
        <w:rPr>
          <w:rFonts w:ascii="Times New Roman" w:eastAsia="Times New Roman" w:hAnsi="Times New Roman" w:cs="Times New Roman"/>
          <w:color w:val="000000" w:themeColor="text1"/>
          <w:sz w:val="24"/>
          <w:szCs w:val="24"/>
          <w:highlight w:val="white"/>
        </w:rPr>
        <w:t xml:space="preserve">Coleman </w:t>
      </w:r>
      <w:r w:rsidR="00E946C3" w:rsidRPr="00D57F4E">
        <w:rPr>
          <w:rFonts w:ascii="Times New Roman" w:eastAsia="Times New Roman" w:hAnsi="Times New Roman" w:cs="Times New Roman"/>
          <w:color w:val="000000" w:themeColor="text1"/>
          <w:sz w:val="24"/>
          <w:szCs w:val="24"/>
          <w:highlight w:val="white"/>
        </w:rPr>
        <w:t>dan</w:t>
      </w:r>
      <w:r w:rsidRPr="00D57F4E">
        <w:rPr>
          <w:rFonts w:ascii="Times New Roman" w:eastAsia="Times New Roman" w:hAnsi="Times New Roman" w:cs="Times New Roman"/>
          <w:color w:val="000000" w:themeColor="text1"/>
          <w:sz w:val="24"/>
          <w:szCs w:val="24"/>
          <w:highlight w:val="white"/>
        </w:rPr>
        <w:t xml:space="preserve"> Morrison </w:t>
      </w:r>
      <w:r w:rsidR="00010DE4" w:rsidRPr="00D57F4E">
        <w:rPr>
          <w:rFonts w:ascii="Times New Roman" w:eastAsia="Times New Roman" w:hAnsi="Times New Roman" w:cs="Times New Roman"/>
          <w:color w:val="000000" w:themeColor="text1"/>
          <w:sz w:val="24"/>
          <w:szCs w:val="24"/>
          <w:highlight w:val="white"/>
        </w:rPr>
        <w:t>(</w:t>
      </w:r>
      <w:r w:rsidRPr="00D57F4E">
        <w:rPr>
          <w:rFonts w:ascii="Times New Roman" w:eastAsia="Times New Roman" w:hAnsi="Times New Roman" w:cs="Times New Roman"/>
          <w:color w:val="000000" w:themeColor="text1"/>
          <w:sz w:val="24"/>
          <w:szCs w:val="24"/>
          <w:highlight w:val="white"/>
        </w:rPr>
        <w:t>2012</w:t>
      </w:r>
      <w:r w:rsidR="00010DE4" w:rsidRPr="00D57F4E">
        <w:rPr>
          <w:rFonts w:ascii="Times New Roman" w:eastAsia="Times New Roman" w:hAnsi="Times New Roman" w:cs="Times New Roman"/>
          <w:color w:val="000000" w:themeColor="text1"/>
          <w:sz w:val="24"/>
          <w:szCs w:val="24"/>
          <w:highlight w:val="white"/>
        </w:rPr>
        <w:t xml:space="preserve">) dan </w:t>
      </w:r>
      <w:r w:rsidRPr="00D57F4E">
        <w:rPr>
          <w:rFonts w:ascii="Times New Roman" w:eastAsia="Times New Roman" w:hAnsi="Times New Roman" w:cs="Times New Roman"/>
          <w:color w:val="000000" w:themeColor="text1"/>
          <w:sz w:val="24"/>
          <w:szCs w:val="24"/>
          <w:highlight w:val="white"/>
        </w:rPr>
        <w:t>Morse</w:t>
      </w:r>
      <w:r w:rsidR="00010DE4" w:rsidRPr="00D57F4E">
        <w:rPr>
          <w:rFonts w:ascii="Times New Roman" w:eastAsia="Times New Roman" w:hAnsi="Times New Roman" w:cs="Times New Roman"/>
          <w:color w:val="000000" w:themeColor="text1"/>
          <w:sz w:val="24"/>
          <w:szCs w:val="24"/>
          <w:highlight w:val="white"/>
        </w:rPr>
        <w:t xml:space="preserve"> (</w:t>
      </w:r>
      <w:r w:rsidRPr="00D57F4E">
        <w:rPr>
          <w:rFonts w:ascii="Times New Roman" w:eastAsia="Times New Roman" w:hAnsi="Times New Roman" w:cs="Times New Roman"/>
          <w:color w:val="000000" w:themeColor="text1"/>
          <w:sz w:val="24"/>
          <w:szCs w:val="24"/>
          <w:highlight w:val="white"/>
        </w:rPr>
        <w:t>2016)</w:t>
      </w:r>
      <w:r w:rsidRPr="00D57F4E">
        <w:rPr>
          <w:rFonts w:ascii="Times New Roman" w:eastAsia="Times New Roman" w:hAnsi="Times New Roman" w:cs="Times New Roman"/>
          <w:color w:val="000000" w:themeColor="text1"/>
          <w:sz w:val="24"/>
          <w:szCs w:val="24"/>
        </w:rPr>
        <w:t xml:space="preserve"> mengenai faktor-faktor mengikut program PSH dalam kalangan guru-guru JAIS. Seterusnya data dianalisis menggunakan perisian SPSS </w:t>
      </w:r>
      <w:r w:rsidR="00CE59E3" w:rsidRPr="00D57F4E">
        <w:rPr>
          <w:rFonts w:ascii="Times New Roman" w:eastAsia="Times New Roman" w:hAnsi="Times New Roman" w:cs="Times New Roman"/>
          <w:color w:val="000000" w:themeColor="text1"/>
          <w:sz w:val="24"/>
          <w:szCs w:val="24"/>
        </w:rPr>
        <w:t>untuk mendapatkan</w:t>
      </w:r>
      <w:r w:rsidR="00A8178B" w:rsidRPr="00D57F4E">
        <w:rPr>
          <w:rFonts w:ascii="Times New Roman" w:eastAsia="Times New Roman" w:hAnsi="Times New Roman" w:cs="Times New Roman"/>
          <w:color w:val="000000" w:themeColor="text1"/>
          <w:sz w:val="24"/>
          <w:szCs w:val="24"/>
        </w:rPr>
        <w:t>, kekerapan, peratusan,</w:t>
      </w:r>
      <w:r w:rsidR="00CE59E3" w:rsidRPr="00D57F4E">
        <w:rPr>
          <w:rFonts w:ascii="Times New Roman" w:eastAsia="Times New Roman" w:hAnsi="Times New Roman" w:cs="Times New Roman"/>
          <w:color w:val="000000" w:themeColor="text1"/>
          <w:sz w:val="24"/>
          <w:szCs w:val="24"/>
        </w:rPr>
        <w:t xml:space="preserve"> skor min dan sisihan piawai Manakala perisian </w:t>
      </w:r>
      <w:r w:rsidRPr="00D57F4E">
        <w:rPr>
          <w:rFonts w:ascii="Times New Roman" w:eastAsia="Times New Roman" w:hAnsi="Times New Roman" w:cs="Times New Roman"/>
          <w:color w:val="000000" w:themeColor="text1"/>
          <w:sz w:val="24"/>
          <w:szCs w:val="24"/>
        </w:rPr>
        <w:t xml:space="preserve">SmartPLS </w:t>
      </w:r>
      <w:r w:rsidR="00A8178B" w:rsidRPr="00D57F4E">
        <w:rPr>
          <w:rFonts w:ascii="Times New Roman" w:eastAsia="Times New Roman" w:hAnsi="Times New Roman" w:cs="Times New Roman"/>
          <w:color w:val="000000" w:themeColor="text1"/>
          <w:sz w:val="24"/>
          <w:szCs w:val="24"/>
        </w:rPr>
        <w:t>digunakan untuk menentusahkan model pengukuran dan model str</w:t>
      </w:r>
      <w:r w:rsidR="00E7286E">
        <w:rPr>
          <w:rFonts w:ascii="Times New Roman" w:eastAsia="Times New Roman" w:hAnsi="Times New Roman" w:cs="Times New Roman"/>
          <w:color w:val="000000" w:themeColor="text1"/>
          <w:sz w:val="24"/>
          <w:szCs w:val="24"/>
        </w:rPr>
        <w:t>u</w:t>
      </w:r>
      <w:r w:rsidR="00A8178B" w:rsidRPr="00D57F4E">
        <w:rPr>
          <w:rFonts w:ascii="Times New Roman" w:eastAsia="Times New Roman" w:hAnsi="Times New Roman" w:cs="Times New Roman"/>
          <w:color w:val="000000" w:themeColor="text1"/>
          <w:sz w:val="24"/>
          <w:szCs w:val="24"/>
        </w:rPr>
        <w:t>ktural. Langkah-langkah menentusahkan model pengu</w:t>
      </w:r>
      <w:r w:rsidR="00E7286E">
        <w:rPr>
          <w:rFonts w:ascii="Times New Roman" w:eastAsia="Times New Roman" w:hAnsi="Times New Roman" w:cs="Times New Roman"/>
          <w:color w:val="000000" w:themeColor="text1"/>
          <w:sz w:val="24"/>
          <w:szCs w:val="24"/>
        </w:rPr>
        <w:t xml:space="preserve">kuran dan model struktural </w:t>
      </w:r>
      <w:r w:rsidR="00A8178B" w:rsidRPr="00D57F4E">
        <w:rPr>
          <w:rFonts w:ascii="Times New Roman" w:eastAsia="Times New Roman" w:hAnsi="Times New Roman" w:cs="Times New Roman"/>
          <w:color w:val="000000" w:themeColor="text1"/>
          <w:sz w:val="24"/>
          <w:szCs w:val="24"/>
        </w:rPr>
        <w:t>dibincangkan dalam bahagian dapatan kajian.</w:t>
      </w:r>
    </w:p>
    <w:p w14:paraId="5C733ED9" w14:textId="77777777" w:rsidR="00E7286E" w:rsidRDefault="00E7286E" w:rsidP="00665616">
      <w:pPr>
        <w:widowControl w:val="0"/>
        <w:spacing w:after="0" w:line="240" w:lineRule="auto"/>
        <w:ind w:leftChars="0" w:left="0" w:firstLineChars="0" w:firstLine="0"/>
        <w:jc w:val="both"/>
        <w:rPr>
          <w:rFonts w:ascii="Times New Roman" w:eastAsia="Times New Roman" w:hAnsi="Times New Roman" w:cs="Times New Roman"/>
          <w:b/>
          <w:color w:val="000000" w:themeColor="text1"/>
          <w:sz w:val="24"/>
          <w:szCs w:val="24"/>
        </w:rPr>
      </w:pPr>
    </w:p>
    <w:p w14:paraId="4C3EFC0C" w14:textId="77777777" w:rsidR="00E7286E" w:rsidRDefault="00E7286E" w:rsidP="00665616">
      <w:pPr>
        <w:widowControl w:val="0"/>
        <w:spacing w:after="0" w:line="240" w:lineRule="auto"/>
        <w:ind w:left="0" w:hanging="2"/>
        <w:jc w:val="both"/>
        <w:rPr>
          <w:rFonts w:ascii="Times New Roman" w:eastAsia="Times New Roman" w:hAnsi="Times New Roman" w:cs="Times New Roman"/>
          <w:b/>
          <w:color w:val="000000" w:themeColor="text1"/>
          <w:sz w:val="24"/>
          <w:szCs w:val="24"/>
        </w:rPr>
      </w:pPr>
    </w:p>
    <w:p w14:paraId="275843CF"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b/>
          <w:color w:val="000000" w:themeColor="text1"/>
          <w:sz w:val="24"/>
          <w:szCs w:val="24"/>
        </w:rPr>
      </w:pPr>
      <w:r w:rsidRPr="00D57F4E">
        <w:rPr>
          <w:rFonts w:ascii="Times New Roman" w:eastAsia="Times New Roman" w:hAnsi="Times New Roman" w:cs="Times New Roman"/>
          <w:b/>
          <w:color w:val="000000" w:themeColor="text1"/>
          <w:sz w:val="24"/>
          <w:szCs w:val="24"/>
        </w:rPr>
        <w:t xml:space="preserve">Dapatan </w:t>
      </w:r>
      <w:r w:rsidR="00E7286E">
        <w:rPr>
          <w:rFonts w:ascii="Times New Roman" w:eastAsia="Times New Roman" w:hAnsi="Times New Roman" w:cs="Times New Roman"/>
          <w:b/>
          <w:color w:val="000000" w:themeColor="text1"/>
          <w:sz w:val="24"/>
          <w:szCs w:val="24"/>
        </w:rPr>
        <w:t>dan p</w:t>
      </w:r>
      <w:r w:rsidR="00BF0DC2" w:rsidRPr="00D57F4E">
        <w:rPr>
          <w:rFonts w:ascii="Times New Roman" w:eastAsia="Times New Roman" w:hAnsi="Times New Roman" w:cs="Times New Roman"/>
          <w:b/>
          <w:color w:val="000000" w:themeColor="text1"/>
          <w:sz w:val="24"/>
          <w:szCs w:val="24"/>
        </w:rPr>
        <w:t xml:space="preserve">erbincangan </w:t>
      </w:r>
      <w:r w:rsidR="00E7286E">
        <w:rPr>
          <w:rFonts w:ascii="Times New Roman" w:eastAsia="Times New Roman" w:hAnsi="Times New Roman" w:cs="Times New Roman"/>
          <w:b/>
          <w:color w:val="000000" w:themeColor="text1"/>
          <w:sz w:val="24"/>
          <w:szCs w:val="24"/>
        </w:rPr>
        <w:t>k</w:t>
      </w:r>
      <w:r w:rsidRPr="00D57F4E">
        <w:rPr>
          <w:rFonts w:ascii="Times New Roman" w:eastAsia="Times New Roman" w:hAnsi="Times New Roman" w:cs="Times New Roman"/>
          <w:b/>
          <w:color w:val="000000" w:themeColor="text1"/>
          <w:sz w:val="24"/>
          <w:szCs w:val="24"/>
        </w:rPr>
        <w:t>ajian</w:t>
      </w:r>
    </w:p>
    <w:p w14:paraId="002E21D0" w14:textId="77777777" w:rsidR="00FF5772" w:rsidRPr="00D57F4E" w:rsidRDefault="00FF5772" w:rsidP="00665616">
      <w:pPr>
        <w:widowControl w:val="0"/>
        <w:spacing w:after="0" w:line="240" w:lineRule="auto"/>
        <w:ind w:left="0" w:hanging="2"/>
        <w:jc w:val="both"/>
        <w:rPr>
          <w:rFonts w:ascii="Times New Roman" w:eastAsia="Times New Roman" w:hAnsi="Times New Roman" w:cs="Times New Roman"/>
          <w:b/>
          <w:color w:val="000000" w:themeColor="text1"/>
          <w:sz w:val="24"/>
          <w:szCs w:val="24"/>
        </w:rPr>
      </w:pPr>
    </w:p>
    <w:p w14:paraId="04D3D23A" w14:textId="77777777" w:rsidR="00A03ABC" w:rsidRPr="00D57F4E" w:rsidRDefault="00A03ABC" w:rsidP="00665616">
      <w:pPr>
        <w:tabs>
          <w:tab w:val="left" w:pos="0"/>
        </w:tabs>
        <w:spacing w:after="0" w:line="240" w:lineRule="auto"/>
        <w:ind w:left="0" w:hanging="2"/>
        <w:jc w:val="both"/>
        <w:rPr>
          <w:rFonts w:ascii="Times New Roman" w:eastAsia="Times New Roman" w:hAnsi="Times New Roman" w:cs="Times New Roman"/>
          <w:color w:val="000000" w:themeColor="text1"/>
          <w:sz w:val="24"/>
          <w:szCs w:val="24"/>
        </w:rPr>
      </w:pPr>
      <w:r w:rsidRPr="00D57F4E">
        <w:rPr>
          <w:rFonts w:ascii="Times New Roman" w:eastAsia="Times New Roman" w:hAnsi="Times New Roman" w:cs="Times New Roman"/>
          <w:color w:val="000000" w:themeColor="text1"/>
          <w:sz w:val="24"/>
          <w:szCs w:val="24"/>
        </w:rPr>
        <w:t>Seramai 99 orang guru agama JAIS yang menjadi responden kajian ini dan secara keseluruhan dapatan seramai 18 orang responden (</w:t>
      </w:r>
      <w:r w:rsidR="00A8178B" w:rsidRPr="00D57F4E">
        <w:rPr>
          <w:rFonts w:ascii="Times New Roman" w:eastAsia="Times New Roman" w:hAnsi="Times New Roman" w:cs="Times New Roman"/>
          <w:color w:val="000000" w:themeColor="text1"/>
          <w:sz w:val="24"/>
          <w:szCs w:val="24"/>
        </w:rPr>
        <w:t>18</w:t>
      </w:r>
      <w:r w:rsidRPr="00D57F4E">
        <w:rPr>
          <w:rFonts w:ascii="Times New Roman" w:eastAsia="Times New Roman" w:hAnsi="Times New Roman" w:cs="Times New Roman"/>
          <w:color w:val="000000" w:themeColor="text1"/>
          <w:sz w:val="24"/>
          <w:szCs w:val="24"/>
        </w:rPr>
        <w:t xml:space="preserve">%) adalah lelaki dan </w:t>
      </w:r>
      <w:r w:rsidR="00A8178B" w:rsidRPr="00D57F4E">
        <w:rPr>
          <w:rFonts w:ascii="Times New Roman" w:eastAsia="Times New Roman" w:hAnsi="Times New Roman" w:cs="Times New Roman"/>
          <w:color w:val="000000" w:themeColor="text1"/>
          <w:sz w:val="24"/>
          <w:szCs w:val="24"/>
        </w:rPr>
        <w:t>81</w:t>
      </w:r>
      <w:r w:rsidRPr="00D57F4E">
        <w:rPr>
          <w:rFonts w:ascii="Times New Roman" w:eastAsia="Times New Roman" w:hAnsi="Times New Roman" w:cs="Times New Roman"/>
          <w:color w:val="000000" w:themeColor="text1"/>
          <w:sz w:val="24"/>
          <w:szCs w:val="24"/>
        </w:rPr>
        <w:t xml:space="preserve"> orang (</w:t>
      </w:r>
      <w:r w:rsidR="00A8178B" w:rsidRPr="00D57F4E">
        <w:rPr>
          <w:rFonts w:ascii="Times New Roman" w:eastAsia="Times New Roman" w:hAnsi="Times New Roman" w:cs="Times New Roman"/>
          <w:color w:val="000000" w:themeColor="text1"/>
          <w:sz w:val="24"/>
          <w:szCs w:val="24"/>
        </w:rPr>
        <w:t>82</w:t>
      </w:r>
      <w:r w:rsidRPr="00D57F4E">
        <w:rPr>
          <w:rFonts w:ascii="Times New Roman" w:eastAsia="Times New Roman" w:hAnsi="Times New Roman" w:cs="Times New Roman"/>
          <w:color w:val="000000" w:themeColor="text1"/>
          <w:sz w:val="24"/>
          <w:szCs w:val="24"/>
        </w:rPr>
        <w:t>%) adalah responden guru perempuan. Taburan ini menunjukkan bilangan responden guru perempuan lebih ramai daripada responden guru lelaki. Jadual 3 menunjukkan item-item yang mempengaruhi minat mengikuti program PSH dalam kalangan guru-guru JAIS.</w:t>
      </w:r>
    </w:p>
    <w:p w14:paraId="4D34AE3F"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4"/>
          <w:szCs w:val="24"/>
        </w:rPr>
      </w:pPr>
    </w:p>
    <w:p w14:paraId="790D916B" w14:textId="77777777" w:rsidR="00A03ABC" w:rsidRPr="00D57F4E" w:rsidRDefault="00A03ABC" w:rsidP="00720630">
      <w:pPr>
        <w:widowControl w:val="0"/>
        <w:spacing w:after="0" w:line="240" w:lineRule="auto"/>
        <w:ind w:left="0" w:hanging="2"/>
        <w:jc w:val="center"/>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b/>
          <w:bCs/>
          <w:color w:val="000000" w:themeColor="text1"/>
          <w:sz w:val="20"/>
          <w:szCs w:val="20"/>
        </w:rPr>
        <w:t>Jadual 3</w:t>
      </w:r>
      <w:r w:rsidRPr="00D57F4E">
        <w:rPr>
          <w:rFonts w:ascii="Times New Roman" w:eastAsia="Times New Roman" w:hAnsi="Times New Roman" w:cs="Times New Roman"/>
          <w:color w:val="000000" w:themeColor="text1"/>
          <w:sz w:val="20"/>
          <w:szCs w:val="20"/>
        </w:rPr>
        <w:t>. Faktor yang mempengaruhi minat mengikuti program PSH</w:t>
      </w:r>
    </w:p>
    <w:p w14:paraId="1890AA76" w14:textId="77777777" w:rsidR="00A03ABC" w:rsidRPr="00D57F4E" w:rsidRDefault="00A03ABC" w:rsidP="00665616">
      <w:pPr>
        <w:widowControl w:val="0"/>
        <w:spacing w:after="0" w:line="240" w:lineRule="auto"/>
        <w:ind w:leftChars="0" w:left="0" w:firstLineChars="0" w:firstLine="0"/>
        <w:jc w:val="both"/>
        <w:rPr>
          <w:rFonts w:ascii="Times New Roman" w:eastAsia="Times New Roman" w:hAnsi="Times New Roman" w:cs="Times New Roman"/>
          <w:color w:val="000000" w:themeColor="text1"/>
          <w:sz w:val="20"/>
          <w:szCs w:val="20"/>
          <w:lang w:val="en-GB"/>
        </w:rPr>
      </w:pPr>
    </w:p>
    <w:tbl>
      <w:tblPr>
        <w:tblW w:w="7560" w:type="dxa"/>
        <w:tblInd w:w="555" w:type="dxa"/>
        <w:tblLayout w:type="fixed"/>
        <w:tblCellMar>
          <w:top w:w="15" w:type="dxa"/>
          <w:left w:w="15" w:type="dxa"/>
          <w:bottom w:w="15" w:type="dxa"/>
          <w:right w:w="15" w:type="dxa"/>
        </w:tblCellMar>
        <w:tblLook w:val="04A0" w:firstRow="1" w:lastRow="0" w:firstColumn="1" w:lastColumn="0" w:noHBand="0" w:noVBand="1"/>
      </w:tblPr>
      <w:tblGrid>
        <w:gridCol w:w="1567"/>
        <w:gridCol w:w="1283"/>
        <w:gridCol w:w="1835"/>
        <w:gridCol w:w="1701"/>
        <w:gridCol w:w="1174"/>
      </w:tblGrid>
      <w:tr w:rsidR="00A03ABC" w:rsidRPr="00D57F4E" w14:paraId="4448316F" w14:textId="77777777" w:rsidTr="002E5EED">
        <w:tc>
          <w:tcPr>
            <w:tcW w:w="1567" w:type="dxa"/>
            <w:tcBorders>
              <w:top w:val="single" w:sz="4" w:space="0" w:color="auto"/>
              <w:bottom w:val="single" w:sz="4" w:space="0" w:color="auto"/>
            </w:tcBorders>
            <w:shd w:val="clear" w:color="auto" w:fill="95B3D7" w:themeFill="accent1" w:themeFillTint="99"/>
            <w:hideMark/>
          </w:tcPr>
          <w:p w14:paraId="00E83CA0"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Item</w:t>
            </w:r>
          </w:p>
        </w:tc>
        <w:tc>
          <w:tcPr>
            <w:tcW w:w="1283" w:type="dxa"/>
            <w:tcBorders>
              <w:top w:val="single" w:sz="4" w:space="0" w:color="auto"/>
              <w:bottom w:val="single" w:sz="4" w:space="0" w:color="auto"/>
            </w:tcBorders>
            <w:shd w:val="clear" w:color="auto" w:fill="95B3D7" w:themeFill="accent1" w:themeFillTint="99"/>
            <w:hideMark/>
          </w:tcPr>
          <w:p w14:paraId="686A6BBD"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Min</w:t>
            </w:r>
          </w:p>
        </w:tc>
        <w:tc>
          <w:tcPr>
            <w:tcW w:w="1835" w:type="dxa"/>
            <w:tcBorders>
              <w:top w:val="single" w:sz="4" w:space="0" w:color="auto"/>
              <w:bottom w:val="single" w:sz="4" w:space="0" w:color="auto"/>
            </w:tcBorders>
            <w:shd w:val="clear" w:color="auto" w:fill="95B3D7" w:themeFill="accent1" w:themeFillTint="99"/>
            <w:hideMark/>
          </w:tcPr>
          <w:p w14:paraId="55B4128B"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SP</w:t>
            </w:r>
          </w:p>
        </w:tc>
        <w:tc>
          <w:tcPr>
            <w:tcW w:w="1701" w:type="dxa"/>
            <w:tcBorders>
              <w:top w:val="single" w:sz="4" w:space="0" w:color="auto"/>
              <w:bottom w:val="single" w:sz="4" w:space="0" w:color="auto"/>
            </w:tcBorders>
            <w:shd w:val="clear" w:color="auto" w:fill="95B3D7" w:themeFill="accent1" w:themeFillTint="99"/>
          </w:tcPr>
          <w:p w14:paraId="78383E7A"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Min Konstruk</w:t>
            </w:r>
          </w:p>
        </w:tc>
        <w:tc>
          <w:tcPr>
            <w:tcW w:w="1174" w:type="dxa"/>
            <w:tcBorders>
              <w:top w:val="single" w:sz="4" w:space="0" w:color="auto"/>
              <w:bottom w:val="single" w:sz="4" w:space="0" w:color="auto"/>
            </w:tcBorders>
            <w:shd w:val="clear" w:color="auto" w:fill="95B3D7" w:themeFill="accent1" w:themeFillTint="99"/>
          </w:tcPr>
          <w:p w14:paraId="20C1C250"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SP Konstruk</w:t>
            </w:r>
          </w:p>
        </w:tc>
      </w:tr>
      <w:tr w:rsidR="00A03ABC" w:rsidRPr="00D57F4E" w14:paraId="5D01B800" w14:textId="77777777" w:rsidTr="002E5EED">
        <w:tc>
          <w:tcPr>
            <w:tcW w:w="1567" w:type="dxa"/>
            <w:tcBorders>
              <w:top w:val="single" w:sz="4" w:space="0" w:color="auto"/>
            </w:tcBorders>
            <w:shd w:val="clear" w:color="auto" w:fill="FFFFFF"/>
            <w:hideMark/>
          </w:tcPr>
          <w:p w14:paraId="209D35E9"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K1 Kerjaya</w:t>
            </w:r>
          </w:p>
        </w:tc>
        <w:tc>
          <w:tcPr>
            <w:tcW w:w="1283" w:type="dxa"/>
            <w:tcBorders>
              <w:top w:val="single" w:sz="4" w:space="0" w:color="auto"/>
            </w:tcBorders>
            <w:shd w:val="clear" w:color="auto" w:fill="FFFFFF"/>
            <w:hideMark/>
          </w:tcPr>
          <w:p w14:paraId="4A29E32B"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5.65</w:t>
            </w:r>
          </w:p>
        </w:tc>
        <w:tc>
          <w:tcPr>
            <w:tcW w:w="1835" w:type="dxa"/>
            <w:tcBorders>
              <w:top w:val="single" w:sz="4" w:space="0" w:color="auto"/>
            </w:tcBorders>
            <w:shd w:val="clear" w:color="auto" w:fill="FFFFFF"/>
            <w:hideMark/>
          </w:tcPr>
          <w:p w14:paraId="43FCB2F3"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.812</w:t>
            </w:r>
          </w:p>
        </w:tc>
        <w:tc>
          <w:tcPr>
            <w:tcW w:w="1701" w:type="dxa"/>
            <w:vMerge w:val="restart"/>
            <w:tcBorders>
              <w:top w:val="single" w:sz="4" w:space="0" w:color="auto"/>
            </w:tcBorders>
            <w:shd w:val="clear" w:color="auto" w:fill="FFFFFF"/>
          </w:tcPr>
          <w:p w14:paraId="5069F54F"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p>
          <w:p w14:paraId="0BF4BA29"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p>
          <w:p w14:paraId="46965DEF"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5.77</w:t>
            </w:r>
          </w:p>
        </w:tc>
        <w:tc>
          <w:tcPr>
            <w:tcW w:w="1174" w:type="dxa"/>
            <w:vMerge w:val="restart"/>
            <w:tcBorders>
              <w:top w:val="single" w:sz="4" w:space="0" w:color="auto"/>
            </w:tcBorders>
            <w:shd w:val="clear" w:color="auto" w:fill="FFFFFF"/>
          </w:tcPr>
          <w:p w14:paraId="119E65A8"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p>
          <w:p w14:paraId="04AE8A9E"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p>
          <w:p w14:paraId="370885CC"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0.69</w:t>
            </w:r>
          </w:p>
        </w:tc>
      </w:tr>
      <w:tr w:rsidR="00A03ABC" w:rsidRPr="00D57F4E" w14:paraId="19F635B7" w14:textId="77777777" w:rsidTr="002E5EED">
        <w:tc>
          <w:tcPr>
            <w:tcW w:w="1567" w:type="dxa"/>
            <w:shd w:val="clear" w:color="auto" w:fill="FFFFFF"/>
            <w:hideMark/>
          </w:tcPr>
          <w:p w14:paraId="25FCD07D"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K2 Akademik</w:t>
            </w:r>
          </w:p>
        </w:tc>
        <w:tc>
          <w:tcPr>
            <w:tcW w:w="1283" w:type="dxa"/>
            <w:shd w:val="clear" w:color="auto" w:fill="FFFFFF"/>
            <w:hideMark/>
          </w:tcPr>
          <w:p w14:paraId="6ED701E1"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5.87</w:t>
            </w:r>
          </w:p>
        </w:tc>
        <w:tc>
          <w:tcPr>
            <w:tcW w:w="1835" w:type="dxa"/>
            <w:shd w:val="clear" w:color="auto" w:fill="FFFFFF"/>
            <w:hideMark/>
          </w:tcPr>
          <w:p w14:paraId="497016F7"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.900</w:t>
            </w:r>
          </w:p>
        </w:tc>
        <w:tc>
          <w:tcPr>
            <w:tcW w:w="1701" w:type="dxa"/>
            <w:vMerge/>
            <w:shd w:val="clear" w:color="auto" w:fill="FFFFFF"/>
          </w:tcPr>
          <w:p w14:paraId="6C2DCFE1"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p>
        </w:tc>
        <w:tc>
          <w:tcPr>
            <w:tcW w:w="1174" w:type="dxa"/>
            <w:vMerge/>
            <w:shd w:val="clear" w:color="auto" w:fill="FFFFFF"/>
          </w:tcPr>
          <w:p w14:paraId="348CD5E3"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p>
        </w:tc>
      </w:tr>
      <w:tr w:rsidR="00A03ABC" w:rsidRPr="00D57F4E" w14:paraId="4974833E" w14:textId="77777777" w:rsidTr="002E5EED">
        <w:tc>
          <w:tcPr>
            <w:tcW w:w="1567" w:type="dxa"/>
            <w:shd w:val="clear" w:color="auto" w:fill="FFFFFF"/>
            <w:hideMark/>
          </w:tcPr>
          <w:p w14:paraId="15777590"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K3 Dorongan</w:t>
            </w:r>
          </w:p>
        </w:tc>
        <w:tc>
          <w:tcPr>
            <w:tcW w:w="1283" w:type="dxa"/>
            <w:shd w:val="clear" w:color="auto" w:fill="FFFFFF"/>
            <w:hideMark/>
          </w:tcPr>
          <w:p w14:paraId="22E5E51D"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5.70</w:t>
            </w:r>
          </w:p>
        </w:tc>
        <w:tc>
          <w:tcPr>
            <w:tcW w:w="1835" w:type="dxa"/>
            <w:shd w:val="clear" w:color="auto" w:fill="FFFFFF"/>
            <w:hideMark/>
          </w:tcPr>
          <w:p w14:paraId="68934E2B"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.897</w:t>
            </w:r>
          </w:p>
        </w:tc>
        <w:tc>
          <w:tcPr>
            <w:tcW w:w="1701" w:type="dxa"/>
            <w:vMerge/>
            <w:shd w:val="clear" w:color="auto" w:fill="FFFFFF"/>
          </w:tcPr>
          <w:p w14:paraId="762AB025"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p>
        </w:tc>
        <w:tc>
          <w:tcPr>
            <w:tcW w:w="1174" w:type="dxa"/>
            <w:vMerge/>
            <w:shd w:val="clear" w:color="auto" w:fill="FFFFFF"/>
          </w:tcPr>
          <w:p w14:paraId="5EB46431"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p>
        </w:tc>
      </w:tr>
      <w:tr w:rsidR="00A03ABC" w:rsidRPr="00D57F4E" w14:paraId="40655052" w14:textId="77777777" w:rsidTr="002E5EED">
        <w:tc>
          <w:tcPr>
            <w:tcW w:w="1567" w:type="dxa"/>
            <w:shd w:val="clear" w:color="auto" w:fill="FFFFFF"/>
            <w:hideMark/>
          </w:tcPr>
          <w:p w14:paraId="15DBBA64"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K4 Pangkat</w:t>
            </w:r>
          </w:p>
        </w:tc>
        <w:tc>
          <w:tcPr>
            <w:tcW w:w="1283" w:type="dxa"/>
            <w:shd w:val="clear" w:color="auto" w:fill="FFFFFF"/>
            <w:hideMark/>
          </w:tcPr>
          <w:p w14:paraId="298A5224"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5.91</w:t>
            </w:r>
          </w:p>
        </w:tc>
        <w:tc>
          <w:tcPr>
            <w:tcW w:w="1835" w:type="dxa"/>
            <w:shd w:val="clear" w:color="auto" w:fill="FFFFFF"/>
            <w:hideMark/>
          </w:tcPr>
          <w:p w14:paraId="3A7DF151"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.916</w:t>
            </w:r>
          </w:p>
        </w:tc>
        <w:tc>
          <w:tcPr>
            <w:tcW w:w="1701" w:type="dxa"/>
            <w:vMerge/>
            <w:shd w:val="clear" w:color="auto" w:fill="FFFFFF"/>
          </w:tcPr>
          <w:p w14:paraId="0C9F79C9"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p>
        </w:tc>
        <w:tc>
          <w:tcPr>
            <w:tcW w:w="1174" w:type="dxa"/>
            <w:vMerge/>
            <w:shd w:val="clear" w:color="auto" w:fill="FFFFFF"/>
          </w:tcPr>
          <w:p w14:paraId="5D0FC0D3"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p>
        </w:tc>
      </w:tr>
      <w:tr w:rsidR="00A03ABC" w:rsidRPr="00D57F4E" w14:paraId="58D89DAB" w14:textId="77777777" w:rsidTr="002E5EED">
        <w:tc>
          <w:tcPr>
            <w:tcW w:w="1567" w:type="dxa"/>
            <w:shd w:val="clear" w:color="auto" w:fill="FFFFFF"/>
            <w:hideMark/>
          </w:tcPr>
          <w:p w14:paraId="09C72253"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K5 Sendiri</w:t>
            </w:r>
          </w:p>
        </w:tc>
        <w:tc>
          <w:tcPr>
            <w:tcW w:w="1283" w:type="dxa"/>
            <w:shd w:val="clear" w:color="auto" w:fill="FFFFFF"/>
            <w:hideMark/>
          </w:tcPr>
          <w:p w14:paraId="377C7709"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5.88</w:t>
            </w:r>
          </w:p>
        </w:tc>
        <w:tc>
          <w:tcPr>
            <w:tcW w:w="1835" w:type="dxa"/>
            <w:shd w:val="clear" w:color="auto" w:fill="FFFFFF"/>
            <w:hideMark/>
          </w:tcPr>
          <w:p w14:paraId="3CEF668B"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.848</w:t>
            </w:r>
          </w:p>
        </w:tc>
        <w:tc>
          <w:tcPr>
            <w:tcW w:w="1701" w:type="dxa"/>
            <w:vMerge/>
            <w:shd w:val="clear" w:color="auto" w:fill="FFFFFF"/>
          </w:tcPr>
          <w:p w14:paraId="473DA6E8"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p>
        </w:tc>
        <w:tc>
          <w:tcPr>
            <w:tcW w:w="1174" w:type="dxa"/>
            <w:vMerge/>
            <w:shd w:val="clear" w:color="auto" w:fill="FFFFFF"/>
          </w:tcPr>
          <w:p w14:paraId="2338E5E7"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p>
        </w:tc>
      </w:tr>
      <w:tr w:rsidR="00A03ABC" w:rsidRPr="00D57F4E" w14:paraId="768C7524" w14:textId="77777777" w:rsidTr="002E5EED">
        <w:tc>
          <w:tcPr>
            <w:tcW w:w="1567" w:type="dxa"/>
            <w:shd w:val="clear" w:color="auto" w:fill="FFFFFF"/>
            <w:hideMark/>
          </w:tcPr>
          <w:p w14:paraId="09257F4B"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p>
          <w:p w14:paraId="7E910F5F"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I1 Bidang</w:t>
            </w:r>
          </w:p>
        </w:tc>
        <w:tc>
          <w:tcPr>
            <w:tcW w:w="1283" w:type="dxa"/>
            <w:shd w:val="clear" w:color="auto" w:fill="FFFFFF"/>
            <w:hideMark/>
          </w:tcPr>
          <w:p w14:paraId="1E07B962"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p>
          <w:p w14:paraId="295FA079"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4.97</w:t>
            </w:r>
          </w:p>
        </w:tc>
        <w:tc>
          <w:tcPr>
            <w:tcW w:w="1835" w:type="dxa"/>
            <w:shd w:val="clear" w:color="auto" w:fill="FFFFFF"/>
            <w:hideMark/>
          </w:tcPr>
          <w:p w14:paraId="549BFA74"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p>
          <w:p w14:paraId="7EE40C54"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.942</w:t>
            </w:r>
          </w:p>
        </w:tc>
        <w:tc>
          <w:tcPr>
            <w:tcW w:w="1701" w:type="dxa"/>
            <w:vMerge w:val="restart"/>
            <w:shd w:val="clear" w:color="auto" w:fill="FFFFFF"/>
          </w:tcPr>
          <w:p w14:paraId="0DB9EAB4"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p>
          <w:p w14:paraId="306DBC5B"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p>
          <w:p w14:paraId="7CDFB50A"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p>
          <w:p w14:paraId="2D313380"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4.92</w:t>
            </w:r>
          </w:p>
        </w:tc>
        <w:tc>
          <w:tcPr>
            <w:tcW w:w="1174" w:type="dxa"/>
            <w:vMerge w:val="restart"/>
            <w:shd w:val="clear" w:color="auto" w:fill="FFFFFF"/>
          </w:tcPr>
          <w:p w14:paraId="53917A82"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p>
          <w:p w14:paraId="0F15B23C"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p>
          <w:p w14:paraId="4E635594"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p>
          <w:p w14:paraId="53D6E7EE"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.75</w:t>
            </w:r>
          </w:p>
        </w:tc>
      </w:tr>
      <w:tr w:rsidR="00A03ABC" w:rsidRPr="00D57F4E" w14:paraId="094C02D1" w14:textId="77777777" w:rsidTr="002E5EED">
        <w:tc>
          <w:tcPr>
            <w:tcW w:w="1567" w:type="dxa"/>
            <w:shd w:val="clear" w:color="auto" w:fill="FFFFFF"/>
            <w:hideMark/>
          </w:tcPr>
          <w:p w14:paraId="0576E490"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I2 Promosi</w:t>
            </w:r>
          </w:p>
        </w:tc>
        <w:tc>
          <w:tcPr>
            <w:tcW w:w="1283" w:type="dxa"/>
            <w:shd w:val="clear" w:color="auto" w:fill="FFFFFF"/>
            <w:hideMark/>
          </w:tcPr>
          <w:p w14:paraId="3D2B0CCE"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4.83</w:t>
            </w:r>
          </w:p>
        </w:tc>
        <w:tc>
          <w:tcPr>
            <w:tcW w:w="1835" w:type="dxa"/>
            <w:shd w:val="clear" w:color="auto" w:fill="FFFFFF"/>
            <w:hideMark/>
          </w:tcPr>
          <w:p w14:paraId="3796FFEC"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.990</w:t>
            </w:r>
          </w:p>
        </w:tc>
        <w:tc>
          <w:tcPr>
            <w:tcW w:w="1701" w:type="dxa"/>
            <w:vMerge/>
            <w:shd w:val="clear" w:color="auto" w:fill="FFFFFF"/>
          </w:tcPr>
          <w:p w14:paraId="36E4C658"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p>
        </w:tc>
        <w:tc>
          <w:tcPr>
            <w:tcW w:w="1174" w:type="dxa"/>
            <w:vMerge/>
            <w:shd w:val="clear" w:color="auto" w:fill="FFFFFF"/>
          </w:tcPr>
          <w:p w14:paraId="0199EDFF"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p>
        </w:tc>
      </w:tr>
      <w:tr w:rsidR="00A03ABC" w:rsidRPr="00D57F4E" w14:paraId="5F9C30DA" w14:textId="77777777" w:rsidTr="002E5EED">
        <w:tc>
          <w:tcPr>
            <w:tcW w:w="1567" w:type="dxa"/>
            <w:shd w:val="clear" w:color="auto" w:fill="FFFFFF"/>
            <w:hideMark/>
          </w:tcPr>
          <w:p w14:paraId="4414C1BA"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I3 Infra</w:t>
            </w:r>
          </w:p>
        </w:tc>
        <w:tc>
          <w:tcPr>
            <w:tcW w:w="1283" w:type="dxa"/>
            <w:shd w:val="clear" w:color="auto" w:fill="FFFFFF"/>
            <w:hideMark/>
          </w:tcPr>
          <w:p w14:paraId="6B58CB94"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4.89</w:t>
            </w:r>
          </w:p>
        </w:tc>
        <w:tc>
          <w:tcPr>
            <w:tcW w:w="1835" w:type="dxa"/>
            <w:shd w:val="clear" w:color="auto" w:fill="FFFFFF"/>
            <w:hideMark/>
          </w:tcPr>
          <w:p w14:paraId="4886EE8B"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.925</w:t>
            </w:r>
          </w:p>
        </w:tc>
        <w:tc>
          <w:tcPr>
            <w:tcW w:w="1701" w:type="dxa"/>
            <w:vMerge/>
            <w:shd w:val="clear" w:color="auto" w:fill="FFFFFF"/>
          </w:tcPr>
          <w:p w14:paraId="7B7A150C"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p>
        </w:tc>
        <w:tc>
          <w:tcPr>
            <w:tcW w:w="1174" w:type="dxa"/>
            <w:vMerge/>
            <w:shd w:val="clear" w:color="auto" w:fill="FFFFFF"/>
          </w:tcPr>
          <w:p w14:paraId="1586634D"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p>
        </w:tc>
      </w:tr>
      <w:tr w:rsidR="00A03ABC" w:rsidRPr="00D57F4E" w14:paraId="3C8C9010" w14:textId="77777777" w:rsidTr="002E5EED">
        <w:tc>
          <w:tcPr>
            <w:tcW w:w="1567" w:type="dxa"/>
            <w:shd w:val="clear" w:color="auto" w:fill="FFFFFF"/>
            <w:hideMark/>
          </w:tcPr>
          <w:p w14:paraId="060AF7A9"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I4  Pensyarah</w:t>
            </w:r>
          </w:p>
        </w:tc>
        <w:tc>
          <w:tcPr>
            <w:tcW w:w="1283" w:type="dxa"/>
            <w:shd w:val="clear" w:color="auto" w:fill="FFFFFF"/>
            <w:hideMark/>
          </w:tcPr>
          <w:p w14:paraId="6DCBC76A"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4.99</w:t>
            </w:r>
          </w:p>
        </w:tc>
        <w:tc>
          <w:tcPr>
            <w:tcW w:w="1835" w:type="dxa"/>
            <w:shd w:val="clear" w:color="auto" w:fill="FFFFFF"/>
            <w:hideMark/>
          </w:tcPr>
          <w:p w14:paraId="3DAE101D"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.875</w:t>
            </w:r>
          </w:p>
        </w:tc>
        <w:tc>
          <w:tcPr>
            <w:tcW w:w="1701" w:type="dxa"/>
            <w:vMerge/>
            <w:shd w:val="clear" w:color="auto" w:fill="FFFFFF"/>
          </w:tcPr>
          <w:p w14:paraId="59AD03DF"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p>
        </w:tc>
        <w:tc>
          <w:tcPr>
            <w:tcW w:w="1174" w:type="dxa"/>
            <w:vMerge/>
            <w:shd w:val="clear" w:color="auto" w:fill="FFFFFF"/>
          </w:tcPr>
          <w:p w14:paraId="5D7A6BF5"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p>
        </w:tc>
      </w:tr>
      <w:tr w:rsidR="00A03ABC" w:rsidRPr="00D57F4E" w14:paraId="1A0EF0DA" w14:textId="77777777" w:rsidTr="002E5EED">
        <w:tc>
          <w:tcPr>
            <w:tcW w:w="1567" w:type="dxa"/>
            <w:shd w:val="clear" w:color="auto" w:fill="FFFFFF"/>
            <w:hideMark/>
          </w:tcPr>
          <w:p w14:paraId="777F8B87"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I5 Yuran</w:t>
            </w:r>
          </w:p>
        </w:tc>
        <w:tc>
          <w:tcPr>
            <w:tcW w:w="1283" w:type="dxa"/>
            <w:shd w:val="clear" w:color="auto" w:fill="FFFFFF"/>
            <w:hideMark/>
          </w:tcPr>
          <w:p w14:paraId="7318B273"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4.93</w:t>
            </w:r>
          </w:p>
        </w:tc>
        <w:tc>
          <w:tcPr>
            <w:tcW w:w="1835" w:type="dxa"/>
            <w:shd w:val="clear" w:color="auto" w:fill="FFFFFF"/>
            <w:hideMark/>
          </w:tcPr>
          <w:p w14:paraId="1582E216"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.982</w:t>
            </w:r>
          </w:p>
        </w:tc>
        <w:tc>
          <w:tcPr>
            <w:tcW w:w="1701" w:type="dxa"/>
            <w:vMerge/>
            <w:shd w:val="clear" w:color="auto" w:fill="FFFFFF"/>
          </w:tcPr>
          <w:p w14:paraId="592826A7"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p>
        </w:tc>
        <w:tc>
          <w:tcPr>
            <w:tcW w:w="1174" w:type="dxa"/>
            <w:vMerge/>
            <w:shd w:val="clear" w:color="auto" w:fill="FFFFFF"/>
          </w:tcPr>
          <w:p w14:paraId="745FCB80"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p>
        </w:tc>
      </w:tr>
      <w:tr w:rsidR="00A03ABC" w:rsidRPr="00D57F4E" w14:paraId="2753C2B9" w14:textId="77777777" w:rsidTr="002E5EED">
        <w:tc>
          <w:tcPr>
            <w:tcW w:w="1567" w:type="dxa"/>
            <w:shd w:val="clear" w:color="auto" w:fill="FFFFFF"/>
            <w:hideMark/>
          </w:tcPr>
          <w:p w14:paraId="4A3A9EB5"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p>
          <w:p w14:paraId="45E7527B" w14:textId="77777777" w:rsidR="00A03ABC" w:rsidRPr="00D57F4E" w:rsidRDefault="00E7286E"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Pr>
                <w:rFonts w:ascii="Times New Roman" w:eastAsia="Times New Roman" w:hAnsi="Times New Roman" w:cs="Times New Roman"/>
                <w:color w:val="000000" w:themeColor="text1"/>
                <w:sz w:val="20"/>
                <w:szCs w:val="20"/>
                <w:lang w:val="en-GB"/>
              </w:rPr>
              <w:t>M1 S</w:t>
            </w:r>
            <w:r w:rsidR="00A03ABC" w:rsidRPr="00D57F4E">
              <w:rPr>
                <w:rFonts w:ascii="Times New Roman" w:eastAsia="Times New Roman" w:hAnsi="Times New Roman" w:cs="Times New Roman"/>
                <w:color w:val="000000" w:themeColor="text1"/>
                <w:sz w:val="20"/>
                <w:szCs w:val="20"/>
                <w:lang w:val="en-GB"/>
              </w:rPr>
              <w:t>uka</w:t>
            </w:r>
          </w:p>
        </w:tc>
        <w:tc>
          <w:tcPr>
            <w:tcW w:w="1283" w:type="dxa"/>
            <w:shd w:val="clear" w:color="auto" w:fill="FFFFFF"/>
            <w:hideMark/>
          </w:tcPr>
          <w:p w14:paraId="56541286"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p>
          <w:p w14:paraId="72577059"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5.69</w:t>
            </w:r>
          </w:p>
        </w:tc>
        <w:tc>
          <w:tcPr>
            <w:tcW w:w="1835" w:type="dxa"/>
            <w:shd w:val="clear" w:color="auto" w:fill="FFFFFF"/>
            <w:hideMark/>
          </w:tcPr>
          <w:p w14:paraId="1F7E0616"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p>
          <w:p w14:paraId="40BC484B"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.817</w:t>
            </w:r>
          </w:p>
        </w:tc>
        <w:tc>
          <w:tcPr>
            <w:tcW w:w="1701" w:type="dxa"/>
            <w:vMerge w:val="restart"/>
            <w:shd w:val="clear" w:color="auto" w:fill="FFFFFF"/>
          </w:tcPr>
          <w:p w14:paraId="122E37F8"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p>
          <w:p w14:paraId="1225ECF4"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p>
          <w:p w14:paraId="54000789"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5.67</w:t>
            </w:r>
          </w:p>
        </w:tc>
        <w:tc>
          <w:tcPr>
            <w:tcW w:w="1174" w:type="dxa"/>
            <w:vMerge w:val="restart"/>
            <w:shd w:val="clear" w:color="auto" w:fill="FFFFFF"/>
          </w:tcPr>
          <w:p w14:paraId="202DE3C5"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p>
          <w:p w14:paraId="1B87BD9B"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p>
          <w:p w14:paraId="4181B043"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0.77</w:t>
            </w:r>
          </w:p>
        </w:tc>
      </w:tr>
      <w:tr w:rsidR="00A03ABC" w:rsidRPr="00D57F4E" w14:paraId="6BB1A6A3" w14:textId="77777777" w:rsidTr="002E5EED">
        <w:tc>
          <w:tcPr>
            <w:tcW w:w="1567" w:type="dxa"/>
            <w:shd w:val="clear" w:color="auto" w:fill="FFFFFF"/>
            <w:hideMark/>
          </w:tcPr>
          <w:p w14:paraId="5361F884" w14:textId="77777777" w:rsidR="00A03ABC" w:rsidRPr="00D57F4E" w:rsidRDefault="00E7286E"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Pr>
                <w:rFonts w:ascii="Times New Roman" w:eastAsia="Times New Roman" w:hAnsi="Times New Roman" w:cs="Times New Roman"/>
                <w:color w:val="000000" w:themeColor="text1"/>
                <w:sz w:val="20"/>
                <w:szCs w:val="20"/>
                <w:lang w:val="en-GB"/>
              </w:rPr>
              <w:t>M2 S</w:t>
            </w:r>
            <w:r w:rsidR="00A03ABC" w:rsidRPr="00D57F4E">
              <w:rPr>
                <w:rFonts w:ascii="Times New Roman" w:eastAsia="Times New Roman" w:hAnsi="Times New Roman" w:cs="Times New Roman"/>
                <w:color w:val="000000" w:themeColor="text1"/>
                <w:sz w:val="20"/>
                <w:szCs w:val="20"/>
                <w:lang w:val="en-GB"/>
              </w:rPr>
              <w:t>eronok</w:t>
            </w:r>
          </w:p>
        </w:tc>
        <w:tc>
          <w:tcPr>
            <w:tcW w:w="1283" w:type="dxa"/>
            <w:shd w:val="clear" w:color="auto" w:fill="FFFFFF"/>
            <w:hideMark/>
          </w:tcPr>
          <w:p w14:paraId="7087BA77"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5.60</w:t>
            </w:r>
          </w:p>
        </w:tc>
        <w:tc>
          <w:tcPr>
            <w:tcW w:w="1835" w:type="dxa"/>
            <w:shd w:val="clear" w:color="auto" w:fill="FFFFFF"/>
            <w:hideMark/>
          </w:tcPr>
          <w:p w14:paraId="22095142"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.903</w:t>
            </w:r>
          </w:p>
        </w:tc>
        <w:tc>
          <w:tcPr>
            <w:tcW w:w="1701" w:type="dxa"/>
            <w:vMerge/>
            <w:shd w:val="clear" w:color="auto" w:fill="FFFFFF"/>
          </w:tcPr>
          <w:p w14:paraId="5A7F055A"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p>
        </w:tc>
        <w:tc>
          <w:tcPr>
            <w:tcW w:w="1174" w:type="dxa"/>
            <w:vMerge/>
            <w:shd w:val="clear" w:color="auto" w:fill="FFFFFF"/>
          </w:tcPr>
          <w:p w14:paraId="55FD2642"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p>
        </w:tc>
      </w:tr>
      <w:tr w:rsidR="00A03ABC" w:rsidRPr="00D57F4E" w14:paraId="405D36F4" w14:textId="77777777" w:rsidTr="002E5EED">
        <w:tc>
          <w:tcPr>
            <w:tcW w:w="1567" w:type="dxa"/>
            <w:tcBorders>
              <w:bottom w:val="single" w:sz="4" w:space="0" w:color="auto"/>
            </w:tcBorders>
            <w:shd w:val="clear" w:color="auto" w:fill="FFFFFF"/>
            <w:hideMark/>
          </w:tcPr>
          <w:p w14:paraId="1952B44D"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M3 Teruja</w:t>
            </w:r>
          </w:p>
        </w:tc>
        <w:tc>
          <w:tcPr>
            <w:tcW w:w="1283" w:type="dxa"/>
            <w:tcBorders>
              <w:bottom w:val="single" w:sz="4" w:space="0" w:color="auto"/>
            </w:tcBorders>
            <w:shd w:val="clear" w:color="auto" w:fill="FFFFFF"/>
            <w:hideMark/>
          </w:tcPr>
          <w:p w14:paraId="14DBB5D5"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5.74</w:t>
            </w:r>
          </w:p>
        </w:tc>
        <w:tc>
          <w:tcPr>
            <w:tcW w:w="1835" w:type="dxa"/>
            <w:tcBorders>
              <w:bottom w:val="single" w:sz="4" w:space="0" w:color="auto"/>
            </w:tcBorders>
            <w:shd w:val="clear" w:color="auto" w:fill="FFFFFF"/>
            <w:hideMark/>
          </w:tcPr>
          <w:p w14:paraId="4BDB6746"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r w:rsidRPr="00D57F4E">
              <w:rPr>
                <w:rFonts w:ascii="Times New Roman" w:eastAsia="Times New Roman" w:hAnsi="Times New Roman" w:cs="Times New Roman"/>
                <w:color w:val="000000" w:themeColor="text1"/>
                <w:sz w:val="20"/>
                <w:szCs w:val="20"/>
                <w:lang w:val="en-GB"/>
              </w:rPr>
              <w:t>.864</w:t>
            </w:r>
          </w:p>
        </w:tc>
        <w:tc>
          <w:tcPr>
            <w:tcW w:w="1701" w:type="dxa"/>
            <w:vMerge/>
            <w:tcBorders>
              <w:bottom w:val="single" w:sz="4" w:space="0" w:color="auto"/>
            </w:tcBorders>
            <w:shd w:val="clear" w:color="auto" w:fill="FFFFFF"/>
          </w:tcPr>
          <w:p w14:paraId="3B15B96E"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p>
        </w:tc>
        <w:tc>
          <w:tcPr>
            <w:tcW w:w="1174" w:type="dxa"/>
            <w:vMerge/>
            <w:tcBorders>
              <w:bottom w:val="single" w:sz="4" w:space="0" w:color="auto"/>
            </w:tcBorders>
            <w:shd w:val="clear" w:color="auto" w:fill="FFFFFF"/>
          </w:tcPr>
          <w:p w14:paraId="4B777200"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lang w:val="en-GB"/>
              </w:rPr>
            </w:pPr>
          </w:p>
        </w:tc>
      </w:tr>
    </w:tbl>
    <w:p w14:paraId="5311F705" w14:textId="77777777" w:rsidR="00A03ABC" w:rsidRPr="00D57F4E" w:rsidRDefault="00A03ABC" w:rsidP="00665616">
      <w:pPr>
        <w:widowControl w:val="0"/>
        <w:spacing w:after="0" w:line="240" w:lineRule="auto"/>
        <w:ind w:left="0" w:hanging="2"/>
        <w:jc w:val="both"/>
        <w:rPr>
          <w:rFonts w:ascii="Times New Roman" w:eastAsia="Times New Roman" w:hAnsi="Times New Roman" w:cs="Times New Roman"/>
          <w:color w:val="000000" w:themeColor="text1"/>
          <w:sz w:val="20"/>
          <w:szCs w:val="20"/>
        </w:rPr>
      </w:pPr>
    </w:p>
    <w:p w14:paraId="733E667C" w14:textId="77777777" w:rsidR="00E946C3" w:rsidRPr="00D57F4E" w:rsidRDefault="00E7286E" w:rsidP="00665616">
      <w:pPr>
        <w:spacing w:after="0" w:line="240" w:lineRule="auto"/>
        <w:ind w:leftChars="0" w:left="0" w:firstLineChars="0"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Berdasarkan J</w:t>
      </w:r>
      <w:r w:rsidR="00A03ABC" w:rsidRPr="00D57F4E">
        <w:rPr>
          <w:rFonts w:ascii="Times New Roman" w:eastAsia="Times New Roman" w:hAnsi="Times New Roman" w:cs="Times New Roman"/>
          <w:color w:val="000000" w:themeColor="text1"/>
          <w:sz w:val="24"/>
          <w:szCs w:val="24"/>
        </w:rPr>
        <w:t xml:space="preserve">adual 3 di atas, faktor-faktor </w:t>
      </w:r>
      <w:r w:rsidR="00E946C3" w:rsidRPr="00D57F4E">
        <w:rPr>
          <w:rFonts w:ascii="Times New Roman" w:eastAsia="Times New Roman" w:hAnsi="Times New Roman" w:cs="Times New Roman"/>
          <w:color w:val="000000" w:themeColor="text1"/>
          <w:sz w:val="24"/>
          <w:szCs w:val="24"/>
        </w:rPr>
        <w:t xml:space="preserve">kendiri </w:t>
      </w:r>
      <w:r w:rsidR="00A03ABC" w:rsidRPr="00D57F4E">
        <w:rPr>
          <w:rFonts w:ascii="Times New Roman" w:eastAsia="Times New Roman" w:hAnsi="Times New Roman" w:cs="Times New Roman"/>
          <w:color w:val="000000" w:themeColor="text1"/>
          <w:sz w:val="24"/>
          <w:szCs w:val="24"/>
        </w:rPr>
        <w:t xml:space="preserve">yang mempengaruhi mengikut program PSH di UPSI </w:t>
      </w:r>
      <w:r w:rsidR="00E946C3" w:rsidRPr="00D57F4E">
        <w:rPr>
          <w:rFonts w:ascii="Times New Roman" w:eastAsia="Times New Roman" w:hAnsi="Times New Roman" w:cs="Times New Roman"/>
          <w:color w:val="000000" w:themeColor="text1"/>
          <w:sz w:val="24"/>
          <w:szCs w:val="24"/>
        </w:rPr>
        <w:t>menunjukkan</w:t>
      </w:r>
      <w:r w:rsidR="00A03ABC" w:rsidRPr="00D57F4E">
        <w:rPr>
          <w:rFonts w:ascii="Times New Roman" w:eastAsia="Times New Roman" w:hAnsi="Times New Roman" w:cs="Times New Roman"/>
          <w:color w:val="000000" w:themeColor="text1"/>
          <w:sz w:val="24"/>
          <w:szCs w:val="24"/>
        </w:rPr>
        <w:t xml:space="preserve"> skor min maklum balas responden b</w:t>
      </w:r>
      <w:r>
        <w:rPr>
          <w:rFonts w:ascii="Times New Roman" w:eastAsia="Times New Roman" w:hAnsi="Times New Roman" w:cs="Times New Roman"/>
          <w:color w:val="000000" w:themeColor="text1"/>
          <w:sz w:val="24"/>
          <w:szCs w:val="24"/>
        </w:rPr>
        <w:t>erdasarkan meningkatkan kerjaya</w:t>
      </w:r>
      <w:r w:rsidR="00A03ABC" w:rsidRPr="00D57F4E">
        <w:rPr>
          <w:rFonts w:ascii="Times New Roman" w:eastAsia="Times New Roman" w:hAnsi="Times New Roman" w:cs="Times New Roman"/>
          <w:color w:val="000000" w:themeColor="text1"/>
          <w:sz w:val="24"/>
          <w:szCs w:val="24"/>
        </w:rPr>
        <w:t xml:space="preserve"> ialah 5.65 dan sisihan piawai 0.81. Skor min maklum balas responden berdasarkan meningkatkan kelayakan akademik ialah 5.87 dan sisihan piawai 0.90 dan skor min maklum balas responden tentang dorongan keluarga dan pihak sekolah ialah 5.70 dan sisihan piawai 0.89. </w:t>
      </w:r>
      <w:r w:rsidR="00A03ABC" w:rsidRPr="00D57F4E">
        <w:rPr>
          <w:rFonts w:ascii="Times New Roman" w:eastAsia="Times New Roman" w:hAnsi="Times New Roman" w:cs="Times New Roman"/>
          <w:color w:val="000000" w:themeColor="text1"/>
          <w:sz w:val="24"/>
          <w:szCs w:val="24"/>
          <w:lang w:val="en-MY"/>
        </w:rPr>
        <w:t xml:space="preserve">Manakala </w:t>
      </w:r>
      <w:r w:rsidR="00F85D18" w:rsidRPr="00D57F4E">
        <w:rPr>
          <w:rFonts w:ascii="Times New Roman" w:eastAsia="Times New Roman" w:hAnsi="Times New Roman" w:cs="Times New Roman"/>
          <w:color w:val="000000" w:themeColor="text1"/>
          <w:sz w:val="24"/>
          <w:szCs w:val="24"/>
          <w:lang w:val="en-MY"/>
        </w:rPr>
        <w:t xml:space="preserve">skor </w:t>
      </w:r>
      <w:r w:rsidR="00A03ABC" w:rsidRPr="00D57F4E">
        <w:rPr>
          <w:rFonts w:ascii="Times New Roman" w:eastAsia="Times New Roman" w:hAnsi="Times New Roman" w:cs="Times New Roman"/>
          <w:color w:val="000000" w:themeColor="text1"/>
          <w:sz w:val="24"/>
          <w:szCs w:val="24"/>
          <w:lang w:val="en-MY"/>
        </w:rPr>
        <w:t xml:space="preserve">min item atas sebab keperluan kenaikan pangkat ialah 5.91 dan sisihan piawai 0.91 dan akhir sekali </w:t>
      </w:r>
      <w:r w:rsidR="00F85D18" w:rsidRPr="00D57F4E">
        <w:rPr>
          <w:rFonts w:ascii="Times New Roman" w:eastAsia="Times New Roman" w:hAnsi="Times New Roman" w:cs="Times New Roman"/>
          <w:color w:val="000000" w:themeColor="text1"/>
          <w:sz w:val="24"/>
          <w:szCs w:val="24"/>
          <w:lang w:val="en-MY"/>
        </w:rPr>
        <w:t xml:space="preserve">skor </w:t>
      </w:r>
      <w:r w:rsidR="00A03ABC" w:rsidRPr="00D57F4E">
        <w:rPr>
          <w:rFonts w:ascii="Times New Roman" w:eastAsia="Times New Roman" w:hAnsi="Times New Roman" w:cs="Times New Roman"/>
          <w:color w:val="000000" w:themeColor="text1"/>
          <w:sz w:val="24"/>
          <w:szCs w:val="24"/>
          <w:lang w:val="en-MY"/>
        </w:rPr>
        <w:t>min atas dorongan diri sendiri ialah 5.88 dan sisi</w:t>
      </w:r>
      <w:r>
        <w:rPr>
          <w:rFonts w:ascii="Times New Roman" w:eastAsia="Times New Roman" w:hAnsi="Times New Roman" w:cs="Times New Roman"/>
          <w:color w:val="000000" w:themeColor="text1"/>
          <w:sz w:val="24"/>
          <w:szCs w:val="24"/>
        </w:rPr>
        <w:t>han piawai</w:t>
      </w:r>
      <w:r w:rsidR="00A03ABC" w:rsidRPr="00D57F4E">
        <w:rPr>
          <w:rFonts w:ascii="Times New Roman" w:eastAsia="Times New Roman" w:hAnsi="Times New Roman" w:cs="Times New Roman"/>
          <w:color w:val="000000" w:themeColor="text1"/>
          <w:sz w:val="24"/>
          <w:szCs w:val="24"/>
        </w:rPr>
        <w:t xml:space="preserve"> 0.84. </w:t>
      </w:r>
      <w:r w:rsidR="00A03ABC" w:rsidRPr="00D57F4E">
        <w:rPr>
          <w:rFonts w:ascii="Times New Roman" w:eastAsia="Times New Roman" w:hAnsi="Times New Roman" w:cs="Times New Roman"/>
          <w:color w:val="000000" w:themeColor="text1"/>
          <w:sz w:val="24"/>
          <w:szCs w:val="24"/>
          <w:lang w:val="en-MY"/>
        </w:rPr>
        <w:t>Min tertinggi dalam fa</w:t>
      </w:r>
      <w:r w:rsidR="00F85D18" w:rsidRPr="00D57F4E">
        <w:rPr>
          <w:rFonts w:ascii="Times New Roman" w:eastAsia="Times New Roman" w:hAnsi="Times New Roman" w:cs="Times New Roman"/>
          <w:color w:val="000000" w:themeColor="text1"/>
          <w:sz w:val="24"/>
          <w:szCs w:val="24"/>
          <w:lang w:val="en-MY"/>
        </w:rPr>
        <w:t>k</w:t>
      </w:r>
      <w:r w:rsidR="00A03ABC" w:rsidRPr="00D57F4E">
        <w:rPr>
          <w:rFonts w:ascii="Times New Roman" w:eastAsia="Times New Roman" w:hAnsi="Times New Roman" w:cs="Times New Roman"/>
          <w:color w:val="000000" w:themeColor="text1"/>
          <w:sz w:val="24"/>
          <w:szCs w:val="24"/>
          <w:lang w:val="en-MY"/>
        </w:rPr>
        <w:t>tor kendiri ialah atas keperluan naik pangkat da</w:t>
      </w:r>
      <w:r w:rsidR="00A03ABC" w:rsidRPr="00D57F4E">
        <w:rPr>
          <w:rFonts w:ascii="Times New Roman" w:eastAsia="Times New Roman" w:hAnsi="Times New Roman" w:cs="Times New Roman"/>
          <w:color w:val="000000" w:themeColor="text1"/>
          <w:sz w:val="24"/>
          <w:szCs w:val="24"/>
        </w:rPr>
        <w:t>n yang ter</w:t>
      </w:r>
      <w:r w:rsidR="00F85D18" w:rsidRPr="00D57F4E">
        <w:rPr>
          <w:rFonts w:ascii="Times New Roman" w:eastAsia="Times New Roman" w:hAnsi="Times New Roman" w:cs="Times New Roman"/>
          <w:color w:val="000000" w:themeColor="text1"/>
          <w:sz w:val="24"/>
          <w:szCs w:val="24"/>
        </w:rPr>
        <w:t>endah</w:t>
      </w:r>
      <w:r w:rsidR="00A03ABC" w:rsidRPr="00D57F4E">
        <w:rPr>
          <w:rFonts w:ascii="Times New Roman" w:eastAsia="Times New Roman" w:hAnsi="Times New Roman" w:cs="Times New Roman"/>
          <w:color w:val="000000" w:themeColor="text1"/>
          <w:sz w:val="24"/>
          <w:szCs w:val="24"/>
        </w:rPr>
        <w:t xml:space="preserve"> ialah item untuk kerjaya. Skor min keseluruhan untuk fa</w:t>
      </w:r>
      <w:r w:rsidR="00F85D18" w:rsidRPr="00D57F4E">
        <w:rPr>
          <w:rFonts w:ascii="Times New Roman" w:eastAsia="Times New Roman" w:hAnsi="Times New Roman" w:cs="Times New Roman"/>
          <w:color w:val="000000" w:themeColor="text1"/>
          <w:sz w:val="24"/>
          <w:szCs w:val="24"/>
        </w:rPr>
        <w:t>k</w:t>
      </w:r>
      <w:r w:rsidR="00A03ABC" w:rsidRPr="00D57F4E">
        <w:rPr>
          <w:rFonts w:ascii="Times New Roman" w:eastAsia="Times New Roman" w:hAnsi="Times New Roman" w:cs="Times New Roman"/>
          <w:color w:val="000000" w:themeColor="text1"/>
          <w:sz w:val="24"/>
          <w:szCs w:val="24"/>
        </w:rPr>
        <w:t>tor kendiri ialah 5.77 dan sisihan piawai 0.69.</w:t>
      </w:r>
    </w:p>
    <w:p w14:paraId="3BEEA3ED" w14:textId="77777777" w:rsidR="00A03ABC" w:rsidRPr="00D57F4E" w:rsidRDefault="00A03ABC" w:rsidP="00665616">
      <w:pPr>
        <w:spacing w:after="0" w:line="240" w:lineRule="auto"/>
        <w:ind w:leftChars="0" w:left="0" w:firstLineChars="0" w:firstLine="720"/>
        <w:jc w:val="both"/>
        <w:rPr>
          <w:rFonts w:ascii="Times New Roman" w:eastAsia="Times New Roman" w:hAnsi="Times New Roman" w:cs="Times New Roman"/>
          <w:color w:val="000000" w:themeColor="text1"/>
          <w:sz w:val="24"/>
          <w:szCs w:val="24"/>
        </w:rPr>
      </w:pPr>
      <w:r w:rsidRPr="00D57F4E">
        <w:rPr>
          <w:rFonts w:ascii="Times New Roman" w:eastAsia="Times New Roman" w:hAnsi="Times New Roman" w:cs="Times New Roman"/>
          <w:color w:val="000000" w:themeColor="text1"/>
          <w:sz w:val="24"/>
          <w:szCs w:val="24"/>
        </w:rPr>
        <w:t>Item-item yang berkaitan dengan fa</w:t>
      </w:r>
      <w:r w:rsidR="00E946C3" w:rsidRPr="00D57F4E">
        <w:rPr>
          <w:rFonts w:ascii="Times New Roman" w:eastAsia="Times New Roman" w:hAnsi="Times New Roman" w:cs="Times New Roman"/>
          <w:color w:val="000000" w:themeColor="text1"/>
          <w:sz w:val="24"/>
          <w:szCs w:val="24"/>
        </w:rPr>
        <w:t>k</w:t>
      </w:r>
      <w:r w:rsidRPr="00D57F4E">
        <w:rPr>
          <w:rFonts w:ascii="Times New Roman" w:eastAsia="Times New Roman" w:hAnsi="Times New Roman" w:cs="Times New Roman"/>
          <w:color w:val="000000" w:themeColor="text1"/>
          <w:sz w:val="24"/>
          <w:szCs w:val="24"/>
        </w:rPr>
        <w:t>tor institusi pula menunjukkan skor min maklum balas responden terhadap UPSI sebagai jenama institusi pendidikan ialah 4.97 dan sisihan piawai 0.94. Seterusnya</w:t>
      </w:r>
      <w:r w:rsidR="00E7286E">
        <w:rPr>
          <w:rFonts w:ascii="Times New Roman" w:eastAsia="Times New Roman" w:hAnsi="Times New Roman" w:cs="Times New Roman"/>
          <w:color w:val="000000" w:themeColor="text1"/>
          <w:sz w:val="24"/>
          <w:szCs w:val="24"/>
        </w:rPr>
        <w:t>,</w:t>
      </w:r>
      <w:r w:rsidRPr="00D57F4E">
        <w:rPr>
          <w:rFonts w:ascii="Times New Roman" w:eastAsia="Times New Roman" w:hAnsi="Times New Roman" w:cs="Times New Roman"/>
          <w:color w:val="000000" w:themeColor="text1"/>
          <w:sz w:val="24"/>
          <w:szCs w:val="24"/>
        </w:rPr>
        <w:t xml:space="preserve"> diikuti dengan promosi skor min 4.83, infrasruktur di UPSI dengan skor min 4.89, kualiti pensyarah ialah 4.99, yuran pengajian skor min 4.93. </w:t>
      </w:r>
      <w:r w:rsidRPr="00D57F4E">
        <w:rPr>
          <w:rFonts w:ascii="Times New Roman" w:eastAsia="Times New Roman" w:hAnsi="Times New Roman" w:cs="Times New Roman"/>
          <w:color w:val="000000" w:themeColor="text1"/>
          <w:sz w:val="24"/>
          <w:szCs w:val="24"/>
          <w:lang w:val="en-MY"/>
        </w:rPr>
        <w:t>Item yang paling tinggi skor min ialah kualiti pensyarah dan skor min paling rendah ia</w:t>
      </w:r>
      <w:r w:rsidRPr="00D57F4E">
        <w:rPr>
          <w:rFonts w:ascii="Times New Roman" w:eastAsia="Times New Roman" w:hAnsi="Times New Roman" w:cs="Times New Roman"/>
          <w:color w:val="000000" w:themeColor="text1"/>
          <w:sz w:val="24"/>
          <w:szCs w:val="24"/>
        </w:rPr>
        <w:t>lah item promosi. Secara keseluruhan s</w:t>
      </w:r>
      <w:r w:rsidR="00E7286E">
        <w:rPr>
          <w:rFonts w:ascii="Times New Roman" w:eastAsia="Times New Roman" w:hAnsi="Times New Roman" w:cs="Times New Roman"/>
          <w:color w:val="000000" w:themeColor="text1"/>
          <w:sz w:val="24"/>
          <w:szCs w:val="24"/>
        </w:rPr>
        <w:t>kor min fak</w:t>
      </w:r>
      <w:r w:rsidRPr="00D57F4E">
        <w:rPr>
          <w:rFonts w:ascii="Times New Roman" w:eastAsia="Times New Roman" w:hAnsi="Times New Roman" w:cs="Times New Roman"/>
          <w:color w:val="000000" w:themeColor="text1"/>
          <w:sz w:val="24"/>
          <w:szCs w:val="24"/>
        </w:rPr>
        <w:t>tor institusi ialah 4.92 dan sis</w:t>
      </w:r>
      <w:r w:rsidR="00E7286E">
        <w:rPr>
          <w:rFonts w:ascii="Times New Roman" w:eastAsia="Times New Roman" w:hAnsi="Times New Roman" w:cs="Times New Roman"/>
          <w:color w:val="000000" w:themeColor="text1"/>
          <w:sz w:val="24"/>
          <w:szCs w:val="24"/>
        </w:rPr>
        <w:t>i</w:t>
      </w:r>
      <w:r w:rsidRPr="00D57F4E">
        <w:rPr>
          <w:rFonts w:ascii="Times New Roman" w:eastAsia="Times New Roman" w:hAnsi="Times New Roman" w:cs="Times New Roman"/>
          <w:color w:val="000000" w:themeColor="text1"/>
          <w:sz w:val="24"/>
          <w:szCs w:val="24"/>
        </w:rPr>
        <w:t>han piawai 0.75.</w:t>
      </w:r>
    </w:p>
    <w:p w14:paraId="4D137EC2" w14:textId="77777777" w:rsidR="00A03ABC" w:rsidRPr="00D57F4E" w:rsidRDefault="00A03ABC" w:rsidP="00665616">
      <w:pPr>
        <w:spacing w:after="0" w:line="240" w:lineRule="auto"/>
        <w:ind w:leftChars="0" w:left="0" w:firstLineChars="0" w:firstLine="720"/>
        <w:jc w:val="both"/>
        <w:rPr>
          <w:rFonts w:ascii="Times New Roman" w:eastAsia="Times New Roman" w:hAnsi="Times New Roman" w:cs="Times New Roman"/>
          <w:color w:val="000000" w:themeColor="text1"/>
          <w:sz w:val="24"/>
          <w:szCs w:val="24"/>
        </w:rPr>
      </w:pPr>
      <w:r w:rsidRPr="00D57F4E">
        <w:rPr>
          <w:rFonts w:ascii="Times New Roman" w:eastAsia="Times New Roman" w:hAnsi="Times New Roman" w:cs="Times New Roman"/>
          <w:color w:val="000000" w:themeColor="text1"/>
          <w:sz w:val="24"/>
          <w:szCs w:val="24"/>
        </w:rPr>
        <w:t>Bagi pemboleh ubah minat, terdapat tiga item yang telah digunakan bagi mengukur minat pelajar terhadap program PSH. Skor min paling tinggi ialah item keterujaan pelajar iaitu 5.7, diikuti item suka iaitu 5.69 dan akhir sekali item keseronokan iaitu 5.60. Secara keseluruhan skor min bagi minat ini ialah 5.67 dan sisihan piawai 0.77.</w:t>
      </w:r>
    </w:p>
    <w:p w14:paraId="7FF2B323" w14:textId="77777777" w:rsidR="00A03ABC" w:rsidRPr="00D57F4E" w:rsidRDefault="00A03ABC" w:rsidP="00665616">
      <w:pPr>
        <w:spacing w:after="0" w:line="240" w:lineRule="auto"/>
        <w:ind w:leftChars="0" w:left="0" w:firstLineChars="0" w:firstLine="720"/>
        <w:jc w:val="both"/>
        <w:rPr>
          <w:rFonts w:ascii="Times New Roman" w:eastAsia="Times New Roman" w:hAnsi="Times New Roman" w:cs="Times New Roman"/>
          <w:color w:val="000000" w:themeColor="text1"/>
          <w:sz w:val="24"/>
          <w:szCs w:val="24"/>
        </w:rPr>
      </w:pPr>
      <w:r w:rsidRPr="00D57F4E">
        <w:rPr>
          <w:rFonts w:ascii="Times New Roman" w:eastAsia="Times New Roman" w:hAnsi="Times New Roman" w:cs="Times New Roman"/>
          <w:color w:val="000000" w:themeColor="text1"/>
          <w:sz w:val="24"/>
          <w:szCs w:val="24"/>
        </w:rPr>
        <w:t xml:space="preserve">Analisis </w:t>
      </w:r>
      <w:r w:rsidRPr="00D57F4E">
        <w:rPr>
          <w:rFonts w:ascii="Times New Roman" w:eastAsia="Times New Roman" w:hAnsi="Times New Roman" w:cs="Times New Roman"/>
          <w:i/>
          <w:iCs/>
          <w:color w:val="000000" w:themeColor="text1"/>
          <w:sz w:val="24"/>
          <w:szCs w:val="24"/>
        </w:rPr>
        <w:t>Partial Least Square</w:t>
      </w:r>
      <w:r w:rsidRPr="00D57F4E">
        <w:rPr>
          <w:rFonts w:ascii="Times New Roman" w:eastAsia="Times New Roman" w:hAnsi="Times New Roman" w:cs="Times New Roman"/>
          <w:color w:val="000000" w:themeColor="text1"/>
          <w:sz w:val="24"/>
          <w:szCs w:val="24"/>
        </w:rPr>
        <w:t xml:space="preserve"> (PLS</w:t>
      </w:r>
      <w:r w:rsidR="00AD2F41" w:rsidRPr="00D57F4E">
        <w:rPr>
          <w:rFonts w:ascii="Times New Roman" w:eastAsia="Times New Roman" w:hAnsi="Times New Roman" w:cs="Times New Roman"/>
          <w:color w:val="000000" w:themeColor="text1"/>
          <w:sz w:val="24"/>
          <w:szCs w:val="24"/>
        </w:rPr>
        <w:t>-SEM</w:t>
      </w:r>
      <w:r w:rsidRPr="00D57F4E">
        <w:rPr>
          <w:rFonts w:ascii="Times New Roman" w:eastAsia="Times New Roman" w:hAnsi="Times New Roman" w:cs="Times New Roman"/>
          <w:color w:val="000000" w:themeColor="text1"/>
          <w:sz w:val="24"/>
          <w:szCs w:val="24"/>
        </w:rPr>
        <w:t>) dilaksanakan dalam kajian ini bagi membentuk model regresi dan menentukan sama ada model yang dibangunkan sepadan atau stabil dengan data yang dikutip</w:t>
      </w:r>
      <w:r w:rsidR="003F01CF" w:rsidRPr="00D57F4E">
        <w:rPr>
          <w:rFonts w:ascii="Times New Roman" w:eastAsia="Times New Roman" w:hAnsi="Times New Roman" w:cs="Times New Roman"/>
          <w:color w:val="000000" w:themeColor="text1"/>
          <w:sz w:val="24"/>
          <w:szCs w:val="24"/>
        </w:rPr>
        <w:t xml:space="preserve"> seperti yang ditunjukkan dalam Rajah 1. </w:t>
      </w:r>
      <w:r w:rsidR="00AD2F41" w:rsidRPr="00D57F4E">
        <w:rPr>
          <w:rFonts w:ascii="Times New Roman" w:eastAsia="Times New Roman" w:hAnsi="Times New Roman" w:cs="Times New Roman"/>
          <w:color w:val="000000" w:themeColor="text1"/>
          <w:sz w:val="24"/>
          <w:szCs w:val="24"/>
        </w:rPr>
        <w:t xml:space="preserve">Analisis </w:t>
      </w:r>
      <w:r w:rsidR="008B0998" w:rsidRPr="00D57F4E">
        <w:rPr>
          <w:rFonts w:ascii="Times New Roman" w:eastAsia="Times New Roman" w:hAnsi="Times New Roman" w:cs="Times New Roman"/>
          <w:color w:val="000000" w:themeColor="text1"/>
          <w:sz w:val="24"/>
          <w:szCs w:val="24"/>
        </w:rPr>
        <w:t>PLS ini membolehkan penilaian terhadap kesahan dan kebolehpercayaan model pengukuran dan menganggarkan pengaruh antara pemboleh ubah-pem</w:t>
      </w:r>
      <w:r w:rsidR="00C24B35" w:rsidRPr="00D57F4E">
        <w:rPr>
          <w:rFonts w:ascii="Times New Roman" w:eastAsia="Times New Roman" w:hAnsi="Times New Roman" w:cs="Times New Roman"/>
          <w:color w:val="000000" w:themeColor="text1"/>
          <w:sz w:val="24"/>
          <w:szCs w:val="24"/>
        </w:rPr>
        <w:t>b</w:t>
      </w:r>
      <w:r w:rsidR="008B0998" w:rsidRPr="00D57F4E">
        <w:rPr>
          <w:rFonts w:ascii="Times New Roman" w:eastAsia="Times New Roman" w:hAnsi="Times New Roman" w:cs="Times New Roman"/>
          <w:color w:val="000000" w:themeColor="text1"/>
          <w:sz w:val="24"/>
          <w:szCs w:val="24"/>
        </w:rPr>
        <w:t xml:space="preserve">oleh ubah laten dalam kajian (model struktur). </w:t>
      </w:r>
      <w:r w:rsidR="00AD2F41" w:rsidRPr="00D57F4E">
        <w:rPr>
          <w:rFonts w:ascii="Times New Roman" w:eastAsia="Times New Roman" w:hAnsi="Times New Roman" w:cs="Times New Roman"/>
          <w:color w:val="000000" w:themeColor="text1"/>
          <w:sz w:val="24"/>
          <w:szCs w:val="24"/>
        </w:rPr>
        <w:t>Rajah 1 menunjukkan terdapat tiga pemboleh ubah laten atau konstruk iaitu pemboleh ubah fa</w:t>
      </w:r>
      <w:r w:rsidR="008B0998" w:rsidRPr="00D57F4E">
        <w:rPr>
          <w:rFonts w:ascii="Times New Roman" w:eastAsia="Times New Roman" w:hAnsi="Times New Roman" w:cs="Times New Roman"/>
          <w:color w:val="000000" w:themeColor="text1"/>
          <w:sz w:val="24"/>
          <w:szCs w:val="24"/>
        </w:rPr>
        <w:t>k</w:t>
      </w:r>
      <w:r w:rsidR="00AD2F41" w:rsidRPr="00D57F4E">
        <w:rPr>
          <w:rFonts w:ascii="Times New Roman" w:eastAsia="Times New Roman" w:hAnsi="Times New Roman" w:cs="Times New Roman"/>
          <w:color w:val="000000" w:themeColor="text1"/>
          <w:sz w:val="24"/>
          <w:szCs w:val="24"/>
        </w:rPr>
        <w:t xml:space="preserve">tor kendiri, </w:t>
      </w:r>
      <w:r w:rsidR="008B0998" w:rsidRPr="00D57F4E">
        <w:rPr>
          <w:rFonts w:ascii="Times New Roman" w:eastAsia="Times New Roman" w:hAnsi="Times New Roman" w:cs="Times New Roman"/>
          <w:color w:val="000000" w:themeColor="text1"/>
          <w:sz w:val="24"/>
          <w:szCs w:val="24"/>
        </w:rPr>
        <w:t>faktor</w:t>
      </w:r>
      <w:r w:rsidR="00AD2F41" w:rsidRPr="00D57F4E">
        <w:rPr>
          <w:rFonts w:ascii="Times New Roman" w:eastAsia="Times New Roman" w:hAnsi="Times New Roman" w:cs="Times New Roman"/>
          <w:color w:val="000000" w:themeColor="text1"/>
          <w:sz w:val="24"/>
          <w:szCs w:val="24"/>
        </w:rPr>
        <w:t xml:space="preserve"> institusi dan minat. </w:t>
      </w:r>
    </w:p>
    <w:p w14:paraId="1CCF3DAD"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4"/>
          <w:szCs w:val="24"/>
        </w:rPr>
      </w:pPr>
    </w:p>
    <w:p w14:paraId="557DE858" w14:textId="77777777" w:rsidR="00A03ABC" w:rsidRPr="00D57F4E" w:rsidRDefault="00A03ABC" w:rsidP="00720630">
      <w:pPr>
        <w:spacing w:after="0" w:line="240" w:lineRule="auto"/>
        <w:ind w:left="0" w:hanging="2"/>
        <w:jc w:val="center"/>
        <w:rPr>
          <w:rFonts w:ascii="Times New Roman" w:eastAsia="Times New Roman" w:hAnsi="Times New Roman" w:cs="Times New Roman"/>
          <w:color w:val="000000" w:themeColor="text1"/>
          <w:sz w:val="24"/>
          <w:szCs w:val="24"/>
        </w:rPr>
      </w:pPr>
      <w:r w:rsidRPr="00D57F4E">
        <w:rPr>
          <w:rFonts w:ascii="Times New Roman" w:eastAsia="Times New Roman" w:hAnsi="Times New Roman" w:cs="Times New Roman"/>
          <w:noProof/>
          <w:color w:val="000000" w:themeColor="text1"/>
          <w:sz w:val="24"/>
          <w:szCs w:val="24"/>
        </w:rPr>
        <w:drawing>
          <wp:inline distT="114300" distB="114300" distL="114300" distR="114300" wp14:anchorId="1EE212EA" wp14:editId="47147F5C">
            <wp:extent cx="5202555" cy="2895600"/>
            <wp:effectExtent l="19050" t="19050" r="17145" b="1905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202555" cy="2895600"/>
                    </a:xfrm>
                    <a:prstGeom prst="rect">
                      <a:avLst/>
                    </a:prstGeom>
                    <a:ln>
                      <a:solidFill>
                        <a:schemeClr val="tx1"/>
                      </a:solidFill>
                    </a:ln>
                  </pic:spPr>
                </pic:pic>
              </a:graphicData>
            </a:graphic>
          </wp:inline>
        </w:drawing>
      </w:r>
    </w:p>
    <w:p w14:paraId="5A475148"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4"/>
          <w:szCs w:val="24"/>
        </w:rPr>
      </w:pPr>
    </w:p>
    <w:p w14:paraId="7D0624C6" w14:textId="0B2FDD41" w:rsidR="00A03ABC" w:rsidRPr="00D57F4E" w:rsidRDefault="00A03ABC" w:rsidP="00720630">
      <w:pPr>
        <w:spacing w:after="0" w:line="240" w:lineRule="auto"/>
        <w:ind w:left="0" w:hanging="2"/>
        <w:jc w:val="center"/>
        <w:rPr>
          <w:rFonts w:ascii="Times" w:eastAsia="Times" w:hAnsi="Times" w:cs="Times"/>
          <w:color w:val="000000" w:themeColor="text1"/>
          <w:sz w:val="20"/>
          <w:szCs w:val="20"/>
        </w:rPr>
      </w:pPr>
      <w:r w:rsidRPr="00D57F4E">
        <w:rPr>
          <w:rFonts w:ascii="Times New Roman" w:eastAsia="Times New Roman" w:hAnsi="Times New Roman" w:cs="Times New Roman"/>
          <w:b/>
          <w:color w:val="000000" w:themeColor="text1"/>
          <w:sz w:val="20"/>
          <w:szCs w:val="20"/>
        </w:rPr>
        <w:t xml:space="preserve">Rajah 1. </w:t>
      </w:r>
      <w:r w:rsidRPr="00D57F4E">
        <w:rPr>
          <w:rFonts w:ascii="Times New Roman" w:eastAsia="Times New Roman" w:hAnsi="Times New Roman" w:cs="Times New Roman"/>
          <w:color w:val="000000" w:themeColor="text1"/>
          <w:sz w:val="20"/>
          <w:szCs w:val="20"/>
        </w:rPr>
        <w:t>Model Konseptual dan Algorithm PLS</w:t>
      </w:r>
    </w:p>
    <w:p w14:paraId="7866B94C" w14:textId="77777777" w:rsidR="00720630" w:rsidRDefault="00720630" w:rsidP="00665616">
      <w:pPr>
        <w:tabs>
          <w:tab w:val="left" w:pos="1281"/>
        </w:tabs>
        <w:spacing w:after="0" w:line="240" w:lineRule="auto"/>
        <w:ind w:left="0" w:hanging="2"/>
        <w:jc w:val="both"/>
        <w:rPr>
          <w:rFonts w:ascii="Times New Roman" w:eastAsia="Times New Roman" w:hAnsi="Times New Roman" w:cs="Times New Roman"/>
          <w:i/>
          <w:color w:val="000000" w:themeColor="text1"/>
          <w:sz w:val="24"/>
          <w:szCs w:val="24"/>
        </w:rPr>
      </w:pPr>
    </w:p>
    <w:p w14:paraId="17DF8063" w14:textId="77777777" w:rsidR="00720630" w:rsidRDefault="00720630" w:rsidP="00665616">
      <w:pPr>
        <w:tabs>
          <w:tab w:val="left" w:pos="1281"/>
        </w:tabs>
        <w:spacing w:after="0" w:line="240" w:lineRule="auto"/>
        <w:ind w:left="0" w:hanging="2"/>
        <w:jc w:val="both"/>
        <w:rPr>
          <w:rFonts w:ascii="Times New Roman" w:eastAsia="Times New Roman" w:hAnsi="Times New Roman" w:cs="Times New Roman"/>
          <w:i/>
          <w:color w:val="000000" w:themeColor="text1"/>
          <w:sz w:val="24"/>
          <w:szCs w:val="24"/>
        </w:rPr>
      </w:pPr>
    </w:p>
    <w:p w14:paraId="744D1F77" w14:textId="77777777" w:rsidR="00720630" w:rsidRDefault="00720630" w:rsidP="00665616">
      <w:pPr>
        <w:tabs>
          <w:tab w:val="left" w:pos="1281"/>
        </w:tabs>
        <w:spacing w:after="0" w:line="240" w:lineRule="auto"/>
        <w:ind w:left="0" w:hanging="2"/>
        <w:jc w:val="both"/>
        <w:rPr>
          <w:rFonts w:ascii="Times New Roman" w:eastAsia="Times New Roman" w:hAnsi="Times New Roman" w:cs="Times New Roman"/>
          <w:i/>
          <w:color w:val="000000" w:themeColor="text1"/>
          <w:sz w:val="24"/>
          <w:szCs w:val="24"/>
        </w:rPr>
      </w:pPr>
    </w:p>
    <w:p w14:paraId="6FBDB62A" w14:textId="77777777" w:rsidR="00A03ABC" w:rsidRDefault="00E7286E" w:rsidP="00665616">
      <w:pPr>
        <w:tabs>
          <w:tab w:val="left" w:pos="1281"/>
        </w:tabs>
        <w:spacing w:after="0" w:line="240" w:lineRule="auto"/>
        <w:ind w:left="0" w:hanging="2"/>
        <w:jc w:val="both"/>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lastRenderedPageBreak/>
        <w:t>Model p</w:t>
      </w:r>
      <w:r w:rsidR="00A03ABC" w:rsidRPr="00D57F4E">
        <w:rPr>
          <w:rFonts w:ascii="Times New Roman" w:eastAsia="Times New Roman" w:hAnsi="Times New Roman" w:cs="Times New Roman"/>
          <w:i/>
          <w:color w:val="000000" w:themeColor="text1"/>
          <w:sz w:val="24"/>
          <w:szCs w:val="24"/>
        </w:rPr>
        <w:t>engukuran</w:t>
      </w:r>
    </w:p>
    <w:p w14:paraId="4DBD1FB3" w14:textId="77777777" w:rsidR="00720630" w:rsidRPr="00D57F4E" w:rsidRDefault="00720630" w:rsidP="00665616">
      <w:pPr>
        <w:tabs>
          <w:tab w:val="left" w:pos="1281"/>
        </w:tabs>
        <w:spacing w:after="0" w:line="240" w:lineRule="auto"/>
        <w:ind w:left="0" w:hanging="2"/>
        <w:jc w:val="both"/>
        <w:rPr>
          <w:rFonts w:ascii="Times New Roman" w:eastAsia="Times New Roman" w:hAnsi="Times New Roman" w:cs="Times New Roman"/>
          <w:i/>
          <w:color w:val="000000" w:themeColor="text1"/>
          <w:sz w:val="24"/>
          <w:szCs w:val="24"/>
        </w:rPr>
      </w:pPr>
    </w:p>
    <w:p w14:paraId="5C025B5F" w14:textId="7FC066AE" w:rsidR="00A03ABC" w:rsidRPr="00D57F4E" w:rsidRDefault="00A03ABC" w:rsidP="00665616">
      <w:pPr>
        <w:tabs>
          <w:tab w:val="left" w:pos="1281"/>
        </w:tabs>
        <w:spacing w:after="0" w:line="240" w:lineRule="auto"/>
        <w:ind w:left="0" w:hanging="2"/>
        <w:jc w:val="both"/>
        <w:rPr>
          <w:rFonts w:ascii="Times New Roman" w:eastAsia="Times New Roman" w:hAnsi="Times New Roman" w:cs="Times New Roman"/>
          <w:color w:val="000000" w:themeColor="text1"/>
          <w:sz w:val="24"/>
          <w:szCs w:val="24"/>
        </w:rPr>
      </w:pPr>
      <w:r w:rsidRPr="00D57F4E">
        <w:rPr>
          <w:rFonts w:ascii="Times New Roman" w:eastAsia="Times New Roman" w:hAnsi="Times New Roman" w:cs="Times New Roman"/>
          <w:color w:val="000000" w:themeColor="text1"/>
          <w:sz w:val="24"/>
          <w:szCs w:val="24"/>
        </w:rPr>
        <w:t>Bagi memastikan model pengukuran (model luaran) memenuhi syarat kebolehpercayaan dan kesahan pemboleh ubah, terdapat empat ciri utama perlu dipenuhi iaitu faktor muatan setiap indikator, komposit kebolehpercayaan, kesahan konvergen dan kesahan diskriminan serta silang muatan faktor. Pada peringkat awal, pengujian model dimulai dengan melihat nilai faktor muatan bagi setiap indikator. Nilai yang boleh diterima bagi sebuah model adalah 0.7 dan ke atas (Hair</w:t>
      </w:r>
      <w:r w:rsidR="00BC0C9F">
        <w:rPr>
          <w:rFonts w:ascii="Times New Roman" w:eastAsia="Times New Roman" w:hAnsi="Times New Roman" w:cs="Times New Roman"/>
          <w:color w:val="000000" w:themeColor="text1"/>
          <w:sz w:val="24"/>
          <w:szCs w:val="24"/>
        </w:rPr>
        <w:t xml:space="preserve"> et al.</w:t>
      </w:r>
      <w:r w:rsidRPr="00D57F4E">
        <w:rPr>
          <w:rFonts w:ascii="Times New Roman" w:eastAsia="Times New Roman" w:hAnsi="Times New Roman" w:cs="Times New Roman"/>
          <w:color w:val="000000" w:themeColor="text1"/>
          <w:sz w:val="24"/>
          <w:szCs w:val="24"/>
        </w:rPr>
        <w:t>, 2017). Didapati indikator A4 mempunyai nilai faktor muatan kurang daripada 0.7. Sehubungan dengan itu</w:t>
      </w:r>
      <w:r w:rsidR="00E7286E">
        <w:rPr>
          <w:rFonts w:ascii="Times New Roman" w:eastAsia="Times New Roman" w:hAnsi="Times New Roman" w:cs="Times New Roman"/>
          <w:color w:val="000000" w:themeColor="text1"/>
          <w:sz w:val="24"/>
          <w:szCs w:val="24"/>
        </w:rPr>
        <w:t>,</w:t>
      </w:r>
      <w:r w:rsidRPr="00D57F4E">
        <w:rPr>
          <w:rFonts w:ascii="Times New Roman" w:eastAsia="Times New Roman" w:hAnsi="Times New Roman" w:cs="Times New Roman"/>
          <w:color w:val="000000" w:themeColor="text1"/>
          <w:sz w:val="24"/>
          <w:szCs w:val="24"/>
        </w:rPr>
        <w:t xml:space="preserve"> indikator tersebut digugurkan bagi memastikan semua indikator mempunyai nilai melebihi 0.7. Jadual 4 menunjukkan faktor muatan bagi setiap indikator selepas  indikator A4 digugurkan. Hasi</w:t>
      </w:r>
      <w:r w:rsidR="00E7286E">
        <w:rPr>
          <w:rFonts w:ascii="Times New Roman" w:eastAsia="Times New Roman" w:hAnsi="Times New Roman" w:cs="Times New Roman"/>
          <w:color w:val="000000" w:themeColor="text1"/>
          <w:sz w:val="24"/>
          <w:szCs w:val="24"/>
        </w:rPr>
        <w:t>l analisis dari J</w:t>
      </w:r>
      <w:r w:rsidRPr="00D57F4E">
        <w:rPr>
          <w:rFonts w:ascii="Times New Roman" w:eastAsia="Times New Roman" w:hAnsi="Times New Roman" w:cs="Times New Roman"/>
          <w:color w:val="000000" w:themeColor="text1"/>
          <w:sz w:val="24"/>
          <w:szCs w:val="24"/>
        </w:rPr>
        <w:t>adual 4, didapati semua indikator mempunyai nilai faktor muatan melebihi 0.7.</w:t>
      </w:r>
    </w:p>
    <w:p w14:paraId="61783DED" w14:textId="77777777" w:rsidR="00A03ABC" w:rsidRPr="00D57F4E" w:rsidRDefault="00A03ABC" w:rsidP="00665616">
      <w:pPr>
        <w:tabs>
          <w:tab w:val="left" w:pos="1281"/>
        </w:tabs>
        <w:spacing w:after="0" w:line="240" w:lineRule="auto"/>
        <w:ind w:left="0" w:hanging="2"/>
        <w:jc w:val="both"/>
        <w:rPr>
          <w:rFonts w:ascii="Times New Roman" w:eastAsia="Times New Roman" w:hAnsi="Times New Roman" w:cs="Times New Roman"/>
          <w:color w:val="000000" w:themeColor="text1"/>
          <w:sz w:val="24"/>
          <w:szCs w:val="24"/>
        </w:rPr>
      </w:pPr>
    </w:p>
    <w:p w14:paraId="5CEC94F2" w14:textId="18E51954" w:rsidR="00A03ABC" w:rsidRDefault="00A03ABC" w:rsidP="00BC0C9F">
      <w:pPr>
        <w:spacing w:after="0" w:line="240" w:lineRule="auto"/>
        <w:ind w:left="0" w:hanging="2"/>
        <w:jc w:val="center"/>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b/>
          <w:bCs/>
          <w:color w:val="000000" w:themeColor="text1"/>
          <w:sz w:val="20"/>
          <w:szCs w:val="20"/>
        </w:rPr>
        <w:t>Jadual 4.</w:t>
      </w:r>
      <w:r w:rsidR="00775E7B">
        <w:rPr>
          <w:rFonts w:ascii="Times New Roman" w:eastAsia="Times New Roman" w:hAnsi="Times New Roman" w:cs="Times New Roman"/>
          <w:color w:val="000000" w:themeColor="text1"/>
          <w:sz w:val="20"/>
          <w:szCs w:val="20"/>
        </w:rPr>
        <w:t xml:space="preserve"> Silang muatan </w:t>
      </w:r>
      <w:r w:rsidR="003462E1">
        <w:rPr>
          <w:rFonts w:ascii="Times New Roman" w:eastAsia="Times New Roman" w:hAnsi="Times New Roman" w:cs="Times New Roman"/>
          <w:color w:val="000000" w:themeColor="text1"/>
          <w:sz w:val="20"/>
          <w:szCs w:val="20"/>
        </w:rPr>
        <w:t>fak</w:t>
      </w:r>
      <w:r w:rsidR="00BC0C9F">
        <w:rPr>
          <w:rFonts w:ascii="Times New Roman" w:eastAsia="Times New Roman" w:hAnsi="Times New Roman" w:cs="Times New Roman"/>
          <w:color w:val="000000" w:themeColor="text1"/>
          <w:sz w:val="20"/>
          <w:szCs w:val="20"/>
        </w:rPr>
        <w:t>tor</w:t>
      </w:r>
    </w:p>
    <w:p w14:paraId="718AED49" w14:textId="77777777" w:rsidR="00BC0C9F" w:rsidRPr="00D57F4E" w:rsidRDefault="00BC0C9F" w:rsidP="00665616">
      <w:pPr>
        <w:spacing w:after="0" w:line="240" w:lineRule="auto"/>
        <w:ind w:left="0" w:hanging="2"/>
        <w:jc w:val="both"/>
        <w:rPr>
          <w:rFonts w:ascii="Times New Roman" w:eastAsia="Times New Roman" w:hAnsi="Times New Roman" w:cs="Times New Roman"/>
          <w:color w:val="000000" w:themeColor="text1"/>
          <w:sz w:val="20"/>
          <w:szCs w:val="20"/>
        </w:rPr>
      </w:pPr>
    </w:p>
    <w:tbl>
      <w:tblPr>
        <w:tblW w:w="7830" w:type="dxa"/>
        <w:tblInd w:w="540" w:type="dxa"/>
        <w:tblLayout w:type="fixed"/>
        <w:tblLook w:val="0400" w:firstRow="0" w:lastRow="0" w:firstColumn="0" w:lastColumn="0" w:noHBand="0" w:noVBand="1"/>
      </w:tblPr>
      <w:tblGrid>
        <w:gridCol w:w="1440"/>
        <w:gridCol w:w="2410"/>
        <w:gridCol w:w="2268"/>
        <w:gridCol w:w="1712"/>
      </w:tblGrid>
      <w:tr w:rsidR="00A03ABC" w:rsidRPr="00D57F4E" w14:paraId="214000B3" w14:textId="77777777" w:rsidTr="00BC0C9F">
        <w:tc>
          <w:tcPr>
            <w:tcW w:w="1440" w:type="dxa"/>
            <w:tcBorders>
              <w:top w:val="single" w:sz="4" w:space="0" w:color="auto"/>
              <w:bottom w:val="single" w:sz="4" w:space="0" w:color="auto"/>
            </w:tcBorders>
            <w:shd w:val="clear" w:color="auto" w:fill="95B3D7" w:themeFill="accent1" w:themeFillTint="99"/>
            <w:tcMar>
              <w:top w:w="0" w:type="dxa"/>
              <w:left w:w="0" w:type="dxa"/>
              <w:bottom w:w="0" w:type="dxa"/>
              <w:right w:w="0" w:type="dxa"/>
            </w:tcMar>
          </w:tcPr>
          <w:p w14:paraId="7B1AFEAC" w14:textId="77777777" w:rsidR="00A03ABC" w:rsidRPr="00D57F4E" w:rsidRDefault="00A03ABC" w:rsidP="00665616">
            <w:pPr>
              <w:spacing w:after="0" w:line="240" w:lineRule="auto"/>
              <w:ind w:left="0" w:hanging="2"/>
              <w:jc w:val="both"/>
              <w:rPr>
                <w:rFonts w:ascii="Times New Roman" w:eastAsia="Times New Roman" w:hAnsi="Times New Roman" w:cs="Times New Roman"/>
                <w:b/>
                <w:bCs/>
                <w:color w:val="000000" w:themeColor="text1"/>
                <w:sz w:val="20"/>
                <w:szCs w:val="20"/>
              </w:rPr>
            </w:pPr>
            <w:r w:rsidRPr="00D57F4E">
              <w:rPr>
                <w:rFonts w:ascii="Times New Roman" w:eastAsia="Times New Roman" w:hAnsi="Times New Roman" w:cs="Times New Roman"/>
                <w:b/>
                <w:bCs/>
                <w:color w:val="000000" w:themeColor="text1"/>
                <w:sz w:val="20"/>
                <w:szCs w:val="20"/>
              </w:rPr>
              <w:t>Item</w:t>
            </w:r>
          </w:p>
        </w:tc>
        <w:tc>
          <w:tcPr>
            <w:tcW w:w="2410" w:type="dxa"/>
            <w:tcBorders>
              <w:top w:val="single" w:sz="4" w:space="0" w:color="auto"/>
              <w:bottom w:val="single" w:sz="4" w:space="0" w:color="auto"/>
            </w:tcBorders>
            <w:shd w:val="clear" w:color="auto" w:fill="95B3D7" w:themeFill="accent1" w:themeFillTint="99"/>
            <w:tcMar>
              <w:top w:w="0" w:type="dxa"/>
              <w:left w:w="0" w:type="dxa"/>
              <w:bottom w:w="0" w:type="dxa"/>
              <w:right w:w="0" w:type="dxa"/>
            </w:tcMar>
          </w:tcPr>
          <w:p w14:paraId="55A908DD" w14:textId="77777777" w:rsidR="00A03ABC" w:rsidRPr="00D57F4E" w:rsidRDefault="00A03ABC" w:rsidP="00665616">
            <w:pPr>
              <w:tabs>
                <w:tab w:val="left" w:pos="647"/>
              </w:tabs>
              <w:spacing w:after="0" w:line="240" w:lineRule="auto"/>
              <w:ind w:left="0" w:hanging="2"/>
              <w:jc w:val="both"/>
              <w:rPr>
                <w:rFonts w:ascii="Times New Roman" w:eastAsia="Times New Roman" w:hAnsi="Times New Roman" w:cs="Times New Roman"/>
                <w:b/>
                <w:bCs/>
                <w:color w:val="000000" w:themeColor="text1"/>
                <w:sz w:val="20"/>
                <w:szCs w:val="20"/>
              </w:rPr>
            </w:pPr>
            <w:r w:rsidRPr="00D57F4E">
              <w:rPr>
                <w:rFonts w:ascii="Times New Roman" w:eastAsia="Times New Roman" w:hAnsi="Times New Roman" w:cs="Times New Roman"/>
                <w:b/>
                <w:bCs/>
                <w:color w:val="000000" w:themeColor="text1"/>
                <w:sz w:val="20"/>
                <w:szCs w:val="20"/>
              </w:rPr>
              <w:t>Institusi</w:t>
            </w:r>
          </w:p>
        </w:tc>
        <w:tc>
          <w:tcPr>
            <w:tcW w:w="2268" w:type="dxa"/>
            <w:tcBorders>
              <w:top w:val="single" w:sz="4" w:space="0" w:color="auto"/>
              <w:bottom w:val="single" w:sz="4" w:space="0" w:color="auto"/>
            </w:tcBorders>
            <w:shd w:val="clear" w:color="auto" w:fill="95B3D7" w:themeFill="accent1" w:themeFillTint="99"/>
            <w:tcMar>
              <w:top w:w="0" w:type="dxa"/>
              <w:left w:w="0" w:type="dxa"/>
              <w:bottom w:w="0" w:type="dxa"/>
              <w:right w:w="0" w:type="dxa"/>
            </w:tcMar>
          </w:tcPr>
          <w:p w14:paraId="50C5F434" w14:textId="77777777" w:rsidR="00A03ABC" w:rsidRPr="00D57F4E" w:rsidRDefault="00A03ABC" w:rsidP="00665616">
            <w:pPr>
              <w:spacing w:after="0" w:line="240" w:lineRule="auto"/>
              <w:ind w:left="0" w:hanging="2"/>
              <w:jc w:val="both"/>
              <w:rPr>
                <w:rFonts w:ascii="Times New Roman" w:eastAsia="Times New Roman" w:hAnsi="Times New Roman" w:cs="Times New Roman"/>
                <w:b/>
                <w:bCs/>
                <w:color w:val="000000" w:themeColor="text1"/>
                <w:sz w:val="20"/>
                <w:szCs w:val="20"/>
              </w:rPr>
            </w:pPr>
            <w:r w:rsidRPr="00D57F4E">
              <w:rPr>
                <w:rFonts w:ascii="Times New Roman" w:eastAsia="Times New Roman" w:hAnsi="Times New Roman" w:cs="Times New Roman"/>
                <w:b/>
                <w:bCs/>
                <w:color w:val="000000" w:themeColor="text1"/>
                <w:sz w:val="20"/>
                <w:szCs w:val="20"/>
              </w:rPr>
              <w:t>Kendiri</w:t>
            </w:r>
          </w:p>
        </w:tc>
        <w:tc>
          <w:tcPr>
            <w:tcW w:w="1712" w:type="dxa"/>
            <w:tcBorders>
              <w:top w:val="single" w:sz="4" w:space="0" w:color="auto"/>
              <w:bottom w:val="single" w:sz="4" w:space="0" w:color="auto"/>
            </w:tcBorders>
            <w:shd w:val="clear" w:color="auto" w:fill="95B3D7" w:themeFill="accent1" w:themeFillTint="99"/>
            <w:tcMar>
              <w:top w:w="0" w:type="dxa"/>
              <w:left w:w="0" w:type="dxa"/>
              <w:bottom w:w="0" w:type="dxa"/>
              <w:right w:w="0" w:type="dxa"/>
            </w:tcMar>
          </w:tcPr>
          <w:p w14:paraId="55365AA3" w14:textId="77777777" w:rsidR="00A03ABC" w:rsidRPr="00D57F4E" w:rsidRDefault="00A03ABC" w:rsidP="00665616">
            <w:pPr>
              <w:spacing w:after="0" w:line="240" w:lineRule="auto"/>
              <w:ind w:left="0" w:hanging="2"/>
              <w:jc w:val="both"/>
              <w:rPr>
                <w:rFonts w:ascii="Times New Roman" w:eastAsia="Times New Roman" w:hAnsi="Times New Roman" w:cs="Times New Roman"/>
                <w:b/>
                <w:bCs/>
                <w:color w:val="000000" w:themeColor="text1"/>
                <w:sz w:val="20"/>
                <w:szCs w:val="20"/>
              </w:rPr>
            </w:pPr>
            <w:r w:rsidRPr="00D57F4E">
              <w:rPr>
                <w:rFonts w:ascii="Times New Roman" w:eastAsia="Times New Roman" w:hAnsi="Times New Roman" w:cs="Times New Roman"/>
                <w:b/>
                <w:bCs/>
                <w:color w:val="000000" w:themeColor="text1"/>
                <w:sz w:val="20"/>
                <w:szCs w:val="20"/>
              </w:rPr>
              <w:t>Minat</w:t>
            </w:r>
          </w:p>
        </w:tc>
      </w:tr>
      <w:tr w:rsidR="00A03ABC" w:rsidRPr="00D57F4E" w14:paraId="4EBE776C" w14:textId="77777777" w:rsidTr="00BC0C9F">
        <w:tc>
          <w:tcPr>
            <w:tcW w:w="1440" w:type="dxa"/>
            <w:tcBorders>
              <w:top w:val="single" w:sz="4" w:space="0" w:color="auto"/>
            </w:tcBorders>
            <w:tcMar>
              <w:top w:w="0" w:type="dxa"/>
              <w:left w:w="0" w:type="dxa"/>
              <w:bottom w:w="0" w:type="dxa"/>
              <w:right w:w="0" w:type="dxa"/>
            </w:tcMar>
          </w:tcPr>
          <w:p w14:paraId="2F679291"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A1</w:t>
            </w:r>
          </w:p>
        </w:tc>
        <w:tc>
          <w:tcPr>
            <w:tcW w:w="2410" w:type="dxa"/>
            <w:tcBorders>
              <w:top w:val="single" w:sz="4" w:space="0" w:color="auto"/>
            </w:tcBorders>
            <w:tcMar>
              <w:top w:w="0" w:type="dxa"/>
              <w:left w:w="0" w:type="dxa"/>
              <w:bottom w:w="0" w:type="dxa"/>
              <w:right w:w="0" w:type="dxa"/>
            </w:tcMar>
          </w:tcPr>
          <w:p w14:paraId="336E9FB7"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0.359</w:t>
            </w:r>
          </w:p>
        </w:tc>
        <w:tc>
          <w:tcPr>
            <w:tcW w:w="2268" w:type="dxa"/>
            <w:tcBorders>
              <w:top w:val="single" w:sz="4" w:space="0" w:color="auto"/>
            </w:tcBorders>
            <w:tcMar>
              <w:top w:w="0" w:type="dxa"/>
              <w:left w:w="0" w:type="dxa"/>
              <w:bottom w:w="0" w:type="dxa"/>
              <w:right w:w="0" w:type="dxa"/>
            </w:tcMar>
          </w:tcPr>
          <w:p w14:paraId="35F1FD8F" w14:textId="77777777" w:rsidR="00A03ABC" w:rsidRPr="00D57F4E" w:rsidRDefault="00A03ABC" w:rsidP="00665616">
            <w:pPr>
              <w:spacing w:after="0" w:line="240" w:lineRule="auto"/>
              <w:ind w:left="0" w:hanging="2"/>
              <w:jc w:val="both"/>
              <w:rPr>
                <w:rFonts w:ascii="Times New Roman" w:eastAsia="Times New Roman" w:hAnsi="Times New Roman" w:cs="Times New Roman"/>
                <w:b/>
                <w:color w:val="000000" w:themeColor="text1"/>
                <w:sz w:val="20"/>
                <w:szCs w:val="20"/>
              </w:rPr>
            </w:pPr>
            <w:r w:rsidRPr="00D57F4E">
              <w:rPr>
                <w:rFonts w:ascii="Times New Roman" w:eastAsia="Times New Roman" w:hAnsi="Times New Roman" w:cs="Times New Roman"/>
                <w:b/>
                <w:color w:val="000000" w:themeColor="text1"/>
                <w:sz w:val="20"/>
                <w:szCs w:val="20"/>
              </w:rPr>
              <w:t>0.800</w:t>
            </w:r>
          </w:p>
        </w:tc>
        <w:tc>
          <w:tcPr>
            <w:tcW w:w="1712" w:type="dxa"/>
            <w:tcBorders>
              <w:top w:val="single" w:sz="4" w:space="0" w:color="auto"/>
            </w:tcBorders>
            <w:tcMar>
              <w:top w:w="0" w:type="dxa"/>
              <w:left w:w="0" w:type="dxa"/>
              <w:bottom w:w="0" w:type="dxa"/>
              <w:right w:w="0" w:type="dxa"/>
            </w:tcMar>
          </w:tcPr>
          <w:p w14:paraId="1F9914C4"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0.468</w:t>
            </w:r>
          </w:p>
        </w:tc>
      </w:tr>
      <w:tr w:rsidR="00A03ABC" w:rsidRPr="00D57F4E" w14:paraId="169DE5DC" w14:textId="77777777" w:rsidTr="00BC0C9F">
        <w:tc>
          <w:tcPr>
            <w:tcW w:w="1440" w:type="dxa"/>
            <w:tcMar>
              <w:top w:w="0" w:type="dxa"/>
              <w:left w:w="0" w:type="dxa"/>
              <w:bottom w:w="0" w:type="dxa"/>
              <w:right w:w="0" w:type="dxa"/>
            </w:tcMar>
          </w:tcPr>
          <w:p w14:paraId="7BF84A5D"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A2</w:t>
            </w:r>
          </w:p>
        </w:tc>
        <w:tc>
          <w:tcPr>
            <w:tcW w:w="2410" w:type="dxa"/>
            <w:tcMar>
              <w:top w:w="0" w:type="dxa"/>
              <w:left w:w="0" w:type="dxa"/>
              <w:bottom w:w="0" w:type="dxa"/>
              <w:right w:w="0" w:type="dxa"/>
            </w:tcMar>
          </w:tcPr>
          <w:p w14:paraId="7F49D3B5"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0.238</w:t>
            </w:r>
          </w:p>
        </w:tc>
        <w:tc>
          <w:tcPr>
            <w:tcW w:w="2268" w:type="dxa"/>
            <w:tcMar>
              <w:top w:w="0" w:type="dxa"/>
              <w:left w:w="0" w:type="dxa"/>
              <w:bottom w:w="0" w:type="dxa"/>
              <w:right w:w="0" w:type="dxa"/>
            </w:tcMar>
          </w:tcPr>
          <w:p w14:paraId="4E4BC5C2" w14:textId="77777777" w:rsidR="00A03ABC" w:rsidRPr="00D57F4E" w:rsidRDefault="00A03ABC" w:rsidP="00665616">
            <w:pPr>
              <w:spacing w:after="0" w:line="240" w:lineRule="auto"/>
              <w:ind w:left="0" w:hanging="2"/>
              <w:jc w:val="both"/>
              <w:rPr>
                <w:rFonts w:ascii="Times New Roman" w:eastAsia="Times New Roman" w:hAnsi="Times New Roman" w:cs="Times New Roman"/>
                <w:b/>
                <w:color w:val="000000" w:themeColor="text1"/>
                <w:sz w:val="20"/>
                <w:szCs w:val="20"/>
              </w:rPr>
            </w:pPr>
            <w:r w:rsidRPr="00D57F4E">
              <w:rPr>
                <w:rFonts w:ascii="Times New Roman" w:eastAsia="Times New Roman" w:hAnsi="Times New Roman" w:cs="Times New Roman"/>
                <w:b/>
                <w:color w:val="000000" w:themeColor="text1"/>
                <w:sz w:val="20"/>
                <w:szCs w:val="20"/>
              </w:rPr>
              <w:t>0.837</w:t>
            </w:r>
          </w:p>
        </w:tc>
        <w:tc>
          <w:tcPr>
            <w:tcW w:w="1712" w:type="dxa"/>
            <w:tcMar>
              <w:top w:w="0" w:type="dxa"/>
              <w:left w:w="0" w:type="dxa"/>
              <w:bottom w:w="0" w:type="dxa"/>
              <w:right w:w="0" w:type="dxa"/>
            </w:tcMar>
          </w:tcPr>
          <w:p w14:paraId="4BEE78D2"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0.468</w:t>
            </w:r>
          </w:p>
        </w:tc>
      </w:tr>
      <w:tr w:rsidR="00A03ABC" w:rsidRPr="00D57F4E" w14:paraId="2A29EBD6" w14:textId="77777777" w:rsidTr="00BC0C9F">
        <w:tc>
          <w:tcPr>
            <w:tcW w:w="1440" w:type="dxa"/>
            <w:tcMar>
              <w:top w:w="0" w:type="dxa"/>
              <w:left w:w="0" w:type="dxa"/>
              <w:bottom w:w="0" w:type="dxa"/>
              <w:right w:w="0" w:type="dxa"/>
            </w:tcMar>
          </w:tcPr>
          <w:p w14:paraId="4287ED08"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A3</w:t>
            </w:r>
          </w:p>
        </w:tc>
        <w:tc>
          <w:tcPr>
            <w:tcW w:w="2410" w:type="dxa"/>
            <w:tcMar>
              <w:top w:w="0" w:type="dxa"/>
              <w:left w:w="0" w:type="dxa"/>
              <w:bottom w:w="0" w:type="dxa"/>
              <w:right w:w="0" w:type="dxa"/>
            </w:tcMar>
          </w:tcPr>
          <w:p w14:paraId="739D2A03"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0.284</w:t>
            </w:r>
          </w:p>
        </w:tc>
        <w:tc>
          <w:tcPr>
            <w:tcW w:w="2268" w:type="dxa"/>
            <w:tcMar>
              <w:top w:w="0" w:type="dxa"/>
              <w:left w:w="0" w:type="dxa"/>
              <w:bottom w:w="0" w:type="dxa"/>
              <w:right w:w="0" w:type="dxa"/>
            </w:tcMar>
          </w:tcPr>
          <w:p w14:paraId="6F61BAAF" w14:textId="77777777" w:rsidR="00A03ABC" w:rsidRPr="00D57F4E" w:rsidRDefault="00A03ABC" w:rsidP="00665616">
            <w:pPr>
              <w:spacing w:after="0" w:line="240" w:lineRule="auto"/>
              <w:ind w:left="0" w:hanging="2"/>
              <w:jc w:val="both"/>
              <w:rPr>
                <w:rFonts w:ascii="Times New Roman" w:eastAsia="Times New Roman" w:hAnsi="Times New Roman" w:cs="Times New Roman"/>
                <w:b/>
                <w:color w:val="000000" w:themeColor="text1"/>
                <w:sz w:val="20"/>
                <w:szCs w:val="20"/>
              </w:rPr>
            </w:pPr>
            <w:r w:rsidRPr="00D57F4E">
              <w:rPr>
                <w:rFonts w:ascii="Times New Roman" w:eastAsia="Times New Roman" w:hAnsi="Times New Roman" w:cs="Times New Roman"/>
                <w:b/>
                <w:color w:val="000000" w:themeColor="text1"/>
                <w:sz w:val="20"/>
                <w:szCs w:val="20"/>
              </w:rPr>
              <w:t>0.845</w:t>
            </w:r>
          </w:p>
        </w:tc>
        <w:tc>
          <w:tcPr>
            <w:tcW w:w="1712" w:type="dxa"/>
            <w:tcMar>
              <w:top w:w="0" w:type="dxa"/>
              <w:left w:w="0" w:type="dxa"/>
              <w:bottom w:w="0" w:type="dxa"/>
              <w:right w:w="0" w:type="dxa"/>
            </w:tcMar>
          </w:tcPr>
          <w:p w14:paraId="1343C6AF"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0.488</w:t>
            </w:r>
          </w:p>
        </w:tc>
      </w:tr>
      <w:tr w:rsidR="00A03ABC" w:rsidRPr="00D57F4E" w14:paraId="2C49D716" w14:textId="77777777" w:rsidTr="00BC0C9F">
        <w:tc>
          <w:tcPr>
            <w:tcW w:w="1440" w:type="dxa"/>
            <w:tcMar>
              <w:top w:w="0" w:type="dxa"/>
              <w:left w:w="0" w:type="dxa"/>
              <w:bottom w:w="0" w:type="dxa"/>
              <w:right w:w="0" w:type="dxa"/>
            </w:tcMar>
          </w:tcPr>
          <w:p w14:paraId="2549366D"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A5</w:t>
            </w:r>
          </w:p>
        </w:tc>
        <w:tc>
          <w:tcPr>
            <w:tcW w:w="2410" w:type="dxa"/>
            <w:tcMar>
              <w:top w:w="0" w:type="dxa"/>
              <w:left w:w="0" w:type="dxa"/>
              <w:bottom w:w="0" w:type="dxa"/>
              <w:right w:w="0" w:type="dxa"/>
            </w:tcMar>
          </w:tcPr>
          <w:p w14:paraId="04B9CA98"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0.307</w:t>
            </w:r>
          </w:p>
        </w:tc>
        <w:tc>
          <w:tcPr>
            <w:tcW w:w="2268" w:type="dxa"/>
            <w:tcMar>
              <w:top w:w="0" w:type="dxa"/>
              <w:left w:w="0" w:type="dxa"/>
              <w:bottom w:w="0" w:type="dxa"/>
              <w:right w:w="0" w:type="dxa"/>
            </w:tcMar>
          </w:tcPr>
          <w:p w14:paraId="669DD846" w14:textId="77777777" w:rsidR="00A03ABC" w:rsidRPr="00D57F4E" w:rsidRDefault="00A03ABC" w:rsidP="00665616">
            <w:pPr>
              <w:spacing w:after="0" w:line="240" w:lineRule="auto"/>
              <w:ind w:left="0" w:hanging="2"/>
              <w:jc w:val="both"/>
              <w:rPr>
                <w:rFonts w:ascii="Times New Roman" w:eastAsia="Times New Roman" w:hAnsi="Times New Roman" w:cs="Times New Roman"/>
                <w:b/>
                <w:color w:val="000000" w:themeColor="text1"/>
                <w:sz w:val="20"/>
                <w:szCs w:val="20"/>
              </w:rPr>
            </w:pPr>
            <w:r w:rsidRPr="00D57F4E">
              <w:rPr>
                <w:rFonts w:ascii="Times New Roman" w:eastAsia="Times New Roman" w:hAnsi="Times New Roman" w:cs="Times New Roman"/>
                <w:b/>
                <w:color w:val="000000" w:themeColor="text1"/>
                <w:sz w:val="20"/>
                <w:szCs w:val="20"/>
              </w:rPr>
              <w:t>0.716</w:t>
            </w:r>
          </w:p>
        </w:tc>
        <w:tc>
          <w:tcPr>
            <w:tcW w:w="1712" w:type="dxa"/>
            <w:tcMar>
              <w:top w:w="0" w:type="dxa"/>
              <w:left w:w="0" w:type="dxa"/>
              <w:bottom w:w="0" w:type="dxa"/>
              <w:right w:w="0" w:type="dxa"/>
            </w:tcMar>
          </w:tcPr>
          <w:p w14:paraId="507ED1F7"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0.332</w:t>
            </w:r>
          </w:p>
        </w:tc>
      </w:tr>
      <w:tr w:rsidR="00A03ABC" w:rsidRPr="00D57F4E" w14:paraId="0A61728D" w14:textId="77777777" w:rsidTr="00BC0C9F">
        <w:tc>
          <w:tcPr>
            <w:tcW w:w="1440" w:type="dxa"/>
            <w:tcMar>
              <w:top w:w="0" w:type="dxa"/>
              <w:left w:w="0" w:type="dxa"/>
              <w:bottom w:w="0" w:type="dxa"/>
              <w:right w:w="0" w:type="dxa"/>
            </w:tcMar>
          </w:tcPr>
          <w:p w14:paraId="27CD1F1E"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B1</w:t>
            </w:r>
          </w:p>
        </w:tc>
        <w:tc>
          <w:tcPr>
            <w:tcW w:w="2410" w:type="dxa"/>
            <w:tcMar>
              <w:top w:w="0" w:type="dxa"/>
              <w:left w:w="0" w:type="dxa"/>
              <w:bottom w:w="0" w:type="dxa"/>
              <w:right w:w="0" w:type="dxa"/>
            </w:tcMar>
          </w:tcPr>
          <w:p w14:paraId="032F7740" w14:textId="77777777" w:rsidR="00A03ABC" w:rsidRPr="00D57F4E" w:rsidRDefault="00A03ABC" w:rsidP="00665616">
            <w:pPr>
              <w:spacing w:after="0" w:line="240" w:lineRule="auto"/>
              <w:ind w:left="0" w:hanging="2"/>
              <w:jc w:val="both"/>
              <w:rPr>
                <w:rFonts w:ascii="Times New Roman" w:eastAsia="Times New Roman" w:hAnsi="Times New Roman" w:cs="Times New Roman"/>
                <w:b/>
                <w:color w:val="000000" w:themeColor="text1"/>
                <w:sz w:val="20"/>
                <w:szCs w:val="20"/>
              </w:rPr>
            </w:pPr>
            <w:r w:rsidRPr="00D57F4E">
              <w:rPr>
                <w:rFonts w:ascii="Times New Roman" w:eastAsia="Times New Roman" w:hAnsi="Times New Roman" w:cs="Times New Roman"/>
                <w:b/>
                <w:color w:val="000000" w:themeColor="text1"/>
                <w:sz w:val="20"/>
                <w:szCs w:val="20"/>
              </w:rPr>
              <w:t>0.751</w:t>
            </w:r>
          </w:p>
        </w:tc>
        <w:tc>
          <w:tcPr>
            <w:tcW w:w="2268" w:type="dxa"/>
            <w:tcMar>
              <w:top w:w="0" w:type="dxa"/>
              <w:left w:w="0" w:type="dxa"/>
              <w:bottom w:w="0" w:type="dxa"/>
              <w:right w:w="0" w:type="dxa"/>
            </w:tcMar>
          </w:tcPr>
          <w:p w14:paraId="4EFE9250"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0.314</w:t>
            </w:r>
          </w:p>
        </w:tc>
        <w:tc>
          <w:tcPr>
            <w:tcW w:w="1712" w:type="dxa"/>
            <w:tcMar>
              <w:top w:w="0" w:type="dxa"/>
              <w:left w:w="0" w:type="dxa"/>
              <w:bottom w:w="0" w:type="dxa"/>
              <w:right w:w="0" w:type="dxa"/>
            </w:tcMar>
          </w:tcPr>
          <w:p w14:paraId="173FEC85"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0.399</w:t>
            </w:r>
          </w:p>
        </w:tc>
      </w:tr>
      <w:tr w:rsidR="00A03ABC" w:rsidRPr="00D57F4E" w14:paraId="1C014306" w14:textId="77777777" w:rsidTr="00BC0C9F">
        <w:tc>
          <w:tcPr>
            <w:tcW w:w="1440" w:type="dxa"/>
            <w:tcMar>
              <w:top w:w="0" w:type="dxa"/>
              <w:left w:w="0" w:type="dxa"/>
              <w:bottom w:w="0" w:type="dxa"/>
              <w:right w:w="0" w:type="dxa"/>
            </w:tcMar>
          </w:tcPr>
          <w:p w14:paraId="57744298"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B2</w:t>
            </w:r>
          </w:p>
        </w:tc>
        <w:tc>
          <w:tcPr>
            <w:tcW w:w="2410" w:type="dxa"/>
            <w:tcMar>
              <w:top w:w="0" w:type="dxa"/>
              <w:left w:w="0" w:type="dxa"/>
              <w:bottom w:w="0" w:type="dxa"/>
              <w:right w:w="0" w:type="dxa"/>
            </w:tcMar>
          </w:tcPr>
          <w:p w14:paraId="222BA3FA" w14:textId="77777777" w:rsidR="00A03ABC" w:rsidRPr="00D57F4E" w:rsidRDefault="00A03ABC" w:rsidP="00665616">
            <w:pPr>
              <w:spacing w:after="0" w:line="240" w:lineRule="auto"/>
              <w:ind w:left="0" w:hanging="2"/>
              <w:jc w:val="both"/>
              <w:rPr>
                <w:rFonts w:ascii="Times New Roman" w:eastAsia="Times New Roman" w:hAnsi="Times New Roman" w:cs="Times New Roman"/>
                <w:b/>
                <w:color w:val="000000" w:themeColor="text1"/>
                <w:sz w:val="20"/>
                <w:szCs w:val="20"/>
              </w:rPr>
            </w:pPr>
            <w:r w:rsidRPr="00D57F4E">
              <w:rPr>
                <w:rFonts w:ascii="Times New Roman" w:eastAsia="Times New Roman" w:hAnsi="Times New Roman" w:cs="Times New Roman"/>
                <w:b/>
                <w:color w:val="000000" w:themeColor="text1"/>
                <w:sz w:val="20"/>
                <w:szCs w:val="20"/>
              </w:rPr>
              <w:t>0.737</w:t>
            </w:r>
          </w:p>
        </w:tc>
        <w:tc>
          <w:tcPr>
            <w:tcW w:w="2268" w:type="dxa"/>
            <w:tcMar>
              <w:top w:w="0" w:type="dxa"/>
              <w:left w:w="0" w:type="dxa"/>
              <w:bottom w:w="0" w:type="dxa"/>
              <w:right w:w="0" w:type="dxa"/>
            </w:tcMar>
          </w:tcPr>
          <w:p w14:paraId="7F3E70BA"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0.177</w:t>
            </w:r>
          </w:p>
        </w:tc>
        <w:tc>
          <w:tcPr>
            <w:tcW w:w="1712" w:type="dxa"/>
            <w:tcMar>
              <w:top w:w="0" w:type="dxa"/>
              <w:left w:w="0" w:type="dxa"/>
              <w:bottom w:w="0" w:type="dxa"/>
              <w:right w:w="0" w:type="dxa"/>
            </w:tcMar>
          </w:tcPr>
          <w:p w14:paraId="197797A5"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0.281</w:t>
            </w:r>
          </w:p>
        </w:tc>
      </w:tr>
      <w:tr w:rsidR="00A03ABC" w:rsidRPr="00D57F4E" w14:paraId="30F82CB1" w14:textId="77777777" w:rsidTr="00BC0C9F">
        <w:tc>
          <w:tcPr>
            <w:tcW w:w="1440" w:type="dxa"/>
            <w:tcMar>
              <w:top w:w="0" w:type="dxa"/>
              <w:left w:w="0" w:type="dxa"/>
              <w:bottom w:w="0" w:type="dxa"/>
              <w:right w:w="0" w:type="dxa"/>
            </w:tcMar>
          </w:tcPr>
          <w:p w14:paraId="77750BDA"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B3</w:t>
            </w:r>
          </w:p>
        </w:tc>
        <w:tc>
          <w:tcPr>
            <w:tcW w:w="2410" w:type="dxa"/>
            <w:tcMar>
              <w:top w:w="0" w:type="dxa"/>
              <w:left w:w="0" w:type="dxa"/>
              <w:bottom w:w="0" w:type="dxa"/>
              <w:right w:w="0" w:type="dxa"/>
            </w:tcMar>
          </w:tcPr>
          <w:p w14:paraId="60549FC2" w14:textId="77777777" w:rsidR="00A03ABC" w:rsidRPr="00D57F4E" w:rsidRDefault="00A03ABC" w:rsidP="00665616">
            <w:pPr>
              <w:spacing w:after="0" w:line="240" w:lineRule="auto"/>
              <w:ind w:left="0" w:hanging="2"/>
              <w:jc w:val="both"/>
              <w:rPr>
                <w:rFonts w:ascii="Times New Roman" w:eastAsia="Times New Roman" w:hAnsi="Times New Roman" w:cs="Times New Roman"/>
                <w:b/>
                <w:color w:val="000000" w:themeColor="text1"/>
                <w:sz w:val="20"/>
                <w:szCs w:val="20"/>
              </w:rPr>
            </w:pPr>
            <w:r w:rsidRPr="00D57F4E">
              <w:rPr>
                <w:rFonts w:ascii="Times New Roman" w:eastAsia="Times New Roman" w:hAnsi="Times New Roman" w:cs="Times New Roman"/>
                <w:b/>
                <w:color w:val="000000" w:themeColor="text1"/>
                <w:sz w:val="20"/>
                <w:szCs w:val="20"/>
              </w:rPr>
              <w:t>0.865</w:t>
            </w:r>
          </w:p>
        </w:tc>
        <w:tc>
          <w:tcPr>
            <w:tcW w:w="2268" w:type="dxa"/>
            <w:tcMar>
              <w:top w:w="0" w:type="dxa"/>
              <w:left w:w="0" w:type="dxa"/>
              <w:bottom w:w="0" w:type="dxa"/>
              <w:right w:w="0" w:type="dxa"/>
            </w:tcMar>
          </w:tcPr>
          <w:p w14:paraId="2981AF2B"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0.404</w:t>
            </w:r>
          </w:p>
        </w:tc>
        <w:tc>
          <w:tcPr>
            <w:tcW w:w="1712" w:type="dxa"/>
            <w:tcMar>
              <w:top w:w="0" w:type="dxa"/>
              <w:left w:w="0" w:type="dxa"/>
              <w:bottom w:w="0" w:type="dxa"/>
              <w:right w:w="0" w:type="dxa"/>
            </w:tcMar>
          </w:tcPr>
          <w:p w14:paraId="6F29C85B"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0.485</w:t>
            </w:r>
          </w:p>
        </w:tc>
      </w:tr>
      <w:tr w:rsidR="00A03ABC" w:rsidRPr="00D57F4E" w14:paraId="58AF0B92" w14:textId="77777777" w:rsidTr="00BC0C9F">
        <w:tc>
          <w:tcPr>
            <w:tcW w:w="1440" w:type="dxa"/>
            <w:tcMar>
              <w:top w:w="0" w:type="dxa"/>
              <w:left w:w="0" w:type="dxa"/>
              <w:bottom w:w="0" w:type="dxa"/>
              <w:right w:w="0" w:type="dxa"/>
            </w:tcMar>
          </w:tcPr>
          <w:p w14:paraId="3BD74FDA"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B4</w:t>
            </w:r>
          </w:p>
        </w:tc>
        <w:tc>
          <w:tcPr>
            <w:tcW w:w="2410" w:type="dxa"/>
            <w:tcMar>
              <w:top w:w="0" w:type="dxa"/>
              <w:left w:w="0" w:type="dxa"/>
              <w:bottom w:w="0" w:type="dxa"/>
              <w:right w:w="0" w:type="dxa"/>
            </w:tcMar>
          </w:tcPr>
          <w:p w14:paraId="4E1F37F5" w14:textId="77777777" w:rsidR="00A03ABC" w:rsidRPr="00D57F4E" w:rsidRDefault="00A03ABC" w:rsidP="00665616">
            <w:pPr>
              <w:spacing w:after="0" w:line="240" w:lineRule="auto"/>
              <w:ind w:left="0" w:hanging="2"/>
              <w:jc w:val="both"/>
              <w:rPr>
                <w:rFonts w:ascii="Times New Roman" w:eastAsia="Times New Roman" w:hAnsi="Times New Roman" w:cs="Times New Roman"/>
                <w:b/>
                <w:color w:val="000000" w:themeColor="text1"/>
                <w:sz w:val="20"/>
                <w:szCs w:val="20"/>
              </w:rPr>
            </w:pPr>
            <w:r w:rsidRPr="00D57F4E">
              <w:rPr>
                <w:rFonts w:ascii="Times New Roman" w:eastAsia="Times New Roman" w:hAnsi="Times New Roman" w:cs="Times New Roman"/>
                <w:b/>
                <w:color w:val="000000" w:themeColor="text1"/>
                <w:sz w:val="20"/>
                <w:szCs w:val="20"/>
              </w:rPr>
              <w:t>0.859</w:t>
            </w:r>
          </w:p>
        </w:tc>
        <w:tc>
          <w:tcPr>
            <w:tcW w:w="2268" w:type="dxa"/>
            <w:tcMar>
              <w:top w:w="0" w:type="dxa"/>
              <w:left w:w="0" w:type="dxa"/>
              <w:bottom w:w="0" w:type="dxa"/>
              <w:right w:w="0" w:type="dxa"/>
            </w:tcMar>
          </w:tcPr>
          <w:p w14:paraId="1EB2A313"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0.299</w:t>
            </w:r>
          </w:p>
        </w:tc>
        <w:tc>
          <w:tcPr>
            <w:tcW w:w="1712" w:type="dxa"/>
            <w:tcMar>
              <w:top w:w="0" w:type="dxa"/>
              <w:left w:w="0" w:type="dxa"/>
              <w:bottom w:w="0" w:type="dxa"/>
              <w:right w:w="0" w:type="dxa"/>
            </w:tcMar>
          </w:tcPr>
          <w:p w14:paraId="4626C70D"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0.485</w:t>
            </w:r>
          </w:p>
        </w:tc>
      </w:tr>
      <w:tr w:rsidR="00A03ABC" w:rsidRPr="00D57F4E" w14:paraId="60B8B45C" w14:textId="77777777" w:rsidTr="00BC0C9F">
        <w:tc>
          <w:tcPr>
            <w:tcW w:w="1440" w:type="dxa"/>
            <w:tcMar>
              <w:top w:w="0" w:type="dxa"/>
              <w:left w:w="0" w:type="dxa"/>
              <w:bottom w:w="0" w:type="dxa"/>
              <w:right w:w="0" w:type="dxa"/>
            </w:tcMar>
          </w:tcPr>
          <w:p w14:paraId="4E5BD5AD"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B5</w:t>
            </w:r>
          </w:p>
        </w:tc>
        <w:tc>
          <w:tcPr>
            <w:tcW w:w="2410" w:type="dxa"/>
            <w:tcMar>
              <w:top w:w="0" w:type="dxa"/>
              <w:left w:w="0" w:type="dxa"/>
              <w:bottom w:w="0" w:type="dxa"/>
              <w:right w:w="0" w:type="dxa"/>
            </w:tcMar>
          </w:tcPr>
          <w:p w14:paraId="34212E6E" w14:textId="77777777" w:rsidR="00A03ABC" w:rsidRPr="00D57F4E" w:rsidRDefault="00A03ABC" w:rsidP="00665616">
            <w:pPr>
              <w:spacing w:after="0" w:line="240" w:lineRule="auto"/>
              <w:ind w:left="0" w:hanging="2"/>
              <w:jc w:val="both"/>
              <w:rPr>
                <w:rFonts w:ascii="Times New Roman" w:eastAsia="Times New Roman" w:hAnsi="Times New Roman" w:cs="Times New Roman"/>
                <w:b/>
                <w:color w:val="000000" w:themeColor="text1"/>
                <w:sz w:val="20"/>
                <w:szCs w:val="20"/>
              </w:rPr>
            </w:pPr>
            <w:r w:rsidRPr="00D57F4E">
              <w:rPr>
                <w:rFonts w:ascii="Times New Roman" w:eastAsia="Times New Roman" w:hAnsi="Times New Roman" w:cs="Times New Roman"/>
                <w:b/>
                <w:color w:val="000000" w:themeColor="text1"/>
                <w:sz w:val="20"/>
                <w:szCs w:val="20"/>
              </w:rPr>
              <w:t>0.808</w:t>
            </w:r>
          </w:p>
        </w:tc>
        <w:tc>
          <w:tcPr>
            <w:tcW w:w="2268" w:type="dxa"/>
            <w:tcMar>
              <w:top w:w="0" w:type="dxa"/>
              <w:left w:w="0" w:type="dxa"/>
              <w:bottom w:w="0" w:type="dxa"/>
              <w:right w:w="0" w:type="dxa"/>
            </w:tcMar>
          </w:tcPr>
          <w:p w14:paraId="77FF10F8"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0.243</w:t>
            </w:r>
          </w:p>
        </w:tc>
        <w:tc>
          <w:tcPr>
            <w:tcW w:w="1712" w:type="dxa"/>
            <w:tcMar>
              <w:top w:w="0" w:type="dxa"/>
              <w:left w:w="0" w:type="dxa"/>
              <w:bottom w:w="0" w:type="dxa"/>
              <w:right w:w="0" w:type="dxa"/>
            </w:tcMar>
          </w:tcPr>
          <w:p w14:paraId="0F3AE039"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0.439</w:t>
            </w:r>
          </w:p>
        </w:tc>
      </w:tr>
      <w:tr w:rsidR="00A03ABC" w:rsidRPr="00D57F4E" w14:paraId="25A046D3" w14:textId="77777777" w:rsidTr="00BC0C9F">
        <w:tc>
          <w:tcPr>
            <w:tcW w:w="1440" w:type="dxa"/>
            <w:tcMar>
              <w:top w:w="0" w:type="dxa"/>
              <w:left w:w="0" w:type="dxa"/>
              <w:bottom w:w="0" w:type="dxa"/>
              <w:right w:w="0" w:type="dxa"/>
            </w:tcMar>
          </w:tcPr>
          <w:p w14:paraId="28EC1C78"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C1</w:t>
            </w:r>
          </w:p>
        </w:tc>
        <w:tc>
          <w:tcPr>
            <w:tcW w:w="2410" w:type="dxa"/>
            <w:tcMar>
              <w:top w:w="0" w:type="dxa"/>
              <w:left w:w="0" w:type="dxa"/>
              <w:bottom w:w="0" w:type="dxa"/>
              <w:right w:w="0" w:type="dxa"/>
            </w:tcMar>
          </w:tcPr>
          <w:p w14:paraId="050CE26B"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0.507</w:t>
            </w:r>
          </w:p>
        </w:tc>
        <w:tc>
          <w:tcPr>
            <w:tcW w:w="2268" w:type="dxa"/>
            <w:tcMar>
              <w:top w:w="0" w:type="dxa"/>
              <w:left w:w="0" w:type="dxa"/>
              <w:bottom w:w="0" w:type="dxa"/>
              <w:right w:w="0" w:type="dxa"/>
            </w:tcMar>
          </w:tcPr>
          <w:p w14:paraId="5A56C689"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0.524</w:t>
            </w:r>
          </w:p>
        </w:tc>
        <w:tc>
          <w:tcPr>
            <w:tcW w:w="1712" w:type="dxa"/>
            <w:tcMar>
              <w:top w:w="0" w:type="dxa"/>
              <w:left w:w="0" w:type="dxa"/>
              <w:bottom w:w="0" w:type="dxa"/>
              <w:right w:w="0" w:type="dxa"/>
            </w:tcMar>
          </w:tcPr>
          <w:p w14:paraId="4E0B614B" w14:textId="77777777" w:rsidR="00A03ABC" w:rsidRPr="00D57F4E" w:rsidRDefault="00A03ABC" w:rsidP="00665616">
            <w:pPr>
              <w:spacing w:after="0" w:line="240" w:lineRule="auto"/>
              <w:ind w:left="0" w:hanging="2"/>
              <w:jc w:val="both"/>
              <w:rPr>
                <w:rFonts w:ascii="Times New Roman" w:eastAsia="Times New Roman" w:hAnsi="Times New Roman" w:cs="Times New Roman"/>
                <w:b/>
                <w:color w:val="000000" w:themeColor="text1"/>
                <w:sz w:val="20"/>
                <w:szCs w:val="20"/>
              </w:rPr>
            </w:pPr>
            <w:r w:rsidRPr="00D57F4E">
              <w:rPr>
                <w:rFonts w:ascii="Times New Roman" w:eastAsia="Times New Roman" w:hAnsi="Times New Roman" w:cs="Times New Roman"/>
                <w:b/>
                <w:color w:val="000000" w:themeColor="text1"/>
                <w:sz w:val="20"/>
                <w:szCs w:val="20"/>
              </w:rPr>
              <w:t>0.910</w:t>
            </w:r>
          </w:p>
        </w:tc>
      </w:tr>
      <w:tr w:rsidR="00A03ABC" w:rsidRPr="00D57F4E" w14:paraId="1EC9B2EF" w14:textId="77777777" w:rsidTr="00BC0C9F">
        <w:tc>
          <w:tcPr>
            <w:tcW w:w="1440" w:type="dxa"/>
            <w:tcMar>
              <w:top w:w="0" w:type="dxa"/>
              <w:left w:w="0" w:type="dxa"/>
              <w:bottom w:w="0" w:type="dxa"/>
              <w:right w:w="0" w:type="dxa"/>
            </w:tcMar>
          </w:tcPr>
          <w:p w14:paraId="10C9D88F"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C2</w:t>
            </w:r>
          </w:p>
        </w:tc>
        <w:tc>
          <w:tcPr>
            <w:tcW w:w="2410" w:type="dxa"/>
            <w:tcMar>
              <w:top w:w="0" w:type="dxa"/>
              <w:left w:w="0" w:type="dxa"/>
              <w:bottom w:w="0" w:type="dxa"/>
              <w:right w:w="0" w:type="dxa"/>
            </w:tcMar>
          </w:tcPr>
          <w:p w14:paraId="2A859980"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0.512</w:t>
            </w:r>
          </w:p>
        </w:tc>
        <w:tc>
          <w:tcPr>
            <w:tcW w:w="2268" w:type="dxa"/>
            <w:tcMar>
              <w:top w:w="0" w:type="dxa"/>
              <w:left w:w="0" w:type="dxa"/>
              <w:bottom w:w="0" w:type="dxa"/>
              <w:right w:w="0" w:type="dxa"/>
            </w:tcMar>
          </w:tcPr>
          <w:p w14:paraId="625E9C23"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0.424</w:t>
            </w:r>
          </w:p>
        </w:tc>
        <w:tc>
          <w:tcPr>
            <w:tcW w:w="1712" w:type="dxa"/>
            <w:tcMar>
              <w:top w:w="0" w:type="dxa"/>
              <w:left w:w="0" w:type="dxa"/>
              <w:bottom w:w="0" w:type="dxa"/>
              <w:right w:w="0" w:type="dxa"/>
            </w:tcMar>
          </w:tcPr>
          <w:p w14:paraId="6298E658" w14:textId="77777777" w:rsidR="00A03ABC" w:rsidRPr="00D57F4E" w:rsidRDefault="00A03ABC" w:rsidP="00665616">
            <w:pPr>
              <w:spacing w:after="0" w:line="240" w:lineRule="auto"/>
              <w:ind w:left="0" w:hanging="2"/>
              <w:jc w:val="both"/>
              <w:rPr>
                <w:rFonts w:ascii="Times New Roman" w:eastAsia="Times New Roman" w:hAnsi="Times New Roman" w:cs="Times New Roman"/>
                <w:b/>
                <w:color w:val="000000" w:themeColor="text1"/>
                <w:sz w:val="20"/>
                <w:szCs w:val="20"/>
              </w:rPr>
            </w:pPr>
            <w:r w:rsidRPr="00D57F4E">
              <w:rPr>
                <w:rFonts w:ascii="Times New Roman" w:eastAsia="Times New Roman" w:hAnsi="Times New Roman" w:cs="Times New Roman"/>
                <w:b/>
                <w:color w:val="000000" w:themeColor="text1"/>
                <w:sz w:val="20"/>
                <w:szCs w:val="20"/>
              </w:rPr>
              <w:t>0.887</w:t>
            </w:r>
          </w:p>
        </w:tc>
      </w:tr>
      <w:tr w:rsidR="00A03ABC" w:rsidRPr="00D57F4E" w14:paraId="07C61FDA" w14:textId="77777777" w:rsidTr="00BC0C9F">
        <w:tc>
          <w:tcPr>
            <w:tcW w:w="1440" w:type="dxa"/>
            <w:tcBorders>
              <w:bottom w:val="single" w:sz="4" w:space="0" w:color="auto"/>
            </w:tcBorders>
            <w:tcMar>
              <w:top w:w="0" w:type="dxa"/>
              <w:left w:w="0" w:type="dxa"/>
              <w:bottom w:w="0" w:type="dxa"/>
              <w:right w:w="0" w:type="dxa"/>
            </w:tcMar>
          </w:tcPr>
          <w:p w14:paraId="3AE2430E"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C3</w:t>
            </w:r>
          </w:p>
        </w:tc>
        <w:tc>
          <w:tcPr>
            <w:tcW w:w="2410" w:type="dxa"/>
            <w:tcBorders>
              <w:bottom w:val="single" w:sz="4" w:space="0" w:color="auto"/>
            </w:tcBorders>
            <w:tcMar>
              <w:top w:w="0" w:type="dxa"/>
              <w:left w:w="0" w:type="dxa"/>
              <w:bottom w:w="0" w:type="dxa"/>
              <w:right w:w="0" w:type="dxa"/>
            </w:tcMar>
          </w:tcPr>
          <w:p w14:paraId="15334DD3"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0.426</w:t>
            </w:r>
          </w:p>
        </w:tc>
        <w:tc>
          <w:tcPr>
            <w:tcW w:w="2268" w:type="dxa"/>
            <w:tcBorders>
              <w:bottom w:val="single" w:sz="4" w:space="0" w:color="auto"/>
            </w:tcBorders>
            <w:tcMar>
              <w:top w:w="0" w:type="dxa"/>
              <w:left w:w="0" w:type="dxa"/>
              <w:bottom w:w="0" w:type="dxa"/>
              <w:right w:w="0" w:type="dxa"/>
            </w:tcMar>
          </w:tcPr>
          <w:p w14:paraId="6C3D540B"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0.555</w:t>
            </w:r>
          </w:p>
        </w:tc>
        <w:tc>
          <w:tcPr>
            <w:tcW w:w="1712" w:type="dxa"/>
            <w:tcBorders>
              <w:bottom w:val="single" w:sz="4" w:space="0" w:color="auto"/>
            </w:tcBorders>
            <w:tcMar>
              <w:top w:w="0" w:type="dxa"/>
              <w:left w:w="0" w:type="dxa"/>
              <w:bottom w:w="0" w:type="dxa"/>
              <w:right w:w="0" w:type="dxa"/>
            </w:tcMar>
          </w:tcPr>
          <w:p w14:paraId="07CE1346" w14:textId="77777777" w:rsidR="00A03ABC" w:rsidRPr="00D57F4E" w:rsidRDefault="00A03ABC" w:rsidP="00665616">
            <w:pPr>
              <w:spacing w:after="0" w:line="240" w:lineRule="auto"/>
              <w:ind w:left="0" w:hanging="2"/>
              <w:jc w:val="both"/>
              <w:rPr>
                <w:rFonts w:ascii="Times New Roman" w:eastAsia="Times New Roman" w:hAnsi="Times New Roman" w:cs="Times New Roman"/>
                <w:b/>
                <w:color w:val="000000" w:themeColor="text1"/>
                <w:sz w:val="20"/>
                <w:szCs w:val="20"/>
              </w:rPr>
            </w:pPr>
            <w:r w:rsidRPr="00D57F4E">
              <w:rPr>
                <w:rFonts w:ascii="Times New Roman" w:eastAsia="Times New Roman" w:hAnsi="Times New Roman" w:cs="Times New Roman"/>
                <w:b/>
                <w:color w:val="000000" w:themeColor="text1"/>
                <w:sz w:val="20"/>
                <w:szCs w:val="20"/>
              </w:rPr>
              <w:t>0.916</w:t>
            </w:r>
          </w:p>
        </w:tc>
      </w:tr>
    </w:tbl>
    <w:p w14:paraId="56C0A33E" w14:textId="77777777" w:rsidR="00A03ABC" w:rsidRPr="00D57F4E" w:rsidRDefault="00A03ABC" w:rsidP="00665616">
      <w:pPr>
        <w:tabs>
          <w:tab w:val="left" w:pos="1281"/>
        </w:tabs>
        <w:spacing w:after="0" w:line="240" w:lineRule="auto"/>
        <w:ind w:left="0" w:hanging="2"/>
        <w:jc w:val="both"/>
        <w:rPr>
          <w:rFonts w:ascii="Times New Roman" w:eastAsia="Times New Roman" w:hAnsi="Times New Roman" w:cs="Times New Roman"/>
          <w:color w:val="000000" w:themeColor="text1"/>
          <w:sz w:val="24"/>
          <w:szCs w:val="24"/>
        </w:rPr>
      </w:pPr>
    </w:p>
    <w:p w14:paraId="37437271" w14:textId="42A32CEB" w:rsidR="00A03ABC" w:rsidRPr="00D57F4E" w:rsidRDefault="00775E7B" w:rsidP="00665616">
      <w:pPr>
        <w:tabs>
          <w:tab w:val="left" w:pos="1281"/>
        </w:tabs>
        <w:spacing w:after="0" w:line="240" w:lineRule="auto"/>
        <w:ind w:left="0" w:hanging="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sidR="00A03ABC" w:rsidRPr="00D57F4E">
        <w:rPr>
          <w:rFonts w:ascii="Times New Roman" w:eastAsia="Times New Roman" w:hAnsi="Times New Roman" w:cs="Times New Roman"/>
          <w:color w:val="000000" w:themeColor="text1"/>
          <w:sz w:val="24"/>
          <w:szCs w:val="24"/>
        </w:rPr>
        <w:t xml:space="preserve">Analisis seterusnya menentukan kebolehpercayaan indikator. Nilai kebolehpercayaan dalaman dan komposit </w:t>
      </w:r>
      <w:r>
        <w:rPr>
          <w:rFonts w:ascii="Times New Roman" w:eastAsia="Times New Roman" w:hAnsi="Times New Roman" w:cs="Times New Roman"/>
          <w:color w:val="000000" w:themeColor="text1"/>
          <w:sz w:val="24"/>
          <w:szCs w:val="24"/>
        </w:rPr>
        <w:t>yang diukur menggunakan kaedah A</w:t>
      </w:r>
      <w:r w:rsidR="00A03ABC" w:rsidRPr="00D57F4E">
        <w:rPr>
          <w:rFonts w:ascii="Times New Roman" w:eastAsia="Times New Roman" w:hAnsi="Times New Roman" w:cs="Times New Roman"/>
          <w:color w:val="000000" w:themeColor="text1"/>
          <w:sz w:val="24"/>
          <w:szCs w:val="24"/>
        </w:rPr>
        <w:t>lpha Cronbach berada pada 0.7 dan ke atas (Hair</w:t>
      </w:r>
      <w:r w:rsidR="007748CA">
        <w:rPr>
          <w:rFonts w:ascii="Times New Roman" w:eastAsia="Times New Roman" w:hAnsi="Times New Roman" w:cs="Times New Roman"/>
          <w:color w:val="000000" w:themeColor="text1"/>
          <w:sz w:val="24"/>
          <w:szCs w:val="24"/>
        </w:rPr>
        <w:t xml:space="preserve"> et al., </w:t>
      </w:r>
      <w:r>
        <w:rPr>
          <w:rFonts w:ascii="Times New Roman" w:eastAsia="Times New Roman" w:hAnsi="Times New Roman" w:cs="Times New Roman"/>
          <w:color w:val="000000" w:themeColor="text1"/>
          <w:sz w:val="24"/>
          <w:szCs w:val="24"/>
        </w:rPr>
        <w:t>2017). Dalam J</w:t>
      </w:r>
      <w:r w:rsidR="00A03ABC" w:rsidRPr="00D57F4E">
        <w:rPr>
          <w:rFonts w:ascii="Times New Roman" w:eastAsia="Times New Roman" w:hAnsi="Times New Roman" w:cs="Times New Roman"/>
          <w:color w:val="000000" w:themeColor="text1"/>
          <w:sz w:val="24"/>
          <w:szCs w:val="24"/>
        </w:rPr>
        <w:t>adual 5 menunjukkan nilai keboelehpercayaan dalaman semua pemboleh ubah laten adalah melebih 0.7. Begitu juga nilai komposit melebihi 0.7. Ini bermakna semua pemboleh ubah laten mempunyai kebolehpercayaan yang tinggi.</w:t>
      </w:r>
    </w:p>
    <w:p w14:paraId="318A28A0" w14:textId="77777777" w:rsidR="00A03ABC" w:rsidRPr="00D57F4E" w:rsidRDefault="00A03ABC" w:rsidP="00665616">
      <w:pPr>
        <w:tabs>
          <w:tab w:val="left" w:pos="1281"/>
        </w:tabs>
        <w:spacing w:after="0" w:line="240" w:lineRule="auto"/>
        <w:ind w:left="0" w:hanging="2"/>
        <w:jc w:val="both"/>
        <w:rPr>
          <w:rFonts w:ascii="Times New Roman" w:eastAsia="Times New Roman" w:hAnsi="Times New Roman" w:cs="Times New Roman"/>
          <w:color w:val="000000" w:themeColor="text1"/>
          <w:sz w:val="20"/>
          <w:szCs w:val="20"/>
        </w:rPr>
      </w:pPr>
    </w:p>
    <w:p w14:paraId="1C455838" w14:textId="77777777" w:rsidR="00A03ABC" w:rsidRPr="00D57F4E" w:rsidRDefault="00A03ABC" w:rsidP="00CE2C2B">
      <w:pPr>
        <w:tabs>
          <w:tab w:val="left" w:pos="1281"/>
        </w:tabs>
        <w:spacing w:after="0" w:line="240" w:lineRule="auto"/>
        <w:ind w:left="0" w:hanging="2"/>
        <w:jc w:val="center"/>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b/>
          <w:bCs/>
          <w:color w:val="000000" w:themeColor="text1"/>
          <w:sz w:val="20"/>
          <w:szCs w:val="20"/>
        </w:rPr>
        <w:t>Jadual 5.</w:t>
      </w:r>
      <w:r w:rsidRPr="00D57F4E">
        <w:rPr>
          <w:rFonts w:ascii="Times New Roman" w:eastAsia="Times New Roman" w:hAnsi="Times New Roman" w:cs="Times New Roman"/>
          <w:color w:val="000000" w:themeColor="text1"/>
          <w:sz w:val="20"/>
          <w:szCs w:val="20"/>
        </w:rPr>
        <w:t xml:space="preserve"> Komposit kebolehpercayaan</w:t>
      </w:r>
    </w:p>
    <w:p w14:paraId="2B562ADF" w14:textId="77777777" w:rsidR="00A03ABC" w:rsidRPr="00D57F4E" w:rsidRDefault="00A03ABC" w:rsidP="00665616">
      <w:pPr>
        <w:tabs>
          <w:tab w:val="left" w:pos="1281"/>
        </w:tabs>
        <w:spacing w:after="0" w:line="240" w:lineRule="auto"/>
        <w:ind w:left="0" w:hanging="2"/>
        <w:jc w:val="both"/>
        <w:rPr>
          <w:rFonts w:ascii="Times New Roman" w:eastAsia="Times New Roman" w:hAnsi="Times New Roman" w:cs="Times New Roman"/>
          <w:color w:val="000000" w:themeColor="text1"/>
          <w:sz w:val="20"/>
          <w:szCs w:val="20"/>
        </w:rPr>
      </w:pPr>
    </w:p>
    <w:tbl>
      <w:tblPr>
        <w:tblW w:w="7830" w:type="dxa"/>
        <w:tblInd w:w="648" w:type="dxa"/>
        <w:tblLayout w:type="fixed"/>
        <w:tblLook w:val="0400" w:firstRow="0" w:lastRow="0" w:firstColumn="0" w:lastColumn="0" w:noHBand="0" w:noVBand="1"/>
      </w:tblPr>
      <w:tblGrid>
        <w:gridCol w:w="1661"/>
        <w:gridCol w:w="2311"/>
        <w:gridCol w:w="2311"/>
        <w:gridCol w:w="1547"/>
      </w:tblGrid>
      <w:tr w:rsidR="00A03ABC" w:rsidRPr="00D57F4E" w14:paraId="5A972BA4" w14:textId="77777777" w:rsidTr="00CE2C2B">
        <w:tc>
          <w:tcPr>
            <w:tcW w:w="1661" w:type="dxa"/>
            <w:tcBorders>
              <w:top w:val="single" w:sz="4" w:space="0" w:color="auto"/>
              <w:bottom w:val="single" w:sz="4" w:space="0" w:color="auto"/>
            </w:tcBorders>
            <w:shd w:val="clear" w:color="auto" w:fill="95B3D7" w:themeFill="accent1" w:themeFillTint="99"/>
          </w:tcPr>
          <w:p w14:paraId="23B76E47" w14:textId="77777777" w:rsidR="00A03ABC" w:rsidRPr="00D57F4E" w:rsidRDefault="00A03ABC" w:rsidP="00665616">
            <w:pPr>
              <w:spacing w:after="0" w:line="240" w:lineRule="auto"/>
              <w:ind w:left="0" w:hanging="2"/>
              <w:jc w:val="both"/>
              <w:rPr>
                <w:rFonts w:ascii="Times New Roman" w:eastAsia="Times New Roman" w:hAnsi="Times New Roman" w:cs="Times New Roman"/>
                <w:b/>
                <w:bCs/>
                <w:color w:val="000000" w:themeColor="text1"/>
                <w:sz w:val="20"/>
                <w:szCs w:val="20"/>
              </w:rPr>
            </w:pPr>
            <w:r w:rsidRPr="00D57F4E">
              <w:rPr>
                <w:rFonts w:ascii="Times New Roman" w:eastAsia="Times New Roman" w:hAnsi="Times New Roman" w:cs="Times New Roman"/>
                <w:b/>
                <w:bCs/>
                <w:color w:val="000000" w:themeColor="text1"/>
                <w:sz w:val="20"/>
                <w:szCs w:val="20"/>
              </w:rPr>
              <w:t>Konstruk Reflektif</w:t>
            </w:r>
          </w:p>
        </w:tc>
        <w:tc>
          <w:tcPr>
            <w:tcW w:w="2311" w:type="dxa"/>
            <w:tcBorders>
              <w:top w:val="single" w:sz="4" w:space="0" w:color="auto"/>
              <w:bottom w:val="single" w:sz="4" w:space="0" w:color="auto"/>
            </w:tcBorders>
            <w:shd w:val="clear" w:color="auto" w:fill="95B3D7" w:themeFill="accent1" w:themeFillTint="99"/>
          </w:tcPr>
          <w:p w14:paraId="4F0E5549" w14:textId="77777777" w:rsidR="00A03ABC" w:rsidRPr="00D57F4E" w:rsidRDefault="00A03ABC" w:rsidP="00665616">
            <w:pPr>
              <w:spacing w:after="0" w:line="240" w:lineRule="auto"/>
              <w:ind w:left="0" w:hanging="2"/>
              <w:jc w:val="both"/>
              <w:rPr>
                <w:rFonts w:ascii="Times New Roman" w:eastAsia="Times New Roman" w:hAnsi="Times New Roman" w:cs="Times New Roman"/>
                <w:b/>
                <w:bCs/>
                <w:color w:val="000000" w:themeColor="text1"/>
                <w:sz w:val="20"/>
                <w:szCs w:val="20"/>
              </w:rPr>
            </w:pPr>
            <w:r w:rsidRPr="00D57F4E">
              <w:rPr>
                <w:rFonts w:ascii="Times New Roman" w:eastAsia="Times New Roman" w:hAnsi="Times New Roman" w:cs="Times New Roman"/>
                <w:b/>
                <w:bCs/>
                <w:color w:val="000000" w:themeColor="text1"/>
                <w:sz w:val="20"/>
                <w:szCs w:val="20"/>
              </w:rPr>
              <w:t>Alpha Cronbach</w:t>
            </w:r>
          </w:p>
        </w:tc>
        <w:tc>
          <w:tcPr>
            <w:tcW w:w="2311" w:type="dxa"/>
            <w:tcBorders>
              <w:top w:val="single" w:sz="4" w:space="0" w:color="auto"/>
              <w:bottom w:val="single" w:sz="4" w:space="0" w:color="auto"/>
            </w:tcBorders>
            <w:shd w:val="clear" w:color="auto" w:fill="95B3D7" w:themeFill="accent1" w:themeFillTint="99"/>
          </w:tcPr>
          <w:p w14:paraId="73EAB3E6" w14:textId="77777777" w:rsidR="00A03ABC" w:rsidRPr="00D57F4E" w:rsidRDefault="00A03ABC" w:rsidP="00665616">
            <w:pPr>
              <w:spacing w:after="0" w:line="240" w:lineRule="auto"/>
              <w:ind w:left="0" w:hanging="2"/>
              <w:jc w:val="both"/>
              <w:rPr>
                <w:rFonts w:ascii="Times New Roman" w:eastAsia="Times New Roman" w:hAnsi="Times New Roman" w:cs="Times New Roman"/>
                <w:b/>
                <w:bCs/>
                <w:color w:val="000000" w:themeColor="text1"/>
                <w:sz w:val="20"/>
                <w:szCs w:val="20"/>
              </w:rPr>
            </w:pPr>
            <w:r w:rsidRPr="00D57F4E">
              <w:rPr>
                <w:rFonts w:ascii="Times New Roman" w:eastAsia="Times New Roman" w:hAnsi="Times New Roman" w:cs="Times New Roman"/>
                <w:b/>
                <w:bCs/>
                <w:color w:val="000000" w:themeColor="text1"/>
                <w:sz w:val="20"/>
                <w:szCs w:val="20"/>
              </w:rPr>
              <w:t>Komposit Kebolehpercayaan</w:t>
            </w:r>
          </w:p>
        </w:tc>
        <w:tc>
          <w:tcPr>
            <w:tcW w:w="1547" w:type="dxa"/>
            <w:tcBorders>
              <w:top w:val="single" w:sz="4" w:space="0" w:color="auto"/>
              <w:bottom w:val="single" w:sz="4" w:space="0" w:color="auto"/>
            </w:tcBorders>
            <w:shd w:val="clear" w:color="auto" w:fill="95B3D7" w:themeFill="accent1" w:themeFillTint="99"/>
          </w:tcPr>
          <w:p w14:paraId="0E046B5B" w14:textId="77777777" w:rsidR="00A03ABC" w:rsidRPr="00D57F4E" w:rsidRDefault="00A03ABC" w:rsidP="00665616">
            <w:pPr>
              <w:spacing w:after="0" w:line="240" w:lineRule="auto"/>
              <w:ind w:left="0" w:hanging="2"/>
              <w:jc w:val="both"/>
              <w:rPr>
                <w:rFonts w:ascii="Times New Roman" w:eastAsia="Times New Roman" w:hAnsi="Times New Roman" w:cs="Times New Roman"/>
                <w:b/>
                <w:bCs/>
                <w:color w:val="000000" w:themeColor="text1"/>
                <w:sz w:val="20"/>
                <w:szCs w:val="20"/>
              </w:rPr>
            </w:pPr>
            <w:r w:rsidRPr="00D57F4E">
              <w:rPr>
                <w:rFonts w:ascii="Times New Roman" w:eastAsia="Times New Roman" w:hAnsi="Times New Roman" w:cs="Times New Roman"/>
                <w:b/>
                <w:bCs/>
                <w:color w:val="000000" w:themeColor="text1"/>
                <w:sz w:val="20"/>
                <w:szCs w:val="20"/>
              </w:rPr>
              <w:t>AVE</w:t>
            </w:r>
          </w:p>
        </w:tc>
      </w:tr>
      <w:tr w:rsidR="00A03ABC" w:rsidRPr="00D57F4E" w14:paraId="0C530B15" w14:textId="77777777" w:rsidTr="00CE2C2B">
        <w:tc>
          <w:tcPr>
            <w:tcW w:w="1661" w:type="dxa"/>
            <w:tcBorders>
              <w:top w:val="single" w:sz="4" w:space="0" w:color="auto"/>
            </w:tcBorders>
          </w:tcPr>
          <w:p w14:paraId="74722B82"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Kendiri</w:t>
            </w:r>
          </w:p>
        </w:tc>
        <w:tc>
          <w:tcPr>
            <w:tcW w:w="2311" w:type="dxa"/>
            <w:tcBorders>
              <w:top w:val="single" w:sz="4" w:space="0" w:color="auto"/>
            </w:tcBorders>
          </w:tcPr>
          <w:p w14:paraId="5AFC20DF"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0.814</w:t>
            </w:r>
          </w:p>
        </w:tc>
        <w:tc>
          <w:tcPr>
            <w:tcW w:w="2311" w:type="dxa"/>
            <w:tcBorders>
              <w:top w:val="single" w:sz="4" w:space="0" w:color="auto"/>
            </w:tcBorders>
          </w:tcPr>
          <w:p w14:paraId="1585F497"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0.877</w:t>
            </w:r>
          </w:p>
        </w:tc>
        <w:tc>
          <w:tcPr>
            <w:tcW w:w="1547" w:type="dxa"/>
            <w:tcBorders>
              <w:top w:val="single" w:sz="4" w:space="0" w:color="auto"/>
            </w:tcBorders>
          </w:tcPr>
          <w:p w14:paraId="4F04F5B5"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0.642</w:t>
            </w:r>
          </w:p>
        </w:tc>
      </w:tr>
      <w:tr w:rsidR="00A03ABC" w:rsidRPr="00D57F4E" w14:paraId="59671324" w14:textId="77777777" w:rsidTr="00CE2C2B">
        <w:tc>
          <w:tcPr>
            <w:tcW w:w="1661" w:type="dxa"/>
          </w:tcPr>
          <w:p w14:paraId="68DCCE70" w14:textId="77777777" w:rsidR="00A03ABC" w:rsidRPr="00D57F4E" w:rsidRDefault="00775E7B" w:rsidP="00665616">
            <w:pPr>
              <w:spacing w:after="0" w:line="240" w:lineRule="auto"/>
              <w:ind w:left="0" w:hanging="2"/>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M</w:t>
            </w:r>
            <w:r w:rsidR="00A03ABC" w:rsidRPr="00D57F4E">
              <w:rPr>
                <w:rFonts w:ascii="Times New Roman" w:eastAsia="Times New Roman" w:hAnsi="Times New Roman" w:cs="Times New Roman"/>
                <w:color w:val="000000" w:themeColor="text1"/>
                <w:sz w:val="20"/>
                <w:szCs w:val="20"/>
              </w:rPr>
              <w:t>inat</w:t>
            </w:r>
          </w:p>
        </w:tc>
        <w:tc>
          <w:tcPr>
            <w:tcW w:w="2311" w:type="dxa"/>
          </w:tcPr>
          <w:p w14:paraId="79E88629"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0.889</w:t>
            </w:r>
          </w:p>
        </w:tc>
        <w:tc>
          <w:tcPr>
            <w:tcW w:w="2311" w:type="dxa"/>
          </w:tcPr>
          <w:p w14:paraId="686FCD2D"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0.931</w:t>
            </w:r>
          </w:p>
        </w:tc>
        <w:tc>
          <w:tcPr>
            <w:tcW w:w="1547" w:type="dxa"/>
          </w:tcPr>
          <w:p w14:paraId="241F21F9"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0.818</w:t>
            </w:r>
          </w:p>
        </w:tc>
      </w:tr>
      <w:tr w:rsidR="00A03ABC" w:rsidRPr="00D57F4E" w14:paraId="50EAD888" w14:textId="77777777" w:rsidTr="00CE2C2B">
        <w:tc>
          <w:tcPr>
            <w:tcW w:w="1661" w:type="dxa"/>
            <w:tcBorders>
              <w:bottom w:val="single" w:sz="4" w:space="0" w:color="auto"/>
            </w:tcBorders>
          </w:tcPr>
          <w:p w14:paraId="62562311"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Institusi</w:t>
            </w:r>
          </w:p>
        </w:tc>
        <w:tc>
          <w:tcPr>
            <w:tcW w:w="2311" w:type="dxa"/>
            <w:tcBorders>
              <w:bottom w:val="single" w:sz="4" w:space="0" w:color="auto"/>
            </w:tcBorders>
          </w:tcPr>
          <w:p w14:paraId="1D8C3EF6"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0.865</w:t>
            </w:r>
          </w:p>
        </w:tc>
        <w:tc>
          <w:tcPr>
            <w:tcW w:w="2311" w:type="dxa"/>
            <w:tcBorders>
              <w:bottom w:val="single" w:sz="4" w:space="0" w:color="auto"/>
            </w:tcBorders>
          </w:tcPr>
          <w:p w14:paraId="2858198B"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0.902</w:t>
            </w:r>
          </w:p>
        </w:tc>
        <w:tc>
          <w:tcPr>
            <w:tcW w:w="1547" w:type="dxa"/>
            <w:tcBorders>
              <w:bottom w:val="single" w:sz="4" w:space="0" w:color="auto"/>
            </w:tcBorders>
          </w:tcPr>
          <w:p w14:paraId="56D8A97C"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0.649</w:t>
            </w:r>
          </w:p>
        </w:tc>
      </w:tr>
    </w:tbl>
    <w:p w14:paraId="5C81B51E"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4"/>
          <w:szCs w:val="24"/>
        </w:rPr>
      </w:pPr>
    </w:p>
    <w:p w14:paraId="770E2653" w14:textId="77777777" w:rsidR="00A03ABC" w:rsidRPr="00D57F4E" w:rsidRDefault="00A03ABC" w:rsidP="00665616">
      <w:pPr>
        <w:spacing w:after="0" w:line="240" w:lineRule="auto"/>
        <w:ind w:leftChars="0" w:left="0" w:firstLineChars="0" w:firstLine="720"/>
        <w:jc w:val="both"/>
        <w:rPr>
          <w:rFonts w:ascii="Times New Roman" w:eastAsia="Times New Roman" w:hAnsi="Times New Roman" w:cs="Times New Roman"/>
          <w:color w:val="000000" w:themeColor="text1"/>
          <w:sz w:val="24"/>
          <w:szCs w:val="24"/>
        </w:rPr>
      </w:pPr>
      <w:r w:rsidRPr="00D57F4E">
        <w:rPr>
          <w:rFonts w:ascii="Times New Roman" w:eastAsia="Times New Roman" w:hAnsi="Times New Roman" w:cs="Times New Roman"/>
          <w:color w:val="000000" w:themeColor="text1"/>
          <w:sz w:val="24"/>
          <w:szCs w:val="24"/>
        </w:rPr>
        <w:t xml:space="preserve">Analisis kesahan konvergen pula diukur melalui kaedah </w:t>
      </w:r>
      <w:r w:rsidRPr="00D57F4E">
        <w:rPr>
          <w:rFonts w:ascii="Times New Roman" w:eastAsia="Times New Roman" w:hAnsi="Times New Roman" w:cs="Times New Roman"/>
          <w:i/>
          <w:color w:val="000000" w:themeColor="text1"/>
          <w:sz w:val="24"/>
          <w:szCs w:val="24"/>
        </w:rPr>
        <w:t>Average Variance Extract</w:t>
      </w:r>
      <w:r w:rsidRPr="00D57F4E">
        <w:rPr>
          <w:rFonts w:ascii="Times New Roman" w:eastAsia="Times New Roman" w:hAnsi="Times New Roman" w:cs="Times New Roman"/>
          <w:color w:val="000000" w:themeColor="text1"/>
          <w:sz w:val="24"/>
          <w:szCs w:val="24"/>
        </w:rPr>
        <w:t xml:space="preserve"> (AVE) yang mem</w:t>
      </w:r>
      <w:r w:rsidR="00775E7B">
        <w:rPr>
          <w:rFonts w:ascii="Times New Roman" w:eastAsia="Times New Roman" w:hAnsi="Times New Roman" w:cs="Times New Roman"/>
          <w:color w:val="000000" w:themeColor="text1"/>
          <w:sz w:val="24"/>
          <w:szCs w:val="24"/>
        </w:rPr>
        <w:t>p</w:t>
      </w:r>
      <w:r w:rsidRPr="00D57F4E">
        <w:rPr>
          <w:rFonts w:ascii="Times New Roman" w:eastAsia="Times New Roman" w:hAnsi="Times New Roman" w:cs="Times New Roman"/>
          <w:color w:val="000000" w:themeColor="text1"/>
          <w:sz w:val="24"/>
          <w:szCs w:val="24"/>
        </w:rPr>
        <w:t xml:space="preserve">unyai nilai 0.5 ke atas bagi setiap pemboleh ubah yang digunakan. Jadual 5 menunjukkan semua pemboleh ubah kajian mempunyai nilai </w:t>
      </w:r>
      <w:r w:rsidR="00C24B35" w:rsidRPr="00D57F4E">
        <w:rPr>
          <w:rFonts w:ascii="Times New Roman" w:eastAsia="Times New Roman" w:hAnsi="Times New Roman" w:cs="Times New Roman"/>
          <w:color w:val="000000" w:themeColor="text1"/>
          <w:sz w:val="24"/>
          <w:szCs w:val="24"/>
        </w:rPr>
        <w:t xml:space="preserve">AVE </w:t>
      </w:r>
      <w:r w:rsidRPr="00D57F4E">
        <w:rPr>
          <w:rFonts w:ascii="Times New Roman" w:eastAsia="Times New Roman" w:hAnsi="Times New Roman" w:cs="Times New Roman"/>
          <w:color w:val="000000" w:themeColor="text1"/>
          <w:sz w:val="24"/>
          <w:szCs w:val="24"/>
        </w:rPr>
        <w:t>melebihi 0.5. Ini menjelaskan bahawa semua pemboleh ubah laten mempunyai kesahan konvergen. Manakala kesahan diskriminan ditentukan melalui dua kaedah iaitu kriteria Fornell-Larcker (1981) dan silang faktor muatan. Analisis kriteria Fornell-Larcker dilakukan dengan punca kuasa dua AVE (</w:t>
      </w:r>
      <m:oMath>
        <m:rad>
          <m:radPr>
            <m:degHide m:val="1"/>
            <m:ctrlPr>
              <w:rPr>
                <w:rFonts w:ascii="Cambria Math" w:eastAsia="Times New Roman" w:hAnsi="Cambria Math" w:cs="Times New Roman"/>
                <w:color w:val="000000" w:themeColor="text1"/>
                <w:sz w:val="24"/>
                <w:szCs w:val="24"/>
              </w:rPr>
            </m:ctrlPr>
          </m:radPr>
          <m:deg/>
          <m:e>
            <m:r>
              <w:rPr>
                <w:rFonts w:ascii="Cambria Math" w:eastAsia="Times New Roman" w:hAnsi="Cambria Math" w:cs="Times New Roman"/>
                <w:color w:val="000000" w:themeColor="text1"/>
                <w:sz w:val="24"/>
                <w:szCs w:val="24"/>
              </w:rPr>
              <m:t>AVE</m:t>
            </m:r>
          </m:e>
        </m:rad>
      </m:oMath>
      <w:r w:rsidR="00775E7B">
        <w:rPr>
          <w:rFonts w:ascii="Times New Roman" w:eastAsia="Times New Roman" w:hAnsi="Times New Roman" w:cs="Times New Roman"/>
          <w:color w:val="000000" w:themeColor="text1"/>
          <w:sz w:val="24"/>
          <w:szCs w:val="24"/>
        </w:rPr>
        <w:t>). Dari J</w:t>
      </w:r>
      <w:r w:rsidRPr="00D57F4E">
        <w:rPr>
          <w:rFonts w:ascii="Times New Roman" w:eastAsia="Times New Roman" w:hAnsi="Times New Roman" w:cs="Times New Roman"/>
          <w:color w:val="000000" w:themeColor="text1"/>
          <w:sz w:val="24"/>
          <w:szCs w:val="24"/>
        </w:rPr>
        <w:t xml:space="preserve">adual 6 didapati nilai 0.806 bagi pemboleh ubah institusi, nilai 0.801 bagi pemboleh ubah kendiri dan nilai 0.905 bagi pemboleh ubah minat. Nilai kriteria Fornell-Larcker mestilah melebihi daripada nilai korelasi antara pemboleh ubah laten. Jadual 6 </w:t>
      </w:r>
      <w:r w:rsidRPr="00D57F4E">
        <w:rPr>
          <w:rFonts w:ascii="Times New Roman" w:eastAsia="Times New Roman" w:hAnsi="Times New Roman" w:cs="Times New Roman"/>
          <w:color w:val="000000" w:themeColor="text1"/>
          <w:sz w:val="24"/>
          <w:szCs w:val="24"/>
        </w:rPr>
        <w:lastRenderedPageBreak/>
        <w:t>menunjukkan semua kriteria Fornell-Larcker telah dipenuhi. Kaedah kedua melalui melihat kepada silang faktor muatan. Setiap faktor muatan (luar) perlu lebih besar berbanding dengan nilai dalam kumpulanny</w:t>
      </w:r>
      <w:r w:rsidR="00775E7B">
        <w:rPr>
          <w:rFonts w:ascii="Times New Roman" w:eastAsia="Times New Roman" w:hAnsi="Times New Roman" w:cs="Times New Roman"/>
          <w:color w:val="000000" w:themeColor="text1"/>
          <w:sz w:val="24"/>
          <w:szCs w:val="24"/>
        </w:rPr>
        <w:t>a. Ini dapat ditunjukkan dalam J</w:t>
      </w:r>
      <w:r w:rsidRPr="00D57F4E">
        <w:rPr>
          <w:rFonts w:ascii="Times New Roman" w:eastAsia="Times New Roman" w:hAnsi="Times New Roman" w:cs="Times New Roman"/>
          <w:color w:val="000000" w:themeColor="text1"/>
          <w:sz w:val="24"/>
          <w:szCs w:val="24"/>
        </w:rPr>
        <w:t>adual 4 di atas.</w:t>
      </w:r>
    </w:p>
    <w:p w14:paraId="74E1239A" w14:textId="77777777" w:rsidR="00A03ABC" w:rsidRPr="00D57F4E" w:rsidRDefault="00A03ABC" w:rsidP="003462E1">
      <w:pPr>
        <w:spacing w:after="0" w:line="240" w:lineRule="auto"/>
        <w:ind w:left="0" w:hanging="2"/>
        <w:jc w:val="center"/>
        <w:rPr>
          <w:rFonts w:ascii="Times New Roman" w:eastAsia="Times New Roman" w:hAnsi="Times New Roman" w:cs="Times New Roman"/>
          <w:color w:val="000000" w:themeColor="text1"/>
          <w:sz w:val="24"/>
          <w:szCs w:val="24"/>
        </w:rPr>
      </w:pPr>
    </w:p>
    <w:p w14:paraId="7C1FC90C" w14:textId="77777777" w:rsidR="00A03ABC" w:rsidRDefault="00A03ABC" w:rsidP="003462E1">
      <w:pPr>
        <w:spacing w:after="0" w:line="240" w:lineRule="auto"/>
        <w:ind w:left="0" w:hanging="2"/>
        <w:jc w:val="center"/>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b/>
          <w:bCs/>
          <w:color w:val="000000" w:themeColor="text1"/>
          <w:sz w:val="20"/>
          <w:szCs w:val="20"/>
        </w:rPr>
        <w:t>Jadual 6.</w:t>
      </w:r>
      <w:r w:rsidRPr="00D57F4E">
        <w:rPr>
          <w:rFonts w:ascii="Times New Roman" w:eastAsia="Times New Roman" w:hAnsi="Times New Roman" w:cs="Times New Roman"/>
          <w:color w:val="000000" w:themeColor="text1"/>
          <w:sz w:val="20"/>
          <w:szCs w:val="20"/>
        </w:rPr>
        <w:t xml:space="preserve"> Kriteria Fornell-Larcker</w:t>
      </w:r>
    </w:p>
    <w:p w14:paraId="28096450" w14:textId="77777777" w:rsidR="003462E1" w:rsidRPr="00D57F4E" w:rsidRDefault="003462E1" w:rsidP="00665616">
      <w:pPr>
        <w:spacing w:after="0" w:line="240" w:lineRule="auto"/>
        <w:ind w:left="0" w:hanging="2"/>
        <w:jc w:val="both"/>
        <w:rPr>
          <w:rFonts w:ascii="Times New Roman" w:eastAsia="Times New Roman" w:hAnsi="Times New Roman" w:cs="Times New Roman"/>
          <w:color w:val="000000" w:themeColor="text1"/>
          <w:sz w:val="20"/>
          <w:szCs w:val="20"/>
        </w:rPr>
      </w:pPr>
    </w:p>
    <w:tbl>
      <w:tblPr>
        <w:tblW w:w="7830" w:type="dxa"/>
        <w:tblInd w:w="648" w:type="dxa"/>
        <w:tblLayout w:type="fixed"/>
        <w:tblLook w:val="0400" w:firstRow="0" w:lastRow="0" w:firstColumn="0" w:lastColumn="0" w:noHBand="0" w:noVBand="1"/>
      </w:tblPr>
      <w:tblGrid>
        <w:gridCol w:w="2041"/>
        <w:gridCol w:w="2409"/>
        <w:gridCol w:w="1985"/>
        <w:gridCol w:w="1395"/>
      </w:tblGrid>
      <w:tr w:rsidR="00A03ABC" w:rsidRPr="00D57F4E" w14:paraId="788CC55F" w14:textId="77777777" w:rsidTr="003462E1">
        <w:tc>
          <w:tcPr>
            <w:tcW w:w="2041" w:type="dxa"/>
            <w:tcBorders>
              <w:top w:val="single" w:sz="4" w:space="0" w:color="auto"/>
              <w:bottom w:val="single" w:sz="4" w:space="0" w:color="auto"/>
            </w:tcBorders>
            <w:shd w:val="clear" w:color="auto" w:fill="95B3D7" w:themeFill="accent1" w:themeFillTint="99"/>
          </w:tcPr>
          <w:p w14:paraId="6A70C62C" w14:textId="77777777" w:rsidR="00A03ABC" w:rsidRPr="00D57F4E" w:rsidRDefault="00A03ABC" w:rsidP="00665616">
            <w:pPr>
              <w:spacing w:after="0" w:line="240" w:lineRule="auto"/>
              <w:ind w:left="0" w:hanging="2"/>
              <w:jc w:val="both"/>
              <w:rPr>
                <w:rFonts w:ascii="Times New Roman" w:eastAsia="Times New Roman" w:hAnsi="Times New Roman" w:cs="Times New Roman"/>
                <w:b/>
                <w:bCs/>
                <w:color w:val="000000" w:themeColor="text1"/>
                <w:sz w:val="20"/>
                <w:szCs w:val="20"/>
              </w:rPr>
            </w:pPr>
            <w:r w:rsidRPr="00D57F4E">
              <w:rPr>
                <w:rFonts w:ascii="Times New Roman" w:eastAsia="Times New Roman" w:hAnsi="Times New Roman" w:cs="Times New Roman"/>
                <w:b/>
                <w:bCs/>
                <w:color w:val="000000" w:themeColor="text1"/>
                <w:sz w:val="20"/>
                <w:szCs w:val="20"/>
              </w:rPr>
              <w:t>Konstruk</w:t>
            </w:r>
          </w:p>
        </w:tc>
        <w:tc>
          <w:tcPr>
            <w:tcW w:w="2409" w:type="dxa"/>
            <w:tcBorders>
              <w:top w:val="single" w:sz="4" w:space="0" w:color="auto"/>
              <w:bottom w:val="single" w:sz="4" w:space="0" w:color="auto"/>
            </w:tcBorders>
            <w:shd w:val="clear" w:color="auto" w:fill="95B3D7" w:themeFill="accent1" w:themeFillTint="99"/>
          </w:tcPr>
          <w:p w14:paraId="036F66B9" w14:textId="77777777" w:rsidR="00A03ABC" w:rsidRPr="00D57F4E" w:rsidRDefault="00A03ABC" w:rsidP="00665616">
            <w:pPr>
              <w:spacing w:after="0" w:line="240" w:lineRule="auto"/>
              <w:ind w:left="0" w:hanging="2"/>
              <w:jc w:val="both"/>
              <w:rPr>
                <w:rFonts w:ascii="Times New Roman" w:eastAsia="Times New Roman" w:hAnsi="Times New Roman" w:cs="Times New Roman"/>
                <w:b/>
                <w:bCs/>
                <w:color w:val="000000" w:themeColor="text1"/>
                <w:sz w:val="20"/>
                <w:szCs w:val="20"/>
              </w:rPr>
            </w:pPr>
            <w:r w:rsidRPr="00D57F4E">
              <w:rPr>
                <w:rFonts w:ascii="Times New Roman" w:eastAsia="Times New Roman" w:hAnsi="Times New Roman" w:cs="Times New Roman"/>
                <w:b/>
                <w:bCs/>
                <w:color w:val="000000" w:themeColor="text1"/>
                <w:sz w:val="20"/>
                <w:szCs w:val="20"/>
              </w:rPr>
              <w:t>Institusi</w:t>
            </w:r>
          </w:p>
        </w:tc>
        <w:tc>
          <w:tcPr>
            <w:tcW w:w="1985" w:type="dxa"/>
            <w:tcBorders>
              <w:top w:val="single" w:sz="4" w:space="0" w:color="auto"/>
              <w:bottom w:val="single" w:sz="4" w:space="0" w:color="auto"/>
            </w:tcBorders>
            <w:shd w:val="clear" w:color="auto" w:fill="95B3D7" w:themeFill="accent1" w:themeFillTint="99"/>
          </w:tcPr>
          <w:p w14:paraId="63C4676D" w14:textId="77777777" w:rsidR="00A03ABC" w:rsidRPr="00D57F4E" w:rsidRDefault="00A03ABC" w:rsidP="00665616">
            <w:pPr>
              <w:spacing w:after="0" w:line="240" w:lineRule="auto"/>
              <w:ind w:left="0" w:hanging="2"/>
              <w:jc w:val="both"/>
              <w:rPr>
                <w:rFonts w:ascii="Times New Roman" w:eastAsia="Times New Roman" w:hAnsi="Times New Roman" w:cs="Times New Roman"/>
                <w:b/>
                <w:bCs/>
                <w:color w:val="000000" w:themeColor="text1"/>
                <w:sz w:val="20"/>
                <w:szCs w:val="20"/>
              </w:rPr>
            </w:pPr>
            <w:r w:rsidRPr="00D57F4E">
              <w:rPr>
                <w:rFonts w:ascii="Times New Roman" w:eastAsia="Times New Roman" w:hAnsi="Times New Roman" w:cs="Times New Roman"/>
                <w:b/>
                <w:bCs/>
                <w:color w:val="000000" w:themeColor="text1"/>
                <w:sz w:val="20"/>
                <w:szCs w:val="20"/>
              </w:rPr>
              <w:t>Kendiri</w:t>
            </w:r>
          </w:p>
        </w:tc>
        <w:tc>
          <w:tcPr>
            <w:tcW w:w="1395" w:type="dxa"/>
            <w:tcBorders>
              <w:top w:val="single" w:sz="4" w:space="0" w:color="auto"/>
              <w:bottom w:val="single" w:sz="4" w:space="0" w:color="auto"/>
            </w:tcBorders>
            <w:shd w:val="clear" w:color="auto" w:fill="95B3D7" w:themeFill="accent1" w:themeFillTint="99"/>
          </w:tcPr>
          <w:p w14:paraId="00C09E7D" w14:textId="77777777" w:rsidR="00A03ABC" w:rsidRPr="00D57F4E" w:rsidRDefault="00A03ABC" w:rsidP="00665616">
            <w:pPr>
              <w:spacing w:after="0" w:line="240" w:lineRule="auto"/>
              <w:ind w:left="0" w:hanging="2"/>
              <w:jc w:val="both"/>
              <w:rPr>
                <w:rFonts w:ascii="Times New Roman" w:eastAsia="Times New Roman" w:hAnsi="Times New Roman" w:cs="Times New Roman"/>
                <w:b/>
                <w:bCs/>
                <w:color w:val="000000" w:themeColor="text1"/>
                <w:sz w:val="20"/>
                <w:szCs w:val="20"/>
              </w:rPr>
            </w:pPr>
            <w:r w:rsidRPr="00D57F4E">
              <w:rPr>
                <w:rFonts w:ascii="Times New Roman" w:eastAsia="Times New Roman" w:hAnsi="Times New Roman" w:cs="Times New Roman"/>
                <w:b/>
                <w:bCs/>
                <w:color w:val="000000" w:themeColor="text1"/>
                <w:sz w:val="20"/>
                <w:szCs w:val="20"/>
              </w:rPr>
              <w:t>Minat</w:t>
            </w:r>
          </w:p>
        </w:tc>
      </w:tr>
      <w:tr w:rsidR="00A03ABC" w:rsidRPr="00D57F4E" w14:paraId="2DE234F4" w14:textId="77777777" w:rsidTr="003462E1">
        <w:tc>
          <w:tcPr>
            <w:tcW w:w="2041" w:type="dxa"/>
            <w:tcBorders>
              <w:top w:val="single" w:sz="4" w:space="0" w:color="auto"/>
            </w:tcBorders>
          </w:tcPr>
          <w:p w14:paraId="4B7CD4E8"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Institusi</w:t>
            </w:r>
          </w:p>
        </w:tc>
        <w:tc>
          <w:tcPr>
            <w:tcW w:w="2409" w:type="dxa"/>
            <w:tcBorders>
              <w:top w:val="single" w:sz="4" w:space="0" w:color="auto"/>
            </w:tcBorders>
          </w:tcPr>
          <w:p w14:paraId="0F00B65B" w14:textId="77777777" w:rsidR="00A03ABC" w:rsidRPr="00D57F4E" w:rsidRDefault="00A03ABC" w:rsidP="00665616">
            <w:pPr>
              <w:spacing w:after="0" w:line="240" w:lineRule="auto"/>
              <w:ind w:left="0" w:hanging="2"/>
              <w:jc w:val="both"/>
              <w:rPr>
                <w:rFonts w:ascii="Times New Roman" w:eastAsia="Times New Roman" w:hAnsi="Times New Roman" w:cs="Times New Roman"/>
                <w:b/>
                <w:color w:val="000000" w:themeColor="text1"/>
                <w:sz w:val="20"/>
                <w:szCs w:val="20"/>
              </w:rPr>
            </w:pPr>
            <w:r w:rsidRPr="00D57F4E">
              <w:rPr>
                <w:rFonts w:ascii="Times New Roman" w:eastAsia="Times New Roman" w:hAnsi="Times New Roman" w:cs="Times New Roman"/>
                <w:b/>
                <w:color w:val="000000" w:themeColor="text1"/>
                <w:sz w:val="20"/>
                <w:szCs w:val="20"/>
              </w:rPr>
              <w:t>0.806</w:t>
            </w:r>
          </w:p>
        </w:tc>
        <w:tc>
          <w:tcPr>
            <w:tcW w:w="1985" w:type="dxa"/>
            <w:tcBorders>
              <w:top w:val="single" w:sz="4" w:space="0" w:color="auto"/>
            </w:tcBorders>
          </w:tcPr>
          <w:p w14:paraId="29606E04"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p>
        </w:tc>
        <w:tc>
          <w:tcPr>
            <w:tcW w:w="1395" w:type="dxa"/>
            <w:tcBorders>
              <w:top w:val="single" w:sz="4" w:space="0" w:color="auto"/>
            </w:tcBorders>
          </w:tcPr>
          <w:p w14:paraId="736968B1"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p>
        </w:tc>
      </w:tr>
      <w:tr w:rsidR="00A03ABC" w:rsidRPr="00D57F4E" w14:paraId="433DEE12" w14:textId="77777777" w:rsidTr="003462E1">
        <w:tc>
          <w:tcPr>
            <w:tcW w:w="2041" w:type="dxa"/>
          </w:tcPr>
          <w:p w14:paraId="5A1648C9"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Kendiri</w:t>
            </w:r>
          </w:p>
        </w:tc>
        <w:tc>
          <w:tcPr>
            <w:tcW w:w="2409" w:type="dxa"/>
          </w:tcPr>
          <w:p w14:paraId="23F32030"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0.367</w:t>
            </w:r>
          </w:p>
        </w:tc>
        <w:tc>
          <w:tcPr>
            <w:tcW w:w="1985" w:type="dxa"/>
          </w:tcPr>
          <w:p w14:paraId="41268AC2" w14:textId="77777777" w:rsidR="00A03ABC" w:rsidRPr="00D57F4E" w:rsidRDefault="00A03ABC" w:rsidP="00665616">
            <w:pPr>
              <w:spacing w:after="0" w:line="240" w:lineRule="auto"/>
              <w:ind w:left="0" w:hanging="2"/>
              <w:jc w:val="both"/>
              <w:rPr>
                <w:rFonts w:ascii="Times New Roman" w:eastAsia="Times New Roman" w:hAnsi="Times New Roman" w:cs="Times New Roman"/>
                <w:b/>
                <w:color w:val="000000" w:themeColor="text1"/>
                <w:sz w:val="20"/>
                <w:szCs w:val="20"/>
              </w:rPr>
            </w:pPr>
            <w:r w:rsidRPr="00D57F4E">
              <w:rPr>
                <w:rFonts w:ascii="Times New Roman" w:eastAsia="Times New Roman" w:hAnsi="Times New Roman" w:cs="Times New Roman"/>
                <w:b/>
                <w:color w:val="000000" w:themeColor="text1"/>
                <w:sz w:val="20"/>
                <w:szCs w:val="20"/>
              </w:rPr>
              <w:t>0.801</w:t>
            </w:r>
          </w:p>
        </w:tc>
        <w:tc>
          <w:tcPr>
            <w:tcW w:w="1395" w:type="dxa"/>
          </w:tcPr>
          <w:p w14:paraId="7EA60C97"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p>
        </w:tc>
      </w:tr>
      <w:tr w:rsidR="00A03ABC" w:rsidRPr="00D57F4E" w14:paraId="6984D1F8" w14:textId="77777777" w:rsidTr="003462E1">
        <w:tc>
          <w:tcPr>
            <w:tcW w:w="2041" w:type="dxa"/>
            <w:tcBorders>
              <w:bottom w:val="single" w:sz="4" w:space="0" w:color="auto"/>
            </w:tcBorders>
          </w:tcPr>
          <w:p w14:paraId="39E31410"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Minat</w:t>
            </w:r>
          </w:p>
        </w:tc>
        <w:tc>
          <w:tcPr>
            <w:tcW w:w="2409" w:type="dxa"/>
            <w:tcBorders>
              <w:bottom w:val="single" w:sz="4" w:space="0" w:color="auto"/>
            </w:tcBorders>
          </w:tcPr>
          <w:p w14:paraId="57857663"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0.532</w:t>
            </w:r>
          </w:p>
        </w:tc>
        <w:tc>
          <w:tcPr>
            <w:tcW w:w="1985" w:type="dxa"/>
            <w:tcBorders>
              <w:bottom w:val="single" w:sz="4" w:space="0" w:color="auto"/>
            </w:tcBorders>
          </w:tcPr>
          <w:p w14:paraId="361BA63B"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color w:val="000000" w:themeColor="text1"/>
                <w:sz w:val="20"/>
                <w:szCs w:val="20"/>
              </w:rPr>
              <w:t>0.555</w:t>
            </w:r>
          </w:p>
        </w:tc>
        <w:tc>
          <w:tcPr>
            <w:tcW w:w="1395" w:type="dxa"/>
            <w:tcBorders>
              <w:bottom w:val="single" w:sz="4" w:space="0" w:color="auto"/>
            </w:tcBorders>
          </w:tcPr>
          <w:p w14:paraId="5DC4FF59" w14:textId="77777777" w:rsidR="00A03ABC" w:rsidRPr="00D57F4E" w:rsidRDefault="00A03ABC" w:rsidP="00665616">
            <w:pPr>
              <w:spacing w:after="0" w:line="240" w:lineRule="auto"/>
              <w:ind w:left="0" w:hanging="2"/>
              <w:jc w:val="both"/>
              <w:rPr>
                <w:rFonts w:ascii="Times New Roman" w:eastAsia="Times New Roman" w:hAnsi="Times New Roman" w:cs="Times New Roman"/>
                <w:b/>
                <w:color w:val="000000" w:themeColor="text1"/>
                <w:sz w:val="20"/>
                <w:szCs w:val="20"/>
              </w:rPr>
            </w:pPr>
            <w:r w:rsidRPr="00D57F4E">
              <w:rPr>
                <w:rFonts w:ascii="Times New Roman" w:eastAsia="Times New Roman" w:hAnsi="Times New Roman" w:cs="Times New Roman"/>
                <w:b/>
                <w:color w:val="000000" w:themeColor="text1"/>
                <w:sz w:val="20"/>
                <w:szCs w:val="20"/>
              </w:rPr>
              <w:t>0.905</w:t>
            </w:r>
          </w:p>
        </w:tc>
      </w:tr>
    </w:tbl>
    <w:p w14:paraId="277812BA"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0"/>
          <w:szCs w:val="20"/>
        </w:rPr>
      </w:pPr>
    </w:p>
    <w:p w14:paraId="4473382C"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4"/>
          <w:szCs w:val="24"/>
        </w:rPr>
      </w:pPr>
      <w:r w:rsidRPr="00D57F4E">
        <w:rPr>
          <w:rFonts w:ascii="Times New Roman" w:eastAsia="Times New Roman" w:hAnsi="Times New Roman" w:cs="Times New Roman"/>
          <w:color w:val="000000" w:themeColor="text1"/>
          <w:sz w:val="24"/>
          <w:szCs w:val="24"/>
          <w:lang w:val="en-MY"/>
        </w:rPr>
        <w:t>Keselur</w:t>
      </w:r>
      <w:r w:rsidR="00775E7B">
        <w:rPr>
          <w:rFonts w:ascii="Times New Roman" w:eastAsia="Times New Roman" w:hAnsi="Times New Roman" w:cs="Times New Roman"/>
          <w:color w:val="000000" w:themeColor="text1"/>
          <w:sz w:val="24"/>
          <w:szCs w:val="24"/>
          <w:lang w:val="en-MY"/>
        </w:rPr>
        <w:t>u</w:t>
      </w:r>
      <w:r w:rsidRPr="00D57F4E">
        <w:rPr>
          <w:rFonts w:ascii="Times New Roman" w:eastAsia="Times New Roman" w:hAnsi="Times New Roman" w:cs="Times New Roman"/>
          <w:color w:val="000000" w:themeColor="text1"/>
          <w:sz w:val="24"/>
          <w:szCs w:val="24"/>
          <w:lang w:val="en-MY"/>
        </w:rPr>
        <w:t>hannya model pengukuran ini telah memenuhi syarat</w:t>
      </w:r>
      <w:r w:rsidRPr="00D57F4E">
        <w:rPr>
          <w:rFonts w:ascii="Times New Roman" w:eastAsia="Times New Roman" w:hAnsi="Times New Roman" w:cs="Times New Roman"/>
          <w:color w:val="000000" w:themeColor="text1"/>
          <w:sz w:val="24"/>
          <w:szCs w:val="24"/>
        </w:rPr>
        <w:t xml:space="preserve"> menentusahkan model berdas</w:t>
      </w:r>
      <w:r w:rsidR="00C24B35" w:rsidRPr="00D57F4E">
        <w:rPr>
          <w:rFonts w:ascii="Times New Roman" w:eastAsia="Times New Roman" w:hAnsi="Times New Roman" w:cs="Times New Roman"/>
          <w:color w:val="000000" w:themeColor="text1"/>
          <w:sz w:val="24"/>
          <w:szCs w:val="24"/>
        </w:rPr>
        <w:t>a</w:t>
      </w:r>
      <w:r w:rsidRPr="00D57F4E">
        <w:rPr>
          <w:rFonts w:ascii="Times New Roman" w:eastAsia="Times New Roman" w:hAnsi="Times New Roman" w:cs="Times New Roman"/>
          <w:color w:val="000000" w:themeColor="text1"/>
          <w:sz w:val="24"/>
          <w:szCs w:val="24"/>
        </w:rPr>
        <w:t>rkan kriteria kesahan dan kebolehpercayaan indikator dan pemboleh ubah laten.</w:t>
      </w:r>
      <w:r w:rsidR="00C24B35" w:rsidRPr="00D57F4E">
        <w:rPr>
          <w:rFonts w:ascii="Times New Roman" w:eastAsia="Times New Roman" w:hAnsi="Times New Roman" w:cs="Times New Roman"/>
          <w:color w:val="000000" w:themeColor="text1"/>
          <w:sz w:val="24"/>
          <w:szCs w:val="24"/>
        </w:rPr>
        <w:t xml:space="preserve"> </w:t>
      </w:r>
      <w:r w:rsidRPr="00D57F4E">
        <w:rPr>
          <w:rFonts w:ascii="Times New Roman" w:eastAsia="Times New Roman" w:hAnsi="Times New Roman" w:cs="Times New Roman"/>
          <w:color w:val="000000" w:themeColor="text1"/>
          <w:sz w:val="24"/>
          <w:szCs w:val="24"/>
        </w:rPr>
        <w:t>Langkah ini penting sebelum menguji model struktur dalam kajian ini.</w:t>
      </w:r>
    </w:p>
    <w:p w14:paraId="133EB838" w14:textId="77777777"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4"/>
          <w:szCs w:val="24"/>
          <w:lang w:val="en-MY"/>
        </w:rPr>
      </w:pPr>
    </w:p>
    <w:p w14:paraId="682DF3B7" w14:textId="77777777" w:rsidR="00A03ABC" w:rsidRDefault="00775E7B" w:rsidP="00665616">
      <w:pPr>
        <w:spacing w:after="0" w:line="240" w:lineRule="auto"/>
        <w:ind w:left="0" w:hanging="2"/>
        <w:jc w:val="both"/>
        <w:rPr>
          <w:rFonts w:ascii="Times New Roman" w:eastAsia="Times New Roman" w:hAnsi="Times New Roman" w:cs="Times New Roman"/>
          <w:i/>
          <w:color w:val="000000" w:themeColor="text1"/>
          <w:sz w:val="24"/>
          <w:szCs w:val="24"/>
          <w:lang w:val="da-DK"/>
        </w:rPr>
      </w:pPr>
      <w:r w:rsidRPr="008A0AAF">
        <w:rPr>
          <w:rFonts w:ascii="Times New Roman" w:eastAsia="Times New Roman" w:hAnsi="Times New Roman" w:cs="Times New Roman"/>
          <w:i/>
          <w:color w:val="000000" w:themeColor="text1"/>
          <w:sz w:val="24"/>
          <w:szCs w:val="24"/>
          <w:lang w:val="da-DK"/>
        </w:rPr>
        <w:t>Model s</w:t>
      </w:r>
      <w:r w:rsidR="00A03ABC" w:rsidRPr="008A0AAF">
        <w:rPr>
          <w:rFonts w:ascii="Times New Roman" w:eastAsia="Times New Roman" w:hAnsi="Times New Roman" w:cs="Times New Roman"/>
          <w:i/>
          <w:color w:val="000000" w:themeColor="text1"/>
          <w:sz w:val="24"/>
          <w:szCs w:val="24"/>
          <w:lang w:val="da-DK"/>
        </w:rPr>
        <w:t>truktur</w:t>
      </w:r>
    </w:p>
    <w:p w14:paraId="0B5A1EC4" w14:textId="77777777" w:rsidR="003462E1" w:rsidRPr="008A0AAF" w:rsidRDefault="003462E1" w:rsidP="00665616">
      <w:pPr>
        <w:spacing w:after="0" w:line="240" w:lineRule="auto"/>
        <w:ind w:left="0" w:hanging="2"/>
        <w:jc w:val="both"/>
        <w:rPr>
          <w:rFonts w:ascii="Times New Roman" w:eastAsia="Times New Roman" w:hAnsi="Times New Roman" w:cs="Times New Roman"/>
          <w:i/>
          <w:color w:val="000000" w:themeColor="text1"/>
          <w:sz w:val="24"/>
          <w:szCs w:val="24"/>
          <w:lang w:val="da-DK"/>
        </w:rPr>
      </w:pPr>
    </w:p>
    <w:p w14:paraId="45EB963C" w14:textId="77777777" w:rsidR="00A03ABC" w:rsidRPr="008A0AAF" w:rsidRDefault="00A03ABC" w:rsidP="00665616">
      <w:pPr>
        <w:spacing w:after="0" w:line="240" w:lineRule="auto"/>
        <w:ind w:left="0" w:hanging="2"/>
        <w:jc w:val="both"/>
        <w:rPr>
          <w:rFonts w:ascii="Times New Roman" w:eastAsia="Times New Roman" w:hAnsi="Times New Roman" w:cs="Times New Roman"/>
          <w:color w:val="000000" w:themeColor="text1"/>
          <w:sz w:val="24"/>
          <w:szCs w:val="24"/>
          <w:lang w:val="da-DK"/>
        </w:rPr>
      </w:pPr>
      <w:r w:rsidRPr="008A0AAF">
        <w:rPr>
          <w:rFonts w:ascii="Times New Roman" w:eastAsia="Times New Roman" w:hAnsi="Times New Roman" w:cs="Times New Roman"/>
          <w:color w:val="000000" w:themeColor="text1"/>
          <w:sz w:val="24"/>
          <w:szCs w:val="24"/>
          <w:lang w:val="da-DK"/>
        </w:rPr>
        <w:t>Bag</w:t>
      </w:r>
      <w:r w:rsidR="001C2FAA" w:rsidRPr="008A0AAF">
        <w:rPr>
          <w:rFonts w:ascii="Times New Roman" w:eastAsia="Times New Roman" w:hAnsi="Times New Roman" w:cs="Times New Roman"/>
          <w:color w:val="000000" w:themeColor="text1"/>
          <w:sz w:val="24"/>
          <w:szCs w:val="24"/>
          <w:lang w:val="da-DK"/>
        </w:rPr>
        <w:t>i mengukur model struktur, Hair</w:t>
      </w:r>
      <w:r w:rsidRPr="008A0AAF">
        <w:rPr>
          <w:rFonts w:ascii="Times New Roman" w:eastAsia="Times New Roman" w:hAnsi="Times New Roman" w:cs="Times New Roman"/>
          <w:color w:val="000000" w:themeColor="text1"/>
          <w:sz w:val="24"/>
          <w:szCs w:val="24"/>
          <w:lang w:val="da-DK"/>
        </w:rPr>
        <w:t xml:space="preserve"> et al</w:t>
      </w:r>
      <w:r w:rsidR="00775E7B" w:rsidRPr="008A0AAF">
        <w:rPr>
          <w:rFonts w:ascii="Times New Roman" w:eastAsia="Times New Roman" w:hAnsi="Times New Roman" w:cs="Times New Roman"/>
          <w:color w:val="000000" w:themeColor="text1"/>
          <w:sz w:val="24"/>
          <w:szCs w:val="24"/>
          <w:lang w:val="da-DK"/>
        </w:rPr>
        <w:t>.</w:t>
      </w:r>
      <w:r w:rsidRPr="008A0AAF">
        <w:rPr>
          <w:rFonts w:ascii="Times New Roman" w:eastAsia="Times New Roman" w:hAnsi="Times New Roman" w:cs="Times New Roman"/>
          <w:color w:val="000000" w:themeColor="text1"/>
          <w:sz w:val="24"/>
          <w:szCs w:val="24"/>
          <w:lang w:val="da-DK"/>
        </w:rPr>
        <w:t xml:space="preserve"> (2017) mencadangkan dua komponen utama sebagai kriteria utama mengukur model struktur iaitu </w:t>
      </w:r>
      <w:r w:rsidRPr="008A0AAF">
        <w:rPr>
          <w:rFonts w:ascii="Times New Roman" w:eastAsia="Times New Roman" w:hAnsi="Times New Roman" w:cs="Times New Roman"/>
          <w:i/>
          <w:color w:val="000000" w:themeColor="text1"/>
          <w:sz w:val="24"/>
          <w:szCs w:val="24"/>
          <w:lang w:val="da-DK"/>
        </w:rPr>
        <w:t>R</w:t>
      </w:r>
      <w:r w:rsidRPr="008A0AAF">
        <w:rPr>
          <w:rFonts w:ascii="Times New Roman" w:eastAsia="Times New Roman" w:hAnsi="Times New Roman" w:cs="Times New Roman"/>
          <w:color w:val="000000" w:themeColor="text1"/>
          <w:sz w:val="24"/>
          <w:szCs w:val="24"/>
          <w:vertAlign w:val="superscript"/>
          <w:lang w:val="da-DK"/>
        </w:rPr>
        <w:t>2</w:t>
      </w:r>
      <w:r w:rsidRPr="008A0AAF">
        <w:rPr>
          <w:rFonts w:ascii="Times New Roman" w:eastAsia="Times New Roman" w:hAnsi="Times New Roman" w:cs="Times New Roman"/>
          <w:color w:val="000000" w:themeColor="text1"/>
          <w:sz w:val="24"/>
          <w:szCs w:val="24"/>
          <w:lang w:val="da-DK"/>
        </w:rPr>
        <w:t xml:space="preserve"> dan pekali laluan (path coefficients) digunakan. Nilai </w:t>
      </w:r>
      <w:r w:rsidRPr="008A0AAF">
        <w:rPr>
          <w:rFonts w:ascii="Times New Roman" w:eastAsia="Times New Roman" w:hAnsi="Times New Roman" w:cs="Times New Roman"/>
          <w:i/>
          <w:color w:val="000000" w:themeColor="text1"/>
          <w:sz w:val="24"/>
          <w:szCs w:val="24"/>
          <w:lang w:val="da-DK"/>
        </w:rPr>
        <w:t>R</w:t>
      </w:r>
      <w:r w:rsidRPr="008A0AAF">
        <w:rPr>
          <w:rFonts w:ascii="Times New Roman" w:eastAsia="Times New Roman" w:hAnsi="Times New Roman" w:cs="Times New Roman"/>
          <w:color w:val="000000" w:themeColor="text1"/>
          <w:sz w:val="24"/>
          <w:szCs w:val="24"/>
          <w:vertAlign w:val="superscript"/>
          <w:lang w:val="da-DK"/>
        </w:rPr>
        <w:t>2</w:t>
      </w:r>
      <w:r w:rsidRPr="008A0AAF">
        <w:rPr>
          <w:rFonts w:ascii="Times New Roman" w:eastAsia="Times New Roman" w:hAnsi="Times New Roman" w:cs="Times New Roman"/>
          <w:color w:val="000000" w:themeColor="text1"/>
          <w:sz w:val="24"/>
          <w:szCs w:val="24"/>
          <w:lang w:val="da-DK"/>
        </w:rPr>
        <w:t xml:space="preserve"> digunakan untuk melihat aras kekuatan pangaruh pemboleh ubah eksogen (kendiri dan institusi) terhadap pemboleh ubah endogen (minat). Hasil daripada analisis mendapati nilai </w:t>
      </w:r>
      <w:r w:rsidRPr="008A0AAF">
        <w:rPr>
          <w:rFonts w:ascii="Times New Roman" w:eastAsia="Times New Roman" w:hAnsi="Times New Roman" w:cs="Times New Roman"/>
          <w:i/>
          <w:color w:val="000000" w:themeColor="text1"/>
          <w:sz w:val="24"/>
          <w:szCs w:val="24"/>
          <w:lang w:val="da-DK"/>
        </w:rPr>
        <w:t>R</w:t>
      </w:r>
      <w:r w:rsidRPr="008A0AAF">
        <w:rPr>
          <w:rFonts w:ascii="Times New Roman" w:eastAsia="Times New Roman" w:hAnsi="Times New Roman" w:cs="Times New Roman"/>
          <w:color w:val="000000" w:themeColor="text1"/>
          <w:sz w:val="24"/>
          <w:szCs w:val="24"/>
          <w:vertAlign w:val="superscript"/>
          <w:lang w:val="da-DK"/>
        </w:rPr>
        <w:t xml:space="preserve">2 </w:t>
      </w:r>
      <w:r w:rsidRPr="008A0AAF">
        <w:rPr>
          <w:rFonts w:ascii="Times New Roman" w:eastAsia="Times New Roman" w:hAnsi="Times New Roman" w:cs="Times New Roman"/>
          <w:color w:val="000000" w:themeColor="text1"/>
          <w:sz w:val="24"/>
          <w:szCs w:val="24"/>
          <w:lang w:val="da-DK"/>
        </w:rPr>
        <w:t>=0.433. Ini jelaskan bahawa perub</w:t>
      </w:r>
      <w:r w:rsidR="00775E7B" w:rsidRPr="008A0AAF">
        <w:rPr>
          <w:rFonts w:ascii="Times New Roman" w:eastAsia="Times New Roman" w:hAnsi="Times New Roman" w:cs="Times New Roman"/>
          <w:color w:val="000000" w:themeColor="text1"/>
          <w:sz w:val="24"/>
          <w:szCs w:val="24"/>
          <w:lang w:val="da-DK"/>
        </w:rPr>
        <w:t>ahan yang berlaku sebanyak 43.3 peratus</w:t>
      </w:r>
      <w:r w:rsidRPr="008A0AAF">
        <w:rPr>
          <w:rFonts w:ascii="Times New Roman" w:eastAsia="Times New Roman" w:hAnsi="Times New Roman" w:cs="Times New Roman"/>
          <w:color w:val="000000" w:themeColor="text1"/>
          <w:sz w:val="24"/>
          <w:szCs w:val="24"/>
          <w:lang w:val="da-DK"/>
        </w:rPr>
        <w:t xml:space="preserve"> terhadap minat adalah disebabkan faktor kendiri dan institusi. Justeru itu</w:t>
      </w:r>
      <w:r w:rsidR="00775E7B" w:rsidRPr="008A0AAF">
        <w:rPr>
          <w:rFonts w:ascii="Times New Roman" w:eastAsia="Times New Roman" w:hAnsi="Times New Roman" w:cs="Times New Roman"/>
          <w:color w:val="000000" w:themeColor="text1"/>
          <w:sz w:val="24"/>
          <w:szCs w:val="24"/>
          <w:lang w:val="da-DK"/>
        </w:rPr>
        <w:t>,</w:t>
      </w:r>
      <w:r w:rsidRPr="008A0AAF">
        <w:rPr>
          <w:rFonts w:ascii="Times New Roman" w:eastAsia="Times New Roman" w:hAnsi="Times New Roman" w:cs="Times New Roman"/>
          <w:color w:val="000000" w:themeColor="text1"/>
          <w:sz w:val="24"/>
          <w:szCs w:val="24"/>
          <w:lang w:val="da-DK"/>
        </w:rPr>
        <w:t xml:space="preserve"> pemboleh</w:t>
      </w:r>
      <w:r w:rsidR="00775E7B" w:rsidRPr="008A0AAF">
        <w:rPr>
          <w:rFonts w:ascii="Times New Roman" w:eastAsia="Times New Roman" w:hAnsi="Times New Roman" w:cs="Times New Roman"/>
          <w:color w:val="000000" w:themeColor="text1"/>
          <w:sz w:val="24"/>
          <w:szCs w:val="24"/>
          <w:lang w:val="da-DK"/>
        </w:rPr>
        <w:t xml:space="preserve"> ubah</w:t>
      </w:r>
      <w:r w:rsidRPr="008A0AAF">
        <w:rPr>
          <w:rFonts w:ascii="Times New Roman" w:eastAsia="Times New Roman" w:hAnsi="Times New Roman" w:cs="Times New Roman"/>
          <w:color w:val="000000" w:themeColor="text1"/>
          <w:sz w:val="24"/>
          <w:szCs w:val="24"/>
          <w:lang w:val="da-DK"/>
        </w:rPr>
        <w:t xml:space="preserve"> kendiri dan institusi mempunyai pengaruh terhadap minat mengikuti program PSH.</w:t>
      </w:r>
    </w:p>
    <w:p w14:paraId="79EF6511" w14:textId="77777777" w:rsidR="00A03ABC" w:rsidRPr="008A0AAF" w:rsidRDefault="00A03ABC" w:rsidP="00665616">
      <w:pPr>
        <w:spacing w:after="0" w:line="240" w:lineRule="auto"/>
        <w:ind w:left="0" w:hanging="2"/>
        <w:jc w:val="both"/>
        <w:rPr>
          <w:rFonts w:ascii="Times New Roman" w:eastAsia="Times New Roman" w:hAnsi="Times New Roman" w:cs="Times New Roman"/>
          <w:color w:val="000000" w:themeColor="text1"/>
          <w:sz w:val="24"/>
          <w:szCs w:val="24"/>
          <w:lang w:val="da-DK"/>
        </w:rPr>
      </w:pPr>
      <w:r w:rsidRPr="008A0AAF">
        <w:rPr>
          <w:rFonts w:ascii="Times New Roman" w:eastAsia="Times New Roman" w:hAnsi="Times New Roman" w:cs="Times New Roman"/>
          <w:color w:val="000000" w:themeColor="text1"/>
          <w:sz w:val="24"/>
          <w:szCs w:val="24"/>
          <w:lang w:val="da-DK"/>
        </w:rPr>
        <w:tab/>
      </w:r>
      <w:r w:rsidR="00B462FA" w:rsidRPr="008A0AAF">
        <w:rPr>
          <w:rFonts w:ascii="Times New Roman" w:eastAsia="Times New Roman" w:hAnsi="Times New Roman" w:cs="Times New Roman"/>
          <w:color w:val="000000" w:themeColor="text1"/>
          <w:sz w:val="24"/>
          <w:szCs w:val="24"/>
          <w:lang w:val="da-DK"/>
        </w:rPr>
        <w:tab/>
      </w:r>
      <w:r w:rsidRPr="008A0AAF">
        <w:rPr>
          <w:rFonts w:ascii="Times New Roman" w:eastAsia="Times New Roman" w:hAnsi="Times New Roman" w:cs="Times New Roman"/>
          <w:color w:val="000000" w:themeColor="text1"/>
          <w:sz w:val="24"/>
          <w:szCs w:val="24"/>
          <w:lang w:val="da-DK"/>
        </w:rPr>
        <w:t>Bagi menguji pekali laluan, menunjukkan terdapat hubungan yang positif dan signifikan antara faktor kendiri dengan minat (</w:t>
      </w:r>
      <w:r w:rsidRPr="00D57F4E">
        <w:rPr>
          <w:rFonts w:ascii="Times New Roman" w:eastAsia="Times New Roman" w:hAnsi="Times New Roman" w:cs="Times New Roman"/>
          <w:color w:val="000000" w:themeColor="text1"/>
          <w:sz w:val="24"/>
          <w:szCs w:val="24"/>
        </w:rPr>
        <w:t>β</w:t>
      </w:r>
      <w:r w:rsidRPr="008A0AAF">
        <w:rPr>
          <w:rFonts w:ascii="Times New Roman" w:eastAsia="Times New Roman" w:hAnsi="Times New Roman" w:cs="Times New Roman"/>
          <w:color w:val="000000" w:themeColor="text1"/>
          <w:sz w:val="24"/>
          <w:szCs w:val="24"/>
          <w:lang w:val="da-DK"/>
        </w:rPr>
        <w:t xml:space="preserve"> = 0.416, t=5.586). Begitu juga faktor institusi mempunyai hubungan positif dan signifikan deng</w:t>
      </w:r>
      <w:r w:rsidR="00775E7B" w:rsidRPr="008A0AAF">
        <w:rPr>
          <w:rFonts w:ascii="Times New Roman" w:eastAsia="Times New Roman" w:hAnsi="Times New Roman" w:cs="Times New Roman"/>
          <w:color w:val="000000" w:themeColor="text1"/>
          <w:sz w:val="24"/>
          <w:szCs w:val="24"/>
          <w:lang w:val="da-DK"/>
        </w:rPr>
        <w:t>an minat (</w:t>
      </w:r>
      <w:r w:rsidR="00775E7B">
        <w:rPr>
          <w:rFonts w:ascii="Times New Roman" w:eastAsia="Times New Roman" w:hAnsi="Times New Roman" w:cs="Times New Roman"/>
          <w:color w:val="000000" w:themeColor="text1"/>
          <w:sz w:val="24"/>
          <w:szCs w:val="24"/>
        </w:rPr>
        <w:t>β</w:t>
      </w:r>
      <w:r w:rsidR="00775E7B" w:rsidRPr="008A0AAF">
        <w:rPr>
          <w:rFonts w:ascii="Times New Roman" w:eastAsia="Times New Roman" w:hAnsi="Times New Roman" w:cs="Times New Roman"/>
          <w:color w:val="000000" w:themeColor="text1"/>
          <w:sz w:val="24"/>
          <w:szCs w:val="24"/>
          <w:lang w:val="da-DK"/>
        </w:rPr>
        <w:t xml:space="preserve"> = 0.379, t=5.5279) seperti dalam Rajah 1 dan R</w:t>
      </w:r>
      <w:r w:rsidRPr="008A0AAF">
        <w:rPr>
          <w:rFonts w:ascii="Times New Roman" w:eastAsia="Times New Roman" w:hAnsi="Times New Roman" w:cs="Times New Roman"/>
          <w:color w:val="000000" w:themeColor="text1"/>
          <w:sz w:val="24"/>
          <w:szCs w:val="24"/>
          <w:lang w:val="da-DK"/>
        </w:rPr>
        <w:t xml:space="preserve">ajah 2. Secara keseluruhannya, dapatan kajian ini mengesahkan bahawa faktor kendiri dan faktor institusi merupakan faktor terpenting dalam mempengaruhi minat mengikuti program PSH. </w:t>
      </w:r>
    </w:p>
    <w:p w14:paraId="153E5655" w14:textId="77777777" w:rsidR="00A03ABC" w:rsidRPr="008A0AAF" w:rsidRDefault="00A03ABC" w:rsidP="00665616">
      <w:pPr>
        <w:spacing w:after="0" w:line="240" w:lineRule="auto"/>
        <w:ind w:left="0" w:hanging="2"/>
        <w:jc w:val="both"/>
        <w:rPr>
          <w:rFonts w:ascii="Times New Roman" w:eastAsia="Times New Roman" w:hAnsi="Times New Roman" w:cs="Times New Roman"/>
          <w:color w:val="000000" w:themeColor="text1"/>
          <w:sz w:val="24"/>
          <w:szCs w:val="24"/>
          <w:lang w:val="da-DK"/>
        </w:rPr>
      </w:pPr>
    </w:p>
    <w:p w14:paraId="1382C9A2" w14:textId="77777777" w:rsidR="00A03ABC" w:rsidRPr="00D57F4E" w:rsidRDefault="00A03ABC" w:rsidP="00B03A3B">
      <w:pPr>
        <w:spacing w:after="0" w:line="240" w:lineRule="auto"/>
        <w:ind w:left="0" w:hanging="2"/>
        <w:jc w:val="center"/>
        <w:rPr>
          <w:rFonts w:ascii="Times New Roman" w:eastAsia="Times New Roman" w:hAnsi="Times New Roman" w:cs="Times New Roman"/>
          <w:color w:val="000000" w:themeColor="text1"/>
          <w:sz w:val="24"/>
          <w:szCs w:val="24"/>
        </w:rPr>
      </w:pPr>
      <w:r w:rsidRPr="00D57F4E">
        <w:rPr>
          <w:rFonts w:ascii="Times New Roman" w:eastAsia="Times New Roman" w:hAnsi="Times New Roman" w:cs="Times New Roman"/>
          <w:noProof/>
          <w:color w:val="000000" w:themeColor="text1"/>
          <w:sz w:val="24"/>
          <w:szCs w:val="24"/>
        </w:rPr>
        <w:drawing>
          <wp:inline distT="114300" distB="114300" distL="114300" distR="114300" wp14:anchorId="2AF0B377" wp14:editId="21F04619">
            <wp:extent cx="5179695" cy="2914650"/>
            <wp:effectExtent l="19050" t="19050" r="20955" b="1905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5179695" cy="2914650"/>
                    </a:xfrm>
                    <a:prstGeom prst="rect">
                      <a:avLst/>
                    </a:prstGeom>
                    <a:ln>
                      <a:solidFill>
                        <a:schemeClr val="tx1"/>
                      </a:solidFill>
                    </a:ln>
                  </pic:spPr>
                </pic:pic>
              </a:graphicData>
            </a:graphic>
          </wp:inline>
        </w:drawing>
      </w:r>
    </w:p>
    <w:p w14:paraId="19BDE2A9" w14:textId="77777777" w:rsidR="00B03A3B" w:rsidRDefault="00B03A3B" w:rsidP="00665616">
      <w:pPr>
        <w:spacing w:after="0" w:line="240" w:lineRule="auto"/>
        <w:ind w:left="0" w:hanging="2"/>
        <w:jc w:val="both"/>
        <w:rPr>
          <w:rFonts w:ascii="Times New Roman" w:eastAsia="Times New Roman" w:hAnsi="Times New Roman" w:cs="Times New Roman"/>
          <w:b/>
          <w:bCs/>
          <w:color w:val="000000" w:themeColor="text1"/>
          <w:sz w:val="20"/>
          <w:szCs w:val="20"/>
        </w:rPr>
      </w:pPr>
    </w:p>
    <w:p w14:paraId="1B7DFBA9" w14:textId="24AD1C00" w:rsidR="00A03ABC" w:rsidRPr="00D57F4E" w:rsidRDefault="00A03ABC" w:rsidP="00B03A3B">
      <w:pPr>
        <w:spacing w:after="0" w:line="240" w:lineRule="auto"/>
        <w:ind w:left="0" w:hanging="2"/>
        <w:jc w:val="center"/>
        <w:rPr>
          <w:rFonts w:ascii="Times New Roman" w:eastAsia="Times New Roman" w:hAnsi="Times New Roman" w:cs="Times New Roman"/>
          <w:color w:val="000000" w:themeColor="text1"/>
          <w:sz w:val="20"/>
          <w:szCs w:val="20"/>
        </w:rPr>
      </w:pPr>
      <w:r w:rsidRPr="00D57F4E">
        <w:rPr>
          <w:rFonts w:ascii="Times New Roman" w:eastAsia="Times New Roman" w:hAnsi="Times New Roman" w:cs="Times New Roman"/>
          <w:b/>
          <w:bCs/>
          <w:color w:val="000000" w:themeColor="text1"/>
          <w:sz w:val="20"/>
          <w:szCs w:val="20"/>
        </w:rPr>
        <w:t>Rajah 2</w:t>
      </w:r>
      <w:r w:rsidR="00775E7B">
        <w:rPr>
          <w:rFonts w:ascii="Times New Roman" w:eastAsia="Times New Roman" w:hAnsi="Times New Roman" w:cs="Times New Roman"/>
          <w:color w:val="000000" w:themeColor="text1"/>
          <w:sz w:val="20"/>
          <w:szCs w:val="20"/>
        </w:rPr>
        <w:t>. Model s</w:t>
      </w:r>
      <w:r w:rsidRPr="00D57F4E">
        <w:rPr>
          <w:rFonts w:ascii="Times New Roman" w:eastAsia="Times New Roman" w:hAnsi="Times New Roman" w:cs="Times New Roman"/>
          <w:color w:val="000000" w:themeColor="text1"/>
          <w:sz w:val="20"/>
          <w:szCs w:val="20"/>
        </w:rPr>
        <w:t>truktural</w:t>
      </w:r>
    </w:p>
    <w:p w14:paraId="4B2C3186" w14:textId="738AAC85" w:rsidR="00A03ABC" w:rsidRPr="008A0AAF" w:rsidRDefault="00A03ABC" w:rsidP="00665616">
      <w:pPr>
        <w:spacing w:after="0" w:line="240" w:lineRule="auto"/>
        <w:ind w:leftChars="0" w:left="0" w:firstLineChars="0" w:firstLine="720"/>
        <w:jc w:val="both"/>
        <w:rPr>
          <w:rFonts w:ascii="Times New Roman" w:eastAsia="Times New Roman" w:hAnsi="Times New Roman" w:cs="Times New Roman"/>
          <w:color w:val="000000" w:themeColor="text1"/>
          <w:sz w:val="24"/>
          <w:szCs w:val="24"/>
          <w:highlight w:val="white"/>
          <w:lang w:val="es-ES_tradnl"/>
        </w:rPr>
      </w:pPr>
      <w:r w:rsidRPr="00D57F4E">
        <w:rPr>
          <w:rFonts w:ascii="Times New Roman" w:eastAsia="Times New Roman" w:hAnsi="Times New Roman" w:cs="Times New Roman"/>
          <w:color w:val="000000" w:themeColor="text1"/>
          <w:sz w:val="24"/>
          <w:szCs w:val="24"/>
        </w:rPr>
        <w:lastRenderedPageBreak/>
        <w:t>Kajian ini mendapati faktor kendiri dan institusi mem</w:t>
      </w:r>
      <w:r w:rsidR="00775E7B">
        <w:rPr>
          <w:rFonts w:ascii="Times New Roman" w:eastAsia="Times New Roman" w:hAnsi="Times New Roman" w:cs="Times New Roman"/>
          <w:color w:val="000000" w:themeColor="text1"/>
          <w:sz w:val="24"/>
          <w:szCs w:val="24"/>
        </w:rPr>
        <w:t>p</w:t>
      </w:r>
      <w:r w:rsidRPr="00D57F4E">
        <w:rPr>
          <w:rFonts w:ascii="Times New Roman" w:eastAsia="Times New Roman" w:hAnsi="Times New Roman" w:cs="Times New Roman"/>
          <w:color w:val="000000" w:themeColor="text1"/>
          <w:sz w:val="24"/>
          <w:szCs w:val="24"/>
        </w:rPr>
        <w:t>unyai pe</w:t>
      </w:r>
      <w:r w:rsidR="00775E7B">
        <w:rPr>
          <w:rFonts w:ascii="Times New Roman" w:eastAsia="Times New Roman" w:hAnsi="Times New Roman" w:cs="Times New Roman"/>
          <w:color w:val="000000" w:themeColor="text1"/>
          <w:sz w:val="24"/>
          <w:szCs w:val="24"/>
        </w:rPr>
        <w:t>ngaruh</w:t>
      </w:r>
      <w:r w:rsidRPr="00D57F4E">
        <w:rPr>
          <w:rFonts w:ascii="Times New Roman" w:eastAsia="Times New Roman" w:hAnsi="Times New Roman" w:cs="Times New Roman"/>
          <w:color w:val="000000" w:themeColor="text1"/>
          <w:sz w:val="24"/>
          <w:szCs w:val="24"/>
        </w:rPr>
        <w:t xml:space="preserve"> dengan minat mengikuti program PSH. Faktor kendiri mempunyai hubungan yang positif dengan minat. Dapatan kajian</w:t>
      </w:r>
      <w:r w:rsidR="00775E7B">
        <w:rPr>
          <w:rFonts w:ascii="Times New Roman" w:eastAsia="Times New Roman" w:hAnsi="Times New Roman" w:cs="Times New Roman"/>
          <w:color w:val="000000" w:themeColor="text1"/>
          <w:sz w:val="24"/>
          <w:szCs w:val="24"/>
        </w:rPr>
        <w:t xml:space="preserve"> ini selari dengan kajian oleh Godinez (2010) serta</w:t>
      </w:r>
      <w:r w:rsidRPr="00D57F4E">
        <w:rPr>
          <w:rFonts w:ascii="Times New Roman" w:eastAsia="Times New Roman" w:hAnsi="Times New Roman" w:cs="Times New Roman"/>
          <w:color w:val="000000" w:themeColor="text1"/>
          <w:sz w:val="24"/>
          <w:szCs w:val="24"/>
        </w:rPr>
        <w:t xml:space="preserve"> </w:t>
      </w:r>
      <w:r w:rsidR="00775E7B">
        <w:rPr>
          <w:rFonts w:ascii="Times New Roman" w:eastAsia="Times New Roman" w:hAnsi="Times New Roman" w:cs="Times New Roman"/>
          <w:color w:val="000000" w:themeColor="text1"/>
          <w:sz w:val="24"/>
          <w:szCs w:val="24"/>
          <w:highlight w:val="white"/>
        </w:rPr>
        <w:t>Kanwar</w:t>
      </w:r>
      <w:r w:rsidR="00A520F2">
        <w:rPr>
          <w:rFonts w:ascii="Times New Roman" w:eastAsia="Times New Roman" w:hAnsi="Times New Roman" w:cs="Times New Roman"/>
          <w:color w:val="000000" w:themeColor="text1"/>
          <w:sz w:val="24"/>
          <w:szCs w:val="24"/>
          <w:highlight w:val="white"/>
        </w:rPr>
        <w:t xml:space="preserve"> et al. </w:t>
      </w:r>
      <w:r w:rsidRPr="00D57F4E">
        <w:rPr>
          <w:rFonts w:ascii="Times New Roman" w:eastAsia="Times New Roman" w:hAnsi="Times New Roman" w:cs="Times New Roman"/>
          <w:color w:val="000000" w:themeColor="text1"/>
          <w:sz w:val="24"/>
          <w:szCs w:val="24"/>
          <w:highlight w:val="white"/>
        </w:rPr>
        <w:t xml:space="preserve">(2019). </w:t>
      </w:r>
      <w:r w:rsidRPr="008A0AAF">
        <w:rPr>
          <w:rFonts w:ascii="Times New Roman" w:eastAsia="Times New Roman" w:hAnsi="Times New Roman" w:cs="Times New Roman"/>
          <w:color w:val="000000" w:themeColor="text1"/>
          <w:sz w:val="24"/>
          <w:szCs w:val="24"/>
          <w:highlight w:val="white"/>
          <w:lang w:val="es-ES_tradnl"/>
        </w:rPr>
        <w:t>Begitu juga hubungan positif antara inst</w:t>
      </w:r>
      <w:r w:rsidR="00C24B35" w:rsidRPr="008A0AAF">
        <w:rPr>
          <w:rFonts w:ascii="Times New Roman" w:eastAsia="Times New Roman" w:hAnsi="Times New Roman" w:cs="Times New Roman"/>
          <w:color w:val="000000" w:themeColor="text1"/>
          <w:sz w:val="24"/>
          <w:szCs w:val="24"/>
          <w:highlight w:val="white"/>
          <w:lang w:val="es-ES_tradnl"/>
        </w:rPr>
        <w:t>it</w:t>
      </w:r>
      <w:r w:rsidRPr="008A0AAF">
        <w:rPr>
          <w:rFonts w:ascii="Times New Roman" w:eastAsia="Times New Roman" w:hAnsi="Times New Roman" w:cs="Times New Roman"/>
          <w:color w:val="000000" w:themeColor="text1"/>
          <w:sz w:val="24"/>
          <w:szCs w:val="24"/>
          <w:highlight w:val="white"/>
          <w:lang w:val="es-ES_tradnl"/>
        </w:rPr>
        <w:t>usi dengan minat, dapatan kajian</w:t>
      </w:r>
      <w:r w:rsidR="00C24B35" w:rsidRPr="008A0AAF">
        <w:rPr>
          <w:rFonts w:ascii="Times New Roman" w:eastAsia="Times New Roman" w:hAnsi="Times New Roman" w:cs="Times New Roman"/>
          <w:color w:val="000000" w:themeColor="text1"/>
          <w:sz w:val="24"/>
          <w:szCs w:val="24"/>
          <w:highlight w:val="white"/>
          <w:lang w:val="es-ES_tradnl"/>
        </w:rPr>
        <w:t xml:space="preserve"> ini</w:t>
      </w:r>
      <w:r w:rsidRPr="008A0AAF">
        <w:rPr>
          <w:rFonts w:ascii="Times New Roman" w:eastAsia="Times New Roman" w:hAnsi="Times New Roman" w:cs="Times New Roman"/>
          <w:color w:val="000000" w:themeColor="text1"/>
          <w:sz w:val="24"/>
          <w:szCs w:val="24"/>
          <w:highlight w:val="white"/>
          <w:lang w:val="es-ES_tradnl"/>
        </w:rPr>
        <w:t xml:space="preserve"> selari dengan kajian-kajian </w:t>
      </w:r>
      <w:r w:rsidR="00775E7B" w:rsidRPr="008A0AAF">
        <w:rPr>
          <w:rFonts w:ascii="Times New Roman" w:eastAsia="Times New Roman" w:hAnsi="Times New Roman" w:cs="Times New Roman"/>
          <w:color w:val="000000" w:themeColor="text1"/>
          <w:sz w:val="24"/>
          <w:szCs w:val="24"/>
          <w:lang w:val="es-ES_tradnl"/>
        </w:rPr>
        <w:t>oleh Ancheh</w:t>
      </w:r>
      <w:r w:rsidR="00A520F2">
        <w:rPr>
          <w:rFonts w:ascii="Times New Roman" w:eastAsia="Times New Roman" w:hAnsi="Times New Roman" w:cs="Times New Roman"/>
          <w:color w:val="000000" w:themeColor="text1"/>
          <w:sz w:val="24"/>
          <w:szCs w:val="24"/>
          <w:lang w:val="es-ES_tradnl"/>
        </w:rPr>
        <w:t xml:space="preserve"> et al. </w:t>
      </w:r>
      <w:r w:rsidRPr="008A0AAF">
        <w:rPr>
          <w:rFonts w:ascii="Times New Roman" w:eastAsia="Times New Roman" w:hAnsi="Times New Roman" w:cs="Times New Roman"/>
          <w:color w:val="000000" w:themeColor="text1"/>
          <w:sz w:val="24"/>
          <w:szCs w:val="24"/>
          <w:lang w:val="es-ES_tradnl"/>
        </w:rPr>
        <w:t>(2007)</w:t>
      </w:r>
      <w:r w:rsidR="00775E7B" w:rsidRPr="008A0AAF">
        <w:rPr>
          <w:rFonts w:ascii="Times New Roman" w:eastAsia="Times New Roman" w:hAnsi="Times New Roman" w:cs="Times New Roman"/>
          <w:color w:val="000000" w:themeColor="text1"/>
          <w:sz w:val="24"/>
          <w:szCs w:val="24"/>
          <w:lang w:val="es-ES_tradnl"/>
        </w:rPr>
        <w:t>;</w:t>
      </w:r>
      <w:r w:rsidRPr="008A0AAF">
        <w:rPr>
          <w:rFonts w:ascii="Times New Roman" w:eastAsia="Times New Roman" w:hAnsi="Times New Roman" w:cs="Times New Roman"/>
          <w:color w:val="000000" w:themeColor="text1"/>
          <w:sz w:val="24"/>
          <w:szCs w:val="24"/>
          <w:lang w:val="es-ES_tradnl"/>
        </w:rPr>
        <w:t xml:space="preserve"> </w:t>
      </w:r>
      <w:hyperlink r:id="rId16">
        <w:r w:rsidR="00274F5E" w:rsidRPr="008A0AAF">
          <w:rPr>
            <w:rFonts w:ascii="Times New Roman" w:eastAsia="Times New Roman" w:hAnsi="Times New Roman" w:cs="Times New Roman"/>
            <w:color w:val="000000" w:themeColor="text1"/>
            <w:sz w:val="24"/>
            <w:szCs w:val="24"/>
            <w:highlight w:val="white"/>
            <w:lang w:val="es-ES_tradnl"/>
          </w:rPr>
          <w:t>Osman</w:t>
        </w:r>
      </w:hyperlink>
      <w:r w:rsidR="00274F5E" w:rsidRPr="008A0AAF">
        <w:rPr>
          <w:rFonts w:ascii="Times New Roman" w:eastAsia="Times New Roman" w:hAnsi="Times New Roman" w:cs="Times New Roman"/>
          <w:color w:val="000000" w:themeColor="text1"/>
          <w:sz w:val="24"/>
          <w:szCs w:val="24"/>
          <w:highlight w:val="white"/>
          <w:lang w:val="es-ES_tradnl"/>
        </w:rPr>
        <w:t xml:space="preserve"> dan </w:t>
      </w:r>
      <w:hyperlink r:id="rId17">
        <w:r w:rsidR="00274F5E" w:rsidRPr="008A0AAF">
          <w:rPr>
            <w:rFonts w:ascii="Times New Roman" w:eastAsia="Times New Roman" w:hAnsi="Times New Roman" w:cs="Times New Roman"/>
            <w:color w:val="000000" w:themeColor="text1"/>
            <w:sz w:val="24"/>
            <w:szCs w:val="24"/>
            <w:highlight w:val="white"/>
            <w:lang w:val="es-ES_tradnl"/>
          </w:rPr>
          <w:t>Saputra</w:t>
        </w:r>
      </w:hyperlink>
      <w:r w:rsidR="00274F5E" w:rsidRPr="008A0AAF">
        <w:rPr>
          <w:rFonts w:ascii="Times New Roman" w:eastAsia="Times New Roman" w:hAnsi="Times New Roman" w:cs="Times New Roman"/>
          <w:color w:val="000000" w:themeColor="text1"/>
          <w:sz w:val="24"/>
          <w:szCs w:val="24"/>
          <w:highlight w:val="white"/>
          <w:lang w:val="es-ES_tradnl"/>
        </w:rPr>
        <w:t xml:space="preserve"> (2019)</w:t>
      </w:r>
      <w:r w:rsidR="00775E7B" w:rsidRPr="008A0AAF">
        <w:rPr>
          <w:rFonts w:ascii="Times New Roman" w:eastAsia="Times New Roman" w:hAnsi="Times New Roman" w:cs="Times New Roman"/>
          <w:color w:val="000000" w:themeColor="text1"/>
          <w:sz w:val="24"/>
          <w:szCs w:val="24"/>
          <w:lang w:val="es-ES_tradnl"/>
        </w:rPr>
        <w:t>;</w:t>
      </w:r>
      <w:r w:rsidR="00274F5E" w:rsidRPr="008A0AAF">
        <w:rPr>
          <w:rFonts w:ascii="Times New Roman" w:eastAsia="Times New Roman" w:hAnsi="Times New Roman" w:cs="Times New Roman"/>
          <w:color w:val="000000" w:themeColor="text1"/>
          <w:sz w:val="24"/>
          <w:szCs w:val="24"/>
          <w:lang w:val="es-ES_tradnl"/>
        </w:rPr>
        <w:t xml:space="preserve"> serta </w:t>
      </w:r>
      <w:r w:rsidR="00775E7B" w:rsidRPr="008A0AAF">
        <w:rPr>
          <w:rFonts w:ascii="Times New Roman" w:eastAsia="Times New Roman" w:hAnsi="Times New Roman" w:cs="Times New Roman"/>
          <w:color w:val="000000" w:themeColor="text1"/>
          <w:sz w:val="24"/>
          <w:szCs w:val="24"/>
          <w:lang w:val="es-ES_tradnl"/>
        </w:rPr>
        <w:t>Su</w:t>
      </w:r>
      <w:r w:rsidR="00A520F2">
        <w:rPr>
          <w:rFonts w:ascii="Times New Roman" w:eastAsia="Times New Roman" w:hAnsi="Times New Roman" w:cs="Times New Roman"/>
          <w:color w:val="000000" w:themeColor="text1"/>
          <w:sz w:val="24"/>
          <w:szCs w:val="24"/>
          <w:lang w:val="es-ES_tradnl"/>
        </w:rPr>
        <w:t xml:space="preserve"> et al.</w:t>
      </w:r>
      <w:r w:rsidRPr="008A0AAF">
        <w:rPr>
          <w:rFonts w:ascii="Times New Roman" w:eastAsia="Times New Roman" w:hAnsi="Times New Roman" w:cs="Times New Roman"/>
          <w:color w:val="000000" w:themeColor="text1"/>
          <w:sz w:val="24"/>
          <w:szCs w:val="24"/>
          <w:lang w:val="es-ES_tradnl"/>
        </w:rPr>
        <w:t xml:space="preserve"> (2012)</w:t>
      </w:r>
      <w:r w:rsidR="00274F5E" w:rsidRPr="008A0AAF">
        <w:rPr>
          <w:rFonts w:ascii="Times New Roman" w:eastAsia="Times New Roman" w:hAnsi="Times New Roman" w:cs="Times New Roman"/>
          <w:color w:val="000000" w:themeColor="text1"/>
          <w:sz w:val="24"/>
          <w:szCs w:val="24"/>
          <w:lang w:val="es-ES_tradnl"/>
        </w:rPr>
        <w:t>.</w:t>
      </w:r>
    </w:p>
    <w:p w14:paraId="7974C52E" w14:textId="77777777" w:rsidR="00BF0DC2" w:rsidRPr="008A0AAF" w:rsidRDefault="00BF0DC2" w:rsidP="00665616">
      <w:pPr>
        <w:spacing w:after="0" w:line="240" w:lineRule="auto"/>
        <w:ind w:left="0" w:hanging="2"/>
        <w:jc w:val="both"/>
        <w:rPr>
          <w:rFonts w:ascii="Times New Roman" w:eastAsia="Times New Roman" w:hAnsi="Times New Roman" w:cs="Times New Roman"/>
          <w:color w:val="000000" w:themeColor="text1"/>
          <w:sz w:val="24"/>
          <w:szCs w:val="24"/>
          <w:lang w:val="es-ES_tradnl"/>
        </w:rPr>
      </w:pPr>
      <w:r w:rsidRPr="008A0AAF">
        <w:rPr>
          <w:rFonts w:ascii="Times New Roman" w:eastAsia="Times New Roman" w:hAnsi="Times New Roman" w:cs="Times New Roman"/>
          <w:color w:val="000000" w:themeColor="text1"/>
          <w:sz w:val="24"/>
          <w:szCs w:val="24"/>
          <w:highlight w:val="white"/>
          <w:lang w:val="es-ES_tradnl"/>
        </w:rPr>
        <w:tab/>
      </w:r>
      <w:r w:rsidRPr="008A0AAF">
        <w:rPr>
          <w:rFonts w:ascii="Times New Roman" w:eastAsia="Times New Roman" w:hAnsi="Times New Roman" w:cs="Times New Roman"/>
          <w:color w:val="000000" w:themeColor="text1"/>
          <w:sz w:val="24"/>
          <w:szCs w:val="24"/>
          <w:highlight w:val="white"/>
          <w:lang w:val="es-ES_tradnl"/>
        </w:rPr>
        <w:tab/>
        <w:t xml:space="preserve">Manakala kajian </w:t>
      </w:r>
      <w:r w:rsidR="00775E7B" w:rsidRPr="008A0AAF">
        <w:rPr>
          <w:rFonts w:ascii="Times New Roman" w:eastAsia="Times New Roman" w:hAnsi="Times New Roman" w:cs="Times New Roman"/>
          <w:color w:val="000000" w:themeColor="text1"/>
          <w:sz w:val="24"/>
          <w:szCs w:val="24"/>
          <w:lang w:val="es-ES_tradnl"/>
        </w:rPr>
        <w:t>Hasami dan</w:t>
      </w:r>
      <w:r w:rsidRPr="008A0AAF">
        <w:rPr>
          <w:rFonts w:ascii="Times New Roman" w:eastAsia="Times New Roman" w:hAnsi="Times New Roman" w:cs="Times New Roman"/>
          <w:color w:val="000000" w:themeColor="text1"/>
          <w:sz w:val="24"/>
          <w:szCs w:val="24"/>
          <w:lang w:val="es-ES_tradnl"/>
        </w:rPr>
        <w:t xml:space="preserve"> Buang (2018) turut mengakui bahawa </w:t>
      </w:r>
      <w:r w:rsidR="006D1415" w:rsidRPr="008A0AAF">
        <w:rPr>
          <w:rFonts w:ascii="Times New Roman" w:eastAsia="Times New Roman" w:hAnsi="Times New Roman" w:cs="Times New Roman"/>
          <w:color w:val="000000" w:themeColor="text1"/>
          <w:sz w:val="24"/>
          <w:szCs w:val="24"/>
          <w:lang w:val="es-ES_tradnl"/>
        </w:rPr>
        <w:t xml:space="preserve">program </w:t>
      </w:r>
      <w:r w:rsidRPr="008A0AAF">
        <w:rPr>
          <w:rFonts w:ascii="Times New Roman" w:eastAsia="Times New Roman" w:hAnsi="Times New Roman" w:cs="Times New Roman"/>
          <w:color w:val="000000" w:themeColor="text1"/>
          <w:sz w:val="24"/>
          <w:szCs w:val="24"/>
          <w:lang w:val="es-ES_tradnl"/>
        </w:rPr>
        <w:t xml:space="preserve">PSH dapat </w:t>
      </w:r>
      <w:r w:rsidR="006D1415" w:rsidRPr="008A0AAF">
        <w:rPr>
          <w:rFonts w:ascii="Times New Roman" w:eastAsia="Times New Roman" w:hAnsi="Times New Roman" w:cs="Times New Roman"/>
          <w:color w:val="000000" w:themeColor="text1"/>
          <w:sz w:val="24"/>
          <w:szCs w:val="24"/>
          <w:lang w:val="es-ES_tradnl"/>
        </w:rPr>
        <w:t>meningkatkan pengetahuan peserta. Ini selaras dengan</w:t>
      </w:r>
      <w:r w:rsidR="00C24B35" w:rsidRPr="008A0AAF">
        <w:rPr>
          <w:rFonts w:ascii="Times New Roman" w:eastAsia="Times New Roman" w:hAnsi="Times New Roman" w:cs="Times New Roman"/>
          <w:color w:val="000000" w:themeColor="text1"/>
          <w:sz w:val="24"/>
          <w:szCs w:val="24"/>
          <w:lang w:val="es-ES_tradnl"/>
        </w:rPr>
        <w:t xml:space="preserve"> dapatan</w:t>
      </w:r>
      <w:r w:rsidR="006D1415" w:rsidRPr="008A0AAF">
        <w:rPr>
          <w:rFonts w:ascii="Times New Roman" w:eastAsia="Times New Roman" w:hAnsi="Times New Roman" w:cs="Times New Roman"/>
          <w:color w:val="000000" w:themeColor="text1"/>
          <w:sz w:val="24"/>
          <w:szCs w:val="24"/>
          <w:lang w:val="es-ES_tradnl"/>
        </w:rPr>
        <w:t xml:space="preserve"> kajian ini </w:t>
      </w:r>
      <w:r w:rsidR="00C24B35" w:rsidRPr="008A0AAF">
        <w:rPr>
          <w:rFonts w:ascii="Times New Roman" w:eastAsia="Times New Roman" w:hAnsi="Times New Roman" w:cs="Times New Roman"/>
          <w:color w:val="000000" w:themeColor="text1"/>
          <w:sz w:val="24"/>
          <w:szCs w:val="24"/>
          <w:lang w:val="es-ES_tradnl"/>
        </w:rPr>
        <w:t xml:space="preserve">yang </w:t>
      </w:r>
      <w:r w:rsidR="006D1415" w:rsidRPr="008A0AAF">
        <w:rPr>
          <w:rFonts w:ascii="Times New Roman" w:eastAsia="Times New Roman" w:hAnsi="Times New Roman" w:cs="Times New Roman"/>
          <w:color w:val="000000" w:themeColor="text1"/>
          <w:sz w:val="24"/>
          <w:szCs w:val="24"/>
          <w:lang w:val="es-ES_tradnl"/>
        </w:rPr>
        <w:t>menunjukkan keperluan akademik gur</w:t>
      </w:r>
      <w:r w:rsidR="00775E7B" w:rsidRPr="008A0AAF">
        <w:rPr>
          <w:rFonts w:ascii="Times New Roman" w:eastAsia="Times New Roman" w:hAnsi="Times New Roman" w:cs="Times New Roman"/>
          <w:color w:val="000000" w:themeColor="text1"/>
          <w:sz w:val="24"/>
          <w:szCs w:val="24"/>
          <w:lang w:val="es-ES_tradnl"/>
        </w:rPr>
        <w:t>u-guru JAIS merupakan faktor pen</w:t>
      </w:r>
      <w:r w:rsidR="006D1415" w:rsidRPr="008A0AAF">
        <w:rPr>
          <w:rFonts w:ascii="Times New Roman" w:eastAsia="Times New Roman" w:hAnsi="Times New Roman" w:cs="Times New Roman"/>
          <w:color w:val="000000" w:themeColor="text1"/>
          <w:sz w:val="24"/>
          <w:szCs w:val="24"/>
          <w:lang w:val="es-ES_tradnl"/>
        </w:rPr>
        <w:t xml:space="preserve">dorong </w:t>
      </w:r>
      <w:r w:rsidR="00775E7B" w:rsidRPr="008A0AAF">
        <w:rPr>
          <w:rFonts w:ascii="Times New Roman" w:eastAsia="Times New Roman" w:hAnsi="Times New Roman" w:cs="Times New Roman"/>
          <w:color w:val="000000" w:themeColor="text1"/>
          <w:sz w:val="24"/>
          <w:szCs w:val="24"/>
          <w:lang w:val="es-ES_tradnl"/>
        </w:rPr>
        <w:t>bagi</w:t>
      </w:r>
      <w:r w:rsidR="006D1415" w:rsidRPr="008A0AAF">
        <w:rPr>
          <w:rFonts w:ascii="Times New Roman" w:eastAsia="Times New Roman" w:hAnsi="Times New Roman" w:cs="Times New Roman"/>
          <w:color w:val="000000" w:themeColor="text1"/>
          <w:sz w:val="24"/>
          <w:szCs w:val="24"/>
          <w:lang w:val="es-ES_tradnl"/>
        </w:rPr>
        <w:t xml:space="preserve"> mengikut program ini. Selanjutnya faktor diri peserta berperanan mempengaruhi minat mengikuti program PSH. Kajian ini </w:t>
      </w:r>
      <w:r w:rsidR="00C24B35" w:rsidRPr="008A0AAF">
        <w:rPr>
          <w:rFonts w:ascii="Times New Roman" w:eastAsia="Times New Roman" w:hAnsi="Times New Roman" w:cs="Times New Roman"/>
          <w:color w:val="000000" w:themeColor="text1"/>
          <w:sz w:val="24"/>
          <w:szCs w:val="24"/>
          <w:lang w:val="es-ES_tradnl"/>
        </w:rPr>
        <w:t xml:space="preserve">seiring </w:t>
      </w:r>
      <w:r w:rsidR="006D1415" w:rsidRPr="008A0AAF">
        <w:rPr>
          <w:rFonts w:ascii="Times New Roman" w:eastAsia="Times New Roman" w:hAnsi="Times New Roman" w:cs="Times New Roman"/>
          <w:color w:val="000000" w:themeColor="text1"/>
          <w:sz w:val="24"/>
          <w:szCs w:val="24"/>
          <w:lang w:val="es-ES_tradnl"/>
        </w:rPr>
        <w:t>denga</w:t>
      </w:r>
      <w:r w:rsidR="0019205E" w:rsidRPr="008A0AAF">
        <w:rPr>
          <w:rFonts w:ascii="Times New Roman" w:eastAsia="Times New Roman" w:hAnsi="Times New Roman" w:cs="Times New Roman"/>
          <w:color w:val="000000" w:themeColor="text1"/>
          <w:sz w:val="24"/>
          <w:szCs w:val="24"/>
          <w:lang w:val="es-ES_tradnl"/>
        </w:rPr>
        <w:t>n</w:t>
      </w:r>
      <w:r w:rsidR="006D1415" w:rsidRPr="008A0AAF">
        <w:rPr>
          <w:rFonts w:ascii="Times New Roman" w:eastAsia="Times New Roman" w:hAnsi="Times New Roman" w:cs="Times New Roman"/>
          <w:color w:val="000000" w:themeColor="text1"/>
          <w:sz w:val="24"/>
          <w:szCs w:val="24"/>
          <w:lang w:val="es-ES_tradnl"/>
        </w:rPr>
        <w:t xml:space="preserve"> </w:t>
      </w:r>
      <w:r w:rsidR="0019205E" w:rsidRPr="008A0AAF">
        <w:rPr>
          <w:rFonts w:ascii="Times New Roman" w:eastAsia="Times New Roman" w:hAnsi="Times New Roman" w:cs="Times New Roman"/>
          <w:color w:val="000000" w:themeColor="text1"/>
          <w:sz w:val="24"/>
          <w:szCs w:val="24"/>
          <w:lang w:val="es-ES_tradnl"/>
        </w:rPr>
        <w:t>saranan</w:t>
      </w:r>
      <w:r w:rsidR="00775E7B" w:rsidRPr="008A0AAF">
        <w:rPr>
          <w:rFonts w:ascii="Times New Roman" w:eastAsia="Times New Roman" w:hAnsi="Times New Roman" w:cs="Times New Roman"/>
          <w:color w:val="000000" w:themeColor="text1"/>
          <w:sz w:val="24"/>
          <w:szCs w:val="24"/>
          <w:lang w:val="es-ES_tradnl"/>
        </w:rPr>
        <w:t xml:space="preserve"> Mohd Faeez et a</w:t>
      </w:r>
      <w:r w:rsidR="006D1415" w:rsidRPr="008A0AAF">
        <w:rPr>
          <w:rFonts w:ascii="Times New Roman" w:eastAsia="Times New Roman" w:hAnsi="Times New Roman" w:cs="Times New Roman"/>
          <w:color w:val="000000" w:themeColor="text1"/>
          <w:sz w:val="24"/>
          <w:szCs w:val="24"/>
          <w:lang w:val="es-ES_tradnl"/>
        </w:rPr>
        <w:t>l. (2017)</w:t>
      </w:r>
      <w:r w:rsidR="0019205E" w:rsidRPr="008A0AAF">
        <w:rPr>
          <w:rFonts w:ascii="Times New Roman" w:eastAsia="Times New Roman" w:hAnsi="Times New Roman" w:cs="Times New Roman"/>
          <w:color w:val="000000" w:themeColor="text1"/>
          <w:sz w:val="24"/>
          <w:szCs w:val="24"/>
          <w:lang w:val="es-ES_tradnl"/>
        </w:rPr>
        <w:t xml:space="preserve"> yang menekankan bahawa kualiti perkhidmatan awam bergantung kepada kualiti penjawat awam. Bagi meningkatkan kualiti perkhidmatan, kerajaan </w:t>
      </w:r>
      <w:r w:rsidR="00C24B35" w:rsidRPr="008A0AAF">
        <w:rPr>
          <w:rFonts w:ascii="Times New Roman" w:eastAsia="Times New Roman" w:hAnsi="Times New Roman" w:cs="Times New Roman"/>
          <w:color w:val="000000" w:themeColor="text1"/>
          <w:sz w:val="24"/>
          <w:szCs w:val="24"/>
          <w:lang w:val="es-ES_tradnl"/>
        </w:rPr>
        <w:t>perlu</w:t>
      </w:r>
      <w:r w:rsidR="0019205E" w:rsidRPr="008A0AAF">
        <w:rPr>
          <w:rFonts w:ascii="Times New Roman" w:eastAsia="Times New Roman" w:hAnsi="Times New Roman" w:cs="Times New Roman"/>
          <w:color w:val="000000" w:themeColor="text1"/>
          <w:sz w:val="24"/>
          <w:szCs w:val="24"/>
          <w:lang w:val="es-ES_tradnl"/>
        </w:rPr>
        <w:t xml:space="preserve"> melatih tenaga pekerja bagi meningkatkan kemahiran, pengetahuan dan berinovasi.</w:t>
      </w:r>
    </w:p>
    <w:p w14:paraId="0FBD7E4F" w14:textId="0E347108" w:rsidR="0019205E" w:rsidRPr="008A0AAF" w:rsidRDefault="0019205E" w:rsidP="00665616">
      <w:pPr>
        <w:spacing w:after="0" w:line="240" w:lineRule="auto"/>
        <w:ind w:left="0" w:hanging="2"/>
        <w:jc w:val="both"/>
        <w:rPr>
          <w:rFonts w:ascii="Times New Roman" w:eastAsia="Times New Roman" w:hAnsi="Times New Roman" w:cs="Times New Roman"/>
          <w:color w:val="000000" w:themeColor="text1"/>
          <w:sz w:val="24"/>
          <w:szCs w:val="24"/>
          <w:lang w:val="es-ES_tradnl"/>
        </w:rPr>
      </w:pPr>
      <w:r w:rsidRPr="008A0AAF">
        <w:rPr>
          <w:rFonts w:ascii="Times New Roman" w:eastAsia="Times New Roman" w:hAnsi="Times New Roman" w:cs="Times New Roman"/>
          <w:color w:val="000000" w:themeColor="text1"/>
          <w:sz w:val="24"/>
          <w:szCs w:val="24"/>
          <w:lang w:val="es-ES_tradnl"/>
        </w:rPr>
        <w:tab/>
      </w:r>
      <w:r w:rsidRPr="008A0AAF">
        <w:rPr>
          <w:rFonts w:ascii="Times New Roman" w:eastAsia="Times New Roman" w:hAnsi="Times New Roman" w:cs="Times New Roman"/>
          <w:color w:val="000000" w:themeColor="text1"/>
          <w:sz w:val="24"/>
          <w:szCs w:val="24"/>
          <w:lang w:val="es-ES_tradnl"/>
        </w:rPr>
        <w:tab/>
        <w:t>Faktor institusi juga berperanan mempen</w:t>
      </w:r>
      <w:r w:rsidR="00C24B35" w:rsidRPr="008A0AAF">
        <w:rPr>
          <w:rFonts w:ascii="Times New Roman" w:eastAsia="Times New Roman" w:hAnsi="Times New Roman" w:cs="Times New Roman"/>
          <w:color w:val="000000" w:themeColor="text1"/>
          <w:sz w:val="24"/>
          <w:szCs w:val="24"/>
          <w:lang w:val="es-ES_tradnl"/>
        </w:rPr>
        <w:t>ga</w:t>
      </w:r>
      <w:r w:rsidRPr="008A0AAF">
        <w:rPr>
          <w:rFonts w:ascii="Times New Roman" w:eastAsia="Times New Roman" w:hAnsi="Times New Roman" w:cs="Times New Roman"/>
          <w:color w:val="000000" w:themeColor="text1"/>
          <w:sz w:val="24"/>
          <w:szCs w:val="24"/>
          <w:lang w:val="es-ES_tradnl"/>
        </w:rPr>
        <w:t xml:space="preserve">ruhi minta mengikut program PSH. Kajian ini menunjukkan faktor institusi seperti kemudahan prasarana, tenaga pengajar, yuran, promosi dan bidang keperluan merupakan penarik minat kepada program PSH. </w:t>
      </w:r>
      <w:r w:rsidR="00EB4E48" w:rsidRPr="008A0AAF">
        <w:rPr>
          <w:rFonts w:ascii="Times New Roman" w:eastAsia="Times New Roman" w:hAnsi="Times New Roman" w:cs="Times New Roman"/>
          <w:color w:val="000000" w:themeColor="text1"/>
          <w:sz w:val="24"/>
          <w:szCs w:val="24"/>
          <w:lang w:val="es-ES_tradnl"/>
        </w:rPr>
        <w:t>Menurut Khasniza</w:t>
      </w:r>
      <w:r w:rsidR="00775E7B" w:rsidRPr="008A0AAF">
        <w:rPr>
          <w:rFonts w:ascii="Times New Roman" w:eastAsia="Times New Roman" w:hAnsi="Times New Roman" w:cs="Times New Roman"/>
          <w:color w:val="000000" w:themeColor="text1"/>
          <w:sz w:val="24"/>
          <w:szCs w:val="24"/>
          <w:lang w:val="es-ES_tradnl"/>
        </w:rPr>
        <w:t xml:space="preserve"> dan Nurul Akmar </w:t>
      </w:r>
      <w:r w:rsidR="00EB4E48" w:rsidRPr="008A0AAF">
        <w:rPr>
          <w:rFonts w:ascii="Times New Roman" w:eastAsia="Times New Roman" w:hAnsi="Times New Roman" w:cs="Times New Roman"/>
          <w:color w:val="000000" w:themeColor="text1"/>
          <w:sz w:val="24"/>
          <w:szCs w:val="24"/>
          <w:lang w:val="es-ES_tradnl"/>
        </w:rPr>
        <w:t>(2017)</w:t>
      </w:r>
      <w:r w:rsidR="00775E7B" w:rsidRPr="008A0AAF">
        <w:rPr>
          <w:rFonts w:ascii="Times New Roman" w:eastAsia="Times New Roman" w:hAnsi="Times New Roman" w:cs="Times New Roman"/>
          <w:color w:val="000000" w:themeColor="text1"/>
          <w:sz w:val="24"/>
          <w:szCs w:val="24"/>
          <w:lang w:val="es-ES_tradnl"/>
        </w:rPr>
        <w:t xml:space="preserve"> serta</w:t>
      </w:r>
      <w:r w:rsidR="00EB4E48" w:rsidRPr="008A0AAF">
        <w:rPr>
          <w:rFonts w:ascii="Times New Roman" w:eastAsia="Times New Roman" w:hAnsi="Times New Roman" w:cs="Times New Roman"/>
          <w:color w:val="000000" w:themeColor="text1"/>
          <w:sz w:val="24"/>
          <w:szCs w:val="24"/>
          <w:lang w:val="es-ES_tradnl"/>
        </w:rPr>
        <w:t xml:space="preserve"> Kanwar</w:t>
      </w:r>
      <w:r w:rsidR="00255913">
        <w:rPr>
          <w:rFonts w:ascii="Times New Roman" w:eastAsia="Times New Roman" w:hAnsi="Times New Roman" w:cs="Times New Roman"/>
          <w:color w:val="000000" w:themeColor="text1"/>
          <w:sz w:val="24"/>
          <w:szCs w:val="24"/>
          <w:lang w:val="es-ES_tradnl"/>
        </w:rPr>
        <w:t xml:space="preserve"> et al. </w:t>
      </w:r>
      <w:r w:rsidR="00775E7B" w:rsidRPr="008A0AAF">
        <w:rPr>
          <w:rFonts w:ascii="Times New Roman" w:eastAsia="Times New Roman" w:hAnsi="Times New Roman" w:cs="Times New Roman"/>
          <w:color w:val="000000" w:themeColor="text1"/>
          <w:sz w:val="24"/>
          <w:szCs w:val="24"/>
          <w:lang w:val="es-ES_tradnl"/>
        </w:rPr>
        <w:t xml:space="preserve">(2019) </w:t>
      </w:r>
      <w:r w:rsidR="00EB4E48" w:rsidRPr="008A0AAF">
        <w:rPr>
          <w:rFonts w:ascii="Times New Roman" w:eastAsia="Times New Roman" w:hAnsi="Times New Roman" w:cs="Times New Roman"/>
          <w:color w:val="000000" w:themeColor="text1"/>
          <w:sz w:val="24"/>
          <w:szCs w:val="24"/>
          <w:lang w:val="es-ES_tradnl"/>
        </w:rPr>
        <w:t xml:space="preserve">bahawa faktor-faktor tersebut perlu diambilkira dalam menawarkan program PSH. Ini disebabkan pelajar biasanya akan memilih institusi </w:t>
      </w:r>
      <w:r w:rsidR="00C24B35" w:rsidRPr="008A0AAF">
        <w:rPr>
          <w:rFonts w:ascii="Times New Roman" w:eastAsia="Times New Roman" w:hAnsi="Times New Roman" w:cs="Times New Roman"/>
          <w:color w:val="000000" w:themeColor="text1"/>
          <w:sz w:val="24"/>
          <w:szCs w:val="24"/>
          <w:lang w:val="es-ES_tradnl"/>
        </w:rPr>
        <w:t>p</w:t>
      </w:r>
      <w:r w:rsidR="00EB4E48" w:rsidRPr="008A0AAF">
        <w:rPr>
          <w:rFonts w:ascii="Times New Roman" w:eastAsia="Times New Roman" w:hAnsi="Times New Roman" w:cs="Times New Roman"/>
          <w:color w:val="000000" w:themeColor="text1"/>
          <w:sz w:val="24"/>
          <w:szCs w:val="24"/>
          <w:lang w:val="es-ES_tradnl"/>
        </w:rPr>
        <w:t>endidikan berdasarkan kekuatan atau kelebihannya berbanding dengan institusi yang lain.</w:t>
      </w:r>
    </w:p>
    <w:p w14:paraId="73A35544" w14:textId="2C4F02A7" w:rsidR="00EB4E48" w:rsidRPr="00D57F4E" w:rsidRDefault="00EB4E48" w:rsidP="00665616">
      <w:pPr>
        <w:spacing w:after="0" w:line="240" w:lineRule="auto"/>
        <w:ind w:left="0" w:hanging="2"/>
        <w:jc w:val="both"/>
        <w:rPr>
          <w:rFonts w:ascii="Times New Roman" w:eastAsia="Times New Roman" w:hAnsi="Times New Roman" w:cs="Times New Roman"/>
          <w:color w:val="000000" w:themeColor="text1"/>
          <w:sz w:val="24"/>
          <w:szCs w:val="24"/>
          <w:highlight w:val="white"/>
        </w:rPr>
      </w:pPr>
      <w:r w:rsidRPr="008A0AAF">
        <w:rPr>
          <w:rFonts w:ascii="Times New Roman" w:eastAsia="Times New Roman" w:hAnsi="Times New Roman" w:cs="Times New Roman"/>
          <w:color w:val="000000" w:themeColor="text1"/>
          <w:sz w:val="24"/>
          <w:szCs w:val="24"/>
          <w:lang w:val="es-ES_tradnl"/>
        </w:rPr>
        <w:tab/>
      </w:r>
      <w:r w:rsidR="00392C34" w:rsidRPr="008A0AAF">
        <w:rPr>
          <w:rFonts w:ascii="Times New Roman" w:eastAsia="Times New Roman" w:hAnsi="Times New Roman" w:cs="Times New Roman"/>
          <w:color w:val="000000" w:themeColor="text1"/>
          <w:sz w:val="24"/>
          <w:szCs w:val="24"/>
          <w:lang w:val="es-ES_tradnl"/>
        </w:rPr>
        <w:tab/>
      </w:r>
      <w:r w:rsidRPr="00D57F4E">
        <w:rPr>
          <w:rFonts w:ascii="Times New Roman" w:eastAsia="Times New Roman" w:hAnsi="Times New Roman" w:cs="Times New Roman"/>
          <w:color w:val="000000" w:themeColor="text1"/>
          <w:sz w:val="24"/>
          <w:szCs w:val="24"/>
        </w:rPr>
        <w:t>Namun dalam kajian ini, promosi menawarkan program PSH m</w:t>
      </w:r>
      <w:r w:rsidR="00775E7B">
        <w:rPr>
          <w:rFonts w:ascii="Times New Roman" w:eastAsia="Times New Roman" w:hAnsi="Times New Roman" w:cs="Times New Roman"/>
          <w:color w:val="000000" w:themeColor="text1"/>
          <w:sz w:val="24"/>
          <w:szCs w:val="24"/>
        </w:rPr>
        <w:t xml:space="preserve">enunjukkan skor min rendah. Ia </w:t>
      </w:r>
      <w:r w:rsidRPr="00D57F4E">
        <w:rPr>
          <w:rFonts w:ascii="Times New Roman" w:eastAsia="Times New Roman" w:hAnsi="Times New Roman" w:cs="Times New Roman"/>
          <w:color w:val="000000" w:themeColor="text1"/>
          <w:sz w:val="24"/>
          <w:szCs w:val="24"/>
        </w:rPr>
        <w:t xml:space="preserve">menggambarkan mungkin disebabkan promosi program ini dilakukan oleh pihak JAIS sendiri. Pihak UPSI hanya memberi taklimat kepada guru-guru yang berminat setelah pihak JAIS mengedarkan pekeliling jemputan menghadiri taklimat </w:t>
      </w:r>
      <w:r w:rsidR="00775E7B">
        <w:rPr>
          <w:rFonts w:ascii="Times New Roman" w:eastAsia="Times New Roman" w:hAnsi="Times New Roman" w:cs="Times New Roman"/>
          <w:color w:val="000000" w:themeColor="text1"/>
          <w:sz w:val="24"/>
          <w:szCs w:val="24"/>
        </w:rPr>
        <w:t>PPGB-JAIS-UPSI. Walau bagaimana</w:t>
      </w:r>
      <w:r w:rsidRPr="00D57F4E">
        <w:rPr>
          <w:rFonts w:ascii="Times New Roman" w:eastAsia="Times New Roman" w:hAnsi="Times New Roman" w:cs="Times New Roman"/>
          <w:color w:val="000000" w:themeColor="text1"/>
          <w:sz w:val="24"/>
          <w:szCs w:val="24"/>
        </w:rPr>
        <w:t>pun</w:t>
      </w:r>
      <w:r w:rsidR="00775E7B">
        <w:rPr>
          <w:rFonts w:ascii="Times New Roman" w:eastAsia="Times New Roman" w:hAnsi="Times New Roman" w:cs="Times New Roman"/>
          <w:color w:val="000000" w:themeColor="text1"/>
          <w:sz w:val="24"/>
          <w:szCs w:val="24"/>
        </w:rPr>
        <w:t>,</w:t>
      </w:r>
      <w:r w:rsidRPr="00D57F4E">
        <w:rPr>
          <w:rFonts w:ascii="Times New Roman" w:eastAsia="Times New Roman" w:hAnsi="Times New Roman" w:cs="Times New Roman"/>
          <w:color w:val="000000" w:themeColor="text1"/>
          <w:sz w:val="24"/>
          <w:szCs w:val="24"/>
        </w:rPr>
        <w:t xml:space="preserve"> kajian dan cadangan Absher dan Crawford (1996)</w:t>
      </w:r>
      <w:r w:rsidR="00274F5E" w:rsidRPr="00D57F4E">
        <w:rPr>
          <w:rFonts w:ascii="Times New Roman" w:eastAsia="Times New Roman" w:hAnsi="Times New Roman" w:cs="Times New Roman"/>
          <w:color w:val="000000" w:themeColor="text1"/>
          <w:sz w:val="24"/>
          <w:szCs w:val="24"/>
        </w:rPr>
        <w:t xml:space="preserve"> Arpan</w:t>
      </w:r>
      <w:r w:rsidR="00C85048">
        <w:rPr>
          <w:rFonts w:ascii="Times New Roman" w:eastAsia="Times New Roman" w:hAnsi="Times New Roman" w:cs="Times New Roman"/>
          <w:color w:val="000000" w:themeColor="text1"/>
          <w:sz w:val="24"/>
          <w:szCs w:val="24"/>
        </w:rPr>
        <w:t xml:space="preserve"> et al.</w:t>
      </w:r>
      <w:r w:rsidR="00274F5E" w:rsidRPr="00D57F4E">
        <w:rPr>
          <w:rFonts w:ascii="Times New Roman" w:eastAsia="Times New Roman" w:hAnsi="Times New Roman" w:cs="Times New Roman"/>
          <w:color w:val="000000" w:themeColor="text1"/>
          <w:sz w:val="24"/>
          <w:szCs w:val="24"/>
        </w:rPr>
        <w:t xml:space="preserve"> (2003) serta </w:t>
      </w:r>
      <w:r w:rsidRPr="00D57F4E">
        <w:rPr>
          <w:rFonts w:ascii="Times New Roman" w:eastAsia="Times New Roman" w:hAnsi="Times New Roman" w:cs="Times New Roman"/>
          <w:color w:val="000000" w:themeColor="text1"/>
          <w:sz w:val="24"/>
          <w:szCs w:val="24"/>
        </w:rPr>
        <w:t>Hassan</w:t>
      </w:r>
      <w:r w:rsidR="00C85048">
        <w:rPr>
          <w:rFonts w:ascii="Times New Roman" w:eastAsia="Times New Roman" w:hAnsi="Times New Roman" w:cs="Times New Roman"/>
          <w:color w:val="000000" w:themeColor="text1"/>
          <w:sz w:val="24"/>
          <w:szCs w:val="24"/>
        </w:rPr>
        <w:t xml:space="preserve"> et al.</w:t>
      </w:r>
      <w:r w:rsidRPr="00D57F4E">
        <w:rPr>
          <w:rFonts w:ascii="Times New Roman" w:eastAsia="Times New Roman" w:hAnsi="Times New Roman" w:cs="Times New Roman"/>
          <w:color w:val="000000" w:themeColor="text1"/>
          <w:sz w:val="24"/>
          <w:szCs w:val="24"/>
        </w:rPr>
        <w:t xml:space="preserve"> (2008) </w:t>
      </w:r>
      <w:r w:rsidR="00E41094">
        <w:rPr>
          <w:rFonts w:ascii="Times New Roman" w:eastAsia="Times New Roman" w:hAnsi="Times New Roman" w:cs="Times New Roman"/>
          <w:color w:val="000000" w:themeColor="text1"/>
          <w:sz w:val="24"/>
          <w:szCs w:val="24"/>
        </w:rPr>
        <w:t xml:space="preserve">menyatakan </w:t>
      </w:r>
      <w:r w:rsidRPr="00D57F4E">
        <w:rPr>
          <w:rFonts w:ascii="Times New Roman" w:eastAsia="Times New Roman" w:hAnsi="Times New Roman" w:cs="Times New Roman"/>
          <w:color w:val="000000" w:themeColor="text1"/>
          <w:sz w:val="24"/>
          <w:szCs w:val="24"/>
        </w:rPr>
        <w:t>promosi dari pihak penyedia program PSH juga berperanan dalam mempengaruhi minat pelajar</w:t>
      </w:r>
      <w:r w:rsidR="00392C34" w:rsidRPr="00D57F4E">
        <w:rPr>
          <w:rFonts w:ascii="Times New Roman" w:eastAsia="Times New Roman" w:hAnsi="Times New Roman" w:cs="Times New Roman"/>
          <w:color w:val="000000" w:themeColor="text1"/>
          <w:sz w:val="24"/>
          <w:szCs w:val="24"/>
        </w:rPr>
        <w:t>.</w:t>
      </w:r>
    </w:p>
    <w:p w14:paraId="5C0B1739" w14:textId="79A6E2A6" w:rsidR="00A03ABC" w:rsidRPr="00D57F4E" w:rsidRDefault="00A03ABC" w:rsidP="00665616">
      <w:pPr>
        <w:spacing w:after="0" w:line="240" w:lineRule="auto"/>
        <w:ind w:left="0" w:hanging="2"/>
        <w:jc w:val="both"/>
        <w:rPr>
          <w:rFonts w:ascii="Times New Roman" w:eastAsia="Times New Roman" w:hAnsi="Times New Roman" w:cs="Times New Roman"/>
          <w:color w:val="000000" w:themeColor="text1"/>
          <w:sz w:val="24"/>
          <w:szCs w:val="24"/>
          <w:highlight w:val="white"/>
        </w:rPr>
      </w:pPr>
      <w:r w:rsidRPr="00D57F4E">
        <w:rPr>
          <w:rFonts w:ascii="Times New Roman" w:eastAsia="Times New Roman" w:hAnsi="Times New Roman" w:cs="Times New Roman"/>
          <w:color w:val="000000" w:themeColor="text1"/>
          <w:sz w:val="24"/>
          <w:szCs w:val="24"/>
          <w:highlight w:val="white"/>
        </w:rPr>
        <w:tab/>
      </w:r>
      <w:r w:rsidR="00B462FA" w:rsidRPr="00D57F4E">
        <w:rPr>
          <w:rFonts w:ascii="Times New Roman" w:eastAsia="Times New Roman" w:hAnsi="Times New Roman" w:cs="Times New Roman"/>
          <w:color w:val="000000" w:themeColor="text1"/>
          <w:sz w:val="24"/>
          <w:szCs w:val="24"/>
          <w:highlight w:val="white"/>
        </w:rPr>
        <w:tab/>
      </w:r>
      <w:r w:rsidRPr="00D57F4E">
        <w:rPr>
          <w:rFonts w:ascii="Times New Roman" w:eastAsia="Times New Roman" w:hAnsi="Times New Roman" w:cs="Times New Roman"/>
          <w:color w:val="000000" w:themeColor="text1"/>
          <w:sz w:val="24"/>
          <w:szCs w:val="24"/>
          <w:highlight w:val="white"/>
        </w:rPr>
        <w:t>Implikasi kajian ini menunjukkan pentingnya setiap individu mempunyai kecenderungan minat mengikuti program PSH bagi memenuhi kepe</w:t>
      </w:r>
      <w:r w:rsidR="00E41094">
        <w:rPr>
          <w:rFonts w:ascii="Times New Roman" w:eastAsia="Times New Roman" w:hAnsi="Times New Roman" w:cs="Times New Roman"/>
          <w:color w:val="000000" w:themeColor="text1"/>
          <w:sz w:val="24"/>
          <w:szCs w:val="24"/>
          <w:highlight w:val="white"/>
        </w:rPr>
        <w:t>rluan diri, ekonomi dan kerjaya</w:t>
      </w:r>
      <w:r w:rsidRPr="00D57F4E">
        <w:rPr>
          <w:rFonts w:ascii="Times New Roman" w:eastAsia="Times New Roman" w:hAnsi="Times New Roman" w:cs="Times New Roman"/>
          <w:color w:val="000000" w:themeColor="text1"/>
          <w:sz w:val="24"/>
          <w:szCs w:val="24"/>
          <w:highlight w:val="white"/>
        </w:rPr>
        <w:t xml:space="preserve">nya. </w:t>
      </w:r>
      <w:r w:rsidRPr="00D57F4E">
        <w:rPr>
          <w:rFonts w:ascii="Times New Roman" w:eastAsia="Times New Roman" w:hAnsi="Times New Roman" w:cs="Times New Roman"/>
          <w:color w:val="000000" w:themeColor="text1"/>
          <w:sz w:val="24"/>
          <w:szCs w:val="24"/>
        </w:rPr>
        <w:t>Carlsen</w:t>
      </w:r>
      <w:r w:rsidR="00C85048">
        <w:rPr>
          <w:rFonts w:ascii="Times New Roman" w:eastAsia="Times New Roman" w:hAnsi="Times New Roman" w:cs="Times New Roman"/>
          <w:color w:val="000000" w:themeColor="text1"/>
          <w:sz w:val="24"/>
          <w:szCs w:val="24"/>
        </w:rPr>
        <w:t xml:space="preserve"> et al.</w:t>
      </w:r>
      <w:r w:rsidRPr="00D57F4E">
        <w:rPr>
          <w:rFonts w:ascii="Times New Roman" w:eastAsia="Times New Roman" w:hAnsi="Times New Roman" w:cs="Times New Roman"/>
          <w:color w:val="000000" w:themeColor="text1"/>
          <w:sz w:val="24"/>
          <w:szCs w:val="24"/>
        </w:rPr>
        <w:t xml:space="preserve"> (2016) menegaskan </w:t>
      </w:r>
      <w:r w:rsidR="00C24B35" w:rsidRPr="00D57F4E">
        <w:rPr>
          <w:rFonts w:ascii="Times New Roman" w:eastAsia="Times New Roman" w:hAnsi="Times New Roman" w:cs="Times New Roman"/>
          <w:color w:val="000000" w:themeColor="text1"/>
          <w:sz w:val="24"/>
          <w:szCs w:val="24"/>
        </w:rPr>
        <w:t xml:space="preserve">bahawa </w:t>
      </w:r>
      <w:r w:rsidRPr="00D57F4E">
        <w:rPr>
          <w:rFonts w:ascii="Times New Roman" w:eastAsia="Times New Roman" w:hAnsi="Times New Roman" w:cs="Times New Roman"/>
          <w:color w:val="000000" w:themeColor="text1"/>
          <w:sz w:val="24"/>
          <w:szCs w:val="24"/>
        </w:rPr>
        <w:t xml:space="preserve">dasar </w:t>
      </w:r>
      <w:r w:rsidR="00E41094">
        <w:rPr>
          <w:rFonts w:ascii="Times New Roman" w:eastAsia="Times New Roman" w:hAnsi="Times New Roman" w:cs="Times New Roman"/>
          <w:color w:val="000000" w:themeColor="text1"/>
          <w:sz w:val="24"/>
          <w:szCs w:val="24"/>
        </w:rPr>
        <w:t xml:space="preserve">di </w:t>
      </w:r>
      <w:r w:rsidRPr="00D57F4E">
        <w:rPr>
          <w:rFonts w:ascii="Times New Roman" w:eastAsia="Times New Roman" w:hAnsi="Times New Roman" w:cs="Times New Roman"/>
          <w:color w:val="000000" w:themeColor="text1"/>
          <w:sz w:val="24"/>
          <w:szCs w:val="24"/>
        </w:rPr>
        <w:t xml:space="preserve">negara Eropah </w:t>
      </w:r>
      <w:r w:rsidR="00C24B35" w:rsidRPr="00D57F4E">
        <w:rPr>
          <w:rFonts w:ascii="Times New Roman" w:eastAsia="Times New Roman" w:hAnsi="Times New Roman" w:cs="Times New Roman"/>
          <w:color w:val="000000" w:themeColor="text1"/>
          <w:sz w:val="24"/>
          <w:szCs w:val="24"/>
        </w:rPr>
        <w:t xml:space="preserve">menyarankan </w:t>
      </w:r>
      <w:r w:rsidRPr="00D57F4E">
        <w:rPr>
          <w:rFonts w:ascii="Times New Roman" w:eastAsia="Times New Roman" w:hAnsi="Times New Roman" w:cs="Times New Roman"/>
          <w:color w:val="000000" w:themeColor="text1"/>
          <w:sz w:val="24"/>
          <w:szCs w:val="24"/>
        </w:rPr>
        <w:t>agar setiap institusi pengajian tinggi</w:t>
      </w:r>
      <w:r w:rsidR="00392C34" w:rsidRPr="00D57F4E">
        <w:rPr>
          <w:rFonts w:ascii="Times New Roman" w:eastAsia="Times New Roman" w:hAnsi="Times New Roman" w:cs="Times New Roman"/>
          <w:color w:val="000000" w:themeColor="text1"/>
          <w:sz w:val="24"/>
          <w:szCs w:val="24"/>
        </w:rPr>
        <w:t>nya</w:t>
      </w:r>
      <w:r w:rsidRPr="00D57F4E">
        <w:rPr>
          <w:rFonts w:ascii="Times New Roman" w:eastAsia="Times New Roman" w:hAnsi="Times New Roman" w:cs="Times New Roman"/>
          <w:color w:val="000000" w:themeColor="text1"/>
          <w:sz w:val="24"/>
          <w:szCs w:val="24"/>
        </w:rPr>
        <w:t xml:space="preserve"> meningkatkan bilangan pelajar mengikut program PSH bagi menghadapi sebarang perubahan ekonomi dan globalisasi. Malah PSH merupakan salah satu faktor menghadapi keperluan perubahan pekerjaan dalam organisasi.</w:t>
      </w:r>
    </w:p>
    <w:p w14:paraId="3086D9EC" w14:textId="77777777" w:rsidR="00A03ABC" w:rsidRPr="00D57F4E" w:rsidRDefault="00A03ABC" w:rsidP="00665616">
      <w:pPr>
        <w:spacing w:after="0" w:line="240" w:lineRule="auto"/>
        <w:ind w:leftChars="0" w:left="0" w:firstLineChars="0" w:firstLine="720"/>
        <w:jc w:val="both"/>
        <w:rPr>
          <w:rFonts w:ascii="Times New Roman" w:eastAsia="Times New Roman" w:hAnsi="Times New Roman" w:cs="Times New Roman"/>
          <w:color w:val="000000" w:themeColor="text1"/>
          <w:sz w:val="24"/>
          <w:szCs w:val="24"/>
        </w:rPr>
      </w:pPr>
      <w:r w:rsidRPr="00D57F4E">
        <w:rPr>
          <w:rFonts w:ascii="Times New Roman" w:eastAsia="Times New Roman" w:hAnsi="Times New Roman" w:cs="Times New Roman"/>
          <w:color w:val="000000" w:themeColor="text1"/>
          <w:sz w:val="24"/>
          <w:szCs w:val="24"/>
        </w:rPr>
        <w:t>Untuk menjadi benar-benar berkesan, PSH mesti memasukkan perspektif global dan dinamik peristiwa dunia yang memberi kesan kepada keberkesanan pembangunan kendiri di samping dapat meningkatkan kerjaya dan kenaikan pangkat. Benarlah bahawa inisiatif PSH secara sistematik biasanya akan membawa kepada peningkatan</w:t>
      </w:r>
      <w:r w:rsidR="00392C34" w:rsidRPr="00D57F4E">
        <w:rPr>
          <w:rFonts w:ascii="Times New Roman" w:eastAsia="Times New Roman" w:hAnsi="Times New Roman" w:cs="Times New Roman"/>
          <w:color w:val="000000" w:themeColor="text1"/>
          <w:sz w:val="24"/>
          <w:szCs w:val="24"/>
        </w:rPr>
        <w:t xml:space="preserve"> </w:t>
      </w:r>
      <w:r w:rsidRPr="00D57F4E">
        <w:rPr>
          <w:rFonts w:ascii="Times New Roman" w:eastAsia="Times New Roman" w:hAnsi="Times New Roman" w:cs="Times New Roman"/>
          <w:color w:val="000000" w:themeColor="text1"/>
          <w:sz w:val="24"/>
          <w:szCs w:val="24"/>
        </w:rPr>
        <w:t>keupayaan kepimpinan dan meningkatkan prestasi organisasi (Amagoh, 2009).</w:t>
      </w:r>
      <w:r w:rsidR="00E946C3" w:rsidRPr="00D57F4E">
        <w:rPr>
          <w:rFonts w:ascii="Times New Roman" w:eastAsia="Times New Roman" w:hAnsi="Times New Roman" w:cs="Times New Roman"/>
          <w:color w:val="000000" w:themeColor="text1"/>
          <w:sz w:val="24"/>
          <w:szCs w:val="24"/>
        </w:rPr>
        <w:t xml:space="preserve"> </w:t>
      </w:r>
      <w:r w:rsidRPr="00D57F4E">
        <w:rPr>
          <w:rFonts w:ascii="Times New Roman" w:eastAsia="Times New Roman" w:hAnsi="Times New Roman" w:cs="Times New Roman"/>
          <w:color w:val="000000" w:themeColor="text1"/>
          <w:sz w:val="24"/>
          <w:szCs w:val="24"/>
        </w:rPr>
        <w:t xml:space="preserve">Program </w:t>
      </w:r>
      <w:r w:rsidR="00E41094">
        <w:rPr>
          <w:rFonts w:ascii="Times New Roman" w:eastAsia="Times New Roman" w:hAnsi="Times New Roman" w:cs="Times New Roman"/>
          <w:color w:val="000000" w:themeColor="text1"/>
          <w:sz w:val="24"/>
          <w:szCs w:val="24"/>
        </w:rPr>
        <w:t>PSH</w:t>
      </w:r>
      <w:r w:rsidRPr="00D57F4E">
        <w:rPr>
          <w:rFonts w:ascii="Times New Roman" w:eastAsia="Times New Roman" w:hAnsi="Times New Roman" w:cs="Times New Roman"/>
          <w:color w:val="000000" w:themeColor="text1"/>
          <w:sz w:val="24"/>
          <w:szCs w:val="24"/>
        </w:rPr>
        <w:t xml:space="preserve"> adalah satu proses yang berterusan yang tidak harus terhad kepada latihan kepimpinan, arahan rasmi kepada kemahiran profesional, prestasi dalam fungsi kerja pembangunan, dan penyertaan dalam program-program pembangunan diri. Namun</w:t>
      </w:r>
      <w:r w:rsidR="00E41094">
        <w:rPr>
          <w:rFonts w:ascii="Times New Roman" w:eastAsia="Times New Roman" w:hAnsi="Times New Roman" w:cs="Times New Roman"/>
          <w:color w:val="000000" w:themeColor="text1"/>
          <w:sz w:val="24"/>
          <w:szCs w:val="24"/>
        </w:rPr>
        <w:t>,</w:t>
      </w:r>
      <w:r w:rsidRPr="00D57F4E">
        <w:rPr>
          <w:rFonts w:ascii="Times New Roman" w:eastAsia="Times New Roman" w:hAnsi="Times New Roman" w:cs="Times New Roman"/>
          <w:color w:val="000000" w:themeColor="text1"/>
          <w:sz w:val="24"/>
          <w:szCs w:val="24"/>
        </w:rPr>
        <w:t xml:space="preserve"> perlu diteruskan di peringkat penyedia program yang </w:t>
      </w:r>
      <w:r w:rsidR="00E41094">
        <w:rPr>
          <w:rFonts w:ascii="Times New Roman" w:eastAsia="Times New Roman" w:hAnsi="Times New Roman" w:cs="Times New Roman"/>
          <w:color w:val="000000" w:themeColor="text1"/>
          <w:sz w:val="24"/>
          <w:szCs w:val="24"/>
        </w:rPr>
        <w:t xml:space="preserve">dapat </w:t>
      </w:r>
      <w:r w:rsidRPr="00D57F4E">
        <w:rPr>
          <w:rFonts w:ascii="Times New Roman" w:eastAsia="Times New Roman" w:hAnsi="Times New Roman" w:cs="Times New Roman"/>
          <w:color w:val="000000" w:themeColor="text1"/>
          <w:sz w:val="24"/>
          <w:szCs w:val="24"/>
        </w:rPr>
        <w:t>memenuh</w:t>
      </w:r>
      <w:r w:rsidR="00E41094">
        <w:rPr>
          <w:rFonts w:ascii="Times New Roman" w:eastAsia="Times New Roman" w:hAnsi="Times New Roman" w:cs="Times New Roman"/>
          <w:color w:val="000000" w:themeColor="text1"/>
          <w:sz w:val="24"/>
          <w:szCs w:val="24"/>
        </w:rPr>
        <w:t>i</w:t>
      </w:r>
      <w:r w:rsidRPr="00D57F4E">
        <w:rPr>
          <w:rFonts w:ascii="Times New Roman" w:eastAsia="Times New Roman" w:hAnsi="Times New Roman" w:cs="Times New Roman"/>
          <w:color w:val="000000" w:themeColor="text1"/>
          <w:sz w:val="24"/>
          <w:szCs w:val="24"/>
        </w:rPr>
        <w:t xml:space="preserve"> keperluan dan kehendak pelanggan.</w:t>
      </w:r>
      <w:r w:rsidR="00E41094">
        <w:rPr>
          <w:rFonts w:ascii="Times New Roman" w:eastAsia="Times New Roman" w:hAnsi="Times New Roman" w:cs="Times New Roman"/>
          <w:color w:val="000000" w:themeColor="text1"/>
          <w:sz w:val="24"/>
          <w:szCs w:val="24"/>
        </w:rPr>
        <w:t xml:space="preserve"> </w:t>
      </w:r>
      <w:r w:rsidRPr="00D57F4E">
        <w:rPr>
          <w:rFonts w:ascii="Times New Roman" w:eastAsia="Times New Roman" w:hAnsi="Times New Roman" w:cs="Times New Roman"/>
          <w:color w:val="000000" w:themeColor="text1"/>
          <w:sz w:val="24"/>
          <w:szCs w:val="24"/>
        </w:rPr>
        <w:t>Pengkaji berharap agar dapatan kajian ini nanti dapat memberikan sumbangan dan dimanfaatkan oleh penggubal dan pelaksana polisi serta pemimpin pada semua peringkat dalam merancang program yang bersesuaian dan memastikan keberkesanan serta kemajuan yang konkrit program PSH diminati dan dianjurkan mengikut keperluan pelanggan.</w:t>
      </w:r>
    </w:p>
    <w:p w14:paraId="40630202" w14:textId="77777777" w:rsidR="00BF0DC2" w:rsidRPr="00D57F4E" w:rsidRDefault="00A03ABC" w:rsidP="00665616">
      <w:pPr>
        <w:spacing w:after="0" w:line="240" w:lineRule="auto"/>
        <w:ind w:leftChars="0" w:left="0" w:firstLineChars="0" w:firstLine="720"/>
        <w:jc w:val="both"/>
        <w:rPr>
          <w:rFonts w:ascii="Times New Roman" w:eastAsia="Times New Roman" w:hAnsi="Times New Roman" w:cs="Times New Roman"/>
          <w:b/>
          <w:color w:val="000000" w:themeColor="text1"/>
          <w:sz w:val="24"/>
          <w:szCs w:val="24"/>
        </w:rPr>
      </w:pPr>
      <w:r w:rsidRPr="00D57F4E">
        <w:rPr>
          <w:rFonts w:ascii="Times New Roman" w:eastAsia="Times New Roman" w:hAnsi="Times New Roman" w:cs="Times New Roman"/>
          <w:color w:val="000000" w:themeColor="text1"/>
          <w:sz w:val="24"/>
          <w:szCs w:val="24"/>
        </w:rPr>
        <w:t xml:space="preserve">Walau bagaimanapun, hasil penyelidikan ini tidak boleh digenaralisasikan kepada populasi yang setara kerana ia dilaksanakan menggunakan kaedah </w:t>
      </w:r>
      <w:r w:rsidRPr="00D57F4E">
        <w:rPr>
          <w:rFonts w:ascii="Times New Roman" w:eastAsia="Times New Roman" w:hAnsi="Times New Roman" w:cs="Times New Roman"/>
          <w:i/>
          <w:color w:val="000000" w:themeColor="text1"/>
          <w:sz w:val="24"/>
          <w:szCs w:val="24"/>
        </w:rPr>
        <w:t xml:space="preserve">web non-probability surveys. </w:t>
      </w:r>
      <w:r w:rsidRPr="00D57F4E">
        <w:rPr>
          <w:rFonts w:ascii="Times New Roman" w:eastAsia="Times New Roman" w:hAnsi="Times New Roman" w:cs="Times New Roman"/>
          <w:color w:val="000000" w:themeColor="text1"/>
          <w:sz w:val="24"/>
          <w:szCs w:val="24"/>
        </w:rPr>
        <w:t>Couper (2000) menjelaskan penggunaan web biasanya tidak memungkin</w:t>
      </w:r>
      <w:r w:rsidR="00E41094">
        <w:rPr>
          <w:rFonts w:ascii="Times New Roman" w:eastAsia="Times New Roman" w:hAnsi="Times New Roman" w:cs="Times New Roman"/>
          <w:color w:val="000000" w:themeColor="text1"/>
          <w:sz w:val="24"/>
          <w:szCs w:val="24"/>
        </w:rPr>
        <w:t>k</w:t>
      </w:r>
      <w:r w:rsidRPr="00D57F4E">
        <w:rPr>
          <w:rFonts w:ascii="Times New Roman" w:eastAsia="Times New Roman" w:hAnsi="Times New Roman" w:cs="Times New Roman"/>
          <w:color w:val="000000" w:themeColor="text1"/>
          <w:sz w:val="24"/>
          <w:szCs w:val="24"/>
        </w:rPr>
        <w:t>an</w:t>
      </w:r>
      <w:r w:rsidR="00E41094">
        <w:rPr>
          <w:rFonts w:ascii="Times New Roman" w:eastAsia="Times New Roman" w:hAnsi="Times New Roman" w:cs="Times New Roman"/>
          <w:color w:val="000000" w:themeColor="text1"/>
          <w:sz w:val="24"/>
          <w:szCs w:val="24"/>
        </w:rPr>
        <w:t xml:space="preserve"> untuk</w:t>
      </w:r>
      <w:r w:rsidRPr="00D57F4E">
        <w:rPr>
          <w:rFonts w:ascii="Times New Roman" w:eastAsia="Times New Roman" w:hAnsi="Times New Roman" w:cs="Times New Roman"/>
          <w:color w:val="000000" w:themeColor="text1"/>
          <w:sz w:val="24"/>
          <w:szCs w:val="24"/>
        </w:rPr>
        <w:t xml:space="preserve"> </w:t>
      </w:r>
      <w:r w:rsidRPr="00D57F4E">
        <w:rPr>
          <w:rFonts w:ascii="Times New Roman" w:eastAsia="Times New Roman" w:hAnsi="Times New Roman" w:cs="Times New Roman"/>
          <w:color w:val="000000" w:themeColor="text1"/>
          <w:sz w:val="24"/>
          <w:szCs w:val="24"/>
        </w:rPr>
        <w:lastRenderedPageBreak/>
        <w:t>mendapat jumlah responden yang diperlukan. Antara sebabnya soal selidik melalui web tidak menentukan jangka masa menjawab, membuka em</w:t>
      </w:r>
      <w:r w:rsidR="00BF0DC2" w:rsidRPr="00D57F4E">
        <w:rPr>
          <w:rFonts w:ascii="Times New Roman" w:eastAsia="Times New Roman" w:hAnsi="Times New Roman" w:cs="Times New Roman"/>
          <w:color w:val="000000" w:themeColor="text1"/>
          <w:sz w:val="24"/>
          <w:szCs w:val="24"/>
        </w:rPr>
        <w:t>e</w:t>
      </w:r>
      <w:r w:rsidRPr="00D57F4E">
        <w:rPr>
          <w:rFonts w:ascii="Times New Roman" w:eastAsia="Times New Roman" w:hAnsi="Times New Roman" w:cs="Times New Roman"/>
          <w:color w:val="000000" w:themeColor="text1"/>
          <w:sz w:val="24"/>
          <w:szCs w:val="24"/>
        </w:rPr>
        <w:t>l atau lupa membuka em</w:t>
      </w:r>
      <w:r w:rsidR="00BF0DC2" w:rsidRPr="00D57F4E">
        <w:rPr>
          <w:rFonts w:ascii="Times New Roman" w:eastAsia="Times New Roman" w:hAnsi="Times New Roman" w:cs="Times New Roman"/>
          <w:color w:val="000000" w:themeColor="text1"/>
          <w:sz w:val="24"/>
          <w:szCs w:val="24"/>
        </w:rPr>
        <w:t>e</w:t>
      </w:r>
      <w:r w:rsidRPr="00D57F4E">
        <w:rPr>
          <w:rFonts w:ascii="Times New Roman" w:eastAsia="Times New Roman" w:hAnsi="Times New Roman" w:cs="Times New Roman"/>
          <w:color w:val="000000" w:themeColor="text1"/>
          <w:sz w:val="24"/>
          <w:szCs w:val="24"/>
        </w:rPr>
        <w:t>l.</w:t>
      </w:r>
      <w:r w:rsidR="00BF0DC2" w:rsidRPr="00D57F4E">
        <w:rPr>
          <w:rFonts w:ascii="Times New Roman" w:eastAsia="Times New Roman" w:hAnsi="Times New Roman" w:cs="Times New Roman"/>
          <w:b/>
          <w:color w:val="000000" w:themeColor="text1"/>
          <w:sz w:val="24"/>
          <w:szCs w:val="24"/>
        </w:rPr>
        <w:t xml:space="preserve"> </w:t>
      </w:r>
    </w:p>
    <w:p w14:paraId="3150E74F" w14:textId="77777777" w:rsidR="008E3A99" w:rsidRDefault="008E3A99" w:rsidP="00665616">
      <w:pPr>
        <w:spacing w:after="0" w:line="240" w:lineRule="auto"/>
        <w:ind w:leftChars="0" w:left="0" w:firstLineChars="0" w:firstLine="720"/>
        <w:jc w:val="both"/>
        <w:rPr>
          <w:rFonts w:ascii="Times New Roman" w:eastAsia="Times New Roman" w:hAnsi="Times New Roman" w:cs="Times New Roman"/>
          <w:b/>
          <w:color w:val="000000" w:themeColor="text1"/>
          <w:sz w:val="24"/>
          <w:szCs w:val="24"/>
        </w:rPr>
      </w:pPr>
    </w:p>
    <w:p w14:paraId="1251F557" w14:textId="77777777" w:rsidR="00C85048" w:rsidRPr="00D57F4E" w:rsidRDefault="00C85048" w:rsidP="00665616">
      <w:pPr>
        <w:spacing w:after="0" w:line="240" w:lineRule="auto"/>
        <w:ind w:leftChars="0" w:left="0" w:firstLineChars="0" w:firstLine="720"/>
        <w:jc w:val="both"/>
        <w:rPr>
          <w:rFonts w:ascii="Times New Roman" w:eastAsia="Times New Roman" w:hAnsi="Times New Roman" w:cs="Times New Roman"/>
          <w:b/>
          <w:color w:val="000000" w:themeColor="text1"/>
          <w:sz w:val="24"/>
          <w:szCs w:val="24"/>
        </w:rPr>
      </w:pPr>
    </w:p>
    <w:p w14:paraId="07C6A0B6" w14:textId="77777777" w:rsidR="00BF0DC2" w:rsidRPr="00D57F4E" w:rsidRDefault="00BF0DC2" w:rsidP="00665616">
      <w:pPr>
        <w:spacing w:after="0" w:line="240" w:lineRule="auto"/>
        <w:ind w:left="0" w:hanging="2"/>
        <w:jc w:val="both"/>
        <w:rPr>
          <w:rFonts w:ascii="Times New Roman" w:eastAsia="Times New Roman" w:hAnsi="Times New Roman" w:cs="Times New Roman"/>
          <w:b/>
          <w:color w:val="000000" w:themeColor="text1"/>
          <w:sz w:val="24"/>
          <w:szCs w:val="24"/>
        </w:rPr>
      </w:pPr>
      <w:r w:rsidRPr="00D57F4E">
        <w:rPr>
          <w:rFonts w:ascii="Times New Roman" w:eastAsia="Times New Roman" w:hAnsi="Times New Roman" w:cs="Times New Roman"/>
          <w:b/>
          <w:color w:val="000000" w:themeColor="text1"/>
          <w:sz w:val="24"/>
          <w:szCs w:val="24"/>
        </w:rPr>
        <w:t>Kesimpulan</w:t>
      </w:r>
    </w:p>
    <w:p w14:paraId="6A1025E1" w14:textId="77777777" w:rsidR="008E3A99" w:rsidRPr="00D57F4E" w:rsidRDefault="008E3A99" w:rsidP="00665616">
      <w:pPr>
        <w:spacing w:after="0" w:line="240" w:lineRule="auto"/>
        <w:ind w:left="0" w:hanging="2"/>
        <w:jc w:val="both"/>
        <w:rPr>
          <w:rFonts w:ascii="Times New Roman" w:eastAsia="Times New Roman" w:hAnsi="Times New Roman" w:cs="Times New Roman"/>
          <w:b/>
          <w:color w:val="000000" w:themeColor="text1"/>
          <w:sz w:val="24"/>
          <w:szCs w:val="24"/>
        </w:rPr>
      </w:pPr>
    </w:p>
    <w:p w14:paraId="088A18AF" w14:textId="38AA4AA7" w:rsidR="00A03ABC" w:rsidRPr="008A0AAF" w:rsidRDefault="004A3987" w:rsidP="00665616">
      <w:pPr>
        <w:spacing w:after="0" w:line="240" w:lineRule="auto"/>
        <w:ind w:leftChars="0" w:left="0" w:firstLineChars="0" w:firstLine="0"/>
        <w:jc w:val="both"/>
        <w:rPr>
          <w:rFonts w:ascii="Times New Roman" w:eastAsia="Times New Roman" w:hAnsi="Times New Roman" w:cs="Times New Roman"/>
          <w:color w:val="000000" w:themeColor="text1"/>
          <w:sz w:val="24"/>
          <w:szCs w:val="24"/>
          <w:lang w:val="pt-BR"/>
        </w:rPr>
      </w:pPr>
      <w:r>
        <w:rPr>
          <w:rFonts w:ascii="Times New Roman" w:eastAsia="Times New Roman" w:hAnsi="Times New Roman" w:cs="Times New Roman"/>
          <w:color w:val="000000" w:themeColor="text1"/>
          <w:sz w:val="24"/>
          <w:szCs w:val="24"/>
          <w:lang w:val="pt-BR"/>
        </w:rPr>
        <w:t>Kajian ini telah menguji faktor kendiri dan institusi terhadap minat mengikuti PSH. Analisis SmartPLS telah mengesahkan bahawa kedua-dua faktor terseb</w:t>
      </w:r>
      <w:r w:rsidR="009D084A">
        <w:rPr>
          <w:rFonts w:ascii="Times New Roman" w:eastAsia="Times New Roman" w:hAnsi="Times New Roman" w:cs="Times New Roman"/>
          <w:color w:val="000000" w:themeColor="text1"/>
          <w:sz w:val="24"/>
          <w:szCs w:val="24"/>
          <w:lang w:val="pt-BR"/>
        </w:rPr>
        <w:t>ut telah menyumbang sebanyak 43 peratus</w:t>
      </w:r>
      <w:r>
        <w:rPr>
          <w:rFonts w:ascii="Times New Roman" w:eastAsia="Times New Roman" w:hAnsi="Times New Roman" w:cs="Times New Roman"/>
          <w:color w:val="000000" w:themeColor="text1"/>
          <w:sz w:val="24"/>
          <w:szCs w:val="24"/>
          <w:lang w:val="pt-BR"/>
        </w:rPr>
        <w:t xml:space="preserve"> terhadap minat. Hasil kajian ini juga telah menyokong dan memperkayakan kajian literatur yang lepas. Berdasarkan dapat</w:t>
      </w:r>
      <w:r w:rsidR="00392C34" w:rsidRPr="008A0AAF">
        <w:rPr>
          <w:rFonts w:ascii="Times New Roman" w:eastAsia="Times New Roman" w:hAnsi="Times New Roman" w:cs="Times New Roman"/>
          <w:color w:val="000000" w:themeColor="text1"/>
          <w:sz w:val="24"/>
          <w:szCs w:val="24"/>
          <w:lang w:val="pt-BR"/>
        </w:rPr>
        <w:t xml:space="preserve">an kajian ini, diharapkan kerjasama pihak universiti dan agensi luar dapat diteruskan dalam merealisasikan pelaksanaan PSH sebagai salah satu program peningkatan pengetahuan, kemahiran, nilai tambah dan kesedaran kendiri. Pengkaji mencadangkan agar hasil kajian ini dijadikan asas kepada kajian-kajian selanjutnya bagi melihat keberkesanan program PSH </w:t>
      </w:r>
      <w:r w:rsidR="00812A8A" w:rsidRPr="008A0AAF">
        <w:rPr>
          <w:rFonts w:ascii="Times New Roman" w:eastAsia="Times New Roman" w:hAnsi="Times New Roman" w:cs="Times New Roman"/>
          <w:color w:val="000000" w:themeColor="text1"/>
          <w:sz w:val="24"/>
          <w:szCs w:val="24"/>
          <w:lang w:val="pt-BR"/>
        </w:rPr>
        <w:t>yang dilaksan</w:t>
      </w:r>
      <w:r w:rsidR="00E41094" w:rsidRPr="008A0AAF">
        <w:rPr>
          <w:rFonts w:ascii="Times New Roman" w:eastAsia="Times New Roman" w:hAnsi="Times New Roman" w:cs="Times New Roman"/>
          <w:color w:val="000000" w:themeColor="text1"/>
          <w:sz w:val="24"/>
          <w:szCs w:val="24"/>
          <w:lang w:val="pt-BR"/>
        </w:rPr>
        <w:t>a</w:t>
      </w:r>
      <w:r w:rsidR="00812A8A" w:rsidRPr="008A0AAF">
        <w:rPr>
          <w:rFonts w:ascii="Times New Roman" w:eastAsia="Times New Roman" w:hAnsi="Times New Roman" w:cs="Times New Roman"/>
          <w:color w:val="000000" w:themeColor="text1"/>
          <w:sz w:val="24"/>
          <w:szCs w:val="24"/>
          <w:lang w:val="pt-BR"/>
        </w:rPr>
        <w:t xml:space="preserve">kan </w:t>
      </w:r>
      <w:r w:rsidR="00392C34" w:rsidRPr="008A0AAF">
        <w:rPr>
          <w:rFonts w:ascii="Times New Roman" w:eastAsia="Times New Roman" w:hAnsi="Times New Roman" w:cs="Times New Roman"/>
          <w:color w:val="000000" w:themeColor="text1"/>
          <w:sz w:val="24"/>
          <w:szCs w:val="24"/>
          <w:lang w:val="pt-BR"/>
        </w:rPr>
        <w:t xml:space="preserve">secara usahasama </w:t>
      </w:r>
      <w:r w:rsidR="00812A8A" w:rsidRPr="008A0AAF">
        <w:rPr>
          <w:rFonts w:ascii="Times New Roman" w:eastAsia="Times New Roman" w:hAnsi="Times New Roman" w:cs="Times New Roman"/>
          <w:color w:val="000000" w:themeColor="text1"/>
          <w:sz w:val="24"/>
          <w:szCs w:val="24"/>
          <w:lang w:val="pt-BR"/>
        </w:rPr>
        <w:t xml:space="preserve">di </w:t>
      </w:r>
      <w:r w:rsidR="00392C34" w:rsidRPr="008A0AAF">
        <w:rPr>
          <w:rFonts w:ascii="Times New Roman" w:eastAsia="Times New Roman" w:hAnsi="Times New Roman" w:cs="Times New Roman"/>
          <w:color w:val="000000" w:themeColor="text1"/>
          <w:sz w:val="24"/>
          <w:szCs w:val="24"/>
          <w:lang w:val="pt-BR"/>
        </w:rPr>
        <w:t>antara dua agensi berbeza.</w:t>
      </w:r>
    </w:p>
    <w:bookmarkEnd w:id="5"/>
    <w:p w14:paraId="34E1B34A" w14:textId="77777777" w:rsidR="008E3A99" w:rsidRDefault="008E3A99" w:rsidP="00665616">
      <w:pPr>
        <w:spacing w:after="0" w:line="240" w:lineRule="auto"/>
        <w:ind w:left="0" w:hanging="2"/>
        <w:jc w:val="both"/>
        <w:rPr>
          <w:rFonts w:ascii="Times New Roman" w:eastAsia="Times New Roman" w:hAnsi="Times New Roman" w:cs="Times New Roman"/>
          <w:b/>
          <w:color w:val="000000" w:themeColor="text1"/>
          <w:sz w:val="24"/>
          <w:szCs w:val="24"/>
          <w:lang w:val="pt-BR"/>
        </w:rPr>
      </w:pPr>
    </w:p>
    <w:p w14:paraId="6D3DC7D2" w14:textId="77777777" w:rsidR="00C85048" w:rsidRPr="008A0AAF" w:rsidRDefault="00C85048" w:rsidP="00665616">
      <w:pPr>
        <w:spacing w:after="0" w:line="240" w:lineRule="auto"/>
        <w:ind w:left="0" w:hanging="2"/>
        <w:jc w:val="both"/>
        <w:rPr>
          <w:rFonts w:ascii="Times New Roman" w:eastAsia="Times New Roman" w:hAnsi="Times New Roman" w:cs="Times New Roman"/>
          <w:b/>
          <w:color w:val="000000" w:themeColor="text1"/>
          <w:sz w:val="24"/>
          <w:szCs w:val="24"/>
          <w:lang w:val="pt-BR"/>
        </w:rPr>
      </w:pPr>
    </w:p>
    <w:p w14:paraId="51A7DCD2" w14:textId="77777777" w:rsidR="00A03ABC" w:rsidRDefault="00A03ABC" w:rsidP="00665616">
      <w:pPr>
        <w:spacing w:after="0" w:line="240" w:lineRule="auto"/>
        <w:ind w:left="0" w:hanging="2"/>
        <w:jc w:val="both"/>
        <w:rPr>
          <w:rFonts w:ascii="Times New Roman" w:eastAsia="Times New Roman" w:hAnsi="Times New Roman" w:cs="Times New Roman"/>
          <w:b/>
          <w:color w:val="000000" w:themeColor="text1"/>
          <w:sz w:val="24"/>
          <w:szCs w:val="24"/>
          <w:lang w:val="pt-BR"/>
        </w:rPr>
      </w:pPr>
      <w:r w:rsidRPr="008A0AAF">
        <w:rPr>
          <w:rFonts w:ascii="Times New Roman" w:eastAsia="Times New Roman" w:hAnsi="Times New Roman" w:cs="Times New Roman"/>
          <w:b/>
          <w:color w:val="000000" w:themeColor="text1"/>
          <w:sz w:val="24"/>
          <w:szCs w:val="24"/>
          <w:lang w:val="pt-BR"/>
        </w:rPr>
        <w:t>Penghargaan</w:t>
      </w:r>
    </w:p>
    <w:p w14:paraId="7627AC7C" w14:textId="77777777" w:rsidR="00C85048" w:rsidRPr="008A0AAF" w:rsidRDefault="00C85048" w:rsidP="00665616">
      <w:pPr>
        <w:spacing w:after="0" w:line="240" w:lineRule="auto"/>
        <w:ind w:left="0" w:hanging="2"/>
        <w:jc w:val="both"/>
        <w:rPr>
          <w:rFonts w:ascii="Times New Roman" w:eastAsia="Times New Roman" w:hAnsi="Times New Roman" w:cs="Times New Roman"/>
          <w:b/>
          <w:color w:val="000000" w:themeColor="text1"/>
          <w:sz w:val="24"/>
          <w:szCs w:val="24"/>
          <w:lang w:val="pt-BR"/>
        </w:rPr>
      </w:pPr>
    </w:p>
    <w:p w14:paraId="2FCF544F" w14:textId="77777777" w:rsidR="00A03ABC" w:rsidRPr="008A0AAF" w:rsidRDefault="00A03ABC" w:rsidP="00665616">
      <w:pPr>
        <w:spacing w:after="0" w:line="240" w:lineRule="auto"/>
        <w:ind w:left="0" w:hanging="2"/>
        <w:jc w:val="both"/>
        <w:rPr>
          <w:rFonts w:asciiTheme="majorBidi" w:eastAsia="Times New Roman" w:hAnsiTheme="majorBidi" w:cstheme="majorBidi"/>
          <w:color w:val="000000" w:themeColor="text1"/>
          <w:sz w:val="24"/>
          <w:szCs w:val="24"/>
          <w:lang w:val="pt-BR"/>
        </w:rPr>
      </w:pPr>
      <w:r w:rsidRPr="008A0AAF">
        <w:rPr>
          <w:rFonts w:asciiTheme="majorBidi" w:eastAsia="Times New Roman" w:hAnsiTheme="majorBidi" w:cstheme="majorBidi"/>
          <w:color w:val="000000" w:themeColor="text1"/>
          <w:sz w:val="24"/>
          <w:szCs w:val="24"/>
          <w:lang w:val="pt-BR"/>
        </w:rPr>
        <w:t>Penyelidikan ini telah dibiayai oleh Universiti Pendidikan Sultan Idris</w:t>
      </w:r>
      <w:r w:rsidR="00F74CC4" w:rsidRPr="008A0AAF">
        <w:rPr>
          <w:rFonts w:asciiTheme="majorBidi" w:eastAsia="Times New Roman" w:hAnsiTheme="majorBidi" w:cstheme="majorBidi"/>
          <w:color w:val="000000" w:themeColor="text1"/>
          <w:sz w:val="24"/>
          <w:szCs w:val="24"/>
          <w:lang w:val="pt-BR"/>
        </w:rPr>
        <w:t xml:space="preserve"> (UPSI)</w:t>
      </w:r>
      <w:r w:rsidRPr="008A0AAF">
        <w:rPr>
          <w:rFonts w:asciiTheme="majorBidi" w:eastAsia="Times New Roman" w:hAnsiTheme="majorBidi" w:cstheme="majorBidi"/>
          <w:color w:val="000000" w:themeColor="text1"/>
          <w:sz w:val="24"/>
          <w:szCs w:val="24"/>
          <w:lang w:val="pt-BR"/>
        </w:rPr>
        <w:t xml:space="preserve"> melalui Geran Penyelidikan Universiti (</w:t>
      </w:r>
      <w:r w:rsidRPr="008A0AAF">
        <w:rPr>
          <w:rFonts w:asciiTheme="majorBidi" w:eastAsia="EB Garamond" w:hAnsiTheme="majorBidi" w:cstheme="majorBidi"/>
          <w:color w:val="000000" w:themeColor="text1"/>
          <w:sz w:val="24"/>
          <w:szCs w:val="24"/>
          <w:lang w:val="pt-BR"/>
        </w:rPr>
        <w:t>2018-0026-107-01</w:t>
      </w:r>
      <w:r w:rsidRPr="008A0AAF">
        <w:rPr>
          <w:rFonts w:asciiTheme="majorBidi" w:eastAsia="Times New Roman" w:hAnsiTheme="majorBidi" w:cstheme="majorBidi"/>
          <w:color w:val="000000" w:themeColor="text1"/>
          <w:sz w:val="24"/>
          <w:szCs w:val="24"/>
          <w:lang w:val="pt-BR"/>
        </w:rPr>
        <w:t>).</w:t>
      </w:r>
    </w:p>
    <w:p w14:paraId="3FE22361" w14:textId="77777777" w:rsidR="00E946C3" w:rsidRDefault="00E946C3" w:rsidP="00665616">
      <w:pPr>
        <w:spacing w:after="0" w:line="240" w:lineRule="auto"/>
        <w:ind w:left="0" w:hanging="2"/>
        <w:jc w:val="both"/>
        <w:rPr>
          <w:rFonts w:asciiTheme="majorBidi" w:eastAsia="Times New Roman" w:hAnsiTheme="majorBidi" w:cstheme="majorBidi"/>
          <w:color w:val="000000" w:themeColor="text1"/>
          <w:sz w:val="24"/>
          <w:szCs w:val="24"/>
          <w:lang w:val="pt-BR"/>
        </w:rPr>
      </w:pPr>
    </w:p>
    <w:p w14:paraId="6B111225" w14:textId="77777777" w:rsidR="00C85048" w:rsidRPr="008A0AAF" w:rsidRDefault="00C85048" w:rsidP="00665616">
      <w:pPr>
        <w:spacing w:after="0" w:line="240" w:lineRule="auto"/>
        <w:ind w:left="0" w:hanging="2"/>
        <w:jc w:val="both"/>
        <w:rPr>
          <w:rFonts w:asciiTheme="majorBidi" w:eastAsia="Times New Roman" w:hAnsiTheme="majorBidi" w:cstheme="majorBidi"/>
          <w:color w:val="000000" w:themeColor="text1"/>
          <w:sz w:val="24"/>
          <w:szCs w:val="24"/>
          <w:lang w:val="pt-BR"/>
        </w:rPr>
      </w:pPr>
    </w:p>
    <w:p w14:paraId="6174216B" w14:textId="77777777" w:rsidR="00A03ABC" w:rsidRPr="008A0AAF" w:rsidRDefault="00A03ABC" w:rsidP="00665616">
      <w:pPr>
        <w:spacing w:after="0" w:line="240" w:lineRule="auto"/>
        <w:ind w:left="0" w:hanging="2"/>
        <w:jc w:val="both"/>
        <w:rPr>
          <w:rFonts w:ascii="Times New Roman" w:eastAsia="Times New Roman" w:hAnsi="Times New Roman" w:cs="Times New Roman"/>
          <w:b/>
          <w:color w:val="000000" w:themeColor="text1"/>
          <w:sz w:val="24"/>
          <w:szCs w:val="24"/>
          <w:lang w:val="pt-BR"/>
        </w:rPr>
      </w:pPr>
      <w:r w:rsidRPr="008A0AAF">
        <w:rPr>
          <w:rFonts w:ascii="Times New Roman" w:eastAsia="Times New Roman" w:hAnsi="Times New Roman" w:cs="Times New Roman"/>
          <w:b/>
          <w:color w:val="000000" w:themeColor="text1"/>
          <w:sz w:val="24"/>
          <w:szCs w:val="24"/>
          <w:lang w:val="pt-BR"/>
        </w:rPr>
        <w:t>Rujukan</w:t>
      </w:r>
    </w:p>
    <w:p w14:paraId="3F32F644" w14:textId="77777777" w:rsidR="00E946C3" w:rsidRPr="008A0AAF" w:rsidRDefault="00E946C3" w:rsidP="00665616">
      <w:pPr>
        <w:spacing w:after="0" w:line="240" w:lineRule="auto"/>
        <w:ind w:left="0" w:hanging="2"/>
        <w:jc w:val="both"/>
        <w:rPr>
          <w:rFonts w:ascii="Times New Roman" w:eastAsia="Times New Roman" w:hAnsi="Times New Roman" w:cs="Times New Roman"/>
          <w:b/>
          <w:color w:val="000000" w:themeColor="text1"/>
          <w:sz w:val="24"/>
          <w:szCs w:val="24"/>
          <w:lang w:val="pt-BR"/>
        </w:rPr>
      </w:pPr>
    </w:p>
    <w:p w14:paraId="211E53DD" w14:textId="70C77813" w:rsidR="001C2FAA" w:rsidRPr="00D57F4E" w:rsidRDefault="001C2FAA" w:rsidP="00665616">
      <w:pPr>
        <w:spacing w:after="0" w:line="240" w:lineRule="auto"/>
        <w:ind w:leftChars="1" w:left="566" w:hangingChars="235" w:hanging="564"/>
        <w:jc w:val="both"/>
        <w:rPr>
          <w:rFonts w:asciiTheme="majorBidi" w:hAnsiTheme="majorBidi" w:cstheme="majorBidi"/>
          <w:color w:val="000000" w:themeColor="text1"/>
          <w:sz w:val="24"/>
          <w:szCs w:val="24"/>
        </w:rPr>
      </w:pPr>
      <w:bookmarkStart w:id="8" w:name="_Hlk24462966"/>
      <w:r w:rsidRPr="008A0AAF">
        <w:rPr>
          <w:rFonts w:asciiTheme="majorBidi" w:hAnsiTheme="majorBidi" w:cstheme="majorBidi"/>
          <w:color w:val="000000" w:themeColor="text1"/>
          <w:sz w:val="24"/>
          <w:szCs w:val="24"/>
          <w:lang w:val="pt-BR"/>
        </w:rPr>
        <w:t>Absher, K.</w:t>
      </w:r>
      <w:r w:rsidR="000F5F7D">
        <w:rPr>
          <w:rFonts w:asciiTheme="majorBidi" w:hAnsiTheme="majorBidi" w:cstheme="majorBidi"/>
          <w:color w:val="000000" w:themeColor="text1"/>
          <w:sz w:val="24"/>
          <w:szCs w:val="24"/>
          <w:lang w:val="pt-BR"/>
        </w:rPr>
        <w:t>,</w:t>
      </w:r>
      <w:r w:rsidRPr="008A0AAF">
        <w:rPr>
          <w:rFonts w:asciiTheme="majorBidi" w:hAnsiTheme="majorBidi" w:cstheme="majorBidi"/>
          <w:color w:val="000000" w:themeColor="text1"/>
          <w:sz w:val="24"/>
          <w:szCs w:val="24"/>
          <w:lang w:val="pt-BR"/>
        </w:rPr>
        <w:t xml:space="preserve"> &amp; Crawford, G. (1996). </w:t>
      </w:r>
      <w:r w:rsidRPr="00D57F4E">
        <w:rPr>
          <w:rFonts w:asciiTheme="majorBidi" w:hAnsiTheme="majorBidi" w:cstheme="majorBidi"/>
          <w:color w:val="000000" w:themeColor="text1"/>
          <w:sz w:val="24"/>
          <w:szCs w:val="24"/>
        </w:rPr>
        <w:t xml:space="preserve">Marketing the community college starts with understanding students’ perspectives. </w:t>
      </w:r>
      <w:r w:rsidRPr="00D57F4E">
        <w:rPr>
          <w:rFonts w:asciiTheme="majorBidi" w:hAnsiTheme="majorBidi" w:cstheme="majorBidi"/>
          <w:i/>
          <w:iCs/>
          <w:color w:val="000000" w:themeColor="text1"/>
          <w:sz w:val="24"/>
          <w:szCs w:val="24"/>
        </w:rPr>
        <w:t>Community College Review</w:t>
      </w:r>
      <w:r w:rsidRPr="00D57F4E">
        <w:rPr>
          <w:rFonts w:asciiTheme="majorBidi" w:hAnsiTheme="majorBidi" w:cstheme="majorBidi"/>
          <w:color w:val="000000" w:themeColor="text1"/>
          <w:sz w:val="24"/>
          <w:szCs w:val="24"/>
        </w:rPr>
        <w:t xml:space="preserve">, </w:t>
      </w:r>
      <w:r w:rsidRPr="00D57F4E">
        <w:rPr>
          <w:rFonts w:asciiTheme="majorBidi" w:hAnsiTheme="majorBidi" w:cstheme="majorBidi"/>
          <w:i/>
          <w:iCs/>
          <w:color w:val="000000" w:themeColor="text1"/>
          <w:sz w:val="24"/>
          <w:szCs w:val="24"/>
        </w:rPr>
        <w:t>23</w:t>
      </w:r>
      <w:r w:rsidRPr="00D57F4E">
        <w:rPr>
          <w:rFonts w:asciiTheme="majorBidi" w:hAnsiTheme="majorBidi" w:cstheme="majorBidi"/>
          <w:color w:val="000000" w:themeColor="text1"/>
          <w:sz w:val="24"/>
          <w:szCs w:val="24"/>
        </w:rPr>
        <w:t>(4), 59-67.</w:t>
      </w:r>
    </w:p>
    <w:p w14:paraId="238411DD" w14:textId="5B088447" w:rsidR="001C2FAA" w:rsidRPr="00D57F4E" w:rsidRDefault="002D3056" w:rsidP="00665616">
      <w:pPr>
        <w:spacing w:after="0" w:line="240" w:lineRule="auto"/>
        <w:ind w:leftChars="0" w:left="567" w:firstLineChars="0" w:hanging="569"/>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Ahmad</w:t>
      </w:r>
      <w:r w:rsidR="001C2FAA" w:rsidRPr="00D57F4E">
        <w:rPr>
          <w:rFonts w:asciiTheme="majorBidi" w:hAnsiTheme="majorBidi" w:cstheme="majorBidi"/>
          <w:color w:val="000000" w:themeColor="text1"/>
          <w:sz w:val="24"/>
          <w:szCs w:val="24"/>
        </w:rPr>
        <w:t xml:space="preserve"> Rosli</w:t>
      </w:r>
      <w:r>
        <w:rPr>
          <w:rFonts w:asciiTheme="majorBidi" w:hAnsiTheme="majorBidi" w:cstheme="majorBidi"/>
          <w:color w:val="000000" w:themeColor="text1"/>
          <w:sz w:val="24"/>
          <w:szCs w:val="24"/>
        </w:rPr>
        <w:t>.</w:t>
      </w:r>
      <w:r w:rsidR="001C2FAA" w:rsidRPr="00D57F4E">
        <w:rPr>
          <w:rFonts w:asciiTheme="majorBidi" w:hAnsiTheme="majorBidi" w:cstheme="majorBidi"/>
          <w:color w:val="000000" w:themeColor="text1"/>
          <w:sz w:val="24"/>
          <w:szCs w:val="24"/>
        </w:rPr>
        <w:t xml:space="preserve"> (1999).</w:t>
      </w:r>
      <w:r w:rsidR="001C2FAA">
        <w:rPr>
          <w:rFonts w:asciiTheme="majorBidi" w:hAnsiTheme="majorBidi" w:cstheme="majorBidi"/>
          <w:color w:val="000000" w:themeColor="text1"/>
          <w:sz w:val="24"/>
          <w:szCs w:val="24"/>
        </w:rPr>
        <w:t xml:space="preserve"> Keperluan latihan di kalangan guru bukan s</w:t>
      </w:r>
      <w:r w:rsidR="001C2FAA" w:rsidRPr="00D57F4E">
        <w:rPr>
          <w:rFonts w:asciiTheme="majorBidi" w:hAnsiTheme="majorBidi" w:cstheme="majorBidi"/>
          <w:color w:val="000000" w:themeColor="text1"/>
          <w:sz w:val="24"/>
          <w:szCs w:val="24"/>
        </w:rPr>
        <w:t xml:space="preserve">iswazah Jabatan Agama Islam Selangor (JAIS). [Project Paper Report] Retrieved from </w:t>
      </w:r>
      <w:r w:rsidR="001C2FAA" w:rsidRPr="000F5F7D">
        <w:rPr>
          <w:rFonts w:asciiTheme="majorBidi" w:hAnsiTheme="majorBidi" w:cstheme="majorBidi"/>
          <w:sz w:val="24"/>
          <w:szCs w:val="24"/>
        </w:rPr>
        <w:t>http://psasir.upm.edu.my/id/eprint/9157/1/FPP_1999_48_</w:t>
      </w:r>
      <w:proofErr w:type="gramStart"/>
      <w:r w:rsidR="001C2FAA" w:rsidRPr="000F5F7D">
        <w:rPr>
          <w:rFonts w:asciiTheme="majorBidi" w:hAnsiTheme="majorBidi" w:cstheme="majorBidi"/>
          <w:sz w:val="24"/>
          <w:szCs w:val="24"/>
        </w:rPr>
        <w:t>A.pdf</w:t>
      </w:r>
      <w:r w:rsidR="001C2FAA" w:rsidRPr="00D57F4E">
        <w:rPr>
          <w:rFonts w:asciiTheme="majorBidi" w:hAnsiTheme="majorBidi" w:cstheme="majorBidi"/>
          <w:color w:val="000000" w:themeColor="text1"/>
          <w:sz w:val="24"/>
          <w:szCs w:val="24"/>
        </w:rPr>
        <w:t xml:space="preserve"> .</w:t>
      </w:r>
      <w:proofErr w:type="gramEnd"/>
    </w:p>
    <w:p w14:paraId="1CAE1731" w14:textId="77777777" w:rsidR="008A0AAF" w:rsidRPr="001C2FAA" w:rsidRDefault="008A0AAF" w:rsidP="00665616">
      <w:pPr>
        <w:spacing w:after="0" w:line="240" w:lineRule="auto"/>
        <w:ind w:leftChars="0" w:left="567" w:firstLineChars="0" w:hanging="569"/>
        <w:jc w:val="both"/>
        <w:rPr>
          <w:rFonts w:asciiTheme="majorBidi" w:hAnsiTheme="majorBidi" w:cstheme="majorBidi"/>
          <w:color w:val="FF0000"/>
          <w:sz w:val="24"/>
          <w:szCs w:val="24"/>
        </w:rPr>
      </w:pPr>
      <w:r w:rsidRPr="008A0AAF">
        <w:rPr>
          <w:rFonts w:asciiTheme="majorBidi" w:hAnsiTheme="majorBidi" w:cstheme="majorBidi"/>
          <w:color w:val="222222"/>
          <w:sz w:val="24"/>
          <w:szCs w:val="24"/>
          <w:shd w:val="clear" w:color="auto" w:fill="FFFFFF"/>
        </w:rPr>
        <w:t>Allan, B., &amp; Lewis, D. (2009). Time, individual learning careers, and lifelong learning. In </w:t>
      </w:r>
      <w:r w:rsidRPr="008A0AAF">
        <w:rPr>
          <w:rFonts w:asciiTheme="majorBidi" w:hAnsiTheme="majorBidi" w:cstheme="majorBidi"/>
          <w:i/>
          <w:iCs/>
          <w:color w:val="222222"/>
          <w:sz w:val="24"/>
          <w:szCs w:val="24"/>
          <w:shd w:val="clear" w:color="auto" w:fill="FFFFFF"/>
        </w:rPr>
        <w:t>Researching transitions in lifelong learning</w:t>
      </w:r>
      <w:r w:rsidRPr="008A0AAF">
        <w:rPr>
          <w:rFonts w:asciiTheme="majorBidi" w:hAnsiTheme="majorBidi" w:cstheme="majorBidi"/>
          <w:color w:val="222222"/>
          <w:sz w:val="24"/>
          <w:szCs w:val="24"/>
          <w:shd w:val="clear" w:color="auto" w:fill="FFFFFF"/>
        </w:rPr>
        <w:t> (pp. 50-59). Routledge</w:t>
      </w:r>
      <w:r>
        <w:rPr>
          <w:rFonts w:ascii="Arial" w:hAnsi="Arial" w:cs="Arial"/>
          <w:color w:val="222222"/>
          <w:sz w:val="20"/>
          <w:szCs w:val="20"/>
          <w:shd w:val="clear" w:color="auto" w:fill="FFFFFF"/>
        </w:rPr>
        <w:t>.</w:t>
      </w:r>
    </w:p>
    <w:p w14:paraId="5DBC665A" w14:textId="77777777" w:rsidR="001C2FAA" w:rsidRPr="00D57F4E" w:rsidRDefault="001C2FAA" w:rsidP="00665616">
      <w:pPr>
        <w:spacing w:after="0" w:line="240" w:lineRule="auto"/>
        <w:ind w:leftChars="0" w:left="567" w:firstLineChars="0" w:hanging="569"/>
        <w:jc w:val="both"/>
        <w:rPr>
          <w:rFonts w:asciiTheme="majorBidi" w:hAnsiTheme="majorBidi" w:cstheme="majorBidi"/>
          <w:i/>
          <w:iCs/>
          <w:color w:val="000000" w:themeColor="text1"/>
          <w:sz w:val="24"/>
          <w:szCs w:val="24"/>
        </w:rPr>
      </w:pPr>
      <w:r w:rsidRPr="00D57F4E">
        <w:rPr>
          <w:rFonts w:asciiTheme="majorBidi" w:hAnsiTheme="majorBidi" w:cstheme="majorBidi"/>
          <w:color w:val="000000" w:themeColor="text1"/>
          <w:sz w:val="24"/>
          <w:szCs w:val="24"/>
        </w:rPr>
        <w:t xml:space="preserve">Amagoh, F. (2009). Leadership development and leadership effectiveness. </w:t>
      </w:r>
      <w:r w:rsidRPr="00D57F4E">
        <w:rPr>
          <w:rFonts w:asciiTheme="majorBidi" w:hAnsiTheme="majorBidi" w:cstheme="majorBidi"/>
          <w:i/>
          <w:iCs/>
          <w:color w:val="000000" w:themeColor="text1"/>
          <w:sz w:val="24"/>
          <w:szCs w:val="24"/>
        </w:rPr>
        <w:t>Management Decision, 47</w:t>
      </w:r>
      <w:r w:rsidRPr="00F74CC4">
        <w:rPr>
          <w:rFonts w:asciiTheme="majorBidi" w:hAnsiTheme="majorBidi" w:cstheme="majorBidi"/>
          <w:iCs/>
          <w:color w:val="000000" w:themeColor="text1"/>
          <w:sz w:val="24"/>
          <w:szCs w:val="24"/>
        </w:rPr>
        <w:t>(6),</w:t>
      </w:r>
      <w:r w:rsidRPr="00D57F4E">
        <w:rPr>
          <w:rFonts w:asciiTheme="majorBidi" w:hAnsiTheme="majorBidi" w:cstheme="majorBidi"/>
          <w:i/>
          <w:iCs/>
          <w:color w:val="000000" w:themeColor="text1"/>
          <w:sz w:val="24"/>
          <w:szCs w:val="24"/>
        </w:rPr>
        <w:t xml:space="preserve"> </w:t>
      </w:r>
      <w:r w:rsidRPr="00D57F4E">
        <w:rPr>
          <w:rFonts w:asciiTheme="majorBidi" w:hAnsiTheme="majorBidi" w:cstheme="majorBidi"/>
          <w:color w:val="000000" w:themeColor="text1"/>
          <w:sz w:val="24"/>
          <w:szCs w:val="24"/>
        </w:rPr>
        <w:t>989- 999.</w:t>
      </w:r>
    </w:p>
    <w:p w14:paraId="1FAF6356" w14:textId="058210F0" w:rsidR="001C2FAA" w:rsidRPr="00D57F4E"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rPr>
      </w:pPr>
      <w:r w:rsidRPr="00D57F4E">
        <w:rPr>
          <w:rFonts w:asciiTheme="majorBidi" w:hAnsiTheme="majorBidi" w:cstheme="majorBidi"/>
          <w:color w:val="000000" w:themeColor="text1"/>
          <w:sz w:val="24"/>
          <w:szCs w:val="24"/>
        </w:rPr>
        <w:t>Ancheh, K. S. B., Krishnan, A.</w:t>
      </w:r>
      <w:r w:rsidR="000F5F7D">
        <w:rPr>
          <w:rFonts w:asciiTheme="majorBidi" w:hAnsiTheme="majorBidi" w:cstheme="majorBidi"/>
          <w:color w:val="000000" w:themeColor="text1"/>
          <w:sz w:val="24"/>
          <w:szCs w:val="24"/>
        </w:rPr>
        <w:t>,</w:t>
      </w:r>
      <w:r w:rsidRPr="00D57F4E">
        <w:rPr>
          <w:rFonts w:asciiTheme="majorBidi" w:hAnsiTheme="majorBidi" w:cstheme="majorBidi"/>
          <w:color w:val="000000" w:themeColor="text1"/>
          <w:sz w:val="24"/>
          <w:szCs w:val="24"/>
        </w:rPr>
        <w:t xml:space="preserve"> &amp; Nurtjahja, O. (2007).</w:t>
      </w:r>
      <w:bookmarkEnd w:id="8"/>
      <w:r w:rsidRPr="00D57F4E">
        <w:rPr>
          <w:rFonts w:asciiTheme="majorBidi" w:hAnsiTheme="majorBidi" w:cstheme="majorBidi"/>
          <w:color w:val="000000" w:themeColor="text1"/>
          <w:sz w:val="24"/>
          <w:szCs w:val="24"/>
        </w:rPr>
        <w:t xml:space="preserve"> Evaluative criteria for selection of private universities and colleges in Malaysia. </w:t>
      </w:r>
      <w:r w:rsidRPr="00D57F4E">
        <w:rPr>
          <w:rFonts w:asciiTheme="majorBidi" w:hAnsiTheme="majorBidi" w:cstheme="majorBidi"/>
          <w:i/>
          <w:iCs/>
          <w:color w:val="000000" w:themeColor="text1"/>
          <w:sz w:val="24"/>
          <w:szCs w:val="24"/>
        </w:rPr>
        <w:t>Journal of International Management Studies</w:t>
      </w:r>
      <w:r w:rsidRPr="00D57F4E">
        <w:rPr>
          <w:rFonts w:asciiTheme="majorBidi" w:hAnsiTheme="majorBidi" w:cstheme="majorBidi"/>
          <w:color w:val="000000" w:themeColor="text1"/>
          <w:sz w:val="24"/>
          <w:szCs w:val="24"/>
        </w:rPr>
        <w:t xml:space="preserve">, </w:t>
      </w:r>
      <w:r w:rsidRPr="00D57F4E">
        <w:rPr>
          <w:rFonts w:asciiTheme="majorBidi" w:hAnsiTheme="majorBidi" w:cstheme="majorBidi"/>
          <w:i/>
          <w:iCs/>
          <w:color w:val="000000" w:themeColor="text1"/>
          <w:sz w:val="24"/>
          <w:szCs w:val="24"/>
        </w:rPr>
        <w:t>2</w:t>
      </w:r>
      <w:r w:rsidRPr="00D57F4E">
        <w:rPr>
          <w:rFonts w:asciiTheme="majorBidi" w:hAnsiTheme="majorBidi" w:cstheme="majorBidi"/>
          <w:color w:val="000000" w:themeColor="text1"/>
          <w:sz w:val="24"/>
          <w:szCs w:val="24"/>
        </w:rPr>
        <w:t>(1), 1–11.</w:t>
      </w:r>
    </w:p>
    <w:p w14:paraId="2682AF83" w14:textId="69D06EAC" w:rsidR="001C2FAA" w:rsidRPr="00D57F4E"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highlight w:val="white"/>
        </w:rPr>
      </w:pPr>
      <w:r w:rsidRPr="0015386C">
        <w:rPr>
          <w:rFonts w:asciiTheme="majorBidi" w:hAnsiTheme="majorBidi" w:cstheme="majorBidi"/>
          <w:color w:val="000000" w:themeColor="text1"/>
          <w:sz w:val="24"/>
          <w:szCs w:val="24"/>
          <w:highlight w:val="white"/>
          <w:lang w:val="pl-PL"/>
        </w:rPr>
        <w:t>Arpan, L., Raney, A.</w:t>
      </w:r>
      <w:r w:rsidR="000F5F7D">
        <w:rPr>
          <w:rFonts w:asciiTheme="majorBidi" w:hAnsiTheme="majorBidi" w:cstheme="majorBidi"/>
          <w:color w:val="000000" w:themeColor="text1"/>
          <w:sz w:val="24"/>
          <w:szCs w:val="24"/>
          <w:highlight w:val="white"/>
          <w:lang w:val="pl-PL"/>
        </w:rPr>
        <w:t>,</w:t>
      </w:r>
      <w:r w:rsidRPr="0015386C">
        <w:rPr>
          <w:rFonts w:asciiTheme="majorBidi" w:hAnsiTheme="majorBidi" w:cstheme="majorBidi"/>
          <w:color w:val="000000" w:themeColor="text1"/>
          <w:sz w:val="24"/>
          <w:szCs w:val="24"/>
          <w:highlight w:val="white"/>
          <w:lang w:val="pl-PL"/>
        </w:rPr>
        <w:t xml:space="preserve"> &amp; Zivnuska, S. (2003). </w:t>
      </w:r>
      <w:r w:rsidRPr="00D57F4E">
        <w:rPr>
          <w:rFonts w:asciiTheme="majorBidi" w:hAnsiTheme="majorBidi" w:cstheme="majorBidi"/>
          <w:color w:val="000000" w:themeColor="text1"/>
          <w:sz w:val="24"/>
          <w:szCs w:val="24"/>
          <w:highlight w:val="white"/>
        </w:rPr>
        <w:t xml:space="preserve">A cognitive approach to understanding university image, </w:t>
      </w:r>
      <w:r w:rsidRPr="00D57F4E">
        <w:rPr>
          <w:rFonts w:asciiTheme="majorBidi" w:hAnsiTheme="majorBidi" w:cstheme="majorBidi"/>
          <w:i/>
          <w:iCs/>
          <w:color w:val="000000" w:themeColor="text1"/>
          <w:sz w:val="24"/>
          <w:szCs w:val="24"/>
          <w:highlight w:val="white"/>
        </w:rPr>
        <w:t>Corporate Communications: An International Journal</w:t>
      </w:r>
      <w:r w:rsidRPr="00D57F4E">
        <w:rPr>
          <w:rFonts w:asciiTheme="majorBidi" w:hAnsiTheme="majorBidi" w:cstheme="majorBidi"/>
          <w:color w:val="000000" w:themeColor="text1"/>
          <w:sz w:val="24"/>
          <w:szCs w:val="24"/>
          <w:highlight w:val="white"/>
        </w:rPr>
        <w:t xml:space="preserve">, </w:t>
      </w:r>
      <w:r w:rsidRPr="00D57F4E">
        <w:rPr>
          <w:rFonts w:asciiTheme="majorBidi" w:hAnsiTheme="majorBidi" w:cstheme="majorBidi"/>
          <w:i/>
          <w:iCs/>
          <w:color w:val="000000" w:themeColor="text1"/>
          <w:sz w:val="24"/>
          <w:szCs w:val="24"/>
          <w:highlight w:val="white"/>
        </w:rPr>
        <w:t>8</w:t>
      </w:r>
      <w:r w:rsidRPr="00D57F4E">
        <w:rPr>
          <w:rFonts w:asciiTheme="majorBidi" w:hAnsiTheme="majorBidi" w:cstheme="majorBidi"/>
          <w:color w:val="000000" w:themeColor="text1"/>
          <w:sz w:val="24"/>
          <w:szCs w:val="24"/>
          <w:highlight w:val="white"/>
        </w:rPr>
        <w:t>(2), 97-113.</w:t>
      </w:r>
    </w:p>
    <w:p w14:paraId="7E940330" w14:textId="77777777" w:rsidR="001C2FAA" w:rsidRPr="00D57F4E"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rPr>
      </w:pPr>
      <w:r w:rsidRPr="00D57F4E">
        <w:rPr>
          <w:rFonts w:asciiTheme="majorBidi" w:hAnsiTheme="majorBidi" w:cstheme="majorBidi"/>
          <w:color w:val="000000" w:themeColor="text1"/>
          <w:sz w:val="24"/>
          <w:szCs w:val="24"/>
          <w:highlight w:val="white"/>
        </w:rPr>
        <w:t xml:space="preserve">Ary, D., Jacobs, L. C., Irvine, C. K. S., &amp; Walker, D. (2018). </w:t>
      </w:r>
      <w:r w:rsidRPr="00D57F4E">
        <w:rPr>
          <w:rFonts w:asciiTheme="majorBidi" w:hAnsiTheme="majorBidi" w:cstheme="majorBidi"/>
          <w:i/>
          <w:iCs/>
          <w:color w:val="000000" w:themeColor="text1"/>
          <w:sz w:val="24"/>
          <w:szCs w:val="24"/>
          <w:highlight w:val="white"/>
        </w:rPr>
        <w:t>Introduction to research in education</w:t>
      </w:r>
      <w:r w:rsidRPr="00D57F4E">
        <w:rPr>
          <w:rFonts w:asciiTheme="majorBidi" w:hAnsiTheme="majorBidi" w:cstheme="majorBidi"/>
          <w:color w:val="000000" w:themeColor="text1"/>
          <w:sz w:val="24"/>
          <w:szCs w:val="24"/>
          <w:highlight w:val="white"/>
        </w:rPr>
        <w:t xml:space="preserve">. </w:t>
      </w:r>
      <w:r>
        <w:rPr>
          <w:rFonts w:asciiTheme="majorBidi" w:hAnsiTheme="majorBidi" w:cstheme="majorBidi"/>
          <w:color w:val="000000" w:themeColor="text1"/>
          <w:sz w:val="24"/>
          <w:szCs w:val="24"/>
          <w:highlight w:val="white"/>
        </w:rPr>
        <w:t xml:space="preserve">United States: </w:t>
      </w:r>
      <w:r w:rsidRPr="00D57F4E">
        <w:rPr>
          <w:rFonts w:asciiTheme="majorBidi" w:hAnsiTheme="majorBidi" w:cstheme="majorBidi"/>
          <w:color w:val="000000" w:themeColor="text1"/>
          <w:sz w:val="24"/>
          <w:szCs w:val="24"/>
          <w:highlight w:val="white"/>
        </w:rPr>
        <w:t>Cengage Learning.</w:t>
      </w:r>
    </w:p>
    <w:p w14:paraId="0F4B3709" w14:textId="77777777" w:rsidR="001C2FAA" w:rsidRPr="00D57F4E"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rPr>
      </w:pPr>
      <w:r w:rsidRPr="00D57F4E">
        <w:rPr>
          <w:rFonts w:asciiTheme="majorBidi" w:hAnsiTheme="majorBidi" w:cstheme="majorBidi"/>
          <w:color w:val="000000" w:themeColor="text1"/>
          <w:sz w:val="24"/>
          <w:szCs w:val="24"/>
        </w:rPr>
        <w:t xml:space="preserve">Blaschke, L. M. (2012). Heutagogy and lifelong learning: A review of heutagogical practice and self-determined learning. </w:t>
      </w:r>
      <w:r w:rsidRPr="00D57F4E">
        <w:rPr>
          <w:rFonts w:asciiTheme="majorBidi" w:hAnsiTheme="majorBidi" w:cstheme="majorBidi"/>
          <w:i/>
          <w:iCs/>
          <w:color w:val="000000" w:themeColor="text1"/>
          <w:sz w:val="24"/>
          <w:szCs w:val="24"/>
        </w:rPr>
        <w:t>The International Review of Research in Open and Distributed Learning</w:t>
      </w:r>
      <w:r w:rsidRPr="00D57F4E">
        <w:rPr>
          <w:rFonts w:asciiTheme="majorBidi" w:hAnsiTheme="majorBidi" w:cstheme="majorBidi"/>
          <w:color w:val="000000" w:themeColor="text1"/>
          <w:sz w:val="24"/>
          <w:szCs w:val="24"/>
        </w:rPr>
        <w:t xml:space="preserve">, </w:t>
      </w:r>
      <w:r w:rsidRPr="00D57F4E">
        <w:rPr>
          <w:rFonts w:asciiTheme="majorBidi" w:hAnsiTheme="majorBidi" w:cstheme="majorBidi"/>
          <w:i/>
          <w:iCs/>
          <w:color w:val="000000" w:themeColor="text1"/>
          <w:sz w:val="24"/>
          <w:szCs w:val="24"/>
        </w:rPr>
        <w:t>13</w:t>
      </w:r>
      <w:r w:rsidRPr="00D57F4E">
        <w:rPr>
          <w:rFonts w:asciiTheme="majorBidi" w:hAnsiTheme="majorBidi" w:cstheme="majorBidi"/>
          <w:color w:val="000000" w:themeColor="text1"/>
          <w:sz w:val="24"/>
          <w:szCs w:val="24"/>
        </w:rPr>
        <w:t xml:space="preserve">(1), 56–71. </w:t>
      </w:r>
    </w:p>
    <w:p w14:paraId="538B0BA4" w14:textId="77777777" w:rsidR="001C2FAA" w:rsidRPr="00D57F4E"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rPr>
      </w:pPr>
      <w:r w:rsidRPr="00D57F4E">
        <w:rPr>
          <w:rFonts w:asciiTheme="majorBidi" w:hAnsiTheme="majorBidi" w:cstheme="majorBidi"/>
          <w:color w:val="000000" w:themeColor="text1"/>
          <w:sz w:val="24"/>
          <w:szCs w:val="24"/>
        </w:rPr>
        <w:t xml:space="preserve">Bozkurt, A., &amp; Keefer, J. (2017). Participatory learning culture and community formation in connectivist MOOCs. </w:t>
      </w:r>
      <w:r w:rsidRPr="00D57F4E">
        <w:rPr>
          <w:rFonts w:asciiTheme="majorBidi" w:hAnsiTheme="majorBidi" w:cstheme="majorBidi"/>
          <w:i/>
          <w:iCs/>
          <w:color w:val="000000" w:themeColor="text1"/>
          <w:sz w:val="24"/>
          <w:szCs w:val="24"/>
        </w:rPr>
        <w:t>Interactive Learning Environments</w:t>
      </w:r>
      <w:r w:rsidRPr="00D57F4E">
        <w:rPr>
          <w:rFonts w:asciiTheme="majorBidi" w:hAnsiTheme="majorBidi" w:cstheme="majorBidi"/>
          <w:color w:val="000000" w:themeColor="text1"/>
          <w:sz w:val="24"/>
          <w:szCs w:val="24"/>
        </w:rPr>
        <w:t xml:space="preserve">, </w:t>
      </w:r>
      <w:r w:rsidRPr="00D57F4E">
        <w:rPr>
          <w:rFonts w:asciiTheme="majorBidi" w:hAnsiTheme="majorBidi" w:cstheme="majorBidi"/>
          <w:i/>
          <w:iCs/>
          <w:color w:val="000000" w:themeColor="text1"/>
          <w:sz w:val="24"/>
          <w:szCs w:val="24"/>
        </w:rPr>
        <w:t>26</w:t>
      </w:r>
      <w:r w:rsidRPr="00D57F4E">
        <w:rPr>
          <w:rFonts w:asciiTheme="majorBidi" w:hAnsiTheme="majorBidi" w:cstheme="majorBidi"/>
          <w:color w:val="000000" w:themeColor="text1"/>
          <w:sz w:val="24"/>
          <w:szCs w:val="24"/>
        </w:rPr>
        <w:t xml:space="preserve">(6), 776–788. </w:t>
      </w:r>
    </w:p>
    <w:p w14:paraId="184A7556" w14:textId="3FE82FD8" w:rsidR="001C2FAA" w:rsidRPr="00D57F4E" w:rsidRDefault="001C2FAA" w:rsidP="00665616">
      <w:pPr>
        <w:spacing w:after="0" w:line="240" w:lineRule="auto"/>
        <w:ind w:leftChars="0" w:left="567" w:firstLineChars="0" w:hanging="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highlight w:val="white"/>
        </w:rPr>
        <w:t>Briggs, A. R. J., Coleman, M.</w:t>
      </w:r>
      <w:r w:rsidR="000F5F7D">
        <w:rPr>
          <w:rFonts w:asciiTheme="majorBidi" w:hAnsiTheme="majorBidi" w:cstheme="majorBidi"/>
          <w:color w:val="000000" w:themeColor="text1"/>
          <w:sz w:val="24"/>
          <w:szCs w:val="24"/>
          <w:highlight w:val="white"/>
        </w:rPr>
        <w:t>,</w:t>
      </w:r>
      <w:r>
        <w:rPr>
          <w:rFonts w:asciiTheme="majorBidi" w:hAnsiTheme="majorBidi" w:cstheme="majorBidi"/>
          <w:color w:val="000000" w:themeColor="text1"/>
          <w:sz w:val="24"/>
          <w:szCs w:val="24"/>
          <w:highlight w:val="white"/>
        </w:rPr>
        <w:t xml:space="preserve"> &amp; </w:t>
      </w:r>
      <w:r w:rsidRPr="00D57F4E">
        <w:rPr>
          <w:rFonts w:asciiTheme="majorBidi" w:hAnsiTheme="majorBidi" w:cstheme="majorBidi"/>
          <w:color w:val="000000" w:themeColor="text1"/>
          <w:sz w:val="24"/>
          <w:szCs w:val="24"/>
          <w:highlight w:val="white"/>
        </w:rPr>
        <w:t>Morrison, M. (2012). Introduction. I</w:t>
      </w:r>
      <w:r>
        <w:rPr>
          <w:rFonts w:asciiTheme="majorBidi" w:hAnsiTheme="majorBidi" w:cstheme="majorBidi"/>
          <w:color w:val="000000" w:themeColor="text1"/>
          <w:sz w:val="24"/>
          <w:szCs w:val="24"/>
          <w:highlight w:val="white"/>
        </w:rPr>
        <w:t>n Briggs, A. R. J., Coleman, M.</w:t>
      </w:r>
      <w:r w:rsidR="000F5F7D">
        <w:rPr>
          <w:rFonts w:asciiTheme="majorBidi" w:hAnsiTheme="majorBidi" w:cstheme="majorBidi"/>
          <w:color w:val="000000" w:themeColor="text1"/>
          <w:sz w:val="24"/>
          <w:szCs w:val="24"/>
          <w:highlight w:val="white"/>
        </w:rPr>
        <w:t>,</w:t>
      </w:r>
      <w:r w:rsidRPr="00D57F4E">
        <w:rPr>
          <w:rFonts w:asciiTheme="majorBidi" w:hAnsiTheme="majorBidi" w:cstheme="majorBidi"/>
          <w:color w:val="000000" w:themeColor="text1"/>
          <w:sz w:val="24"/>
          <w:szCs w:val="24"/>
          <w:highlight w:val="white"/>
        </w:rPr>
        <w:t xml:space="preserve"> </w:t>
      </w:r>
      <w:r>
        <w:rPr>
          <w:rFonts w:asciiTheme="majorBidi" w:hAnsiTheme="majorBidi" w:cstheme="majorBidi"/>
          <w:color w:val="000000" w:themeColor="text1"/>
          <w:sz w:val="24"/>
          <w:szCs w:val="24"/>
          <w:highlight w:val="white"/>
        </w:rPr>
        <w:t xml:space="preserve">&amp; </w:t>
      </w:r>
      <w:r w:rsidRPr="00D57F4E">
        <w:rPr>
          <w:rFonts w:asciiTheme="majorBidi" w:hAnsiTheme="majorBidi" w:cstheme="majorBidi"/>
          <w:color w:val="000000" w:themeColor="text1"/>
          <w:sz w:val="24"/>
          <w:szCs w:val="24"/>
          <w:highlight w:val="white"/>
        </w:rPr>
        <w:t xml:space="preserve">Morrison, M. (Eds.), </w:t>
      </w:r>
      <w:r w:rsidRPr="00D57F4E">
        <w:rPr>
          <w:rFonts w:asciiTheme="majorBidi" w:hAnsiTheme="majorBidi" w:cstheme="majorBidi"/>
          <w:i/>
          <w:iCs/>
          <w:color w:val="000000" w:themeColor="text1"/>
          <w:sz w:val="24"/>
          <w:szCs w:val="24"/>
          <w:highlight w:val="white"/>
        </w:rPr>
        <w:t>Research methods in educational leadership and management</w:t>
      </w:r>
      <w:r w:rsidRPr="00D57F4E">
        <w:rPr>
          <w:rFonts w:asciiTheme="majorBidi" w:hAnsiTheme="majorBidi" w:cstheme="majorBidi"/>
          <w:color w:val="000000" w:themeColor="text1"/>
          <w:sz w:val="24"/>
          <w:szCs w:val="24"/>
          <w:highlight w:val="white"/>
        </w:rPr>
        <w:t xml:space="preserve"> (pp. 1–12). London, England: Sage.</w:t>
      </w:r>
    </w:p>
    <w:p w14:paraId="7B842726" w14:textId="77777777" w:rsidR="001C2FAA" w:rsidRPr="00D57F4E" w:rsidRDefault="001C2FAA" w:rsidP="00665616">
      <w:pPr>
        <w:spacing w:after="0" w:line="240" w:lineRule="auto"/>
        <w:ind w:leftChars="0" w:left="567" w:firstLineChars="0" w:hanging="567"/>
        <w:jc w:val="both"/>
        <w:rPr>
          <w:rFonts w:asciiTheme="majorBidi" w:hAnsiTheme="majorBidi" w:cstheme="majorBidi"/>
          <w:color w:val="000000" w:themeColor="text1"/>
          <w:sz w:val="24"/>
          <w:szCs w:val="24"/>
        </w:rPr>
      </w:pPr>
      <w:r w:rsidRPr="00D57F4E">
        <w:rPr>
          <w:rFonts w:asciiTheme="majorBidi" w:hAnsiTheme="majorBidi" w:cstheme="majorBidi"/>
          <w:color w:val="000000" w:themeColor="text1"/>
          <w:sz w:val="24"/>
          <w:szCs w:val="24"/>
        </w:rPr>
        <w:lastRenderedPageBreak/>
        <w:t>Brine, J. (2006). Lifelong learning and the knowledge economy: Those tha</w:t>
      </w:r>
      <w:r>
        <w:rPr>
          <w:rFonts w:asciiTheme="majorBidi" w:hAnsiTheme="majorBidi" w:cstheme="majorBidi"/>
          <w:color w:val="000000" w:themeColor="text1"/>
          <w:sz w:val="24"/>
          <w:szCs w:val="24"/>
        </w:rPr>
        <w:t xml:space="preserve">t know and those that do not </w:t>
      </w:r>
      <w:r w:rsidRPr="00D57F4E">
        <w:rPr>
          <w:rFonts w:asciiTheme="majorBidi" w:hAnsiTheme="majorBidi" w:cstheme="majorBidi"/>
          <w:color w:val="000000" w:themeColor="text1"/>
          <w:sz w:val="24"/>
          <w:szCs w:val="24"/>
        </w:rPr>
        <w:t xml:space="preserve">the discourse of the European Union. </w:t>
      </w:r>
      <w:r w:rsidRPr="00D57F4E">
        <w:rPr>
          <w:rFonts w:asciiTheme="majorBidi" w:hAnsiTheme="majorBidi" w:cstheme="majorBidi"/>
          <w:i/>
          <w:iCs/>
          <w:color w:val="000000" w:themeColor="text1"/>
          <w:sz w:val="24"/>
          <w:szCs w:val="24"/>
        </w:rPr>
        <w:t>British Educational Research Journal</w:t>
      </w:r>
      <w:r w:rsidRPr="00D57F4E">
        <w:rPr>
          <w:rFonts w:asciiTheme="majorBidi" w:hAnsiTheme="majorBidi" w:cstheme="majorBidi"/>
          <w:color w:val="000000" w:themeColor="text1"/>
          <w:sz w:val="24"/>
          <w:szCs w:val="24"/>
        </w:rPr>
        <w:t xml:space="preserve">, </w:t>
      </w:r>
      <w:r w:rsidRPr="00D57F4E">
        <w:rPr>
          <w:rFonts w:asciiTheme="majorBidi" w:hAnsiTheme="majorBidi" w:cstheme="majorBidi"/>
          <w:i/>
          <w:iCs/>
          <w:color w:val="000000" w:themeColor="text1"/>
          <w:sz w:val="24"/>
          <w:szCs w:val="24"/>
        </w:rPr>
        <w:t>32</w:t>
      </w:r>
      <w:r w:rsidRPr="00D57F4E">
        <w:rPr>
          <w:rFonts w:asciiTheme="majorBidi" w:hAnsiTheme="majorBidi" w:cstheme="majorBidi"/>
          <w:color w:val="000000" w:themeColor="text1"/>
          <w:sz w:val="24"/>
          <w:szCs w:val="24"/>
        </w:rPr>
        <w:t>, 649–665.</w:t>
      </w:r>
    </w:p>
    <w:p w14:paraId="17DEE4E1" w14:textId="0098E803" w:rsidR="001C2FAA" w:rsidRPr="00D57F4E" w:rsidRDefault="009D084A" w:rsidP="00665616">
      <w:pPr>
        <w:spacing w:after="0" w:line="240" w:lineRule="auto"/>
        <w:ind w:leftChars="0" w:left="567" w:firstLineChars="0" w:hanging="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Broek, S., &amp; Hake, B.</w:t>
      </w:r>
      <w:r w:rsidR="001C2FAA" w:rsidRPr="00D57F4E">
        <w:rPr>
          <w:rFonts w:asciiTheme="majorBidi" w:hAnsiTheme="majorBidi" w:cstheme="majorBidi"/>
          <w:color w:val="000000" w:themeColor="text1"/>
          <w:sz w:val="24"/>
          <w:szCs w:val="24"/>
        </w:rPr>
        <w:t xml:space="preserve">J. (2012). Increasing participation of adults in higher education: Factors for successful policies. </w:t>
      </w:r>
      <w:r w:rsidR="001C2FAA" w:rsidRPr="00D57F4E">
        <w:rPr>
          <w:rFonts w:asciiTheme="majorBidi" w:hAnsiTheme="majorBidi" w:cstheme="majorBidi"/>
          <w:i/>
          <w:iCs/>
          <w:color w:val="000000" w:themeColor="text1"/>
          <w:sz w:val="24"/>
          <w:szCs w:val="24"/>
        </w:rPr>
        <w:t>International Journal of Lifelong Education</w:t>
      </w:r>
      <w:r w:rsidR="001C2FAA" w:rsidRPr="00D57F4E">
        <w:rPr>
          <w:rFonts w:asciiTheme="majorBidi" w:hAnsiTheme="majorBidi" w:cstheme="majorBidi"/>
          <w:color w:val="000000" w:themeColor="text1"/>
          <w:sz w:val="24"/>
          <w:szCs w:val="24"/>
        </w:rPr>
        <w:t xml:space="preserve">, </w:t>
      </w:r>
      <w:r w:rsidR="001C2FAA" w:rsidRPr="00F10FA4">
        <w:rPr>
          <w:rFonts w:asciiTheme="majorBidi" w:hAnsiTheme="majorBidi" w:cstheme="majorBidi"/>
          <w:i/>
          <w:color w:val="000000" w:themeColor="text1"/>
          <w:sz w:val="24"/>
          <w:szCs w:val="24"/>
        </w:rPr>
        <w:t>31</w:t>
      </w:r>
      <w:r w:rsidR="001C2FAA" w:rsidRPr="00D57F4E">
        <w:rPr>
          <w:rFonts w:asciiTheme="majorBidi" w:hAnsiTheme="majorBidi" w:cstheme="majorBidi"/>
          <w:color w:val="000000" w:themeColor="text1"/>
          <w:sz w:val="24"/>
          <w:szCs w:val="24"/>
        </w:rPr>
        <w:t>, 397–417</w:t>
      </w:r>
      <w:r w:rsidR="001C2FAA">
        <w:rPr>
          <w:rFonts w:asciiTheme="majorBidi" w:hAnsiTheme="majorBidi" w:cstheme="majorBidi"/>
          <w:color w:val="000000" w:themeColor="text1"/>
          <w:sz w:val="24"/>
          <w:szCs w:val="24"/>
        </w:rPr>
        <w:t>.</w:t>
      </w:r>
    </w:p>
    <w:p w14:paraId="5CFF39D1" w14:textId="77777777" w:rsidR="001C2FAA" w:rsidRPr="00D57F4E" w:rsidRDefault="001C2FAA" w:rsidP="00665616">
      <w:pPr>
        <w:spacing w:after="0" w:line="240" w:lineRule="auto"/>
        <w:ind w:leftChars="0" w:left="567" w:firstLineChars="0" w:hanging="567"/>
        <w:jc w:val="both"/>
        <w:rPr>
          <w:rFonts w:asciiTheme="majorBidi" w:hAnsiTheme="majorBidi" w:cstheme="majorBidi"/>
          <w:color w:val="000000" w:themeColor="text1"/>
          <w:sz w:val="24"/>
          <w:szCs w:val="24"/>
        </w:rPr>
      </w:pPr>
      <w:r w:rsidRPr="00D57F4E">
        <w:rPr>
          <w:rFonts w:asciiTheme="majorBidi" w:hAnsiTheme="majorBidi" w:cstheme="majorBidi"/>
          <w:color w:val="000000" w:themeColor="text1"/>
          <w:sz w:val="24"/>
          <w:szCs w:val="24"/>
        </w:rPr>
        <w:t xml:space="preserve">Carlsen, A., Holmberg, C., Neghina, C., &amp; Owusu-Boampong, A. (2016). </w:t>
      </w:r>
      <w:r w:rsidRPr="00D57F4E">
        <w:rPr>
          <w:rFonts w:asciiTheme="majorBidi" w:hAnsiTheme="majorBidi" w:cstheme="majorBidi"/>
          <w:i/>
          <w:iCs/>
          <w:color w:val="000000" w:themeColor="text1"/>
          <w:sz w:val="24"/>
          <w:szCs w:val="24"/>
        </w:rPr>
        <w:t xml:space="preserve">Closing the gap: Opportunities for distance education to benefit adult learners in higher education. </w:t>
      </w:r>
      <w:r w:rsidRPr="00F10FA4">
        <w:rPr>
          <w:rFonts w:asciiTheme="majorBidi" w:hAnsiTheme="majorBidi" w:cstheme="majorBidi"/>
          <w:iCs/>
          <w:color w:val="000000" w:themeColor="text1"/>
          <w:sz w:val="24"/>
          <w:szCs w:val="24"/>
        </w:rPr>
        <w:t>Hamburg</w:t>
      </w:r>
      <w:r w:rsidRPr="00F10FA4">
        <w:rPr>
          <w:rFonts w:asciiTheme="majorBidi" w:hAnsiTheme="majorBidi" w:cstheme="majorBidi"/>
          <w:color w:val="000000" w:themeColor="text1"/>
          <w:sz w:val="24"/>
          <w:szCs w:val="24"/>
        </w:rPr>
        <w:t>,</w:t>
      </w:r>
      <w:r w:rsidRPr="00D57F4E">
        <w:rPr>
          <w:rFonts w:asciiTheme="majorBidi" w:hAnsiTheme="majorBidi" w:cstheme="majorBidi"/>
          <w:color w:val="000000" w:themeColor="text1"/>
          <w:sz w:val="24"/>
          <w:szCs w:val="24"/>
        </w:rPr>
        <w:t xml:space="preserve"> Germany: UNESCO Institute for Lifelong Learning</w:t>
      </w:r>
      <w:r>
        <w:rPr>
          <w:rFonts w:asciiTheme="majorBidi" w:hAnsiTheme="majorBidi" w:cstheme="majorBidi"/>
          <w:color w:val="000000" w:themeColor="text1"/>
          <w:sz w:val="24"/>
          <w:szCs w:val="24"/>
        </w:rPr>
        <w:t>.</w:t>
      </w:r>
    </w:p>
    <w:p w14:paraId="4659FBF7" w14:textId="77777777" w:rsidR="001C2FAA" w:rsidRPr="00D57F4E" w:rsidRDefault="001C2FAA" w:rsidP="00665616">
      <w:pPr>
        <w:spacing w:after="0" w:line="240" w:lineRule="auto"/>
        <w:ind w:leftChars="0" w:left="567" w:firstLineChars="0" w:hanging="567"/>
        <w:jc w:val="both"/>
        <w:rPr>
          <w:rFonts w:asciiTheme="majorBidi" w:hAnsiTheme="majorBidi" w:cstheme="majorBidi"/>
          <w:color w:val="000000" w:themeColor="text1"/>
          <w:sz w:val="24"/>
          <w:szCs w:val="24"/>
        </w:rPr>
      </w:pPr>
      <w:r w:rsidRPr="00D57F4E">
        <w:rPr>
          <w:rFonts w:asciiTheme="majorBidi" w:hAnsiTheme="majorBidi" w:cstheme="majorBidi"/>
          <w:color w:val="000000" w:themeColor="text1"/>
          <w:sz w:val="24"/>
          <w:szCs w:val="24"/>
        </w:rPr>
        <w:t xml:space="preserve">Chen, I. (2016). Work engagement and its antecedents and consequences: A case of lecturers teaching synchronous distance education courses. </w:t>
      </w:r>
      <w:r w:rsidRPr="00D57F4E">
        <w:rPr>
          <w:rFonts w:asciiTheme="majorBidi" w:hAnsiTheme="majorBidi" w:cstheme="majorBidi"/>
          <w:i/>
          <w:iCs/>
          <w:color w:val="000000" w:themeColor="text1"/>
          <w:sz w:val="24"/>
          <w:szCs w:val="24"/>
        </w:rPr>
        <w:t>Computers in Human Behavior</w:t>
      </w:r>
      <w:r w:rsidRPr="00D57F4E">
        <w:rPr>
          <w:rFonts w:asciiTheme="majorBidi" w:hAnsiTheme="majorBidi" w:cstheme="majorBidi"/>
          <w:color w:val="000000" w:themeColor="text1"/>
          <w:sz w:val="24"/>
          <w:szCs w:val="24"/>
        </w:rPr>
        <w:t xml:space="preserve">, </w:t>
      </w:r>
      <w:r w:rsidRPr="00D57F4E">
        <w:rPr>
          <w:rFonts w:asciiTheme="majorBidi" w:hAnsiTheme="majorBidi" w:cstheme="majorBidi"/>
          <w:i/>
          <w:iCs/>
          <w:color w:val="000000" w:themeColor="text1"/>
          <w:sz w:val="24"/>
          <w:szCs w:val="24"/>
        </w:rPr>
        <w:t>72</w:t>
      </w:r>
      <w:r w:rsidRPr="00D57F4E">
        <w:rPr>
          <w:rFonts w:asciiTheme="majorBidi" w:hAnsiTheme="majorBidi" w:cstheme="majorBidi"/>
          <w:color w:val="000000" w:themeColor="text1"/>
          <w:sz w:val="24"/>
          <w:szCs w:val="24"/>
        </w:rPr>
        <w:t xml:space="preserve">, 655–663. </w:t>
      </w:r>
    </w:p>
    <w:p w14:paraId="052401EF" w14:textId="77777777" w:rsidR="0015386C" w:rsidRDefault="002E3AF6" w:rsidP="00665616">
      <w:pPr>
        <w:spacing w:after="0" w:line="240" w:lineRule="auto"/>
        <w:ind w:leftChars="0" w:left="567" w:firstLineChars="0" w:hanging="567"/>
        <w:jc w:val="both"/>
        <w:rPr>
          <w:rFonts w:asciiTheme="majorBidi" w:hAnsiTheme="majorBidi" w:cstheme="majorBidi"/>
          <w:color w:val="FF0000"/>
          <w:sz w:val="24"/>
          <w:szCs w:val="24"/>
        </w:rPr>
      </w:pPr>
      <w:r w:rsidRPr="002E3AF6">
        <w:rPr>
          <w:rFonts w:asciiTheme="majorBidi" w:hAnsiTheme="majorBidi" w:cstheme="majorBidi"/>
          <w:sz w:val="24"/>
          <w:szCs w:val="24"/>
        </w:rPr>
        <w:t xml:space="preserve">Collins, J. (2009). Lifelong Learning in the 21st Century and Beyond. </w:t>
      </w:r>
      <w:r w:rsidRPr="002E3AF6">
        <w:rPr>
          <w:rFonts w:asciiTheme="majorBidi" w:hAnsiTheme="majorBidi" w:cstheme="majorBidi"/>
          <w:i/>
          <w:iCs/>
          <w:sz w:val="24"/>
          <w:szCs w:val="24"/>
        </w:rPr>
        <w:t>Journal of RadioGraphics</w:t>
      </w:r>
      <w:r w:rsidRPr="002E3AF6">
        <w:rPr>
          <w:rFonts w:asciiTheme="majorBidi" w:hAnsiTheme="majorBidi" w:cstheme="majorBidi"/>
          <w:sz w:val="24"/>
          <w:szCs w:val="24"/>
        </w:rPr>
        <w:t xml:space="preserve">, </w:t>
      </w:r>
      <w:r w:rsidRPr="002E3AF6">
        <w:rPr>
          <w:rFonts w:asciiTheme="majorBidi" w:hAnsiTheme="majorBidi" w:cstheme="majorBidi"/>
          <w:i/>
          <w:iCs/>
          <w:sz w:val="24"/>
          <w:szCs w:val="24"/>
        </w:rPr>
        <w:t>29</w:t>
      </w:r>
      <w:r w:rsidRPr="002E3AF6">
        <w:rPr>
          <w:rFonts w:asciiTheme="majorBidi" w:hAnsiTheme="majorBidi" w:cstheme="majorBidi"/>
          <w:sz w:val="24"/>
          <w:szCs w:val="24"/>
        </w:rPr>
        <w:t>(2), 613-622</w:t>
      </w:r>
      <w:r w:rsidRPr="002E3AF6">
        <w:rPr>
          <w:rFonts w:asciiTheme="majorBidi" w:hAnsiTheme="majorBidi" w:cstheme="majorBidi"/>
          <w:color w:val="FF0000"/>
          <w:sz w:val="24"/>
          <w:szCs w:val="24"/>
        </w:rPr>
        <w:t>.</w:t>
      </w:r>
    </w:p>
    <w:p w14:paraId="516AE113" w14:textId="4980508D" w:rsidR="001C2FAA" w:rsidRPr="00D57F4E" w:rsidRDefault="001C2FAA" w:rsidP="00665616">
      <w:pPr>
        <w:spacing w:after="0" w:line="240" w:lineRule="auto"/>
        <w:ind w:leftChars="0" w:left="567" w:firstLineChars="0" w:hanging="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Cook, C., Heath, F.</w:t>
      </w:r>
      <w:r w:rsidR="000F5F7D">
        <w:rPr>
          <w:rFonts w:asciiTheme="majorBidi" w:hAnsiTheme="majorBidi" w:cstheme="majorBidi"/>
          <w:color w:val="000000" w:themeColor="text1"/>
          <w:sz w:val="24"/>
          <w:szCs w:val="24"/>
        </w:rPr>
        <w:t>,</w:t>
      </w:r>
      <w:r w:rsidRPr="00D57F4E">
        <w:rPr>
          <w:rFonts w:asciiTheme="majorBidi" w:hAnsiTheme="majorBidi" w:cstheme="majorBidi"/>
          <w:color w:val="000000" w:themeColor="text1"/>
          <w:sz w:val="24"/>
          <w:szCs w:val="24"/>
        </w:rPr>
        <w:t xml:space="preserve"> &amp; Thomson, R. (2000). A meta-analysis of response rates in Web- or Internetbased surveys. </w:t>
      </w:r>
      <w:r w:rsidRPr="00D57F4E">
        <w:rPr>
          <w:rFonts w:asciiTheme="majorBidi" w:hAnsiTheme="majorBidi" w:cstheme="majorBidi"/>
          <w:i/>
          <w:iCs/>
          <w:color w:val="000000" w:themeColor="text1"/>
          <w:sz w:val="24"/>
          <w:szCs w:val="24"/>
        </w:rPr>
        <w:t>Educational &amp; Psychological Measurement</w:t>
      </w:r>
      <w:r w:rsidRPr="00D57F4E">
        <w:rPr>
          <w:rFonts w:asciiTheme="majorBidi" w:hAnsiTheme="majorBidi" w:cstheme="majorBidi"/>
          <w:color w:val="000000" w:themeColor="text1"/>
          <w:sz w:val="24"/>
          <w:szCs w:val="24"/>
        </w:rPr>
        <w:t xml:space="preserve">, </w:t>
      </w:r>
      <w:r w:rsidRPr="00D57F4E">
        <w:rPr>
          <w:rFonts w:asciiTheme="majorBidi" w:hAnsiTheme="majorBidi" w:cstheme="majorBidi"/>
          <w:i/>
          <w:iCs/>
          <w:color w:val="000000" w:themeColor="text1"/>
          <w:sz w:val="24"/>
          <w:szCs w:val="24"/>
        </w:rPr>
        <w:t>60</w:t>
      </w:r>
      <w:r w:rsidRPr="00D57F4E">
        <w:rPr>
          <w:rFonts w:asciiTheme="majorBidi" w:hAnsiTheme="majorBidi" w:cstheme="majorBidi"/>
          <w:color w:val="000000" w:themeColor="text1"/>
          <w:sz w:val="24"/>
          <w:szCs w:val="24"/>
        </w:rPr>
        <w:t xml:space="preserve">(6), 821-826. </w:t>
      </w:r>
    </w:p>
    <w:p w14:paraId="0C497909" w14:textId="77777777" w:rsidR="001C2FAA" w:rsidRPr="00D57F4E" w:rsidRDefault="001C2FAA" w:rsidP="00665616">
      <w:pPr>
        <w:spacing w:after="0" w:line="240" w:lineRule="auto"/>
        <w:ind w:leftChars="0" w:left="567" w:firstLineChars="0" w:hanging="567"/>
        <w:jc w:val="both"/>
        <w:rPr>
          <w:rFonts w:asciiTheme="majorBidi" w:hAnsiTheme="majorBidi" w:cstheme="majorBidi"/>
          <w:color w:val="000000" w:themeColor="text1"/>
          <w:sz w:val="24"/>
          <w:szCs w:val="24"/>
        </w:rPr>
      </w:pPr>
      <w:r w:rsidRPr="00D57F4E">
        <w:rPr>
          <w:rFonts w:asciiTheme="majorBidi" w:hAnsiTheme="majorBidi" w:cstheme="majorBidi"/>
          <w:color w:val="000000" w:themeColor="text1"/>
          <w:sz w:val="24"/>
          <w:szCs w:val="24"/>
        </w:rPr>
        <w:t>Couper, M.P. (2000). Web surveys: A review of issues and approaches</w:t>
      </w:r>
      <w:r w:rsidRPr="00D57F4E">
        <w:rPr>
          <w:rFonts w:asciiTheme="majorBidi" w:hAnsiTheme="majorBidi" w:cstheme="majorBidi"/>
          <w:i/>
          <w:iCs/>
          <w:color w:val="000000" w:themeColor="text1"/>
          <w:sz w:val="24"/>
          <w:szCs w:val="24"/>
        </w:rPr>
        <w:t>. Public Opinion Quarterly</w:t>
      </w:r>
      <w:r w:rsidRPr="00D57F4E">
        <w:rPr>
          <w:rFonts w:asciiTheme="majorBidi" w:hAnsiTheme="majorBidi" w:cstheme="majorBidi"/>
          <w:color w:val="000000" w:themeColor="text1"/>
          <w:sz w:val="24"/>
          <w:szCs w:val="24"/>
        </w:rPr>
        <w:t xml:space="preserve">, </w:t>
      </w:r>
      <w:r w:rsidRPr="00D57F4E">
        <w:rPr>
          <w:rFonts w:asciiTheme="majorBidi" w:hAnsiTheme="majorBidi" w:cstheme="majorBidi"/>
          <w:i/>
          <w:iCs/>
          <w:color w:val="000000" w:themeColor="text1"/>
          <w:sz w:val="24"/>
          <w:szCs w:val="24"/>
        </w:rPr>
        <w:t>64</w:t>
      </w:r>
      <w:r w:rsidRPr="00D57F4E">
        <w:rPr>
          <w:rFonts w:asciiTheme="majorBidi" w:hAnsiTheme="majorBidi" w:cstheme="majorBidi"/>
          <w:color w:val="000000" w:themeColor="text1"/>
          <w:sz w:val="24"/>
          <w:szCs w:val="24"/>
        </w:rPr>
        <w:t>(4), 464-494.</w:t>
      </w:r>
    </w:p>
    <w:p w14:paraId="79B50DA8" w14:textId="5A9F1E51" w:rsidR="001C2FAA" w:rsidRPr="00D57F4E"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highlight w:val="white"/>
        </w:rPr>
      </w:pPr>
      <w:r w:rsidRPr="00D57F4E">
        <w:rPr>
          <w:rFonts w:asciiTheme="majorBidi" w:hAnsiTheme="majorBidi" w:cstheme="majorBidi"/>
          <w:color w:val="000000" w:themeColor="text1"/>
          <w:sz w:val="24"/>
          <w:szCs w:val="24"/>
        </w:rPr>
        <w:t>Farhah Hanun Ngah</w:t>
      </w:r>
      <w:r w:rsidR="000F5F7D">
        <w:rPr>
          <w:rFonts w:asciiTheme="majorBidi" w:hAnsiTheme="majorBidi" w:cstheme="majorBidi"/>
          <w:color w:val="000000" w:themeColor="text1"/>
          <w:sz w:val="24"/>
          <w:szCs w:val="24"/>
        </w:rPr>
        <w:t>,</w:t>
      </w:r>
      <w:r w:rsidRPr="00D57F4E">
        <w:rPr>
          <w:rFonts w:asciiTheme="majorBidi" w:hAnsiTheme="majorBidi" w:cstheme="majorBidi"/>
          <w:color w:val="000000" w:themeColor="text1"/>
          <w:sz w:val="24"/>
          <w:szCs w:val="24"/>
        </w:rPr>
        <w:t xml:space="preserve"> &amp; Denise Koh Choon Lian (2017). Kualiti hidup dan aktiviti fizikal warga emas</w:t>
      </w:r>
      <w:r w:rsidRPr="00D57F4E">
        <w:rPr>
          <w:rFonts w:asciiTheme="majorBidi" w:hAnsiTheme="majorBidi" w:cstheme="majorBidi"/>
          <w:i/>
          <w:iCs/>
          <w:color w:val="000000" w:themeColor="text1"/>
          <w:sz w:val="24"/>
          <w:szCs w:val="24"/>
        </w:rPr>
        <w:t>.</w:t>
      </w:r>
      <w:r>
        <w:rPr>
          <w:rFonts w:asciiTheme="majorBidi" w:hAnsiTheme="majorBidi" w:cstheme="majorBidi"/>
          <w:i/>
          <w:iCs/>
          <w:color w:val="000000" w:themeColor="text1"/>
          <w:sz w:val="24"/>
          <w:szCs w:val="24"/>
        </w:rPr>
        <w:t xml:space="preserve"> Geografia</w:t>
      </w:r>
      <w:r w:rsidRPr="00D57F4E">
        <w:rPr>
          <w:rFonts w:asciiTheme="majorBidi" w:hAnsiTheme="majorBidi" w:cstheme="majorBidi"/>
          <w:i/>
          <w:iCs/>
          <w:color w:val="000000" w:themeColor="text1"/>
          <w:sz w:val="24"/>
          <w:szCs w:val="24"/>
        </w:rPr>
        <w:t>: Malaysian Journal of Society and Space</w:t>
      </w:r>
      <w:r w:rsidRPr="00D57F4E">
        <w:rPr>
          <w:rFonts w:asciiTheme="majorBidi" w:hAnsiTheme="majorBidi" w:cstheme="majorBidi"/>
          <w:color w:val="000000" w:themeColor="text1"/>
          <w:sz w:val="24"/>
          <w:szCs w:val="24"/>
        </w:rPr>
        <w:t xml:space="preserve">, </w:t>
      </w:r>
      <w:r w:rsidRPr="00D57F4E">
        <w:rPr>
          <w:rFonts w:asciiTheme="majorBidi" w:hAnsiTheme="majorBidi" w:cstheme="majorBidi"/>
          <w:i/>
          <w:iCs/>
          <w:color w:val="000000" w:themeColor="text1"/>
          <w:sz w:val="24"/>
          <w:szCs w:val="24"/>
        </w:rPr>
        <w:t>13</w:t>
      </w:r>
      <w:r w:rsidRPr="00D57F4E">
        <w:rPr>
          <w:rFonts w:asciiTheme="majorBidi" w:hAnsiTheme="majorBidi" w:cstheme="majorBidi"/>
          <w:color w:val="000000" w:themeColor="text1"/>
          <w:sz w:val="24"/>
          <w:szCs w:val="24"/>
        </w:rPr>
        <w:t xml:space="preserve">(2), 44-53. </w:t>
      </w:r>
    </w:p>
    <w:p w14:paraId="31D9D97F" w14:textId="77777777" w:rsidR="001C2FAA" w:rsidRPr="00D57F4E"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highlight w:val="white"/>
        </w:rPr>
      </w:pPr>
      <w:r w:rsidRPr="00D57F4E">
        <w:rPr>
          <w:rFonts w:asciiTheme="majorBidi" w:hAnsiTheme="majorBidi" w:cstheme="majorBidi"/>
          <w:color w:val="000000" w:themeColor="text1"/>
          <w:sz w:val="24"/>
          <w:szCs w:val="24"/>
          <w:highlight w:val="white"/>
        </w:rPr>
        <w:t>Fornell</w:t>
      </w:r>
      <w:r>
        <w:rPr>
          <w:rFonts w:asciiTheme="majorBidi" w:hAnsiTheme="majorBidi" w:cstheme="majorBidi"/>
          <w:color w:val="000000" w:themeColor="text1"/>
          <w:sz w:val="24"/>
          <w:szCs w:val="24"/>
          <w:highlight w:val="white"/>
        </w:rPr>
        <w:t xml:space="preserve">, C. &amp; </w:t>
      </w:r>
      <w:r w:rsidRPr="00D57F4E">
        <w:rPr>
          <w:rFonts w:asciiTheme="majorBidi" w:hAnsiTheme="majorBidi" w:cstheme="majorBidi"/>
          <w:color w:val="000000" w:themeColor="text1"/>
          <w:sz w:val="24"/>
          <w:szCs w:val="24"/>
          <w:highlight w:val="white"/>
        </w:rPr>
        <w:t xml:space="preserve">Larcker, </w:t>
      </w:r>
      <w:r>
        <w:rPr>
          <w:rFonts w:asciiTheme="majorBidi" w:hAnsiTheme="majorBidi" w:cstheme="majorBidi"/>
          <w:color w:val="000000" w:themeColor="text1"/>
          <w:sz w:val="24"/>
          <w:szCs w:val="24"/>
          <w:highlight w:val="white"/>
        </w:rPr>
        <w:t xml:space="preserve">D.F. </w:t>
      </w:r>
      <w:r w:rsidRPr="00D57F4E">
        <w:rPr>
          <w:rFonts w:asciiTheme="majorBidi" w:hAnsiTheme="majorBidi" w:cstheme="majorBidi"/>
          <w:color w:val="000000" w:themeColor="text1"/>
          <w:sz w:val="24"/>
          <w:szCs w:val="24"/>
          <w:highlight w:val="white"/>
        </w:rPr>
        <w:t>(1981). Evaluating structural equation models with unobservable variables and measurement error</w:t>
      </w:r>
      <w:r>
        <w:rPr>
          <w:rFonts w:asciiTheme="majorBidi" w:hAnsiTheme="majorBidi" w:cstheme="majorBidi"/>
          <w:color w:val="000000" w:themeColor="text1"/>
          <w:sz w:val="24"/>
          <w:szCs w:val="24"/>
          <w:highlight w:val="white"/>
        </w:rPr>
        <w:t>.</w:t>
      </w:r>
      <w:r w:rsidRPr="00D57F4E">
        <w:rPr>
          <w:rFonts w:asciiTheme="majorBidi" w:hAnsiTheme="majorBidi" w:cstheme="majorBidi"/>
          <w:color w:val="000000" w:themeColor="text1"/>
          <w:sz w:val="24"/>
          <w:szCs w:val="24"/>
          <w:highlight w:val="white"/>
        </w:rPr>
        <w:t xml:space="preserve"> </w:t>
      </w:r>
      <w:r>
        <w:rPr>
          <w:rFonts w:asciiTheme="majorBidi" w:hAnsiTheme="majorBidi" w:cstheme="majorBidi"/>
          <w:i/>
          <w:iCs/>
          <w:color w:val="000000" w:themeColor="text1"/>
          <w:sz w:val="24"/>
          <w:szCs w:val="24"/>
          <w:highlight w:val="white"/>
        </w:rPr>
        <w:t>Journal of Marketing R</w:t>
      </w:r>
      <w:r w:rsidRPr="00D57F4E">
        <w:rPr>
          <w:rFonts w:asciiTheme="majorBidi" w:hAnsiTheme="majorBidi" w:cstheme="majorBidi"/>
          <w:i/>
          <w:iCs/>
          <w:color w:val="000000" w:themeColor="text1"/>
          <w:sz w:val="24"/>
          <w:szCs w:val="24"/>
          <w:highlight w:val="white"/>
        </w:rPr>
        <w:t>esearch</w:t>
      </w:r>
      <w:r w:rsidRPr="00D57F4E">
        <w:rPr>
          <w:rFonts w:asciiTheme="majorBidi" w:hAnsiTheme="majorBidi" w:cstheme="majorBidi"/>
          <w:color w:val="000000" w:themeColor="text1"/>
          <w:sz w:val="24"/>
          <w:szCs w:val="24"/>
          <w:highlight w:val="white"/>
        </w:rPr>
        <w:t xml:space="preserve">, </w:t>
      </w:r>
      <w:r w:rsidRPr="00D57F4E">
        <w:rPr>
          <w:rFonts w:asciiTheme="majorBidi" w:hAnsiTheme="majorBidi" w:cstheme="majorBidi"/>
          <w:i/>
          <w:iCs/>
          <w:color w:val="000000" w:themeColor="text1"/>
          <w:sz w:val="24"/>
          <w:szCs w:val="24"/>
          <w:highlight w:val="white"/>
        </w:rPr>
        <w:t>18</w:t>
      </w:r>
      <w:r w:rsidRPr="00D57F4E">
        <w:rPr>
          <w:rFonts w:asciiTheme="majorBidi" w:hAnsiTheme="majorBidi" w:cstheme="majorBidi"/>
          <w:color w:val="000000" w:themeColor="text1"/>
          <w:sz w:val="24"/>
          <w:szCs w:val="24"/>
          <w:highlight w:val="white"/>
        </w:rPr>
        <w:t xml:space="preserve">(1), </w:t>
      </w:r>
      <w:r>
        <w:rPr>
          <w:rFonts w:asciiTheme="majorBidi" w:hAnsiTheme="majorBidi" w:cstheme="majorBidi"/>
          <w:color w:val="000000" w:themeColor="text1"/>
          <w:sz w:val="24"/>
          <w:szCs w:val="24"/>
          <w:highlight w:val="white"/>
        </w:rPr>
        <w:t>39-50.</w:t>
      </w:r>
      <w:r w:rsidRPr="00D57F4E">
        <w:rPr>
          <w:rFonts w:asciiTheme="majorBidi" w:hAnsiTheme="majorBidi" w:cstheme="majorBidi"/>
          <w:color w:val="000000" w:themeColor="text1"/>
          <w:sz w:val="24"/>
          <w:szCs w:val="24"/>
          <w:highlight w:val="white"/>
        </w:rPr>
        <w:t xml:space="preserve"> </w:t>
      </w:r>
    </w:p>
    <w:p w14:paraId="0D79B388" w14:textId="2D7F5A57" w:rsidR="001C2FAA" w:rsidRPr="00D57F4E"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rPr>
      </w:pPr>
      <w:r w:rsidRPr="00D57F4E">
        <w:rPr>
          <w:rFonts w:asciiTheme="majorBidi" w:hAnsiTheme="majorBidi" w:cstheme="majorBidi"/>
          <w:color w:val="000000" w:themeColor="text1"/>
          <w:sz w:val="24"/>
          <w:szCs w:val="24"/>
          <w:lang w:val="en-GB"/>
        </w:rPr>
        <w:t xml:space="preserve">Fraile, M.N., Peñalva-Vélez, A., </w:t>
      </w:r>
      <w:r w:rsidR="000F5F7D">
        <w:rPr>
          <w:rFonts w:asciiTheme="majorBidi" w:hAnsiTheme="majorBidi" w:cstheme="majorBidi"/>
          <w:color w:val="000000" w:themeColor="text1"/>
          <w:sz w:val="24"/>
          <w:szCs w:val="24"/>
          <w:lang w:val="en-GB"/>
        </w:rPr>
        <w:t xml:space="preserve">&amp; </w:t>
      </w:r>
      <w:r w:rsidRPr="00D57F4E">
        <w:rPr>
          <w:rFonts w:asciiTheme="majorBidi" w:hAnsiTheme="majorBidi" w:cstheme="majorBidi"/>
          <w:color w:val="000000" w:themeColor="text1"/>
          <w:sz w:val="24"/>
          <w:szCs w:val="24"/>
          <w:lang w:val="en-GB"/>
        </w:rPr>
        <w:t xml:space="preserve">Lacambra, A.M.M. (2018). </w:t>
      </w:r>
      <w:r w:rsidRPr="00D57F4E">
        <w:rPr>
          <w:rFonts w:asciiTheme="majorBidi" w:hAnsiTheme="majorBidi" w:cstheme="majorBidi"/>
          <w:color w:val="000000" w:themeColor="text1"/>
          <w:sz w:val="24"/>
          <w:szCs w:val="24"/>
        </w:rPr>
        <w:t>Development of digital competence in secondary education teachers’ training</w:t>
      </w:r>
      <w:r>
        <w:rPr>
          <w:rFonts w:asciiTheme="majorBidi" w:hAnsiTheme="majorBidi" w:cstheme="majorBidi"/>
          <w:color w:val="000000" w:themeColor="text1"/>
          <w:sz w:val="24"/>
          <w:szCs w:val="24"/>
        </w:rPr>
        <w:t>.</w:t>
      </w:r>
      <w:r w:rsidRPr="00D57F4E">
        <w:rPr>
          <w:rFonts w:asciiTheme="majorBidi" w:hAnsiTheme="majorBidi" w:cstheme="majorBidi"/>
          <w:color w:val="000000" w:themeColor="text1"/>
          <w:sz w:val="24"/>
          <w:szCs w:val="24"/>
        </w:rPr>
        <w:t xml:space="preserve"> </w:t>
      </w:r>
      <w:r w:rsidRPr="00D57F4E">
        <w:rPr>
          <w:rFonts w:asciiTheme="majorBidi" w:hAnsiTheme="majorBidi" w:cstheme="majorBidi"/>
          <w:i/>
          <w:iCs/>
          <w:color w:val="000000" w:themeColor="text1"/>
          <w:sz w:val="24"/>
          <w:szCs w:val="24"/>
        </w:rPr>
        <w:t>Education Sciences</w:t>
      </w:r>
      <w:r w:rsidRPr="00D57F4E">
        <w:rPr>
          <w:rFonts w:asciiTheme="majorBidi" w:hAnsiTheme="majorBidi" w:cstheme="majorBidi"/>
          <w:color w:val="000000" w:themeColor="text1"/>
          <w:sz w:val="24"/>
          <w:szCs w:val="24"/>
        </w:rPr>
        <w:t xml:space="preserve">, </w:t>
      </w:r>
      <w:r w:rsidRPr="00D57F4E">
        <w:rPr>
          <w:rFonts w:asciiTheme="majorBidi" w:hAnsiTheme="majorBidi" w:cstheme="majorBidi"/>
          <w:i/>
          <w:iCs/>
          <w:color w:val="000000" w:themeColor="text1"/>
          <w:sz w:val="24"/>
          <w:szCs w:val="24"/>
        </w:rPr>
        <w:t>8</w:t>
      </w:r>
      <w:r w:rsidRPr="00D57F4E">
        <w:rPr>
          <w:rFonts w:asciiTheme="majorBidi" w:hAnsiTheme="majorBidi" w:cstheme="majorBidi"/>
          <w:color w:val="000000" w:themeColor="text1"/>
          <w:sz w:val="24"/>
          <w:szCs w:val="24"/>
        </w:rPr>
        <w:t>(3), 1-12.</w:t>
      </w:r>
    </w:p>
    <w:p w14:paraId="10E92C72" w14:textId="255AF540" w:rsidR="001C2FAA" w:rsidRPr="00D57F4E"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rPr>
      </w:pPr>
      <w:r w:rsidRPr="00D57F4E">
        <w:rPr>
          <w:rFonts w:asciiTheme="majorBidi" w:hAnsiTheme="majorBidi" w:cstheme="majorBidi"/>
          <w:color w:val="000000" w:themeColor="text1"/>
          <w:sz w:val="24"/>
          <w:szCs w:val="24"/>
        </w:rPr>
        <w:t>Frankel, J. R.</w:t>
      </w:r>
      <w:r w:rsidR="000F5F7D">
        <w:rPr>
          <w:rFonts w:asciiTheme="majorBidi" w:hAnsiTheme="majorBidi" w:cstheme="majorBidi"/>
          <w:color w:val="000000" w:themeColor="text1"/>
          <w:sz w:val="24"/>
          <w:szCs w:val="24"/>
        </w:rPr>
        <w:t>,</w:t>
      </w:r>
      <w:r w:rsidRPr="00D57F4E">
        <w:rPr>
          <w:rFonts w:asciiTheme="majorBidi" w:hAnsiTheme="majorBidi" w:cstheme="majorBidi"/>
          <w:color w:val="000000" w:themeColor="text1"/>
          <w:sz w:val="24"/>
          <w:szCs w:val="24"/>
        </w:rPr>
        <w:t xml:space="preserve"> &amp; Wallen, N. E. (2006). </w:t>
      </w:r>
      <w:r>
        <w:rPr>
          <w:rFonts w:asciiTheme="majorBidi" w:hAnsiTheme="majorBidi" w:cstheme="majorBidi"/>
          <w:i/>
          <w:iCs/>
          <w:color w:val="000000" w:themeColor="text1"/>
          <w:sz w:val="24"/>
          <w:szCs w:val="24"/>
        </w:rPr>
        <w:t>How to design and evaluate research in e</w:t>
      </w:r>
      <w:r w:rsidRPr="00D57F4E">
        <w:rPr>
          <w:rFonts w:asciiTheme="majorBidi" w:hAnsiTheme="majorBidi" w:cstheme="majorBidi"/>
          <w:i/>
          <w:iCs/>
          <w:color w:val="000000" w:themeColor="text1"/>
          <w:sz w:val="24"/>
          <w:szCs w:val="24"/>
        </w:rPr>
        <w:t>ducation</w:t>
      </w:r>
      <w:r>
        <w:rPr>
          <w:rFonts w:asciiTheme="majorBidi" w:hAnsiTheme="majorBidi" w:cstheme="majorBidi"/>
          <w:i/>
          <w:iCs/>
          <w:color w:val="000000" w:themeColor="text1"/>
          <w:sz w:val="24"/>
          <w:szCs w:val="24"/>
        </w:rPr>
        <w:t>.</w:t>
      </w:r>
      <w:r>
        <w:rPr>
          <w:rFonts w:asciiTheme="majorBidi" w:hAnsiTheme="majorBidi" w:cstheme="majorBidi"/>
          <w:color w:val="000000" w:themeColor="text1"/>
          <w:sz w:val="24"/>
          <w:szCs w:val="24"/>
        </w:rPr>
        <w:t xml:space="preserve"> New York</w:t>
      </w:r>
      <w:r w:rsidRPr="00D57F4E">
        <w:rPr>
          <w:rFonts w:asciiTheme="majorBidi" w:hAnsiTheme="majorBidi" w:cstheme="majorBidi"/>
          <w:color w:val="000000" w:themeColor="text1"/>
          <w:sz w:val="24"/>
          <w:szCs w:val="24"/>
        </w:rPr>
        <w:t>: McGraw-Hill.</w:t>
      </w:r>
    </w:p>
    <w:p w14:paraId="5C5AC231" w14:textId="77777777" w:rsidR="001C2FAA" w:rsidRPr="00D57F4E"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rPr>
      </w:pPr>
      <w:r w:rsidRPr="008A0AAF">
        <w:rPr>
          <w:rFonts w:asciiTheme="majorBidi" w:hAnsiTheme="majorBidi" w:cstheme="majorBidi"/>
          <w:color w:val="000000" w:themeColor="text1"/>
          <w:sz w:val="24"/>
          <w:szCs w:val="24"/>
          <w:highlight w:val="white"/>
          <w:lang w:val="en-GB"/>
        </w:rPr>
        <w:t xml:space="preserve">Garcia-Morales, V. J., Martín-Rojas, R., &amp; Lardón-López, M. E. (2018). </w:t>
      </w:r>
      <w:r w:rsidRPr="00D57F4E">
        <w:rPr>
          <w:rFonts w:asciiTheme="majorBidi" w:hAnsiTheme="majorBidi" w:cstheme="majorBidi"/>
          <w:color w:val="000000" w:themeColor="text1"/>
          <w:sz w:val="24"/>
          <w:szCs w:val="24"/>
          <w:highlight w:val="white"/>
        </w:rPr>
        <w:t xml:space="preserve">Influence of social media technologies on organizational performance through knowledge and innovation. </w:t>
      </w:r>
      <w:r w:rsidRPr="00F10FA4">
        <w:rPr>
          <w:rFonts w:asciiTheme="majorBidi" w:hAnsiTheme="majorBidi" w:cstheme="majorBidi"/>
          <w:i/>
          <w:color w:val="000000" w:themeColor="text1"/>
          <w:sz w:val="24"/>
          <w:szCs w:val="24"/>
          <w:highlight w:val="white"/>
        </w:rPr>
        <w:t xml:space="preserve">Baltic </w:t>
      </w:r>
      <w:r w:rsidRPr="00D57F4E">
        <w:rPr>
          <w:rFonts w:asciiTheme="majorBidi" w:hAnsiTheme="majorBidi" w:cstheme="majorBidi"/>
          <w:i/>
          <w:iCs/>
          <w:color w:val="000000" w:themeColor="text1"/>
          <w:sz w:val="24"/>
          <w:szCs w:val="24"/>
          <w:highlight w:val="white"/>
        </w:rPr>
        <w:t>Journal of Management</w:t>
      </w:r>
      <w:r w:rsidRPr="00D57F4E">
        <w:rPr>
          <w:rFonts w:asciiTheme="majorBidi" w:hAnsiTheme="majorBidi" w:cstheme="majorBidi"/>
          <w:color w:val="000000" w:themeColor="text1"/>
          <w:sz w:val="24"/>
          <w:szCs w:val="24"/>
          <w:highlight w:val="white"/>
        </w:rPr>
        <w:t xml:space="preserve">, </w:t>
      </w:r>
      <w:r w:rsidRPr="00D57F4E">
        <w:rPr>
          <w:rFonts w:asciiTheme="majorBidi" w:hAnsiTheme="majorBidi" w:cstheme="majorBidi"/>
          <w:i/>
          <w:iCs/>
          <w:color w:val="000000" w:themeColor="text1"/>
          <w:sz w:val="24"/>
          <w:szCs w:val="24"/>
          <w:highlight w:val="white"/>
        </w:rPr>
        <w:t>13</w:t>
      </w:r>
      <w:r w:rsidRPr="00D57F4E">
        <w:rPr>
          <w:rFonts w:asciiTheme="majorBidi" w:hAnsiTheme="majorBidi" w:cstheme="majorBidi"/>
          <w:color w:val="000000" w:themeColor="text1"/>
          <w:sz w:val="24"/>
          <w:szCs w:val="24"/>
          <w:highlight w:val="white"/>
        </w:rPr>
        <w:t>(3), 345-367.</w:t>
      </w:r>
    </w:p>
    <w:p w14:paraId="20D8B528" w14:textId="77777777" w:rsidR="001C2FAA" w:rsidRPr="00D57F4E"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rPr>
      </w:pPr>
      <w:r w:rsidRPr="00D57F4E">
        <w:rPr>
          <w:rFonts w:asciiTheme="majorBidi" w:hAnsiTheme="majorBidi" w:cstheme="majorBidi"/>
          <w:color w:val="000000" w:themeColor="text1"/>
          <w:sz w:val="24"/>
          <w:szCs w:val="24"/>
          <w:highlight w:val="white"/>
        </w:rPr>
        <w:t xml:space="preserve">Glasser, W. (1996). </w:t>
      </w:r>
      <w:r w:rsidRPr="00D57F4E">
        <w:rPr>
          <w:rFonts w:asciiTheme="majorBidi" w:hAnsiTheme="majorBidi" w:cstheme="majorBidi"/>
          <w:i/>
          <w:iCs/>
          <w:color w:val="000000" w:themeColor="text1"/>
          <w:sz w:val="24"/>
          <w:szCs w:val="24"/>
          <w:highlight w:val="white"/>
        </w:rPr>
        <w:t>Choice theory</w:t>
      </w:r>
      <w:r w:rsidRPr="00D57F4E">
        <w:rPr>
          <w:rFonts w:asciiTheme="majorBidi" w:hAnsiTheme="majorBidi" w:cstheme="majorBidi"/>
          <w:color w:val="000000" w:themeColor="text1"/>
          <w:sz w:val="24"/>
          <w:szCs w:val="24"/>
          <w:highlight w:val="white"/>
        </w:rPr>
        <w:t>. New York: Harper-Collins.</w:t>
      </w:r>
    </w:p>
    <w:p w14:paraId="34AA93D4" w14:textId="77777777" w:rsidR="001C2FAA" w:rsidRPr="00D57F4E"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rPr>
      </w:pPr>
      <w:r w:rsidRPr="00D57F4E">
        <w:rPr>
          <w:rFonts w:asciiTheme="majorBidi" w:hAnsiTheme="majorBidi" w:cstheme="majorBidi"/>
          <w:color w:val="000000" w:themeColor="text1"/>
          <w:sz w:val="24"/>
          <w:szCs w:val="24"/>
        </w:rPr>
        <w:t xml:space="preserve">Glasser, W. (1997). A new look at school failure and school success. </w:t>
      </w:r>
      <w:r w:rsidRPr="00D57F4E">
        <w:rPr>
          <w:rFonts w:asciiTheme="majorBidi" w:hAnsiTheme="majorBidi" w:cstheme="majorBidi"/>
          <w:i/>
          <w:iCs/>
          <w:color w:val="000000" w:themeColor="text1"/>
          <w:sz w:val="24"/>
          <w:szCs w:val="24"/>
        </w:rPr>
        <w:t>Phi Delta Kappan</w:t>
      </w:r>
      <w:r w:rsidRPr="00D57F4E">
        <w:rPr>
          <w:rFonts w:asciiTheme="majorBidi" w:hAnsiTheme="majorBidi" w:cstheme="majorBidi"/>
          <w:color w:val="000000" w:themeColor="text1"/>
          <w:sz w:val="24"/>
          <w:szCs w:val="24"/>
        </w:rPr>
        <w:t xml:space="preserve">, </w:t>
      </w:r>
      <w:r w:rsidRPr="00F10FA4">
        <w:rPr>
          <w:rFonts w:asciiTheme="majorBidi" w:hAnsiTheme="majorBidi" w:cstheme="majorBidi"/>
          <w:i/>
          <w:color w:val="000000" w:themeColor="text1"/>
          <w:sz w:val="24"/>
          <w:szCs w:val="24"/>
        </w:rPr>
        <w:t>78</w:t>
      </w:r>
      <w:r w:rsidRPr="00D57F4E">
        <w:rPr>
          <w:rFonts w:asciiTheme="majorBidi" w:hAnsiTheme="majorBidi" w:cstheme="majorBidi"/>
          <w:color w:val="000000" w:themeColor="text1"/>
          <w:sz w:val="24"/>
          <w:szCs w:val="24"/>
        </w:rPr>
        <w:t>, 596-602.</w:t>
      </w:r>
    </w:p>
    <w:p w14:paraId="0EF5ECC2" w14:textId="77777777" w:rsidR="001C2FAA" w:rsidRPr="00F10FA4" w:rsidRDefault="001C2FAA" w:rsidP="00665616">
      <w:pPr>
        <w:spacing w:after="0" w:line="240" w:lineRule="auto"/>
        <w:ind w:leftChars="0" w:left="567" w:firstLineChars="0" w:hanging="569"/>
        <w:jc w:val="both"/>
        <w:rPr>
          <w:rFonts w:ascii="Times New Roman" w:hAnsi="Times New Roman" w:cs="Times New Roman"/>
          <w:color w:val="000000" w:themeColor="text1"/>
          <w:sz w:val="24"/>
          <w:szCs w:val="24"/>
        </w:rPr>
      </w:pPr>
      <w:r>
        <w:rPr>
          <w:rFonts w:asciiTheme="majorBidi" w:hAnsiTheme="majorBidi" w:cstheme="majorBidi"/>
          <w:color w:val="000000" w:themeColor="text1"/>
          <w:sz w:val="24"/>
          <w:szCs w:val="24"/>
        </w:rPr>
        <w:t>Godinez, E.U.</w:t>
      </w:r>
      <w:r w:rsidRPr="00D57F4E">
        <w:rPr>
          <w:rFonts w:asciiTheme="majorBidi" w:hAnsiTheme="majorBidi" w:cstheme="majorBidi"/>
          <w:color w:val="000000" w:themeColor="text1"/>
          <w:sz w:val="24"/>
          <w:szCs w:val="24"/>
        </w:rPr>
        <w:t xml:space="preserve"> (2010). </w:t>
      </w:r>
      <w:r w:rsidRPr="00D57F4E">
        <w:rPr>
          <w:rFonts w:asciiTheme="majorBidi" w:hAnsiTheme="majorBidi" w:cstheme="majorBidi"/>
          <w:i/>
          <w:iCs/>
          <w:color w:val="000000" w:themeColor="text1"/>
          <w:sz w:val="24"/>
          <w:szCs w:val="24"/>
        </w:rPr>
        <w:t>A correlation study of the factors that influence lifelong learning in army civilian corps</w:t>
      </w:r>
      <w:r>
        <w:rPr>
          <w:rFonts w:asciiTheme="majorBidi" w:hAnsiTheme="majorBidi" w:cstheme="majorBidi"/>
          <w:color w:val="000000" w:themeColor="text1"/>
          <w:sz w:val="24"/>
          <w:szCs w:val="24"/>
        </w:rPr>
        <w:t xml:space="preserve">. Dissertaion, </w:t>
      </w:r>
      <w:r w:rsidRPr="00F10FA4">
        <w:rPr>
          <w:rFonts w:ascii="Times New Roman" w:hAnsi="Times New Roman" w:cs="Times New Roman"/>
          <w:sz w:val="24"/>
          <w:szCs w:val="24"/>
        </w:rPr>
        <w:t>University of Phoenix</w:t>
      </w:r>
      <w:r w:rsidRPr="00F10FA4">
        <w:rPr>
          <w:rFonts w:ascii="Times New Roman" w:hAnsi="Times New Roman" w:cs="Times New Roman"/>
          <w:color w:val="000000" w:themeColor="text1"/>
          <w:sz w:val="24"/>
          <w:szCs w:val="24"/>
        </w:rPr>
        <w:t>.</w:t>
      </w:r>
    </w:p>
    <w:p w14:paraId="0B887F8F" w14:textId="32461194" w:rsidR="001C2FAA" w:rsidRPr="00D57F4E" w:rsidRDefault="009D084A" w:rsidP="00665616">
      <w:pPr>
        <w:spacing w:after="0" w:line="240" w:lineRule="auto"/>
        <w:ind w:leftChars="0" w:left="567" w:firstLineChars="0" w:hanging="569"/>
        <w:jc w:val="both"/>
        <w:rPr>
          <w:rFonts w:asciiTheme="majorBidi" w:hAnsiTheme="majorBidi" w:cstheme="majorBidi"/>
          <w:color w:val="000000" w:themeColor="text1"/>
          <w:sz w:val="24"/>
          <w:szCs w:val="24"/>
          <w:highlight w:val="white"/>
        </w:rPr>
      </w:pPr>
      <w:r>
        <w:rPr>
          <w:rFonts w:asciiTheme="majorBidi" w:hAnsiTheme="majorBidi" w:cstheme="majorBidi"/>
          <w:color w:val="000000" w:themeColor="text1"/>
          <w:sz w:val="24"/>
          <w:szCs w:val="24"/>
        </w:rPr>
        <w:t>Hair, J.</w:t>
      </w:r>
      <w:r w:rsidR="001C2FAA" w:rsidRPr="00D57F4E">
        <w:rPr>
          <w:rFonts w:asciiTheme="majorBidi" w:hAnsiTheme="majorBidi" w:cstheme="majorBidi"/>
          <w:color w:val="000000" w:themeColor="text1"/>
          <w:sz w:val="24"/>
          <w:szCs w:val="24"/>
        </w:rPr>
        <w:t>F.,</w:t>
      </w:r>
      <w:r>
        <w:rPr>
          <w:rFonts w:asciiTheme="majorBidi" w:hAnsiTheme="majorBidi" w:cstheme="majorBidi"/>
          <w:color w:val="000000" w:themeColor="text1"/>
          <w:sz w:val="24"/>
          <w:szCs w:val="24"/>
        </w:rPr>
        <w:t xml:space="preserve"> Hult, G.T.M., Ringle, C.</w:t>
      </w:r>
      <w:r w:rsidR="001C2FAA">
        <w:rPr>
          <w:rFonts w:asciiTheme="majorBidi" w:hAnsiTheme="majorBidi" w:cstheme="majorBidi"/>
          <w:color w:val="000000" w:themeColor="text1"/>
          <w:sz w:val="24"/>
          <w:szCs w:val="24"/>
        </w:rPr>
        <w:t>M.</w:t>
      </w:r>
      <w:r w:rsidR="006F3A21">
        <w:rPr>
          <w:rFonts w:asciiTheme="majorBidi" w:hAnsiTheme="majorBidi" w:cstheme="majorBidi"/>
          <w:color w:val="000000" w:themeColor="text1"/>
          <w:sz w:val="24"/>
          <w:szCs w:val="24"/>
        </w:rPr>
        <w:t>,</w:t>
      </w:r>
      <w:r w:rsidR="001C2FAA">
        <w:rPr>
          <w:rFonts w:asciiTheme="majorBidi" w:hAnsiTheme="majorBidi" w:cstheme="majorBidi"/>
          <w:color w:val="000000" w:themeColor="text1"/>
          <w:sz w:val="24"/>
          <w:szCs w:val="24"/>
        </w:rPr>
        <w:t xml:space="preserve"> &amp; </w:t>
      </w:r>
      <w:r w:rsidR="001C2FAA" w:rsidRPr="00D57F4E">
        <w:rPr>
          <w:rFonts w:asciiTheme="majorBidi" w:hAnsiTheme="majorBidi" w:cstheme="majorBidi"/>
          <w:color w:val="000000" w:themeColor="text1"/>
          <w:sz w:val="24"/>
          <w:szCs w:val="24"/>
        </w:rPr>
        <w:t xml:space="preserve">Sarstedt, M. (2017). </w:t>
      </w:r>
      <w:r w:rsidR="001C2FAA">
        <w:rPr>
          <w:rFonts w:asciiTheme="majorBidi" w:hAnsiTheme="majorBidi" w:cstheme="majorBidi"/>
          <w:i/>
          <w:iCs/>
          <w:color w:val="000000" w:themeColor="text1"/>
          <w:sz w:val="24"/>
          <w:szCs w:val="24"/>
        </w:rPr>
        <w:t>A p</w:t>
      </w:r>
      <w:r w:rsidR="001C2FAA" w:rsidRPr="00D57F4E">
        <w:rPr>
          <w:rFonts w:asciiTheme="majorBidi" w:hAnsiTheme="majorBidi" w:cstheme="majorBidi"/>
          <w:i/>
          <w:iCs/>
          <w:color w:val="000000" w:themeColor="text1"/>
          <w:sz w:val="24"/>
          <w:szCs w:val="24"/>
        </w:rPr>
        <w:t>rimer on Partial Least Squares Structural Equation Modeling (PLS-SEM)</w:t>
      </w:r>
      <w:r w:rsidR="001C2FAA" w:rsidRPr="00D57F4E">
        <w:rPr>
          <w:rFonts w:asciiTheme="majorBidi" w:hAnsiTheme="majorBidi" w:cstheme="majorBidi"/>
          <w:color w:val="000000" w:themeColor="text1"/>
          <w:sz w:val="24"/>
          <w:szCs w:val="24"/>
        </w:rPr>
        <w:t>. Thousand Oaks, CA: Sage.</w:t>
      </w:r>
    </w:p>
    <w:p w14:paraId="0E924374" w14:textId="77777777" w:rsidR="001C2FAA" w:rsidRPr="00D57F4E"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rPr>
      </w:pPr>
      <w:bookmarkStart w:id="9" w:name="_Hlk24464790"/>
      <w:r>
        <w:rPr>
          <w:rFonts w:asciiTheme="majorBidi" w:hAnsiTheme="majorBidi" w:cstheme="majorBidi"/>
          <w:color w:val="000000" w:themeColor="text1"/>
          <w:sz w:val="24"/>
          <w:szCs w:val="24"/>
          <w:highlight w:val="white"/>
        </w:rPr>
        <w:t>Hartas, D. (e</w:t>
      </w:r>
      <w:r w:rsidRPr="00D57F4E">
        <w:rPr>
          <w:rFonts w:asciiTheme="majorBidi" w:hAnsiTheme="majorBidi" w:cstheme="majorBidi"/>
          <w:color w:val="000000" w:themeColor="text1"/>
          <w:sz w:val="24"/>
          <w:szCs w:val="24"/>
          <w:highlight w:val="white"/>
        </w:rPr>
        <w:t xml:space="preserve">d.). (2015). </w:t>
      </w:r>
      <w:r w:rsidRPr="00D57F4E">
        <w:rPr>
          <w:rFonts w:asciiTheme="majorBidi" w:hAnsiTheme="majorBidi" w:cstheme="majorBidi"/>
          <w:i/>
          <w:iCs/>
          <w:color w:val="000000" w:themeColor="text1"/>
          <w:sz w:val="24"/>
          <w:szCs w:val="24"/>
          <w:highlight w:val="white"/>
        </w:rPr>
        <w:t>Educational research and inquiry: Qualitative and quantitative approaches</w:t>
      </w:r>
      <w:r w:rsidRPr="00D57F4E">
        <w:rPr>
          <w:rFonts w:asciiTheme="majorBidi" w:hAnsiTheme="majorBidi" w:cstheme="majorBidi"/>
          <w:color w:val="000000" w:themeColor="text1"/>
          <w:sz w:val="24"/>
          <w:szCs w:val="24"/>
          <w:highlight w:val="white"/>
        </w:rPr>
        <w:t xml:space="preserve">. </w:t>
      </w:r>
      <w:r>
        <w:rPr>
          <w:rFonts w:asciiTheme="majorBidi" w:hAnsiTheme="majorBidi" w:cstheme="majorBidi"/>
          <w:color w:val="000000" w:themeColor="text1"/>
          <w:sz w:val="24"/>
          <w:szCs w:val="24"/>
          <w:highlight w:val="white"/>
        </w:rPr>
        <w:t xml:space="preserve">London: </w:t>
      </w:r>
      <w:r w:rsidRPr="00D57F4E">
        <w:rPr>
          <w:rFonts w:asciiTheme="majorBidi" w:hAnsiTheme="majorBidi" w:cstheme="majorBidi"/>
          <w:color w:val="000000" w:themeColor="text1"/>
          <w:sz w:val="24"/>
          <w:szCs w:val="24"/>
          <w:highlight w:val="white"/>
        </w:rPr>
        <w:t>Bloomsbury Publishing.</w:t>
      </w:r>
    </w:p>
    <w:p w14:paraId="1C327CF4" w14:textId="77777777" w:rsidR="001C2FAA" w:rsidRPr="00D57F4E"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rPr>
      </w:pPr>
      <w:r w:rsidRPr="00D57F4E">
        <w:rPr>
          <w:rFonts w:asciiTheme="majorBidi" w:hAnsiTheme="majorBidi" w:cstheme="majorBidi"/>
          <w:color w:val="000000" w:themeColor="text1"/>
          <w:sz w:val="24"/>
          <w:szCs w:val="24"/>
        </w:rPr>
        <w:t>H</w:t>
      </w:r>
      <w:r>
        <w:rPr>
          <w:rFonts w:asciiTheme="majorBidi" w:hAnsiTheme="majorBidi" w:cstheme="majorBidi"/>
          <w:color w:val="000000" w:themeColor="text1"/>
          <w:sz w:val="24"/>
          <w:szCs w:val="24"/>
        </w:rPr>
        <w:t>arvey, L. (2001). Defining and measuring e</w:t>
      </w:r>
      <w:r w:rsidRPr="00D57F4E">
        <w:rPr>
          <w:rFonts w:asciiTheme="majorBidi" w:hAnsiTheme="majorBidi" w:cstheme="majorBidi"/>
          <w:color w:val="000000" w:themeColor="text1"/>
          <w:sz w:val="24"/>
          <w:szCs w:val="24"/>
        </w:rPr>
        <w:t xml:space="preserve">mployability. </w:t>
      </w:r>
      <w:r w:rsidRPr="00D57F4E">
        <w:rPr>
          <w:rFonts w:asciiTheme="majorBidi" w:hAnsiTheme="majorBidi" w:cstheme="majorBidi"/>
          <w:i/>
          <w:iCs/>
          <w:color w:val="000000" w:themeColor="text1"/>
          <w:sz w:val="24"/>
          <w:szCs w:val="24"/>
        </w:rPr>
        <w:t>Quality in Higher Education</w:t>
      </w:r>
      <w:r w:rsidRPr="00D57F4E">
        <w:rPr>
          <w:rFonts w:asciiTheme="majorBidi" w:hAnsiTheme="majorBidi" w:cstheme="majorBidi"/>
          <w:color w:val="000000" w:themeColor="text1"/>
          <w:sz w:val="24"/>
          <w:szCs w:val="24"/>
        </w:rPr>
        <w:t>,</w:t>
      </w:r>
      <w:r w:rsidRPr="00D57F4E">
        <w:rPr>
          <w:rFonts w:asciiTheme="majorBidi" w:hAnsiTheme="majorBidi" w:cstheme="majorBidi"/>
          <w:i/>
          <w:iCs/>
          <w:color w:val="000000" w:themeColor="text1"/>
          <w:sz w:val="24"/>
          <w:szCs w:val="24"/>
        </w:rPr>
        <w:t xml:space="preserve"> 7</w:t>
      </w:r>
      <w:r w:rsidRPr="00D57F4E">
        <w:rPr>
          <w:rFonts w:asciiTheme="majorBidi" w:hAnsiTheme="majorBidi" w:cstheme="majorBidi"/>
          <w:color w:val="000000" w:themeColor="text1"/>
          <w:sz w:val="24"/>
          <w:szCs w:val="24"/>
        </w:rPr>
        <w:t>(2), 97-109.</w:t>
      </w:r>
    </w:p>
    <w:bookmarkEnd w:id="9"/>
    <w:p w14:paraId="57F05EE0" w14:textId="451D3188" w:rsidR="001C2FAA" w:rsidRPr="008A0AAF"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lang w:val="en-GB"/>
        </w:rPr>
      </w:pPr>
      <w:r>
        <w:rPr>
          <w:rFonts w:asciiTheme="majorBidi" w:hAnsiTheme="majorBidi" w:cstheme="majorBidi"/>
          <w:color w:val="000000" w:themeColor="text1"/>
          <w:sz w:val="24"/>
          <w:szCs w:val="24"/>
          <w:shd w:val="clear" w:color="auto" w:fill="FFFFFF"/>
          <w:lang w:val="pl-PL"/>
        </w:rPr>
        <w:t>Hasami, H.</w:t>
      </w:r>
      <w:r w:rsidR="006F3A21">
        <w:rPr>
          <w:rFonts w:asciiTheme="majorBidi" w:hAnsiTheme="majorBidi" w:cstheme="majorBidi"/>
          <w:color w:val="000000" w:themeColor="text1"/>
          <w:sz w:val="24"/>
          <w:szCs w:val="24"/>
          <w:shd w:val="clear" w:color="auto" w:fill="FFFFFF"/>
          <w:lang w:val="pl-PL"/>
        </w:rPr>
        <w:t>,</w:t>
      </w:r>
      <w:r>
        <w:rPr>
          <w:rFonts w:asciiTheme="majorBidi" w:hAnsiTheme="majorBidi" w:cstheme="majorBidi"/>
          <w:color w:val="000000" w:themeColor="text1"/>
          <w:sz w:val="24"/>
          <w:szCs w:val="24"/>
          <w:shd w:val="clear" w:color="auto" w:fill="FFFFFF"/>
          <w:lang w:val="pl-PL"/>
        </w:rPr>
        <w:t xml:space="preserve"> </w:t>
      </w:r>
      <w:r w:rsidR="009D084A">
        <w:rPr>
          <w:rFonts w:asciiTheme="majorBidi" w:hAnsiTheme="majorBidi" w:cstheme="majorBidi"/>
          <w:color w:val="000000" w:themeColor="text1"/>
          <w:sz w:val="24"/>
          <w:szCs w:val="24"/>
          <w:shd w:val="clear" w:color="auto" w:fill="FFFFFF"/>
          <w:lang w:val="pl-PL"/>
        </w:rPr>
        <w:t>&amp; Buang, N.</w:t>
      </w:r>
      <w:r w:rsidRPr="00D57F4E">
        <w:rPr>
          <w:rFonts w:asciiTheme="majorBidi" w:hAnsiTheme="majorBidi" w:cstheme="majorBidi"/>
          <w:color w:val="000000" w:themeColor="text1"/>
          <w:sz w:val="24"/>
          <w:szCs w:val="24"/>
          <w:shd w:val="clear" w:color="auto" w:fill="FFFFFF"/>
          <w:lang w:val="pl-PL"/>
        </w:rPr>
        <w:t>A. (2018). Keberkesanan program pembelajaran sepanjang hayat (PSH) terhadap pengetahuan dan tahap kemahiran pelajar kolej komuniti. </w:t>
      </w:r>
      <w:r w:rsidRPr="008A0AAF">
        <w:rPr>
          <w:rFonts w:asciiTheme="majorBidi" w:hAnsiTheme="majorBidi" w:cstheme="majorBidi"/>
          <w:i/>
          <w:iCs/>
          <w:color w:val="000000" w:themeColor="text1"/>
          <w:sz w:val="24"/>
          <w:szCs w:val="24"/>
          <w:shd w:val="clear" w:color="auto" w:fill="FFFFFF"/>
          <w:lang w:val="en-GB"/>
        </w:rPr>
        <w:t>Jurnal Pendidikan Malaysia</w:t>
      </w:r>
      <w:r w:rsidRPr="008A0AAF">
        <w:rPr>
          <w:rFonts w:asciiTheme="majorBidi" w:hAnsiTheme="majorBidi" w:cstheme="majorBidi"/>
          <w:color w:val="000000" w:themeColor="text1"/>
          <w:sz w:val="24"/>
          <w:szCs w:val="24"/>
          <w:shd w:val="clear" w:color="auto" w:fill="FFFFFF"/>
          <w:lang w:val="en-GB"/>
        </w:rPr>
        <w:t>, </w:t>
      </w:r>
      <w:r w:rsidRPr="008A0AAF">
        <w:rPr>
          <w:rFonts w:asciiTheme="majorBidi" w:hAnsiTheme="majorBidi" w:cstheme="majorBidi"/>
          <w:i/>
          <w:iCs/>
          <w:color w:val="000000" w:themeColor="text1"/>
          <w:sz w:val="24"/>
          <w:szCs w:val="24"/>
          <w:shd w:val="clear" w:color="auto" w:fill="FFFFFF"/>
          <w:lang w:val="en-GB"/>
        </w:rPr>
        <w:t>43</w:t>
      </w:r>
      <w:r w:rsidRPr="008A0AAF">
        <w:rPr>
          <w:rFonts w:asciiTheme="majorBidi" w:hAnsiTheme="majorBidi" w:cstheme="majorBidi"/>
          <w:color w:val="000000" w:themeColor="text1"/>
          <w:sz w:val="24"/>
          <w:szCs w:val="24"/>
          <w:shd w:val="clear" w:color="auto" w:fill="FFFFFF"/>
          <w:lang w:val="en-GB"/>
        </w:rPr>
        <w:t>(3), 89-106.</w:t>
      </w:r>
    </w:p>
    <w:p w14:paraId="3B74A718" w14:textId="0C021549" w:rsidR="001C2FAA" w:rsidRPr="00D57F4E"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highlight w:val="white"/>
        </w:rPr>
      </w:pPr>
      <w:r w:rsidRPr="008A0AAF">
        <w:rPr>
          <w:rFonts w:asciiTheme="majorBidi" w:hAnsiTheme="majorBidi" w:cstheme="majorBidi"/>
          <w:color w:val="000000" w:themeColor="text1"/>
          <w:sz w:val="24"/>
          <w:szCs w:val="24"/>
          <w:lang w:val="en-GB"/>
        </w:rPr>
        <w:t>Hassan, M.A., Azmi, M.Z.</w:t>
      </w:r>
      <w:r w:rsidR="006F3A21">
        <w:rPr>
          <w:rFonts w:asciiTheme="majorBidi" w:hAnsiTheme="majorBidi" w:cstheme="majorBidi"/>
          <w:color w:val="000000" w:themeColor="text1"/>
          <w:sz w:val="24"/>
          <w:szCs w:val="24"/>
          <w:lang w:val="en-GB"/>
        </w:rPr>
        <w:t>,</w:t>
      </w:r>
      <w:r w:rsidRPr="008A0AAF">
        <w:rPr>
          <w:rFonts w:asciiTheme="majorBidi" w:hAnsiTheme="majorBidi" w:cstheme="majorBidi"/>
          <w:color w:val="000000" w:themeColor="text1"/>
          <w:sz w:val="24"/>
          <w:szCs w:val="24"/>
          <w:lang w:val="en-GB"/>
        </w:rPr>
        <w:t xml:space="preserve"> &amp; Mohamad, M.S. (2008). </w:t>
      </w:r>
      <w:r w:rsidRPr="00D57F4E">
        <w:rPr>
          <w:rFonts w:asciiTheme="majorBidi" w:hAnsiTheme="majorBidi" w:cstheme="majorBidi"/>
          <w:color w:val="000000" w:themeColor="text1"/>
          <w:sz w:val="24"/>
          <w:szCs w:val="24"/>
        </w:rPr>
        <w:t xml:space="preserve">Factors influencing students’ choice of higher institutions of learning. Paper presented at the </w:t>
      </w:r>
      <w:r w:rsidRPr="00D57F4E">
        <w:rPr>
          <w:rFonts w:asciiTheme="majorBidi" w:hAnsiTheme="majorBidi" w:cstheme="majorBidi"/>
          <w:i/>
          <w:iCs/>
          <w:color w:val="000000" w:themeColor="text1"/>
          <w:sz w:val="24"/>
          <w:szCs w:val="24"/>
        </w:rPr>
        <w:t>Educational Research Seminar for Students</w:t>
      </w:r>
      <w:r w:rsidRPr="00D57F4E">
        <w:rPr>
          <w:rFonts w:asciiTheme="majorBidi" w:hAnsiTheme="majorBidi" w:cstheme="majorBidi"/>
          <w:color w:val="000000" w:themeColor="text1"/>
          <w:sz w:val="24"/>
          <w:szCs w:val="24"/>
        </w:rPr>
        <w:t>. 120-126.</w:t>
      </w:r>
    </w:p>
    <w:p w14:paraId="053B16E5" w14:textId="77DEBAB7" w:rsidR="001C2FAA" w:rsidRPr="00D57F4E" w:rsidRDefault="009D084A" w:rsidP="00665616">
      <w:pPr>
        <w:spacing w:after="0" w:line="240" w:lineRule="auto"/>
        <w:ind w:leftChars="0" w:left="567" w:firstLineChars="0" w:hanging="569"/>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Hung, N.</w:t>
      </w:r>
      <w:r w:rsidR="001C2FAA" w:rsidRPr="00D57F4E">
        <w:rPr>
          <w:rFonts w:asciiTheme="majorBidi" w:hAnsiTheme="majorBidi" w:cstheme="majorBidi"/>
          <w:color w:val="000000" w:themeColor="text1"/>
          <w:sz w:val="24"/>
          <w:szCs w:val="24"/>
        </w:rPr>
        <w:t xml:space="preserve">T. (2007). Understanding lifelong learning: A perspective on the world today and Vietnam. </w:t>
      </w:r>
      <w:r w:rsidR="001C2FAA" w:rsidRPr="00D57F4E">
        <w:rPr>
          <w:rFonts w:asciiTheme="majorBidi" w:hAnsiTheme="majorBidi" w:cstheme="majorBidi"/>
          <w:i/>
          <w:iCs/>
          <w:color w:val="000000" w:themeColor="text1"/>
          <w:sz w:val="24"/>
          <w:szCs w:val="24"/>
        </w:rPr>
        <w:t>Korean Journal of Educational Policy</w:t>
      </w:r>
      <w:r w:rsidR="001C2FAA" w:rsidRPr="00D57F4E">
        <w:rPr>
          <w:rFonts w:asciiTheme="majorBidi" w:hAnsiTheme="majorBidi" w:cstheme="majorBidi"/>
          <w:color w:val="000000" w:themeColor="text1"/>
          <w:sz w:val="24"/>
          <w:szCs w:val="24"/>
        </w:rPr>
        <w:t xml:space="preserve">, </w:t>
      </w:r>
      <w:r w:rsidR="001C2FAA" w:rsidRPr="00D57F4E">
        <w:rPr>
          <w:rFonts w:asciiTheme="majorBidi" w:hAnsiTheme="majorBidi" w:cstheme="majorBidi"/>
          <w:i/>
          <w:iCs/>
          <w:color w:val="000000" w:themeColor="text1"/>
          <w:sz w:val="24"/>
          <w:szCs w:val="24"/>
        </w:rPr>
        <w:t>4</w:t>
      </w:r>
      <w:r w:rsidR="001C2FAA" w:rsidRPr="00D57F4E">
        <w:rPr>
          <w:rFonts w:asciiTheme="majorBidi" w:hAnsiTheme="majorBidi" w:cstheme="majorBidi"/>
          <w:color w:val="000000" w:themeColor="text1"/>
          <w:sz w:val="24"/>
          <w:szCs w:val="24"/>
        </w:rPr>
        <w:t xml:space="preserve">(2), 9-16. </w:t>
      </w:r>
    </w:p>
    <w:p w14:paraId="46E9F422" w14:textId="46F7540E" w:rsidR="001C2FAA" w:rsidRPr="00D57F4E"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highlight w:val="white"/>
        </w:rPr>
      </w:pPr>
      <w:bookmarkStart w:id="10" w:name="_Hlk31622402"/>
      <w:r w:rsidRPr="00D57F4E">
        <w:rPr>
          <w:rFonts w:asciiTheme="majorBidi" w:hAnsiTheme="majorBidi" w:cstheme="majorBidi"/>
          <w:color w:val="000000" w:themeColor="text1"/>
          <w:sz w:val="24"/>
          <w:szCs w:val="24"/>
          <w:highlight w:val="white"/>
          <w:lang w:val="en-GB"/>
        </w:rPr>
        <w:t>K</w:t>
      </w:r>
      <w:r>
        <w:rPr>
          <w:rFonts w:asciiTheme="majorBidi" w:hAnsiTheme="majorBidi" w:cstheme="majorBidi"/>
          <w:color w:val="000000" w:themeColor="text1"/>
          <w:sz w:val="24"/>
          <w:szCs w:val="24"/>
          <w:highlight w:val="white"/>
          <w:lang w:val="en-GB"/>
        </w:rPr>
        <w:t>anwar, A., Balasubramanian, K.</w:t>
      </w:r>
      <w:r w:rsidR="006F3A21">
        <w:rPr>
          <w:rFonts w:asciiTheme="majorBidi" w:hAnsiTheme="majorBidi" w:cstheme="majorBidi"/>
          <w:color w:val="000000" w:themeColor="text1"/>
          <w:sz w:val="24"/>
          <w:szCs w:val="24"/>
          <w:highlight w:val="white"/>
          <w:lang w:val="en-GB"/>
        </w:rPr>
        <w:t>,</w:t>
      </w:r>
      <w:r>
        <w:rPr>
          <w:rFonts w:asciiTheme="majorBidi" w:hAnsiTheme="majorBidi" w:cstheme="majorBidi"/>
          <w:color w:val="000000" w:themeColor="text1"/>
          <w:sz w:val="24"/>
          <w:szCs w:val="24"/>
          <w:highlight w:val="white"/>
          <w:lang w:val="en-GB"/>
        </w:rPr>
        <w:t xml:space="preserve"> &amp; </w:t>
      </w:r>
      <w:r w:rsidRPr="00D57F4E">
        <w:rPr>
          <w:rFonts w:asciiTheme="majorBidi" w:hAnsiTheme="majorBidi" w:cstheme="majorBidi"/>
          <w:color w:val="000000" w:themeColor="text1"/>
          <w:sz w:val="24"/>
          <w:szCs w:val="24"/>
          <w:highlight w:val="white"/>
          <w:lang w:val="en-GB"/>
        </w:rPr>
        <w:t xml:space="preserve">Carr, A. (2019). </w:t>
      </w:r>
      <w:bookmarkEnd w:id="10"/>
      <w:r w:rsidRPr="00D57F4E">
        <w:rPr>
          <w:rFonts w:asciiTheme="majorBidi" w:hAnsiTheme="majorBidi" w:cstheme="majorBidi"/>
          <w:color w:val="000000" w:themeColor="text1"/>
          <w:sz w:val="24"/>
          <w:szCs w:val="24"/>
          <w:highlight w:val="white"/>
        </w:rPr>
        <w:t>Changing the TVET paradigm:</w:t>
      </w:r>
      <w:r>
        <w:rPr>
          <w:rFonts w:asciiTheme="majorBidi" w:hAnsiTheme="majorBidi" w:cstheme="majorBidi"/>
          <w:color w:val="000000" w:themeColor="text1"/>
          <w:sz w:val="24"/>
          <w:szCs w:val="24"/>
          <w:highlight w:val="white"/>
        </w:rPr>
        <w:t xml:space="preserve"> N</w:t>
      </w:r>
      <w:r w:rsidRPr="00D57F4E">
        <w:rPr>
          <w:rFonts w:asciiTheme="majorBidi" w:hAnsiTheme="majorBidi" w:cstheme="majorBidi"/>
          <w:color w:val="000000" w:themeColor="text1"/>
          <w:sz w:val="24"/>
          <w:szCs w:val="24"/>
          <w:highlight w:val="white"/>
        </w:rPr>
        <w:t xml:space="preserve">ew models for lifelong learning. </w:t>
      </w:r>
      <w:r w:rsidRPr="00D57F4E">
        <w:rPr>
          <w:rFonts w:asciiTheme="majorBidi" w:hAnsiTheme="majorBidi" w:cstheme="majorBidi"/>
          <w:i/>
          <w:iCs/>
          <w:color w:val="000000" w:themeColor="text1"/>
          <w:sz w:val="24"/>
          <w:szCs w:val="24"/>
          <w:highlight w:val="white"/>
        </w:rPr>
        <w:t>International Journal of Training Research</w:t>
      </w:r>
      <w:r w:rsidRPr="00D57F4E">
        <w:rPr>
          <w:rFonts w:asciiTheme="majorBidi" w:hAnsiTheme="majorBidi" w:cstheme="majorBidi"/>
          <w:color w:val="000000" w:themeColor="text1"/>
          <w:sz w:val="24"/>
          <w:szCs w:val="24"/>
          <w:highlight w:val="white"/>
        </w:rPr>
        <w:t xml:space="preserve">, </w:t>
      </w:r>
      <w:r w:rsidRPr="00D57F4E">
        <w:rPr>
          <w:rFonts w:asciiTheme="majorBidi" w:hAnsiTheme="majorBidi" w:cstheme="majorBidi"/>
          <w:i/>
          <w:iCs/>
          <w:color w:val="000000" w:themeColor="text1"/>
          <w:sz w:val="24"/>
          <w:szCs w:val="24"/>
          <w:highlight w:val="white"/>
        </w:rPr>
        <w:t>17</w:t>
      </w:r>
      <w:r w:rsidRPr="00D57F4E">
        <w:rPr>
          <w:rFonts w:asciiTheme="majorBidi" w:hAnsiTheme="majorBidi" w:cstheme="majorBidi"/>
          <w:color w:val="000000" w:themeColor="text1"/>
          <w:sz w:val="24"/>
          <w:szCs w:val="24"/>
          <w:highlight w:val="white"/>
        </w:rPr>
        <w:t>, 54-68.</w:t>
      </w:r>
    </w:p>
    <w:p w14:paraId="184784E3" w14:textId="77777777" w:rsidR="00777284" w:rsidRPr="00777284" w:rsidRDefault="00777284" w:rsidP="00665616">
      <w:pPr>
        <w:spacing w:after="0" w:line="240" w:lineRule="auto"/>
        <w:ind w:leftChars="0" w:left="567" w:firstLineChars="0" w:hanging="569"/>
        <w:jc w:val="both"/>
        <w:rPr>
          <w:rFonts w:asciiTheme="majorBidi" w:hAnsiTheme="majorBidi" w:cstheme="majorBidi"/>
          <w:sz w:val="24"/>
          <w:szCs w:val="24"/>
        </w:rPr>
      </w:pPr>
      <w:r w:rsidRPr="00777284">
        <w:rPr>
          <w:rFonts w:asciiTheme="majorBidi" w:hAnsiTheme="majorBidi" w:cstheme="majorBidi"/>
          <w:sz w:val="24"/>
          <w:szCs w:val="24"/>
          <w:shd w:val="clear" w:color="auto" w:fill="FFFFFF"/>
        </w:rPr>
        <w:lastRenderedPageBreak/>
        <w:t>Kassim, Z., Buang, N. A., &amp; Mohamad, N. (2019). Understanding the perception of lifelong learning programmes requirements towards employee’s career development. </w:t>
      </w:r>
      <w:r w:rsidRPr="00777284">
        <w:rPr>
          <w:rFonts w:asciiTheme="majorBidi" w:hAnsiTheme="majorBidi" w:cstheme="majorBidi"/>
          <w:i/>
          <w:iCs/>
          <w:sz w:val="24"/>
          <w:szCs w:val="24"/>
          <w:shd w:val="clear" w:color="auto" w:fill="FFFFFF"/>
        </w:rPr>
        <w:t>International Journal of Recent Technology and Engineering</w:t>
      </w:r>
      <w:r w:rsidRPr="00777284">
        <w:rPr>
          <w:rFonts w:asciiTheme="majorBidi" w:hAnsiTheme="majorBidi" w:cstheme="majorBidi"/>
          <w:sz w:val="24"/>
          <w:szCs w:val="24"/>
          <w:shd w:val="clear" w:color="auto" w:fill="FFFFFF"/>
        </w:rPr>
        <w:t>, </w:t>
      </w:r>
      <w:r w:rsidRPr="00777284">
        <w:rPr>
          <w:rFonts w:asciiTheme="majorBidi" w:hAnsiTheme="majorBidi" w:cstheme="majorBidi"/>
          <w:i/>
          <w:iCs/>
          <w:sz w:val="24"/>
          <w:szCs w:val="24"/>
          <w:shd w:val="clear" w:color="auto" w:fill="FFFFFF"/>
        </w:rPr>
        <w:t>8</w:t>
      </w:r>
      <w:r w:rsidRPr="00777284">
        <w:rPr>
          <w:rFonts w:asciiTheme="majorBidi" w:hAnsiTheme="majorBidi" w:cstheme="majorBidi"/>
          <w:sz w:val="24"/>
          <w:szCs w:val="24"/>
          <w:shd w:val="clear" w:color="auto" w:fill="FFFFFF"/>
        </w:rPr>
        <w:t>(2 Special Issue 9), 432-437. https://doi.org/10.35940/ijrte.B1097.0982S919</w:t>
      </w:r>
    </w:p>
    <w:p w14:paraId="0AC1A55A" w14:textId="05D63D60" w:rsidR="001C2FAA" w:rsidRPr="00D57F4E"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highlight w:val="white"/>
        </w:rPr>
      </w:pPr>
      <w:r w:rsidRPr="00D57F4E">
        <w:rPr>
          <w:rFonts w:asciiTheme="majorBidi" w:hAnsiTheme="majorBidi" w:cstheme="majorBidi"/>
          <w:color w:val="000000" w:themeColor="text1"/>
          <w:sz w:val="24"/>
          <w:szCs w:val="24"/>
        </w:rPr>
        <w:t>Kementerian Pengajian Tinggi</w:t>
      </w:r>
      <w:r w:rsidR="009D084A">
        <w:rPr>
          <w:rFonts w:asciiTheme="majorBidi" w:hAnsiTheme="majorBidi" w:cstheme="majorBidi"/>
          <w:color w:val="000000" w:themeColor="text1"/>
          <w:sz w:val="24"/>
          <w:szCs w:val="24"/>
        </w:rPr>
        <w:t>.</w:t>
      </w:r>
      <w:r w:rsidRPr="00D57F4E">
        <w:rPr>
          <w:rFonts w:asciiTheme="majorBidi" w:hAnsiTheme="majorBidi" w:cstheme="majorBidi"/>
          <w:color w:val="000000" w:themeColor="text1"/>
          <w:sz w:val="24"/>
          <w:szCs w:val="24"/>
        </w:rPr>
        <w:t xml:space="preserve"> (2011). </w:t>
      </w:r>
      <w:r w:rsidRPr="00D57F4E">
        <w:rPr>
          <w:rFonts w:asciiTheme="majorBidi" w:hAnsiTheme="majorBidi" w:cstheme="majorBidi"/>
          <w:i/>
          <w:iCs/>
          <w:color w:val="000000" w:themeColor="text1"/>
          <w:sz w:val="24"/>
          <w:szCs w:val="24"/>
        </w:rPr>
        <w:t xml:space="preserve">Blueprint on </w:t>
      </w:r>
      <w:r>
        <w:rPr>
          <w:rFonts w:asciiTheme="majorBidi" w:hAnsiTheme="majorBidi" w:cstheme="majorBidi"/>
          <w:i/>
          <w:iCs/>
          <w:color w:val="000000" w:themeColor="text1"/>
          <w:sz w:val="24"/>
          <w:szCs w:val="24"/>
        </w:rPr>
        <w:t>e</w:t>
      </w:r>
      <w:r w:rsidRPr="00D57F4E">
        <w:rPr>
          <w:rFonts w:asciiTheme="majorBidi" w:hAnsiTheme="majorBidi" w:cstheme="majorBidi"/>
          <w:i/>
          <w:iCs/>
          <w:color w:val="000000" w:themeColor="text1"/>
          <w:sz w:val="24"/>
          <w:szCs w:val="24"/>
        </w:rPr>
        <w:t>nculturation of lifelong learning for Malaysia.</w:t>
      </w:r>
      <w:r w:rsidRPr="00D57F4E">
        <w:rPr>
          <w:rFonts w:asciiTheme="majorBidi" w:hAnsiTheme="majorBidi" w:cstheme="majorBidi"/>
          <w:color w:val="000000" w:themeColor="text1"/>
          <w:sz w:val="24"/>
          <w:szCs w:val="24"/>
        </w:rPr>
        <w:t xml:space="preserve"> Putrajaya: Bahagian Perancangan dan Penyelidikan. </w:t>
      </w:r>
      <w:r w:rsidR="00C85048">
        <w:rPr>
          <w:rFonts w:asciiTheme="majorBidi" w:hAnsiTheme="majorBidi" w:cstheme="majorBidi"/>
          <w:color w:val="000000" w:themeColor="text1"/>
          <w:sz w:val="24"/>
          <w:szCs w:val="24"/>
        </w:rPr>
        <w:t>Retrieved from</w:t>
      </w:r>
      <w:r>
        <w:rPr>
          <w:rFonts w:asciiTheme="majorBidi" w:hAnsiTheme="majorBidi" w:cstheme="majorBidi"/>
          <w:color w:val="000000" w:themeColor="text1"/>
          <w:sz w:val="24"/>
          <w:szCs w:val="24"/>
        </w:rPr>
        <w:t xml:space="preserve"> </w:t>
      </w:r>
      <w:hyperlink r:id="rId18" w:history="1">
        <w:r w:rsidRPr="00C85048">
          <w:rPr>
            <w:rStyle w:val="Hyperlink"/>
            <w:rFonts w:asciiTheme="majorBidi" w:hAnsiTheme="majorBidi" w:cstheme="majorBidi"/>
            <w:color w:val="000000" w:themeColor="text1"/>
            <w:sz w:val="24"/>
            <w:szCs w:val="24"/>
            <w:u w:val="none"/>
          </w:rPr>
          <w:t>https://drive.google.com/file/d/0B9ZPR6HxY7PXTnNjaDBRd1d1cEE/view</w:t>
        </w:r>
      </w:hyperlink>
      <w:r w:rsidRPr="00D57F4E">
        <w:rPr>
          <w:rFonts w:asciiTheme="majorBidi" w:hAnsiTheme="majorBidi" w:cstheme="majorBidi"/>
          <w:color w:val="000000" w:themeColor="text1"/>
          <w:sz w:val="24"/>
          <w:szCs w:val="24"/>
        </w:rPr>
        <w:t xml:space="preserve"> </w:t>
      </w:r>
    </w:p>
    <w:p w14:paraId="41F1199A" w14:textId="19608251" w:rsidR="001C2FAA" w:rsidRPr="00D57F4E"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Khasniza A</w:t>
      </w:r>
      <w:r w:rsidRPr="00D57F4E">
        <w:rPr>
          <w:rFonts w:asciiTheme="majorBidi" w:hAnsiTheme="majorBidi" w:cstheme="majorBidi"/>
          <w:color w:val="000000" w:themeColor="text1"/>
          <w:sz w:val="24"/>
          <w:szCs w:val="24"/>
        </w:rPr>
        <w:t>bd Karim</w:t>
      </w:r>
      <w:r w:rsidR="006F3A21">
        <w:rPr>
          <w:rFonts w:asciiTheme="majorBidi" w:hAnsiTheme="majorBidi" w:cstheme="majorBidi"/>
          <w:color w:val="000000" w:themeColor="text1"/>
          <w:sz w:val="24"/>
          <w:szCs w:val="24"/>
        </w:rPr>
        <w:t>,</w:t>
      </w:r>
      <w:r w:rsidRPr="00D57F4E">
        <w:rPr>
          <w:rFonts w:asciiTheme="majorBidi" w:hAnsiTheme="majorBidi" w:cstheme="majorBidi"/>
          <w:color w:val="000000" w:themeColor="text1"/>
          <w:sz w:val="24"/>
          <w:szCs w:val="24"/>
        </w:rPr>
        <w:t xml:space="preserve"> &amp; Nurul Akmar Kamaruddin. (2017). Lifelong learnin</w:t>
      </w:r>
      <w:r>
        <w:rPr>
          <w:rFonts w:asciiTheme="majorBidi" w:hAnsiTheme="majorBidi" w:cstheme="majorBidi"/>
          <w:color w:val="000000" w:themeColor="text1"/>
          <w:sz w:val="24"/>
          <w:szCs w:val="24"/>
        </w:rPr>
        <w:t>g impact in transforming human capital: C</w:t>
      </w:r>
      <w:r w:rsidRPr="00D57F4E">
        <w:rPr>
          <w:rFonts w:asciiTheme="majorBidi" w:hAnsiTheme="majorBidi" w:cstheme="majorBidi"/>
          <w:color w:val="000000" w:themeColor="text1"/>
          <w:sz w:val="24"/>
          <w:szCs w:val="24"/>
        </w:rPr>
        <w:t xml:space="preserve">ase study at Polytechnic Sultan Salahuddin Abdul Aziz Shah. </w:t>
      </w:r>
      <w:r w:rsidRPr="00D57F4E">
        <w:rPr>
          <w:rFonts w:asciiTheme="majorBidi" w:hAnsiTheme="majorBidi" w:cstheme="majorBidi"/>
          <w:i/>
          <w:iCs/>
          <w:color w:val="000000" w:themeColor="text1"/>
          <w:sz w:val="24"/>
          <w:szCs w:val="24"/>
        </w:rPr>
        <w:t>Proceeding 7th. Conference of Education-Technical, Vocational Education and Training</w:t>
      </w:r>
      <w:r w:rsidRPr="00D57F4E">
        <w:rPr>
          <w:rFonts w:asciiTheme="majorBidi" w:hAnsiTheme="majorBidi" w:cstheme="majorBidi"/>
          <w:color w:val="000000" w:themeColor="text1"/>
          <w:sz w:val="24"/>
          <w:szCs w:val="24"/>
        </w:rPr>
        <w:t>. Kota Bharu</w:t>
      </w:r>
      <w:r>
        <w:rPr>
          <w:rFonts w:asciiTheme="majorBidi" w:hAnsiTheme="majorBidi" w:cstheme="majorBidi"/>
          <w:color w:val="000000" w:themeColor="text1"/>
          <w:sz w:val="24"/>
          <w:szCs w:val="24"/>
        </w:rPr>
        <w:t>, Kelantan</w:t>
      </w:r>
      <w:r w:rsidRPr="00D57F4E">
        <w:rPr>
          <w:rFonts w:asciiTheme="majorBidi" w:hAnsiTheme="majorBidi" w:cstheme="majorBidi"/>
          <w:color w:val="000000" w:themeColor="text1"/>
          <w:sz w:val="24"/>
          <w:szCs w:val="24"/>
        </w:rPr>
        <w:t>.</w:t>
      </w:r>
    </w:p>
    <w:p w14:paraId="597013B8" w14:textId="77777777" w:rsidR="001C2FAA" w:rsidRPr="00D57F4E"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highlight w:val="white"/>
        </w:rPr>
      </w:pPr>
      <w:r w:rsidRPr="00D57F4E">
        <w:rPr>
          <w:rFonts w:asciiTheme="majorBidi" w:hAnsiTheme="majorBidi" w:cstheme="majorBidi"/>
          <w:color w:val="000000" w:themeColor="text1"/>
          <w:sz w:val="24"/>
          <w:szCs w:val="24"/>
          <w:highlight w:val="white"/>
        </w:rPr>
        <w:t xml:space="preserve">Kuhn, D. (1999). A developmental model of critical thinking. </w:t>
      </w:r>
      <w:r w:rsidRPr="00D57F4E">
        <w:rPr>
          <w:rFonts w:asciiTheme="majorBidi" w:hAnsiTheme="majorBidi" w:cstheme="majorBidi"/>
          <w:i/>
          <w:iCs/>
          <w:color w:val="000000" w:themeColor="text1"/>
          <w:sz w:val="24"/>
          <w:szCs w:val="24"/>
          <w:highlight w:val="white"/>
        </w:rPr>
        <w:t>Educational Researcher</w:t>
      </w:r>
      <w:r w:rsidRPr="00D57F4E">
        <w:rPr>
          <w:rFonts w:asciiTheme="majorBidi" w:hAnsiTheme="majorBidi" w:cstheme="majorBidi"/>
          <w:color w:val="000000" w:themeColor="text1"/>
          <w:sz w:val="24"/>
          <w:szCs w:val="24"/>
          <w:highlight w:val="white"/>
        </w:rPr>
        <w:t xml:space="preserve">, </w:t>
      </w:r>
      <w:r w:rsidRPr="00D57F4E">
        <w:rPr>
          <w:rFonts w:asciiTheme="majorBidi" w:hAnsiTheme="majorBidi" w:cstheme="majorBidi"/>
          <w:i/>
          <w:iCs/>
          <w:color w:val="000000" w:themeColor="text1"/>
          <w:sz w:val="24"/>
          <w:szCs w:val="24"/>
          <w:highlight w:val="white"/>
        </w:rPr>
        <w:t>28</w:t>
      </w:r>
      <w:r w:rsidRPr="00D57F4E">
        <w:rPr>
          <w:rFonts w:asciiTheme="majorBidi" w:hAnsiTheme="majorBidi" w:cstheme="majorBidi"/>
          <w:color w:val="000000" w:themeColor="text1"/>
          <w:sz w:val="24"/>
          <w:szCs w:val="24"/>
          <w:highlight w:val="white"/>
        </w:rPr>
        <w:t>(2), 16-46.</w:t>
      </w:r>
    </w:p>
    <w:p w14:paraId="3BB14D77" w14:textId="77777777" w:rsidR="00777284" w:rsidRPr="00777284" w:rsidRDefault="00777284" w:rsidP="00665616">
      <w:pPr>
        <w:spacing w:after="0" w:line="240" w:lineRule="auto"/>
        <w:ind w:leftChars="0" w:left="567" w:firstLineChars="0" w:hanging="569"/>
        <w:jc w:val="both"/>
        <w:rPr>
          <w:rFonts w:asciiTheme="majorBidi" w:hAnsiTheme="majorBidi" w:cstheme="majorBidi"/>
          <w:sz w:val="24"/>
          <w:szCs w:val="24"/>
          <w:highlight w:val="white"/>
        </w:rPr>
      </w:pPr>
      <w:r w:rsidRPr="00777284">
        <w:rPr>
          <w:rFonts w:asciiTheme="majorBidi" w:hAnsiTheme="majorBidi" w:cstheme="majorBidi"/>
          <w:sz w:val="24"/>
          <w:szCs w:val="24"/>
        </w:rPr>
        <w:t xml:space="preserve">Kyndt, E., Govaerts, N., Dochy, F., &amp; Baert, H. (2011). The learning intention of low-qualified employees: A key for participation in lifelong learning and continuous training. </w:t>
      </w:r>
      <w:r w:rsidRPr="00777284">
        <w:rPr>
          <w:rFonts w:asciiTheme="majorBidi" w:hAnsiTheme="majorBidi" w:cstheme="majorBidi"/>
          <w:i/>
          <w:iCs/>
          <w:sz w:val="24"/>
          <w:szCs w:val="24"/>
        </w:rPr>
        <w:t>Vocations and Learning</w:t>
      </w:r>
      <w:r w:rsidRPr="00777284">
        <w:rPr>
          <w:rFonts w:asciiTheme="majorBidi" w:hAnsiTheme="majorBidi" w:cstheme="majorBidi"/>
          <w:sz w:val="24"/>
          <w:szCs w:val="24"/>
        </w:rPr>
        <w:t xml:space="preserve">, </w:t>
      </w:r>
      <w:r w:rsidRPr="00777284">
        <w:rPr>
          <w:rFonts w:asciiTheme="majorBidi" w:hAnsiTheme="majorBidi" w:cstheme="majorBidi"/>
          <w:i/>
          <w:iCs/>
          <w:sz w:val="24"/>
          <w:szCs w:val="24"/>
        </w:rPr>
        <w:t>4</w:t>
      </w:r>
      <w:r w:rsidRPr="00777284">
        <w:rPr>
          <w:rFonts w:asciiTheme="majorBidi" w:hAnsiTheme="majorBidi" w:cstheme="majorBidi"/>
          <w:sz w:val="24"/>
          <w:szCs w:val="24"/>
        </w:rPr>
        <w:t>(3), 211</w:t>
      </w:r>
      <w:r>
        <w:rPr>
          <w:rFonts w:asciiTheme="majorBidi" w:hAnsiTheme="majorBidi" w:cstheme="majorBidi"/>
          <w:sz w:val="24"/>
          <w:szCs w:val="24"/>
        </w:rPr>
        <w:t>-229.</w:t>
      </w:r>
    </w:p>
    <w:p w14:paraId="1BF59CFC" w14:textId="77777777" w:rsidR="001C2FAA" w:rsidRPr="00D57F4E"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highlight w:val="white"/>
        </w:rPr>
      </w:pPr>
      <w:r w:rsidRPr="00D57F4E">
        <w:rPr>
          <w:rFonts w:asciiTheme="majorBidi" w:hAnsiTheme="majorBidi" w:cstheme="majorBidi"/>
          <w:color w:val="000000" w:themeColor="text1"/>
          <w:sz w:val="24"/>
          <w:szCs w:val="24"/>
          <w:highlight w:val="white"/>
        </w:rPr>
        <w:t xml:space="preserve">Lifelong Learning Council Queensland Inc. (2015). </w:t>
      </w:r>
      <w:r w:rsidRPr="00D57F4E">
        <w:rPr>
          <w:rFonts w:asciiTheme="majorBidi" w:hAnsiTheme="majorBidi" w:cstheme="majorBidi"/>
          <w:i/>
          <w:iCs/>
          <w:color w:val="000000" w:themeColor="text1"/>
          <w:sz w:val="24"/>
          <w:szCs w:val="24"/>
          <w:highlight w:val="white"/>
        </w:rPr>
        <w:t>What is lifelong learning</w:t>
      </w:r>
      <w:r w:rsidRPr="00D57F4E">
        <w:rPr>
          <w:rFonts w:asciiTheme="majorBidi" w:hAnsiTheme="majorBidi" w:cstheme="majorBidi"/>
          <w:color w:val="000000" w:themeColor="text1"/>
          <w:sz w:val="24"/>
          <w:szCs w:val="24"/>
          <w:highlight w:val="white"/>
        </w:rPr>
        <w:t>? Retrieved November 23, 2015, from http://www.llcq.org.au/01_cms/details.asp?ID=12</w:t>
      </w:r>
    </w:p>
    <w:p w14:paraId="38941F5A" w14:textId="2674201D" w:rsidR="001C2FAA" w:rsidRPr="00D57F4E"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highlight w:val="white"/>
        </w:rPr>
      </w:pPr>
      <w:r w:rsidRPr="005C0BE8">
        <w:rPr>
          <w:rFonts w:asciiTheme="majorBidi" w:hAnsiTheme="majorBidi" w:cstheme="majorBidi"/>
          <w:color w:val="000000" w:themeColor="text1"/>
          <w:sz w:val="24"/>
          <w:szCs w:val="24"/>
          <w:lang w:val="fr-FR"/>
        </w:rPr>
        <w:t>Marič, M</w:t>
      </w:r>
      <w:r w:rsidR="009D084A">
        <w:rPr>
          <w:rFonts w:asciiTheme="majorBidi" w:hAnsiTheme="majorBidi" w:cstheme="majorBidi"/>
          <w:color w:val="000000" w:themeColor="text1"/>
          <w:sz w:val="24"/>
          <w:szCs w:val="24"/>
          <w:lang w:val="fr-FR"/>
        </w:rPr>
        <w:t>.</w:t>
      </w:r>
      <w:r w:rsidRPr="005C0BE8">
        <w:rPr>
          <w:rFonts w:asciiTheme="majorBidi" w:hAnsiTheme="majorBidi" w:cstheme="majorBidi"/>
          <w:color w:val="000000" w:themeColor="text1"/>
          <w:sz w:val="24"/>
          <w:szCs w:val="24"/>
          <w:lang w:val="fr-FR"/>
        </w:rPr>
        <w:t>, Pavlin, J</w:t>
      </w:r>
      <w:r w:rsidR="009D084A">
        <w:rPr>
          <w:rFonts w:asciiTheme="majorBidi" w:hAnsiTheme="majorBidi" w:cstheme="majorBidi"/>
          <w:color w:val="000000" w:themeColor="text1"/>
          <w:sz w:val="24"/>
          <w:szCs w:val="24"/>
          <w:lang w:val="fr-FR"/>
        </w:rPr>
        <w:t>.</w:t>
      </w:r>
      <w:r w:rsidRPr="005C0BE8">
        <w:rPr>
          <w:rFonts w:asciiTheme="majorBidi" w:hAnsiTheme="majorBidi" w:cstheme="majorBidi"/>
          <w:color w:val="000000" w:themeColor="text1"/>
          <w:sz w:val="24"/>
          <w:szCs w:val="24"/>
          <w:lang w:val="fr-FR"/>
        </w:rPr>
        <w:t xml:space="preserve">, </w:t>
      </w:r>
      <w:r w:rsidR="006F3A21">
        <w:rPr>
          <w:rFonts w:asciiTheme="majorBidi" w:hAnsiTheme="majorBidi" w:cstheme="majorBidi"/>
          <w:color w:val="000000" w:themeColor="text1"/>
          <w:sz w:val="24"/>
          <w:szCs w:val="24"/>
          <w:lang w:val="fr-FR"/>
        </w:rPr>
        <w:t xml:space="preserve">&amp; </w:t>
      </w:r>
      <w:r w:rsidRPr="005C0BE8">
        <w:rPr>
          <w:rFonts w:asciiTheme="majorBidi" w:hAnsiTheme="majorBidi" w:cstheme="majorBidi"/>
          <w:color w:val="000000" w:themeColor="text1"/>
          <w:sz w:val="24"/>
          <w:szCs w:val="24"/>
          <w:lang w:val="fr-FR"/>
        </w:rPr>
        <w:t xml:space="preserve">Ferjan, M. (2010). </w:t>
      </w:r>
      <w:r w:rsidRPr="00D57F4E">
        <w:rPr>
          <w:rFonts w:asciiTheme="majorBidi" w:hAnsiTheme="majorBidi" w:cstheme="majorBidi"/>
          <w:color w:val="000000" w:themeColor="text1"/>
          <w:sz w:val="24"/>
          <w:szCs w:val="24"/>
        </w:rPr>
        <w:t>Ed</w:t>
      </w:r>
      <w:r>
        <w:rPr>
          <w:rFonts w:asciiTheme="majorBidi" w:hAnsiTheme="majorBidi" w:cstheme="majorBidi"/>
          <w:color w:val="000000" w:themeColor="text1"/>
          <w:sz w:val="24"/>
          <w:szCs w:val="24"/>
        </w:rPr>
        <w:t>ucational institution's image: A</w:t>
      </w:r>
      <w:r w:rsidRPr="00D57F4E">
        <w:rPr>
          <w:rFonts w:asciiTheme="majorBidi" w:hAnsiTheme="majorBidi" w:cstheme="majorBidi"/>
          <w:color w:val="000000" w:themeColor="text1"/>
          <w:sz w:val="24"/>
          <w:szCs w:val="24"/>
        </w:rPr>
        <w:t xml:space="preserve"> case study. </w:t>
      </w:r>
      <w:r w:rsidRPr="00D57F4E">
        <w:rPr>
          <w:rFonts w:asciiTheme="majorBidi" w:hAnsiTheme="majorBidi" w:cstheme="majorBidi"/>
          <w:i/>
          <w:iCs/>
          <w:color w:val="000000" w:themeColor="text1"/>
          <w:sz w:val="24"/>
          <w:szCs w:val="24"/>
        </w:rPr>
        <w:t>Organizacija</w:t>
      </w:r>
      <w:r>
        <w:rPr>
          <w:rFonts w:asciiTheme="majorBidi" w:hAnsiTheme="majorBidi" w:cstheme="majorBidi"/>
          <w:color w:val="000000" w:themeColor="text1"/>
          <w:sz w:val="24"/>
          <w:szCs w:val="24"/>
        </w:rPr>
        <w:t xml:space="preserve">, </w:t>
      </w:r>
      <w:r w:rsidRPr="00D57F4E">
        <w:rPr>
          <w:rFonts w:asciiTheme="majorBidi" w:hAnsiTheme="majorBidi" w:cstheme="majorBidi"/>
          <w:i/>
          <w:iCs/>
          <w:color w:val="000000" w:themeColor="text1"/>
          <w:sz w:val="24"/>
          <w:szCs w:val="24"/>
        </w:rPr>
        <w:t>43</w:t>
      </w:r>
      <w:r w:rsidRPr="00D57F4E">
        <w:rPr>
          <w:rFonts w:asciiTheme="majorBidi" w:hAnsiTheme="majorBidi" w:cstheme="majorBidi"/>
          <w:color w:val="000000" w:themeColor="text1"/>
          <w:sz w:val="24"/>
          <w:szCs w:val="24"/>
        </w:rPr>
        <w:t>(2), 58-65.</w:t>
      </w:r>
    </w:p>
    <w:p w14:paraId="25839531" w14:textId="77777777" w:rsidR="001C2FAA" w:rsidRPr="00D57F4E"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highlight w:val="white"/>
        </w:rPr>
      </w:pPr>
      <w:r w:rsidRPr="00D57F4E">
        <w:rPr>
          <w:rFonts w:asciiTheme="majorBidi" w:hAnsiTheme="majorBidi" w:cstheme="majorBidi"/>
          <w:color w:val="000000" w:themeColor="text1"/>
          <w:sz w:val="24"/>
          <w:szCs w:val="24"/>
          <w:highlight w:val="white"/>
        </w:rPr>
        <w:t>Marjan Laal. (2011). Barriers to lifelong learning</w:t>
      </w:r>
      <w:r>
        <w:rPr>
          <w:rFonts w:asciiTheme="majorBidi" w:hAnsiTheme="majorBidi" w:cstheme="majorBidi"/>
          <w:color w:val="000000" w:themeColor="text1"/>
          <w:sz w:val="24"/>
          <w:szCs w:val="24"/>
          <w:highlight w:val="white"/>
        </w:rPr>
        <w:t>.</w:t>
      </w:r>
      <w:r w:rsidRPr="00D57F4E">
        <w:rPr>
          <w:rFonts w:asciiTheme="majorBidi" w:hAnsiTheme="majorBidi" w:cstheme="majorBidi"/>
          <w:color w:val="000000" w:themeColor="text1"/>
          <w:sz w:val="24"/>
          <w:szCs w:val="24"/>
          <w:highlight w:val="white"/>
        </w:rPr>
        <w:t xml:space="preserve"> </w:t>
      </w:r>
      <w:r w:rsidRPr="00D57F4E">
        <w:rPr>
          <w:rFonts w:asciiTheme="majorBidi" w:hAnsiTheme="majorBidi" w:cstheme="majorBidi"/>
          <w:i/>
          <w:iCs/>
          <w:color w:val="000000" w:themeColor="text1"/>
          <w:sz w:val="24"/>
          <w:szCs w:val="24"/>
          <w:highlight w:val="white"/>
        </w:rPr>
        <w:t>Procedia - Social and Behavioral Sciences</w:t>
      </w:r>
      <w:r>
        <w:rPr>
          <w:rFonts w:asciiTheme="majorBidi" w:hAnsiTheme="majorBidi" w:cstheme="majorBidi"/>
          <w:color w:val="000000" w:themeColor="text1"/>
          <w:sz w:val="24"/>
          <w:szCs w:val="24"/>
          <w:highlight w:val="white"/>
        </w:rPr>
        <w:t xml:space="preserve">, </w:t>
      </w:r>
      <w:r w:rsidRPr="00710E81">
        <w:rPr>
          <w:rFonts w:asciiTheme="majorBidi" w:hAnsiTheme="majorBidi" w:cstheme="majorBidi"/>
          <w:i/>
          <w:color w:val="000000" w:themeColor="text1"/>
          <w:sz w:val="24"/>
          <w:szCs w:val="24"/>
          <w:highlight w:val="white"/>
        </w:rPr>
        <w:t>28</w:t>
      </w:r>
      <w:r>
        <w:rPr>
          <w:rFonts w:asciiTheme="majorBidi" w:hAnsiTheme="majorBidi" w:cstheme="majorBidi"/>
          <w:color w:val="000000" w:themeColor="text1"/>
          <w:sz w:val="24"/>
          <w:szCs w:val="24"/>
          <w:highlight w:val="white"/>
        </w:rPr>
        <w:t>,</w:t>
      </w:r>
      <w:r w:rsidRPr="00D57F4E">
        <w:rPr>
          <w:rFonts w:asciiTheme="majorBidi" w:hAnsiTheme="majorBidi" w:cstheme="majorBidi"/>
          <w:color w:val="000000" w:themeColor="text1"/>
          <w:sz w:val="24"/>
          <w:szCs w:val="24"/>
          <w:highlight w:val="white"/>
        </w:rPr>
        <w:t xml:space="preserve"> 612-615,</w:t>
      </w:r>
    </w:p>
    <w:p w14:paraId="43FF35F1" w14:textId="77777777" w:rsidR="001C2FAA" w:rsidRPr="00D57F4E"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highlight w:val="white"/>
          <w:lang w:val="en-GB"/>
        </w:rPr>
      </w:pPr>
      <w:r w:rsidRPr="00D57F4E">
        <w:rPr>
          <w:rFonts w:asciiTheme="majorBidi" w:hAnsiTheme="majorBidi" w:cstheme="majorBidi"/>
          <w:color w:val="000000" w:themeColor="text1"/>
          <w:sz w:val="24"/>
          <w:szCs w:val="24"/>
          <w:lang w:val="en-GB"/>
        </w:rPr>
        <w:t>Maslin-Prothero, S.</w:t>
      </w:r>
      <w:r>
        <w:rPr>
          <w:rFonts w:asciiTheme="majorBidi" w:hAnsiTheme="majorBidi" w:cstheme="majorBidi"/>
          <w:color w:val="000000" w:themeColor="text1"/>
          <w:sz w:val="24"/>
          <w:szCs w:val="24"/>
          <w:lang w:val="en-GB"/>
        </w:rPr>
        <w:t xml:space="preserve"> </w:t>
      </w:r>
      <w:r w:rsidRPr="00D57F4E">
        <w:rPr>
          <w:rFonts w:asciiTheme="majorBidi" w:hAnsiTheme="majorBidi" w:cstheme="majorBidi"/>
          <w:color w:val="000000" w:themeColor="text1"/>
          <w:sz w:val="24"/>
          <w:szCs w:val="24"/>
          <w:lang w:val="en-GB"/>
        </w:rPr>
        <w:t>E. (1997) A perspective on lifelong learning and its implications for nurses.</w:t>
      </w:r>
      <w:r>
        <w:rPr>
          <w:rFonts w:asciiTheme="majorBidi" w:hAnsiTheme="majorBidi" w:cstheme="majorBidi"/>
          <w:color w:val="000000" w:themeColor="text1"/>
          <w:sz w:val="24"/>
          <w:szCs w:val="24"/>
          <w:lang w:val="en-GB"/>
        </w:rPr>
        <w:t xml:space="preserve"> </w:t>
      </w:r>
      <w:r w:rsidRPr="00D57F4E">
        <w:rPr>
          <w:rFonts w:asciiTheme="majorBidi" w:hAnsiTheme="majorBidi" w:cstheme="majorBidi"/>
          <w:i/>
          <w:iCs/>
          <w:color w:val="000000" w:themeColor="text1"/>
          <w:sz w:val="24"/>
          <w:szCs w:val="24"/>
          <w:lang w:val="en-GB"/>
        </w:rPr>
        <w:t>Nurse Education Today</w:t>
      </w:r>
      <w:r w:rsidRPr="00D57F4E">
        <w:rPr>
          <w:rFonts w:asciiTheme="majorBidi" w:hAnsiTheme="majorBidi" w:cstheme="majorBidi"/>
          <w:color w:val="000000" w:themeColor="text1"/>
          <w:sz w:val="24"/>
          <w:szCs w:val="24"/>
          <w:lang w:val="en-GB"/>
        </w:rPr>
        <w:t xml:space="preserve"> </w:t>
      </w:r>
      <w:r w:rsidRPr="00D57F4E">
        <w:rPr>
          <w:rFonts w:asciiTheme="majorBidi" w:hAnsiTheme="majorBidi" w:cstheme="majorBidi"/>
          <w:i/>
          <w:iCs/>
          <w:color w:val="000000" w:themeColor="text1"/>
          <w:sz w:val="24"/>
          <w:szCs w:val="24"/>
          <w:lang w:val="en-GB"/>
        </w:rPr>
        <w:t>17</w:t>
      </w:r>
      <w:r w:rsidRPr="00D57F4E">
        <w:rPr>
          <w:rFonts w:asciiTheme="majorBidi" w:hAnsiTheme="majorBidi" w:cstheme="majorBidi"/>
          <w:color w:val="000000" w:themeColor="text1"/>
          <w:sz w:val="24"/>
          <w:szCs w:val="24"/>
          <w:lang w:val="en-GB"/>
        </w:rPr>
        <w:t>(6), 431–436</w:t>
      </w:r>
    </w:p>
    <w:p w14:paraId="30C540C8" w14:textId="417B07A7" w:rsidR="001C2FAA" w:rsidRPr="00710E81" w:rsidRDefault="009D084A" w:rsidP="00665616">
      <w:pPr>
        <w:spacing w:after="0" w:line="240" w:lineRule="auto"/>
        <w:ind w:leftChars="0" w:left="567" w:firstLineChars="0" w:hanging="569"/>
        <w:jc w:val="both"/>
        <w:rPr>
          <w:rFonts w:ascii="Times New Roman" w:hAnsi="Times New Roman" w:cs="Times New Roman"/>
          <w:color w:val="000000" w:themeColor="text1"/>
          <w:sz w:val="24"/>
          <w:szCs w:val="24"/>
        </w:rPr>
      </w:pPr>
      <w:r>
        <w:rPr>
          <w:rStyle w:val="citation"/>
          <w:rFonts w:ascii="Times New Roman" w:hAnsi="Times New Roman" w:cs="Times New Roman"/>
          <w:sz w:val="24"/>
          <w:szCs w:val="24"/>
        </w:rPr>
        <w:t>McBride, K.A., MacMillan, F., George, E.S., &amp; Steiner, G.</w:t>
      </w:r>
      <w:r w:rsidR="001C2FAA" w:rsidRPr="00710E81">
        <w:rPr>
          <w:rStyle w:val="citation"/>
          <w:rFonts w:ascii="Times New Roman" w:hAnsi="Times New Roman" w:cs="Times New Roman"/>
          <w:sz w:val="24"/>
          <w:szCs w:val="24"/>
        </w:rPr>
        <w:t xml:space="preserve">Z. (2018). The use of mixed methods in research. In P. Liamputtong (Ed.), </w:t>
      </w:r>
      <w:r w:rsidR="001C2FAA" w:rsidRPr="00710E81">
        <w:rPr>
          <w:rStyle w:val="citation"/>
          <w:rFonts w:ascii="Times New Roman" w:hAnsi="Times New Roman" w:cs="Times New Roman"/>
          <w:i/>
          <w:iCs/>
          <w:sz w:val="24"/>
          <w:szCs w:val="24"/>
        </w:rPr>
        <w:t xml:space="preserve">Handbook of </w:t>
      </w:r>
      <w:r w:rsidR="00047DD9">
        <w:rPr>
          <w:rStyle w:val="citation"/>
          <w:rFonts w:ascii="Times New Roman" w:hAnsi="Times New Roman" w:cs="Times New Roman"/>
          <w:i/>
          <w:iCs/>
          <w:sz w:val="24"/>
          <w:szCs w:val="24"/>
        </w:rPr>
        <w:t>research methods in health social s</w:t>
      </w:r>
      <w:r w:rsidR="001C2FAA" w:rsidRPr="00710E81">
        <w:rPr>
          <w:rStyle w:val="citation"/>
          <w:rFonts w:ascii="Times New Roman" w:hAnsi="Times New Roman" w:cs="Times New Roman"/>
          <w:i/>
          <w:iCs/>
          <w:sz w:val="24"/>
          <w:szCs w:val="24"/>
        </w:rPr>
        <w:t>ciences</w:t>
      </w:r>
      <w:r w:rsidR="001C2FAA" w:rsidRPr="00710E81">
        <w:rPr>
          <w:rStyle w:val="citation"/>
          <w:rFonts w:ascii="Times New Roman" w:hAnsi="Times New Roman" w:cs="Times New Roman"/>
          <w:sz w:val="24"/>
          <w:szCs w:val="24"/>
        </w:rPr>
        <w:t xml:space="preserve"> (pp. 1-19)</w:t>
      </w:r>
      <w:r w:rsidR="001C2FAA">
        <w:rPr>
          <w:rStyle w:val="citation"/>
          <w:rFonts w:ascii="Times New Roman" w:hAnsi="Times New Roman" w:cs="Times New Roman"/>
          <w:sz w:val="24"/>
          <w:szCs w:val="24"/>
        </w:rPr>
        <w:t>. Singapore: Springer.</w:t>
      </w:r>
    </w:p>
    <w:p w14:paraId="1A531785" w14:textId="5000C556" w:rsidR="001C2FAA" w:rsidRPr="00D57F4E" w:rsidRDefault="001C2FAA" w:rsidP="00665616">
      <w:pPr>
        <w:spacing w:after="0" w:line="240" w:lineRule="auto"/>
        <w:ind w:leftChars="0" w:left="576" w:firstLineChars="0" w:hanging="576"/>
        <w:jc w:val="both"/>
        <w:rPr>
          <w:rFonts w:asciiTheme="majorBidi" w:hAnsiTheme="majorBidi" w:cstheme="majorBidi"/>
          <w:color w:val="000000" w:themeColor="text1"/>
          <w:sz w:val="24"/>
          <w:szCs w:val="24"/>
        </w:rPr>
      </w:pPr>
      <w:r w:rsidRPr="00D57F4E">
        <w:rPr>
          <w:rFonts w:asciiTheme="majorBidi" w:hAnsiTheme="majorBidi" w:cstheme="majorBidi"/>
          <w:color w:val="000000" w:themeColor="text1"/>
          <w:sz w:val="24"/>
          <w:szCs w:val="24"/>
        </w:rPr>
        <w:t>Mohd Faeez Ilias, Zetty Nurzuliana Rash</w:t>
      </w:r>
      <w:r>
        <w:rPr>
          <w:rFonts w:asciiTheme="majorBidi" w:hAnsiTheme="majorBidi" w:cstheme="majorBidi"/>
          <w:color w:val="000000" w:themeColor="text1"/>
          <w:sz w:val="24"/>
          <w:szCs w:val="24"/>
        </w:rPr>
        <w:t>ed, Ahmad Shafiq Mat Razali</w:t>
      </w:r>
      <w:r w:rsidR="006F3A21">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 &amp; </w:t>
      </w:r>
      <w:r w:rsidRPr="00D57F4E">
        <w:rPr>
          <w:rFonts w:asciiTheme="majorBidi" w:hAnsiTheme="majorBidi" w:cstheme="majorBidi"/>
          <w:color w:val="000000" w:themeColor="text1"/>
          <w:sz w:val="24"/>
          <w:szCs w:val="24"/>
        </w:rPr>
        <w:t>Muhammad Syakir</w:t>
      </w:r>
      <w:r>
        <w:rPr>
          <w:rFonts w:asciiTheme="majorBidi" w:hAnsiTheme="majorBidi" w:cstheme="majorBidi"/>
          <w:color w:val="000000" w:themeColor="text1"/>
          <w:sz w:val="24"/>
          <w:szCs w:val="24"/>
        </w:rPr>
        <w:t xml:space="preserve"> </w:t>
      </w:r>
      <w:r w:rsidRPr="00D57F4E">
        <w:rPr>
          <w:rFonts w:asciiTheme="majorBidi" w:hAnsiTheme="majorBidi" w:cstheme="majorBidi"/>
          <w:color w:val="000000" w:themeColor="text1"/>
          <w:sz w:val="24"/>
          <w:szCs w:val="24"/>
        </w:rPr>
        <w:t>Sulaiman</w:t>
      </w:r>
      <w:r>
        <w:rPr>
          <w:rFonts w:asciiTheme="majorBidi" w:hAnsiTheme="majorBidi" w:cstheme="majorBidi"/>
          <w:color w:val="000000" w:themeColor="text1"/>
          <w:sz w:val="24"/>
          <w:szCs w:val="24"/>
        </w:rPr>
        <w:t>.</w:t>
      </w:r>
      <w:r w:rsidRPr="00D57F4E">
        <w:rPr>
          <w:rFonts w:asciiTheme="majorBidi" w:hAnsiTheme="majorBidi" w:cstheme="majorBidi"/>
          <w:color w:val="000000" w:themeColor="text1"/>
          <w:sz w:val="24"/>
          <w:szCs w:val="24"/>
        </w:rPr>
        <w:t xml:space="preserve"> (201</w:t>
      </w:r>
      <w:r>
        <w:rPr>
          <w:rFonts w:asciiTheme="majorBidi" w:hAnsiTheme="majorBidi" w:cstheme="majorBidi"/>
          <w:color w:val="000000" w:themeColor="text1"/>
          <w:sz w:val="24"/>
          <w:szCs w:val="24"/>
        </w:rPr>
        <w:t xml:space="preserve">7). Pemerkasaan latihan keguruan </w:t>
      </w:r>
      <w:r w:rsidRPr="00D57F4E">
        <w:rPr>
          <w:rFonts w:asciiTheme="majorBidi" w:hAnsiTheme="majorBidi" w:cstheme="majorBidi"/>
          <w:color w:val="000000" w:themeColor="text1"/>
          <w:sz w:val="24"/>
          <w:szCs w:val="24"/>
        </w:rPr>
        <w:t>k</w:t>
      </w:r>
      <w:r>
        <w:rPr>
          <w:rFonts w:asciiTheme="majorBidi" w:hAnsiTheme="majorBidi" w:cstheme="majorBidi"/>
          <w:color w:val="000000" w:themeColor="text1"/>
          <w:sz w:val="24"/>
          <w:szCs w:val="24"/>
        </w:rPr>
        <w:t xml:space="preserve">e arah pembudayaan pengajaran </w:t>
      </w:r>
      <w:r w:rsidRPr="00D57F4E">
        <w:rPr>
          <w:rFonts w:asciiTheme="majorBidi" w:hAnsiTheme="majorBidi" w:cstheme="majorBidi"/>
          <w:color w:val="000000" w:themeColor="text1"/>
          <w:sz w:val="24"/>
          <w:szCs w:val="24"/>
        </w:rPr>
        <w:t>dan</w:t>
      </w:r>
      <w:r>
        <w:rPr>
          <w:rFonts w:asciiTheme="majorBidi" w:hAnsiTheme="majorBidi" w:cstheme="majorBidi"/>
          <w:color w:val="000000" w:themeColor="text1"/>
          <w:sz w:val="24"/>
          <w:szCs w:val="24"/>
        </w:rPr>
        <w:t xml:space="preserve"> </w:t>
      </w:r>
      <w:r w:rsidRPr="00D57F4E">
        <w:rPr>
          <w:rFonts w:asciiTheme="majorBidi" w:hAnsiTheme="majorBidi" w:cstheme="majorBidi"/>
          <w:color w:val="000000" w:themeColor="text1"/>
          <w:sz w:val="24"/>
          <w:szCs w:val="24"/>
        </w:rPr>
        <w:t>pembelajaran Pe</w:t>
      </w:r>
      <w:r>
        <w:rPr>
          <w:rFonts w:asciiTheme="majorBidi" w:hAnsiTheme="majorBidi" w:cstheme="majorBidi"/>
          <w:color w:val="000000" w:themeColor="text1"/>
          <w:sz w:val="24"/>
          <w:szCs w:val="24"/>
        </w:rPr>
        <w:t>ndidikan Islam sepanjang hayat</w:t>
      </w:r>
      <w:r w:rsidR="009D084A">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 Dlm.</w:t>
      </w:r>
      <w:r w:rsidRPr="00D57F4E">
        <w:rPr>
          <w:rFonts w:asciiTheme="majorBidi" w:hAnsiTheme="majorBidi" w:cstheme="majorBidi"/>
          <w:color w:val="000000" w:themeColor="text1"/>
          <w:sz w:val="24"/>
          <w:szCs w:val="24"/>
        </w:rPr>
        <w:t xml:space="preserve"> </w:t>
      </w:r>
      <w:r w:rsidRPr="00D57F4E">
        <w:rPr>
          <w:rFonts w:asciiTheme="majorBidi" w:hAnsiTheme="majorBidi" w:cstheme="majorBidi"/>
          <w:i/>
          <w:iCs/>
          <w:color w:val="000000" w:themeColor="text1"/>
          <w:sz w:val="24"/>
          <w:szCs w:val="24"/>
        </w:rPr>
        <w:t>Prosiding Seminar Pendidikan Islam</w:t>
      </w:r>
      <w:r>
        <w:rPr>
          <w:rFonts w:asciiTheme="majorBidi" w:hAnsiTheme="majorBidi" w:cstheme="majorBidi"/>
          <w:color w:val="000000" w:themeColor="text1"/>
          <w:sz w:val="24"/>
          <w:szCs w:val="24"/>
        </w:rPr>
        <w:t xml:space="preserve"> </w:t>
      </w:r>
      <w:r w:rsidRPr="00D57F4E">
        <w:rPr>
          <w:rFonts w:asciiTheme="majorBidi" w:hAnsiTheme="majorBidi" w:cstheme="majorBidi"/>
          <w:i/>
          <w:iCs/>
          <w:color w:val="000000" w:themeColor="text1"/>
          <w:sz w:val="24"/>
          <w:szCs w:val="24"/>
        </w:rPr>
        <w:t>Sepanjang Hayat 2017 (PISH2017)</w:t>
      </w:r>
      <w:r w:rsidRPr="00D57F4E">
        <w:rPr>
          <w:rFonts w:asciiTheme="majorBidi" w:hAnsiTheme="majorBidi" w:cstheme="majorBidi"/>
          <w:color w:val="000000" w:themeColor="text1"/>
          <w:sz w:val="24"/>
          <w:szCs w:val="24"/>
        </w:rPr>
        <w:t>, Putrajaya (pp 38-44).</w:t>
      </w:r>
    </w:p>
    <w:p w14:paraId="00B9FB26" w14:textId="489F550D" w:rsidR="001C2FAA" w:rsidRPr="008A0AAF"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lang w:val="it-IT"/>
        </w:rPr>
      </w:pPr>
      <w:r w:rsidRPr="00D57F4E">
        <w:rPr>
          <w:rFonts w:asciiTheme="majorBidi" w:hAnsiTheme="majorBidi" w:cstheme="majorBidi"/>
          <w:color w:val="000000" w:themeColor="text1"/>
          <w:sz w:val="24"/>
          <w:szCs w:val="24"/>
        </w:rPr>
        <w:t>Mohd Rashid Ab Hamid</w:t>
      </w:r>
      <w:r w:rsidR="009D084A">
        <w:rPr>
          <w:rFonts w:asciiTheme="majorBidi" w:hAnsiTheme="majorBidi" w:cstheme="majorBidi"/>
          <w:color w:val="000000" w:themeColor="text1"/>
          <w:sz w:val="24"/>
          <w:szCs w:val="24"/>
        </w:rPr>
        <w:t>.</w:t>
      </w:r>
      <w:r w:rsidRPr="00D57F4E">
        <w:rPr>
          <w:rFonts w:asciiTheme="majorBidi" w:hAnsiTheme="majorBidi" w:cstheme="majorBidi"/>
          <w:color w:val="000000" w:themeColor="text1"/>
          <w:sz w:val="24"/>
          <w:szCs w:val="24"/>
        </w:rPr>
        <w:t xml:space="preserve"> (2</w:t>
      </w:r>
      <w:r w:rsidR="00047DD9">
        <w:rPr>
          <w:rFonts w:asciiTheme="majorBidi" w:hAnsiTheme="majorBidi" w:cstheme="majorBidi"/>
          <w:color w:val="000000" w:themeColor="text1"/>
          <w:sz w:val="24"/>
          <w:szCs w:val="24"/>
        </w:rPr>
        <w:t>018). PSH tingkat daya saing ind</w:t>
      </w:r>
      <w:r w:rsidRPr="00D57F4E">
        <w:rPr>
          <w:rFonts w:asciiTheme="majorBidi" w:hAnsiTheme="majorBidi" w:cstheme="majorBidi"/>
          <w:color w:val="000000" w:themeColor="text1"/>
          <w:sz w:val="24"/>
          <w:szCs w:val="24"/>
        </w:rPr>
        <w:t xml:space="preserve">ustri, </w:t>
      </w:r>
      <w:r w:rsidRPr="00D57F4E">
        <w:rPr>
          <w:rFonts w:asciiTheme="majorBidi" w:hAnsiTheme="majorBidi" w:cstheme="majorBidi"/>
          <w:i/>
          <w:iCs/>
          <w:color w:val="000000" w:themeColor="text1"/>
          <w:sz w:val="24"/>
          <w:szCs w:val="24"/>
        </w:rPr>
        <w:t>Berita Harian</w:t>
      </w:r>
      <w:r>
        <w:rPr>
          <w:rFonts w:asciiTheme="majorBidi" w:hAnsiTheme="majorBidi" w:cstheme="majorBidi"/>
          <w:color w:val="000000" w:themeColor="text1"/>
          <w:sz w:val="24"/>
          <w:szCs w:val="24"/>
        </w:rPr>
        <w:t>, 19 Feb</w:t>
      </w:r>
      <w:r w:rsidR="00047DD9">
        <w:rPr>
          <w:rFonts w:asciiTheme="majorBidi" w:hAnsiTheme="majorBidi" w:cstheme="majorBidi"/>
          <w:color w:val="000000" w:themeColor="text1"/>
          <w:sz w:val="24"/>
          <w:szCs w:val="24"/>
        </w:rPr>
        <w:t>ruari</w:t>
      </w:r>
      <w:r>
        <w:rPr>
          <w:rFonts w:asciiTheme="majorBidi" w:hAnsiTheme="majorBidi" w:cstheme="majorBidi"/>
          <w:color w:val="000000" w:themeColor="text1"/>
          <w:sz w:val="24"/>
          <w:szCs w:val="24"/>
        </w:rPr>
        <w:t xml:space="preserve">. </w:t>
      </w:r>
      <w:r w:rsidR="001363F7">
        <w:rPr>
          <w:rFonts w:asciiTheme="majorBidi" w:hAnsiTheme="majorBidi" w:cstheme="majorBidi"/>
          <w:color w:val="000000" w:themeColor="text1"/>
          <w:sz w:val="24"/>
          <w:szCs w:val="24"/>
        </w:rPr>
        <w:t xml:space="preserve">Retrieved from </w:t>
      </w:r>
      <w:r w:rsidRPr="008A0AAF">
        <w:rPr>
          <w:rFonts w:asciiTheme="majorBidi" w:hAnsiTheme="majorBidi" w:cstheme="majorBidi"/>
          <w:color w:val="000000" w:themeColor="text1"/>
          <w:sz w:val="24"/>
          <w:szCs w:val="24"/>
          <w:lang w:val="it-IT"/>
        </w:rPr>
        <w:t>https://www.pressreader.com/malaysia/beritaharian5831/</w:t>
      </w:r>
      <w:r w:rsidR="006F3A21">
        <w:rPr>
          <w:rFonts w:asciiTheme="majorBidi" w:hAnsiTheme="majorBidi" w:cstheme="majorBidi"/>
          <w:color w:val="000000" w:themeColor="text1"/>
          <w:sz w:val="24"/>
          <w:szCs w:val="24"/>
          <w:lang w:val="it-IT"/>
        </w:rPr>
        <w:t xml:space="preserve"> </w:t>
      </w:r>
      <w:r w:rsidRPr="008A0AAF">
        <w:rPr>
          <w:rFonts w:asciiTheme="majorBidi" w:hAnsiTheme="majorBidi" w:cstheme="majorBidi"/>
          <w:color w:val="000000" w:themeColor="text1"/>
          <w:sz w:val="24"/>
          <w:szCs w:val="24"/>
          <w:lang w:val="it-IT"/>
        </w:rPr>
        <w:t>20180219/281638190679490</w:t>
      </w:r>
    </w:p>
    <w:p w14:paraId="79E48C43" w14:textId="74E87B04" w:rsidR="001C2FAA" w:rsidRPr="00D57F4E" w:rsidRDefault="009D084A" w:rsidP="00665616">
      <w:pPr>
        <w:spacing w:after="0" w:line="240" w:lineRule="auto"/>
        <w:ind w:leftChars="0" w:left="567" w:firstLineChars="0" w:hanging="569"/>
        <w:jc w:val="both"/>
        <w:rPr>
          <w:rFonts w:asciiTheme="majorBidi" w:hAnsiTheme="majorBidi" w:cstheme="majorBidi"/>
          <w:color w:val="000000" w:themeColor="text1"/>
          <w:sz w:val="24"/>
          <w:szCs w:val="24"/>
          <w:highlight w:val="white"/>
          <w:lang w:val="da-DK"/>
        </w:rPr>
      </w:pPr>
      <w:r>
        <w:rPr>
          <w:rFonts w:asciiTheme="majorBidi" w:hAnsiTheme="majorBidi" w:cstheme="majorBidi"/>
          <w:color w:val="000000" w:themeColor="text1"/>
          <w:sz w:val="24"/>
          <w:szCs w:val="24"/>
          <w:lang w:val="it-IT"/>
        </w:rPr>
        <w:t>Mohd Yusop, M., &amp; Abbas, L.</w:t>
      </w:r>
      <w:r w:rsidR="001C2FAA" w:rsidRPr="00D57F4E">
        <w:rPr>
          <w:rFonts w:asciiTheme="majorBidi" w:hAnsiTheme="majorBidi" w:cstheme="majorBidi"/>
          <w:color w:val="000000" w:themeColor="text1"/>
          <w:sz w:val="24"/>
          <w:szCs w:val="24"/>
          <w:lang w:val="it-IT"/>
        </w:rPr>
        <w:t xml:space="preserve">N. (2016). </w:t>
      </w:r>
      <w:r w:rsidR="001C2FAA" w:rsidRPr="00D57F4E">
        <w:rPr>
          <w:rFonts w:asciiTheme="majorBidi" w:hAnsiTheme="majorBidi" w:cstheme="majorBidi"/>
          <w:color w:val="000000" w:themeColor="text1"/>
          <w:sz w:val="24"/>
          <w:szCs w:val="24"/>
          <w:lang w:val="da-DK"/>
        </w:rPr>
        <w:t xml:space="preserve">Kesediaan guru teknikal melanjutkan </w:t>
      </w:r>
      <w:r w:rsidR="001C2FAA">
        <w:rPr>
          <w:rFonts w:asciiTheme="majorBidi" w:hAnsiTheme="majorBidi" w:cstheme="majorBidi"/>
          <w:color w:val="000000" w:themeColor="text1"/>
          <w:sz w:val="24"/>
          <w:szCs w:val="24"/>
          <w:lang w:val="da-DK"/>
        </w:rPr>
        <w:t xml:space="preserve">pengajian ke peringkat tinggi. </w:t>
      </w:r>
      <w:r w:rsidR="001C2FAA" w:rsidRPr="00D57F4E">
        <w:rPr>
          <w:rFonts w:asciiTheme="majorBidi" w:hAnsiTheme="majorBidi" w:cstheme="majorBidi"/>
          <w:i/>
          <w:iCs/>
          <w:color w:val="000000" w:themeColor="text1"/>
          <w:sz w:val="24"/>
          <w:szCs w:val="24"/>
          <w:lang w:val="da-DK"/>
        </w:rPr>
        <w:t>Online Journal for TVET Practioners</w:t>
      </w:r>
      <w:r w:rsidR="001C2FAA" w:rsidRPr="00D57F4E">
        <w:rPr>
          <w:rFonts w:asciiTheme="majorBidi" w:hAnsiTheme="majorBidi" w:cstheme="majorBidi"/>
          <w:color w:val="000000" w:themeColor="text1"/>
          <w:sz w:val="24"/>
          <w:szCs w:val="24"/>
          <w:lang w:val="da-DK"/>
        </w:rPr>
        <w:t xml:space="preserve">, </w:t>
      </w:r>
      <w:r w:rsidR="001C2FAA" w:rsidRPr="006F3A21">
        <w:rPr>
          <w:rFonts w:asciiTheme="majorBidi" w:hAnsiTheme="majorBidi" w:cstheme="majorBidi"/>
          <w:i/>
          <w:color w:val="000000" w:themeColor="text1"/>
          <w:sz w:val="24"/>
          <w:szCs w:val="24"/>
          <w:lang w:val="da-DK"/>
        </w:rPr>
        <w:t>1</w:t>
      </w:r>
      <w:r w:rsidR="001C2FAA" w:rsidRPr="00D57F4E">
        <w:rPr>
          <w:rFonts w:asciiTheme="majorBidi" w:hAnsiTheme="majorBidi" w:cstheme="majorBidi"/>
          <w:color w:val="000000" w:themeColor="text1"/>
          <w:sz w:val="24"/>
          <w:szCs w:val="24"/>
          <w:lang w:val="da-DK"/>
        </w:rPr>
        <w:t xml:space="preserve">(1). </w:t>
      </w:r>
      <w:r w:rsidR="001363F7">
        <w:rPr>
          <w:rFonts w:asciiTheme="majorBidi" w:hAnsiTheme="majorBidi" w:cstheme="majorBidi"/>
          <w:color w:val="000000" w:themeColor="text1"/>
          <w:sz w:val="24"/>
          <w:szCs w:val="24"/>
        </w:rPr>
        <w:t xml:space="preserve">Retrieved from </w:t>
      </w:r>
      <w:r w:rsidR="001C2FAA" w:rsidRPr="00D57F4E">
        <w:rPr>
          <w:rFonts w:asciiTheme="majorBidi" w:hAnsiTheme="majorBidi" w:cstheme="majorBidi"/>
          <w:color w:val="000000" w:themeColor="text1"/>
          <w:sz w:val="24"/>
          <w:szCs w:val="24"/>
          <w:lang w:val="da-DK"/>
        </w:rPr>
        <w:t>https://publisher.uthm.edu.my/ojs/index.php/oj-tp/article/view/4759</w:t>
      </w:r>
    </w:p>
    <w:p w14:paraId="4FE5CDAB" w14:textId="77777777" w:rsidR="001C2FAA" w:rsidRPr="008A0AAF"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lang w:val="da-DK"/>
        </w:rPr>
      </w:pPr>
      <w:r w:rsidRPr="008A0AAF">
        <w:rPr>
          <w:rFonts w:asciiTheme="majorBidi" w:hAnsiTheme="majorBidi" w:cstheme="majorBidi"/>
          <w:color w:val="000000" w:themeColor="text1"/>
          <w:sz w:val="24"/>
          <w:szCs w:val="24"/>
          <w:lang w:val="da-DK"/>
        </w:rPr>
        <w:t xml:space="preserve">Mohd. Najib Abdul Ghaffar. (2003). </w:t>
      </w:r>
      <w:r w:rsidRPr="008A0AAF">
        <w:rPr>
          <w:rFonts w:asciiTheme="majorBidi" w:hAnsiTheme="majorBidi" w:cstheme="majorBidi"/>
          <w:i/>
          <w:iCs/>
          <w:color w:val="000000" w:themeColor="text1"/>
          <w:sz w:val="24"/>
          <w:szCs w:val="24"/>
          <w:lang w:val="da-DK"/>
        </w:rPr>
        <w:t>Reka bentuk tinjauan soal selidik</w:t>
      </w:r>
      <w:r w:rsidRPr="008A0AAF">
        <w:rPr>
          <w:rFonts w:asciiTheme="majorBidi" w:hAnsiTheme="majorBidi" w:cstheme="majorBidi"/>
          <w:color w:val="000000" w:themeColor="text1"/>
          <w:sz w:val="24"/>
          <w:szCs w:val="24"/>
          <w:lang w:val="da-DK"/>
        </w:rPr>
        <w:t xml:space="preserve"> </w:t>
      </w:r>
      <w:r w:rsidRPr="008A0AAF">
        <w:rPr>
          <w:rFonts w:asciiTheme="majorBidi" w:hAnsiTheme="majorBidi" w:cstheme="majorBidi"/>
          <w:i/>
          <w:color w:val="000000" w:themeColor="text1"/>
          <w:sz w:val="24"/>
          <w:szCs w:val="24"/>
          <w:lang w:val="da-DK"/>
        </w:rPr>
        <w:t>pendidikan.</w:t>
      </w:r>
      <w:r w:rsidRPr="008A0AAF">
        <w:rPr>
          <w:rFonts w:asciiTheme="majorBidi" w:hAnsiTheme="majorBidi" w:cstheme="majorBidi"/>
          <w:color w:val="000000" w:themeColor="text1"/>
          <w:sz w:val="24"/>
          <w:szCs w:val="24"/>
          <w:lang w:val="da-DK"/>
        </w:rPr>
        <w:t xml:space="preserve"> Sekudai: Penerbit Universiti Teknologi Malaysia.</w:t>
      </w:r>
    </w:p>
    <w:p w14:paraId="3E0FEAB8" w14:textId="77777777" w:rsidR="001C2FAA" w:rsidRPr="00D57F4E"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rPr>
      </w:pPr>
      <w:r w:rsidRPr="00D57F4E">
        <w:rPr>
          <w:rFonts w:asciiTheme="majorBidi" w:hAnsiTheme="majorBidi" w:cstheme="majorBidi"/>
          <w:color w:val="000000" w:themeColor="text1"/>
          <w:sz w:val="24"/>
          <w:szCs w:val="24"/>
          <w:highlight w:val="white"/>
          <w:lang w:val="da-DK"/>
        </w:rPr>
        <w:t xml:space="preserve">Morse, J. M. (2016). </w:t>
      </w:r>
      <w:r w:rsidRPr="008A0AAF">
        <w:rPr>
          <w:rFonts w:asciiTheme="majorBidi" w:hAnsiTheme="majorBidi" w:cstheme="majorBidi"/>
          <w:i/>
          <w:iCs/>
          <w:color w:val="000000" w:themeColor="text1"/>
          <w:sz w:val="24"/>
          <w:szCs w:val="24"/>
          <w:highlight w:val="white"/>
          <w:lang w:val="da-DK"/>
        </w:rPr>
        <w:t>Mixed method design: Principles and procedures</w:t>
      </w:r>
      <w:r w:rsidRPr="008A0AAF">
        <w:rPr>
          <w:rFonts w:asciiTheme="majorBidi" w:hAnsiTheme="majorBidi" w:cstheme="majorBidi"/>
          <w:color w:val="000000" w:themeColor="text1"/>
          <w:sz w:val="24"/>
          <w:szCs w:val="24"/>
          <w:highlight w:val="white"/>
          <w:lang w:val="da-DK"/>
        </w:rPr>
        <w:t xml:space="preserve">. </w:t>
      </w:r>
      <w:r>
        <w:rPr>
          <w:rFonts w:asciiTheme="majorBidi" w:hAnsiTheme="majorBidi" w:cstheme="majorBidi"/>
          <w:color w:val="000000" w:themeColor="text1"/>
          <w:sz w:val="24"/>
          <w:szCs w:val="24"/>
          <w:highlight w:val="white"/>
        </w:rPr>
        <w:t xml:space="preserve">London: </w:t>
      </w:r>
      <w:r w:rsidRPr="00D57F4E">
        <w:rPr>
          <w:rFonts w:asciiTheme="majorBidi" w:hAnsiTheme="majorBidi" w:cstheme="majorBidi"/>
          <w:color w:val="000000" w:themeColor="text1"/>
          <w:sz w:val="24"/>
          <w:szCs w:val="24"/>
          <w:highlight w:val="white"/>
        </w:rPr>
        <w:t>Routledge.</w:t>
      </w:r>
    </w:p>
    <w:p w14:paraId="03AC6745" w14:textId="7D2CA2F9" w:rsidR="001C2FAA" w:rsidRPr="00D57F4E" w:rsidRDefault="009D084A" w:rsidP="00665616">
      <w:pPr>
        <w:spacing w:after="0" w:line="240" w:lineRule="auto"/>
        <w:ind w:leftChars="0" w:left="567" w:firstLineChars="0" w:hanging="569"/>
        <w:jc w:val="both"/>
        <w:rPr>
          <w:rFonts w:asciiTheme="majorBidi" w:hAnsiTheme="majorBidi" w:cstheme="majorBidi"/>
          <w:color w:val="000000" w:themeColor="text1"/>
          <w:sz w:val="24"/>
          <w:szCs w:val="24"/>
          <w:highlight w:val="white"/>
        </w:rPr>
      </w:pPr>
      <w:r>
        <w:rPr>
          <w:rFonts w:asciiTheme="majorBidi" w:hAnsiTheme="majorBidi" w:cstheme="majorBidi"/>
          <w:color w:val="000000" w:themeColor="text1"/>
          <w:sz w:val="24"/>
          <w:szCs w:val="24"/>
          <w:highlight w:val="white"/>
        </w:rPr>
        <w:t>Nardi, P.</w:t>
      </w:r>
      <w:r w:rsidR="001C2FAA" w:rsidRPr="00D57F4E">
        <w:rPr>
          <w:rFonts w:asciiTheme="majorBidi" w:hAnsiTheme="majorBidi" w:cstheme="majorBidi"/>
          <w:color w:val="000000" w:themeColor="text1"/>
          <w:sz w:val="24"/>
          <w:szCs w:val="24"/>
          <w:highlight w:val="white"/>
        </w:rPr>
        <w:t xml:space="preserve">M. (2018). </w:t>
      </w:r>
      <w:r w:rsidR="001C2FAA" w:rsidRPr="00D57F4E">
        <w:rPr>
          <w:rFonts w:asciiTheme="majorBidi" w:hAnsiTheme="majorBidi" w:cstheme="majorBidi"/>
          <w:i/>
          <w:iCs/>
          <w:color w:val="000000" w:themeColor="text1"/>
          <w:sz w:val="24"/>
          <w:szCs w:val="24"/>
          <w:highlight w:val="white"/>
        </w:rPr>
        <w:t>Doing survey research: A guide to quantitative methods</w:t>
      </w:r>
      <w:r w:rsidR="001C2FAA" w:rsidRPr="00D57F4E">
        <w:rPr>
          <w:rFonts w:asciiTheme="majorBidi" w:hAnsiTheme="majorBidi" w:cstheme="majorBidi"/>
          <w:color w:val="000000" w:themeColor="text1"/>
          <w:sz w:val="24"/>
          <w:szCs w:val="24"/>
          <w:highlight w:val="white"/>
        </w:rPr>
        <w:t xml:space="preserve">. </w:t>
      </w:r>
      <w:r w:rsidR="001C2FAA">
        <w:rPr>
          <w:rFonts w:asciiTheme="majorBidi" w:hAnsiTheme="majorBidi" w:cstheme="majorBidi"/>
          <w:color w:val="000000" w:themeColor="text1"/>
          <w:sz w:val="24"/>
          <w:szCs w:val="24"/>
          <w:highlight w:val="white"/>
        </w:rPr>
        <w:t xml:space="preserve">London: </w:t>
      </w:r>
      <w:r w:rsidR="001C2FAA" w:rsidRPr="00D57F4E">
        <w:rPr>
          <w:rFonts w:asciiTheme="majorBidi" w:hAnsiTheme="majorBidi" w:cstheme="majorBidi"/>
          <w:color w:val="000000" w:themeColor="text1"/>
          <w:sz w:val="24"/>
          <w:szCs w:val="24"/>
          <w:highlight w:val="white"/>
        </w:rPr>
        <w:t>Routledge.</w:t>
      </w:r>
    </w:p>
    <w:p w14:paraId="08026E0E" w14:textId="2EDC9F98" w:rsidR="001C2FAA" w:rsidRPr="00D57F4E"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rPr>
      </w:pPr>
      <w:r w:rsidRPr="00D57F4E">
        <w:rPr>
          <w:rFonts w:asciiTheme="majorBidi" w:hAnsiTheme="majorBidi" w:cstheme="majorBidi"/>
          <w:color w:val="000000" w:themeColor="text1"/>
          <w:sz w:val="24"/>
          <w:szCs w:val="24"/>
        </w:rPr>
        <w:t>Nirmal Kaur Har</w:t>
      </w:r>
      <w:r>
        <w:rPr>
          <w:rFonts w:asciiTheme="majorBidi" w:hAnsiTheme="majorBidi" w:cstheme="majorBidi"/>
          <w:color w:val="000000" w:themeColor="text1"/>
          <w:sz w:val="24"/>
          <w:szCs w:val="24"/>
        </w:rPr>
        <w:t>i Singh, Lai Wei Sieng</w:t>
      </w:r>
      <w:r w:rsidR="006F3A21">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 &amp; </w:t>
      </w:r>
      <w:r w:rsidRPr="00D57F4E">
        <w:rPr>
          <w:rFonts w:asciiTheme="majorBidi" w:hAnsiTheme="majorBidi" w:cstheme="majorBidi"/>
          <w:color w:val="000000" w:themeColor="text1"/>
          <w:sz w:val="24"/>
          <w:szCs w:val="24"/>
        </w:rPr>
        <w:t>Mohd Nasir Mohd Saukani</w:t>
      </w:r>
      <w:r w:rsidR="00047DD9">
        <w:rPr>
          <w:rFonts w:asciiTheme="majorBidi" w:hAnsiTheme="majorBidi" w:cstheme="majorBidi"/>
          <w:color w:val="000000" w:themeColor="text1"/>
          <w:sz w:val="24"/>
          <w:szCs w:val="24"/>
        </w:rPr>
        <w:t>.</w:t>
      </w:r>
      <w:r w:rsidRPr="00D57F4E">
        <w:rPr>
          <w:rFonts w:asciiTheme="majorBidi" w:hAnsiTheme="majorBidi" w:cstheme="majorBidi"/>
          <w:color w:val="000000" w:themeColor="text1"/>
          <w:sz w:val="24"/>
          <w:szCs w:val="24"/>
        </w:rPr>
        <w:t xml:space="preserve"> (2018). Impact of education levels on economic growth in Malaysia: A gender base analysis. </w:t>
      </w:r>
      <w:r>
        <w:rPr>
          <w:rFonts w:asciiTheme="majorBidi" w:hAnsiTheme="majorBidi" w:cstheme="majorBidi"/>
          <w:i/>
          <w:iCs/>
          <w:color w:val="000000" w:themeColor="text1"/>
          <w:sz w:val="24"/>
          <w:szCs w:val="24"/>
        </w:rPr>
        <w:t>Geografia:</w:t>
      </w:r>
      <w:r w:rsidRPr="00D57F4E">
        <w:rPr>
          <w:rFonts w:asciiTheme="majorBidi" w:hAnsiTheme="majorBidi" w:cstheme="majorBidi"/>
          <w:i/>
          <w:iCs/>
          <w:color w:val="000000" w:themeColor="text1"/>
          <w:sz w:val="24"/>
          <w:szCs w:val="24"/>
        </w:rPr>
        <w:t xml:space="preserve"> Malaysian Journal of Society and Space</w:t>
      </w:r>
      <w:r w:rsidRPr="00D57F4E">
        <w:rPr>
          <w:rFonts w:asciiTheme="majorBidi" w:hAnsiTheme="majorBidi" w:cstheme="majorBidi"/>
          <w:color w:val="000000" w:themeColor="text1"/>
          <w:sz w:val="24"/>
          <w:szCs w:val="24"/>
        </w:rPr>
        <w:t xml:space="preserve">, </w:t>
      </w:r>
      <w:r w:rsidRPr="00D57F4E">
        <w:rPr>
          <w:rFonts w:asciiTheme="majorBidi" w:hAnsiTheme="majorBidi" w:cstheme="majorBidi"/>
          <w:i/>
          <w:iCs/>
          <w:color w:val="000000" w:themeColor="text1"/>
          <w:sz w:val="24"/>
          <w:szCs w:val="24"/>
        </w:rPr>
        <w:t>14</w:t>
      </w:r>
      <w:r w:rsidRPr="00D57F4E">
        <w:rPr>
          <w:rFonts w:asciiTheme="majorBidi" w:hAnsiTheme="majorBidi" w:cstheme="majorBidi"/>
          <w:color w:val="000000" w:themeColor="text1"/>
          <w:sz w:val="24"/>
          <w:szCs w:val="24"/>
        </w:rPr>
        <w:t xml:space="preserve"> (4), 13-26. </w:t>
      </w:r>
    </w:p>
    <w:p w14:paraId="6044B419" w14:textId="18B494F3" w:rsidR="001C2FAA" w:rsidRPr="001C2FAA" w:rsidRDefault="001C2FAA" w:rsidP="00665616">
      <w:pPr>
        <w:spacing w:after="0" w:line="240" w:lineRule="auto"/>
        <w:ind w:leftChars="0" w:left="567" w:firstLineChars="0" w:hanging="569"/>
        <w:jc w:val="both"/>
        <w:rPr>
          <w:rFonts w:asciiTheme="majorBidi" w:hAnsiTheme="majorBidi" w:cstheme="majorBidi"/>
          <w:color w:val="FF0000"/>
          <w:sz w:val="24"/>
          <w:szCs w:val="24"/>
          <w:lang w:val="en-GB"/>
        </w:rPr>
      </w:pPr>
      <w:r w:rsidRPr="005C0BE8">
        <w:rPr>
          <w:rFonts w:asciiTheme="majorBidi" w:hAnsiTheme="majorBidi" w:cstheme="majorBidi"/>
          <w:sz w:val="24"/>
          <w:szCs w:val="24"/>
          <w:lang w:val="en-GB"/>
        </w:rPr>
        <w:t>Nor Kamaliah</w:t>
      </w:r>
      <w:r w:rsidR="006F3A21">
        <w:rPr>
          <w:rFonts w:asciiTheme="majorBidi" w:hAnsiTheme="majorBidi" w:cstheme="majorBidi"/>
          <w:sz w:val="24"/>
          <w:szCs w:val="24"/>
          <w:lang w:val="en-GB"/>
        </w:rPr>
        <w:t>,</w:t>
      </w:r>
      <w:r w:rsidRPr="005C0BE8">
        <w:rPr>
          <w:rFonts w:asciiTheme="majorBidi" w:hAnsiTheme="majorBidi" w:cstheme="majorBidi"/>
          <w:sz w:val="24"/>
          <w:szCs w:val="24"/>
          <w:lang w:val="en-GB"/>
        </w:rPr>
        <w:t xml:space="preserve"> &amp; Ahmad Zabidi. (2018).</w:t>
      </w:r>
      <w:r w:rsidR="005C0BE8" w:rsidRPr="005C0BE8">
        <w:t xml:space="preserve"> </w:t>
      </w:r>
      <w:r w:rsidR="005C0BE8" w:rsidRPr="005C0BE8">
        <w:rPr>
          <w:rFonts w:asciiTheme="majorBidi" w:hAnsiTheme="majorBidi" w:cstheme="majorBidi"/>
          <w:sz w:val="24"/>
          <w:szCs w:val="24"/>
          <w:lang w:val="en-GB"/>
        </w:rPr>
        <w:t xml:space="preserve">Kepimpinan sekolah dan pembelajaran sepanjang hayat dalam kalangan guru di </w:t>
      </w:r>
      <w:r w:rsidR="006F3A21">
        <w:rPr>
          <w:rFonts w:asciiTheme="majorBidi" w:hAnsiTheme="majorBidi" w:cstheme="majorBidi"/>
          <w:sz w:val="24"/>
          <w:szCs w:val="24"/>
          <w:lang w:val="en-GB"/>
        </w:rPr>
        <w:t>D</w:t>
      </w:r>
      <w:r w:rsidR="005C0BE8" w:rsidRPr="005C0BE8">
        <w:rPr>
          <w:rFonts w:asciiTheme="majorBidi" w:hAnsiTheme="majorBidi" w:cstheme="majorBidi"/>
          <w:sz w:val="24"/>
          <w:szCs w:val="24"/>
          <w:lang w:val="en-GB"/>
        </w:rPr>
        <w:t xml:space="preserve">ungun, </w:t>
      </w:r>
      <w:r w:rsidR="006F3A21">
        <w:rPr>
          <w:rFonts w:asciiTheme="majorBidi" w:hAnsiTheme="majorBidi" w:cstheme="majorBidi"/>
          <w:sz w:val="24"/>
          <w:szCs w:val="24"/>
          <w:lang w:val="en-GB"/>
        </w:rPr>
        <w:t>T</w:t>
      </w:r>
      <w:r w:rsidR="005C0BE8" w:rsidRPr="005C0BE8">
        <w:rPr>
          <w:rFonts w:asciiTheme="majorBidi" w:hAnsiTheme="majorBidi" w:cstheme="majorBidi"/>
          <w:sz w:val="24"/>
          <w:szCs w:val="24"/>
          <w:lang w:val="en-GB"/>
        </w:rPr>
        <w:t xml:space="preserve">erengganu. </w:t>
      </w:r>
      <w:r w:rsidR="005C0BE8" w:rsidRPr="005C0BE8">
        <w:rPr>
          <w:rFonts w:asciiTheme="majorBidi" w:hAnsiTheme="majorBidi" w:cstheme="majorBidi"/>
          <w:i/>
          <w:iCs/>
          <w:sz w:val="24"/>
          <w:szCs w:val="24"/>
          <w:lang w:val="en-GB"/>
        </w:rPr>
        <w:t>JuPiDi: Jurnal Kepimpinan Pendidikan</w:t>
      </w:r>
      <w:r w:rsidR="005C0BE8" w:rsidRPr="005C0BE8">
        <w:rPr>
          <w:rFonts w:asciiTheme="majorBidi" w:hAnsiTheme="majorBidi" w:cstheme="majorBidi"/>
          <w:sz w:val="24"/>
          <w:szCs w:val="24"/>
          <w:lang w:val="en-GB"/>
        </w:rPr>
        <w:t xml:space="preserve">, </w:t>
      </w:r>
      <w:r w:rsidR="005C0BE8" w:rsidRPr="005C0BE8">
        <w:rPr>
          <w:rFonts w:asciiTheme="majorBidi" w:hAnsiTheme="majorBidi" w:cstheme="majorBidi"/>
          <w:i/>
          <w:iCs/>
          <w:sz w:val="24"/>
          <w:szCs w:val="24"/>
          <w:lang w:val="en-GB"/>
        </w:rPr>
        <w:t>5</w:t>
      </w:r>
      <w:r w:rsidR="005C0BE8" w:rsidRPr="005C0BE8">
        <w:rPr>
          <w:rFonts w:asciiTheme="majorBidi" w:hAnsiTheme="majorBidi" w:cstheme="majorBidi"/>
          <w:sz w:val="24"/>
          <w:szCs w:val="24"/>
          <w:lang w:val="en-GB"/>
        </w:rPr>
        <w:t>(2), 45-63</w:t>
      </w:r>
      <w:r w:rsidR="005C0BE8">
        <w:rPr>
          <w:rFonts w:asciiTheme="majorBidi" w:hAnsiTheme="majorBidi" w:cstheme="majorBidi"/>
          <w:color w:val="FF0000"/>
          <w:sz w:val="24"/>
          <w:szCs w:val="24"/>
          <w:lang w:val="en-GB"/>
        </w:rPr>
        <w:t>.</w:t>
      </w:r>
    </w:p>
    <w:p w14:paraId="46BE18F2" w14:textId="77777777" w:rsidR="001C2FAA" w:rsidRPr="00D57F4E"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lang w:val="en-GB"/>
        </w:rPr>
      </w:pPr>
      <w:r w:rsidRPr="00D57F4E">
        <w:rPr>
          <w:rFonts w:asciiTheme="majorBidi" w:hAnsiTheme="majorBidi" w:cstheme="majorBidi"/>
          <w:color w:val="000000" w:themeColor="text1"/>
          <w:sz w:val="24"/>
          <w:szCs w:val="24"/>
          <w:lang w:val="en-GB"/>
        </w:rPr>
        <w:t>Nulty, D. D. (2008). The adequacy of response rates to online and paper surveys</w:t>
      </w:r>
      <w:r>
        <w:rPr>
          <w:rFonts w:asciiTheme="majorBidi" w:hAnsiTheme="majorBidi" w:cstheme="majorBidi"/>
          <w:color w:val="000000" w:themeColor="text1"/>
          <w:sz w:val="24"/>
          <w:szCs w:val="24"/>
          <w:lang w:val="en-GB"/>
        </w:rPr>
        <w:t>: What can be d</w:t>
      </w:r>
      <w:r w:rsidRPr="00D57F4E">
        <w:rPr>
          <w:rFonts w:asciiTheme="majorBidi" w:hAnsiTheme="majorBidi" w:cstheme="majorBidi"/>
          <w:color w:val="000000" w:themeColor="text1"/>
          <w:sz w:val="24"/>
          <w:szCs w:val="24"/>
          <w:lang w:val="en-GB"/>
        </w:rPr>
        <w:t xml:space="preserve">one?. </w:t>
      </w:r>
      <w:r w:rsidRPr="00D57F4E">
        <w:rPr>
          <w:rFonts w:asciiTheme="majorBidi" w:hAnsiTheme="majorBidi" w:cstheme="majorBidi"/>
          <w:i/>
          <w:iCs/>
          <w:color w:val="000000" w:themeColor="text1"/>
          <w:sz w:val="24"/>
          <w:szCs w:val="24"/>
          <w:lang w:val="en-GB"/>
        </w:rPr>
        <w:t>Assessment &amp; Evaluation in Higher Education</w:t>
      </w:r>
      <w:r w:rsidRPr="00D57F4E">
        <w:rPr>
          <w:rFonts w:asciiTheme="majorBidi" w:hAnsiTheme="majorBidi" w:cstheme="majorBidi"/>
          <w:color w:val="000000" w:themeColor="text1"/>
          <w:sz w:val="24"/>
          <w:szCs w:val="24"/>
          <w:lang w:val="en-GB"/>
        </w:rPr>
        <w:t xml:space="preserve">, </w:t>
      </w:r>
      <w:r w:rsidRPr="00E51374">
        <w:rPr>
          <w:rFonts w:asciiTheme="majorBidi" w:hAnsiTheme="majorBidi" w:cstheme="majorBidi"/>
          <w:i/>
          <w:color w:val="000000" w:themeColor="text1"/>
          <w:sz w:val="24"/>
          <w:szCs w:val="24"/>
          <w:lang w:val="en-GB"/>
        </w:rPr>
        <w:t>33</w:t>
      </w:r>
      <w:r w:rsidRPr="00D57F4E">
        <w:rPr>
          <w:rFonts w:asciiTheme="majorBidi" w:hAnsiTheme="majorBidi" w:cstheme="majorBidi"/>
          <w:color w:val="000000" w:themeColor="text1"/>
          <w:sz w:val="24"/>
          <w:szCs w:val="24"/>
          <w:lang w:val="en-GB"/>
        </w:rPr>
        <w:t>(3), 301–314.</w:t>
      </w:r>
    </w:p>
    <w:p w14:paraId="05CFCB0B" w14:textId="25B40BC0" w:rsidR="001C2FAA" w:rsidRPr="00D57F4E"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rPr>
      </w:pPr>
      <w:r w:rsidRPr="00D57F4E">
        <w:rPr>
          <w:rFonts w:asciiTheme="majorBidi" w:hAnsiTheme="majorBidi" w:cstheme="majorBidi"/>
          <w:color w:val="000000" w:themeColor="text1"/>
          <w:sz w:val="24"/>
          <w:szCs w:val="24"/>
        </w:rPr>
        <w:lastRenderedPageBreak/>
        <w:t>OECD</w:t>
      </w:r>
      <w:r>
        <w:rPr>
          <w:rFonts w:asciiTheme="majorBidi" w:hAnsiTheme="majorBidi" w:cstheme="majorBidi"/>
          <w:color w:val="000000" w:themeColor="text1"/>
          <w:sz w:val="24"/>
          <w:szCs w:val="24"/>
        </w:rPr>
        <w:t>.</w:t>
      </w:r>
      <w:r w:rsidRPr="00D57F4E">
        <w:rPr>
          <w:rFonts w:asciiTheme="majorBidi" w:hAnsiTheme="majorBidi" w:cstheme="majorBidi"/>
          <w:color w:val="000000" w:themeColor="text1"/>
          <w:sz w:val="24"/>
          <w:szCs w:val="24"/>
        </w:rPr>
        <w:t xml:space="preserve"> (2019). </w:t>
      </w:r>
      <w:r w:rsidRPr="00D57F4E">
        <w:rPr>
          <w:rFonts w:asciiTheme="majorBidi" w:hAnsiTheme="majorBidi" w:cstheme="majorBidi"/>
          <w:i/>
          <w:iCs/>
          <w:color w:val="000000" w:themeColor="text1"/>
          <w:sz w:val="24"/>
          <w:szCs w:val="24"/>
        </w:rPr>
        <w:t>Envisaging the future of education and jobs. Trends, data, and drawings</w:t>
      </w:r>
      <w:r w:rsidRPr="00D57F4E">
        <w:rPr>
          <w:rFonts w:asciiTheme="majorBidi" w:hAnsiTheme="majorBidi" w:cstheme="majorBidi"/>
          <w:color w:val="000000" w:themeColor="text1"/>
          <w:sz w:val="24"/>
          <w:szCs w:val="24"/>
        </w:rPr>
        <w:t xml:space="preserve">. Accessed 13 March 2019. </w:t>
      </w:r>
      <w:r w:rsidR="001363F7">
        <w:rPr>
          <w:rFonts w:asciiTheme="majorBidi" w:hAnsiTheme="majorBidi" w:cstheme="majorBidi"/>
          <w:color w:val="000000" w:themeColor="text1"/>
          <w:sz w:val="24"/>
          <w:szCs w:val="24"/>
        </w:rPr>
        <w:t xml:space="preserve">Retrieved from </w:t>
      </w:r>
      <w:r w:rsidRPr="00D57F4E">
        <w:rPr>
          <w:rFonts w:asciiTheme="majorBidi" w:hAnsiTheme="majorBidi" w:cstheme="majorBidi"/>
          <w:color w:val="000000" w:themeColor="text1"/>
          <w:sz w:val="24"/>
          <w:szCs w:val="24"/>
        </w:rPr>
        <w:t>http://www.oecd.org/education/Envisioning-the-future-of-education-and-jobs.pdf</w:t>
      </w:r>
    </w:p>
    <w:p w14:paraId="0FAD1148" w14:textId="62C2E160" w:rsidR="001C2FAA" w:rsidRPr="00D57F4E"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rPr>
      </w:pPr>
      <w:r w:rsidRPr="00D57F4E">
        <w:rPr>
          <w:rFonts w:asciiTheme="majorBidi" w:hAnsiTheme="majorBidi" w:cstheme="majorBidi"/>
          <w:color w:val="000000" w:themeColor="text1"/>
          <w:sz w:val="24"/>
          <w:szCs w:val="24"/>
          <w:highlight w:val="white"/>
        </w:rPr>
        <w:t>Osman, A.</w:t>
      </w:r>
      <w:r w:rsidR="006F3A21">
        <w:rPr>
          <w:rFonts w:asciiTheme="majorBidi" w:hAnsiTheme="majorBidi" w:cstheme="majorBidi"/>
          <w:color w:val="000000" w:themeColor="text1"/>
          <w:sz w:val="24"/>
          <w:szCs w:val="24"/>
          <w:highlight w:val="white"/>
        </w:rPr>
        <w:t>,</w:t>
      </w:r>
      <w:r w:rsidRPr="00D57F4E">
        <w:rPr>
          <w:rFonts w:asciiTheme="majorBidi" w:hAnsiTheme="majorBidi" w:cstheme="majorBidi"/>
          <w:color w:val="000000" w:themeColor="text1"/>
          <w:sz w:val="24"/>
          <w:szCs w:val="24"/>
          <w:highlight w:val="white"/>
        </w:rPr>
        <w:t xml:space="preserve"> </w:t>
      </w:r>
      <w:r>
        <w:rPr>
          <w:rFonts w:asciiTheme="majorBidi" w:hAnsiTheme="majorBidi" w:cstheme="majorBidi"/>
          <w:color w:val="000000" w:themeColor="text1"/>
          <w:sz w:val="24"/>
          <w:szCs w:val="24"/>
          <w:highlight w:val="white"/>
        </w:rPr>
        <w:t>&amp;</w:t>
      </w:r>
      <w:r w:rsidR="0057529B">
        <w:rPr>
          <w:rFonts w:asciiTheme="majorBidi" w:hAnsiTheme="majorBidi" w:cstheme="majorBidi"/>
          <w:color w:val="000000" w:themeColor="text1"/>
          <w:sz w:val="24"/>
          <w:szCs w:val="24"/>
          <w:highlight w:val="white"/>
        </w:rPr>
        <w:t xml:space="preserve"> Saputra, R. (2019).</w:t>
      </w:r>
      <w:r w:rsidRPr="00D57F4E">
        <w:rPr>
          <w:rFonts w:asciiTheme="majorBidi" w:hAnsiTheme="majorBidi" w:cstheme="majorBidi"/>
          <w:color w:val="000000" w:themeColor="text1"/>
          <w:sz w:val="24"/>
          <w:szCs w:val="24"/>
          <w:highlight w:val="white"/>
        </w:rPr>
        <w:t xml:space="preserve"> A pragmatic </w:t>
      </w:r>
      <w:r w:rsidR="002D3056">
        <w:rPr>
          <w:rFonts w:asciiTheme="majorBidi" w:hAnsiTheme="majorBidi" w:cstheme="majorBidi"/>
          <w:color w:val="000000" w:themeColor="text1"/>
          <w:sz w:val="24"/>
          <w:szCs w:val="24"/>
          <w:highlight w:val="white"/>
        </w:rPr>
        <w:t>model of student satisfaction: A</w:t>
      </w:r>
      <w:r w:rsidRPr="00D57F4E">
        <w:rPr>
          <w:rFonts w:asciiTheme="majorBidi" w:hAnsiTheme="majorBidi" w:cstheme="majorBidi"/>
          <w:color w:val="000000" w:themeColor="text1"/>
          <w:sz w:val="24"/>
          <w:szCs w:val="24"/>
          <w:highlight w:val="white"/>
        </w:rPr>
        <w:t xml:space="preserve"> viewpoint of private higher education, </w:t>
      </w:r>
      <w:r w:rsidRPr="00D57F4E">
        <w:rPr>
          <w:rFonts w:asciiTheme="majorBidi" w:hAnsiTheme="majorBidi" w:cstheme="majorBidi"/>
          <w:i/>
          <w:iCs/>
          <w:color w:val="000000" w:themeColor="text1"/>
          <w:sz w:val="24"/>
          <w:szCs w:val="24"/>
          <w:highlight w:val="white"/>
        </w:rPr>
        <w:t>Quality Assurance in Education</w:t>
      </w:r>
      <w:r w:rsidRPr="00D57F4E">
        <w:rPr>
          <w:rFonts w:asciiTheme="majorBidi" w:hAnsiTheme="majorBidi" w:cstheme="majorBidi"/>
          <w:color w:val="000000" w:themeColor="text1"/>
          <w:sz w:val="24"/>
          <w:szCs w:val="24"/>
          <w:highlight w:val="white"/>
        </w:rPr>
        <w:t xml:space="preserve">, </w:t>
      </w:r>
      <w:r w:rsidRPr="00D57F4E">
        <w:rPr>
          <w:rFonts w:asciiTheme="majorBidi" w:hAnsiTheme="majorBidi" w:cstheme="majorBidi"/>
          <w:i/>
          <w:iCs/>
          <w:color w:val="000000" w:themeColor="text1"/>
          <w:sz w:val="24"/>
          <w:szCs w:val="24"/>
          <w:highlight w:val="white"/>
        </w:rPr>
        <w:t>27</w:t>
      </w:r>
      <w:r w:rsidRPr="00D57F4E">
        <w:rPr>
          <w:rFonts w:asciiTheme="majorBidi" w:hAnsiTheme="majorBidi" w:cstheme="majorBidi"/>
          <w:color w:val="000000" w:themeColor="text1"/>
          <w:sz w:val="24"/>
          <w:szCs w:val="24"/>
          <w:highlight w:val="white"/>
        </w:rPr>
        <w:t>(2), 142-165.</w:t>
      </w:r>
    </w:p>
    <w:p w14:paraId="7D7CB80A" w14:textId="0CE4334D" w:rsidR="001C2FAA" w:rsidRPr="00D57F4E" w:rsidRDefault="009D084A" w:rsidP="00665616">
      <w:pPr>
        <w:spacing w:after="0" w:line="240" w:lineRule="auto"/>
        <w:ind w:leftChars="0" w:left="567" w:firstLineChars="0" w:hanging="569"/>
        <w:jc w:val="both"/>
        <w:rPr>
          <w:rFonts w:asciiTheme="majorBidi" w:hAnsiTheme="majorBidi" w:cstheme="majorBidi"/>
          <w:color w:val="000000" w:themeColor="text1"/>
          <w:sz w:val="24"/>
          <w:szCs w:val="24"/>
          <w:highlight w:val="white"/>
        </w:rPr>
      </w:pPr>
      <w:r>
        <w:rPr>
          <w:rFonts w:asciiTheme="majorBidi" w:hAnsiTheme="majorBidi" w:cstheme="majorBidi"/>
          <w:color w:val="000000" w:themeColor="text1"/>
          <w:sz w:val="24"/>
          <w:szCs w:val="24"/>
          <w:highlight w:val="white"/>
        </w:rPr>
        <w:t>Qalehsari, M.</w:t>
      </w:r>
      <w:r w:rsidR="001C2FAA" w:rsidRPr="00D57F4E">
        <w:rPr>
          <w:rFonts w:asciiTheme="majorBidi" w:hAnsiTheme="majorBidi" w:cstheme="majorBidi"/>
          <w:color w:val="000000" w:themeColor="text1"/>
          <w:sz w:val="24"/>
          <w:szCs w:val="24"/>
          <w:highlight w:val="white"/>
        </w:rPr>
        <w:t xml:space="preserve">Q., Khaghanizadeh, M., &amp; Ebadi, A. (2017). Lifelong learning strategies in nursing: A systematic review. </w:t>
      </w:r>
      <w:r w:rsidR="001C2FAA">
        <w:rPr>
          <w:rFonts w:asciiTheme="majorBidi" w:hAnsiTheme="majorBidi" w:cstheme="majorBidi"/>
          <w:i/>
          <w:iCs/>
          <w:color w:val="000000" w:themeColor="text1"/>
          <w:sz w:val="24"/>
          <w:szCs w:val="24"/>
          <w:highlight w:val="white"/>
        </w:rPr>
        <w:t>Electronic P</w:t>
      </w:r>
      <w:r w:rsidR="001C2FAA" w:rsidRPr="00D57F4E">
        <w:rPr>
          <w:rFonts w:asciiTheme="majorBidi" w:hAnsiTheme="majorBidi" w:cstheme="majorBidi"/>
          <w:i/>
          <w:iCs/>
          <w:color w:val="000000" w:themeColor="text1"/>
          <w:sz w:val="24"/>
          <w:szCs w:val="24"/>
          <w:highlight w:val="white"/>
        </w:rPr>
        <w:t>hysician</w:t>
      </w:r>
      <w:r w:rsidR="001C2FAA" w:rsidRPr="00D57F4E">
        <w:rPr>
          <w:rFonts w:asciiTheme="majorBidi" w:hAnsiTheme="majorBidi" w:cstheme="majorBidi"/>
          <w:color w:val="000000" w:themeColor="text1"/>
          <w:sz w:val="24"/>
          <w:szCs w:val="24"/>
          <w:highlight w:val="white"/>
        </w:rPr>
        <w:t xml:space="preserve">, </w:t>
      </w:r>
      <w:r w:rsidR="001C2FAA" w:rsidRPr="00D57F4E">
        <w:rPr>
          <w:rFonts w:asciiTheme="majorBidi" w:hAnsiTheme="majorBidi" w:cstheme="majorBidi"/>
          <w:i/>
          <w:iCs/>
          <w:color w:val="000000" w:themeColor="text1"/>
          <w:sz w:val="24"/>
          <w:szCs w:val="24"/>
          <w:highlight w:val="white"/>
        </w:rPr>
        <w:t>9</w:t>
      </w:r>
      <w:r w:rsidR="001C2FAA" w:rsidRPr="00D57F4E">
        <w:rPr>
          <w:rFonts w:asciiTheme="majorBidi" w:hAnsiTheme="majorBidi" w:cstheme="majorBidi"/>
          <w:color w:val="000000" w:themeColor="text1"/>
          <w:sz w:val="24"/>
          <w:szCs w:val="24"/>
          <w:highlight w:val="white"/>
        </w:rPr>
        <w:t>(10), 5541–5550. https://doi:10.19082/5541</w:t>
      </w:r>
    </w:p>
    <w:p w14:paraId="34AD6360" w14:textId="77777777" w:rsidR="001C2FAA" w:rsidRPr="00D57F4E"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highlight w:val="white"/>
        </w:rPr>
      </w:pPr>
      <w:r w:rsidRPr="00D57F4E">
        <w:rPr>
          <w:rFonts w:asciiTheme="majorBidi" w:hAnsiTheme="majorBidi" w:cstheme="majorBidi"/>
          <w:color w:val="000000" w:themeColor="text1"/>
          <w:sz w:val="24"/>
          <w:szCs w:val="24"/>
        </w:rPr>
        <w:t xml:space="preserve">Rashid, R. A. A. (2015). </w:t>
      </w:r>
      <w:r w:rsidRPr="008A0AAF">
        <w:rPr>
          <w:rFonts w:asciiTheme="majorBidi" w:hAnsiTheme="majorBidi" w:cstheme="majorBidi"/>
          <w:color w:val="000000" w:themeColor="text1"/>
          <w:sz w:val="24"/>
          <w:szCs w:val="24"/>
          <w:lang w:val="es-ES_tradnl"/>
        </w:rPr>
        <w:t xml:space="preserve">Pendidikan sepanjang hayat dan cabaran sosial pada kalangan pelajar dewasa. </w:t>
      </w:r>
      <w:r w:rsidRPr="00D57F4E">
        <w:rPr>
          <w:rFonts w:asciiTheme="majorBidi" w:hAnsiTheme="majorBidi" w:cstheme="majorBidi"/>
          <w:i/>
          <w:iCs/>
          <w:color w:val="000000" w:themeColor="text1"/>
          <w:sz w:val="24"/>
          <w:szCs w:val="24"/>
        </w:rPr>
        <w:t>Asean Journal of Teaching and Learning in Higher Education</w:t>
      </w:r>
      <w:r w:rsidRPr="00D57F4E">
        <w:rPr>
          <w:rFonts w:asciiTheme="majorBidi" w:hAnsiTheme="majorBidi" w:cstheme="majorBidi"/>
          <w:color w:val="000000" w:themeColor="text1"/>
          <w:sz w:val="24"/>
          <w:szCs w:val="24"/>
        </w:rPr>
        <w:t xml:space="preserve"> (AJTLHE), </w:t>
      </w:r>
      <w:r w:rsidRPr="00D57F4E">
        <w:rPr>
          <w:rFonts w:asciiTheme="majorBidi" w:hAnsiTheme="majorBidi" w:cstheme="majorBidi"/>
          <w:i/>
          <w:iCs/>
          <w:color w:val="000000" w:themeColor="text1"/>
          <w:sz w:val="24"/>
          <w:szCs w:val="24"/>
        </w:rPr>
        <w:t>7</w:t>
      </w:r>
      <w:r w:rsidRPr="00D57F4E">
        <w:rPr>
          <w:rFonts w:asciiTheme="majorBidi" w:hAnsiTheme="majorBidi" w:cstheme="majorBidi"/>
          <w:color w:val="000000" w:themeColor="text1"/>
          <w:sz w:val="24"/>
          <w:szCs w:val="24"/>
        </w:rPr>
        <w:t>(1), 26-32.</w:t>
      </w:r>
    </w:p>
    <w:p w14:paraId="7ACA2A92" w14:textId="694D1B6E" w:rsidR="001C2FAA"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highlight w:val="white"/>
        </w:rPr>
      </w:pPr>
      <w:r>
        <w:rPr>
          <w:rFonts w:asciiTheme="majorBidi" w:hAnsiTheme="majorBidi" w:cstheme="majorBidi"/>
          <w:color w:val="000000" w:themeColor="text1"/>
          <w:sz w:val="24"/>
          <w:szCs w:val="24"/>
          <w:highlight w:val="white"/>
        </w:rPr>
        <w:t>Ridzwan Che' Rus &amp;</w:t>
      </w:r>
      <w:r w:rsidR="0057529B">
        <w:rPr>
          <w:rFonts w:asciiTheme="majorBidi" w:hAnsiTheme="majorBidi" w:cstheme="majorBidi"/>
          <w:color w:val="000000" w:themeColor="text1"/>
          <w:sz w:val="24"/>
          <w:szCs w:val="24"/>
          <w:highlight w:val="white"/>
        </w:rPr>
        <w:t xml:space="preserve"> Mohamed Nor </w:t>
      </w:r>
      <w:r w:rsidRPr="00D57F4E">
        <w:rPr>
          <w:rFonts w:asciiTheme="majorBidi" w:hAnsiTheme="majorBidi" w:cstheme="majorBidi"/>
          <w:color w:val="000000" w:themeColor="text1"/>
          <w:sz w:val="24"/>
          <w:szCs w:val="24"/>
          <w:highlight w:val="white"/>
        </w:rPr>
        <w:t>Azhari Azman. (2016). Pengaruh minat terhadap pembentukan pek</w:t>
      </w:r>
      <w:r>
        <w:rPr>
          <w:rFonts w:asciiTheme="majorBidi" w:hAnsiTheme="majorBidi" w:cstheme="majorBidi"/>
          <w:color w:val="000000" w:themeColor="text1"/>
          <w:sz w:val="24"/>
          <w:szCs w:val="24"/>
          <w:highlight w:val="white"/>
        </w:rPr>
        <w:t>erja berkemahiran di Malaysia: K</w:t>
      </w:r>
      <w:r w:rsidRPr="00D57F4E">
        <w:rPr>
          <w:rFonts w:asciiTheme="majorBidi" w:hAnsiTheme="majorBidi" w:cstheme="majorBidi"/>
          <w:color w:val="000000" w:themeColor="text1"/>
          <w:sz w:val="24"/>
          <w:szCs w:val="24"/>
          <w:highlight w:val="white"/>
        </w:rPr>
        <w:t xml:space="preserve">ajian kes pelatih Institut Latihan Perindustrian Kuala Lumpur (ILPKL). </w:t>
      </w:r>
      <w:r w:rsidR="0057529B">
        <w:rPr>
          <w:rFonts w:asciiTheme="majorBidi" w:hAnsiTheme="majorBidi" w:cstheme="majorBidi"/>
          <w:i/>
          <w:iCs/>
          <w:color w:val="000000" w:themeColor="text1"/>
          <w:sz w:val="24"/>
          <w:szCs w:val="24"/>
          <w:highlight w:val="white"/>
        </w:rPr>
        <w:t>Geografia</w:t>
      </w:r>
      <w:r w:rsidR="006F3A21">
        <w:rPr>
          <w:rFonts w:asciiTheme="majorBidi" w:hAnsiTheme="majorBidi" w:cstheme="majorBidi"/>
          <w:i/>
          <w:iCs/>
          <w:color w:val="000000" w:themeColor="text1"/>
          <w:sz w:val="24"/>
          <w:szCs w:val="24"/>
          <w:highlight w:val="white"/>
        </w:rPr>
        <w:t>:</w:t>
      </w:r>
      <w:r w:rsidR="0057529B">
        <w:rPr>
          <w:rFonts w:asciiTheme="majorBidi" w:hAnsiTheme="majorBidi" w:cstheme="majorBidi"/>
          <w:i/>
          <w:iCs/>
          <w:color w:val="000000" w:themeColor="text1"/>
          <w:sz w:val="24"/>
          <w:szCs w:val="24"/>
          <w:highlight w:val="white"/>
        </w:rPr>
        <w:t xml:space="preserve"> </w:t>
      </w:r>
      <w:r w:rsidRPr="00D57F4E">
        <w:rPr>
          <w:rFonts w:asciiTheme="majorBidi" w:hAnsiTheme="majorBidi" w:cstheme="majorBidi"/>
          <w:i/>
          <w:iCs/>
          <w:color w:val="000000" w:themeColor="text1"/>
          <w:sz w:val="24"/>
          <w:szCs w:val="24"/>
          <w:highlight w:val="white"/>
        </w:rPr>
        <w:t>Malaysian Journal of Society and Space</w:t>
      </w:r>
      <w:r w:rsidRPr="00D57F4E">
        <w:rPr>
          <w:rFonts w:asciiTheme="majorBidi" w:hAnsiTheme="majorBidi" w:cstheme="majorBidi"/>
          <w:color w:val="000000" w:themeColor="text1"/>
          <w:sz w:val="24"/>
          <w:szCs w:val="24"/>
          <w:highlight w:val="white"/>
        </w:rPr>
        <w:t xml:space="preserve">, </w:t>
      </w:r>
      <w:r>
        <w:rPr>
          <w:rFonts w:asciiTheme="majorBidi" w:hAnsiTheme="majorBidi" w:cstheme="majorBidi"/>
          <w:i/>
          <w:iCs/>
          <w:color w:val="000000" w:themeColor="text1"/>
          <w:sz w:val="24"/>
          <w:szCs w:val="24"/>
          <w:highlight w:val="white"/>
        </w:rPr>
        <w:t>12(</w:t>
      </w:r>
      <w:r w:rsidRPr="00D57F4E">
        <w:rPr>
          <w:rFonts w:asciiTheme="majorBidi" w:hAnsiTheme="majorBidi" w:cstheme="majorBidi"/>
          <w:color w:val="000000" w:themeColor="text1"/>
          <w:sz w:val="24"/>
          <w:szCs w:val="24"/>
          <w:highlight w:val="white"/>
        </w:rPr>
        <w:t xml:space="preserve">3), 168-180. </w:t>
      </w:r>
    </w:p>
    <w:p w14:paraId="38D014EE" w14:textId="77777777" w:rsidR="001C2FAA" w:rsidRPr="00D57F4E"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highlight w:val="white"/>
        </w:rPr>
      </w:pPr>
      <w:r w:rsidRPr="00D57F4E">
        <w:rPr>
          <w:rFonts w:asciiTheme="majorBidi" w:hAnsiTheme="majorBidi" w:cstheme="majorBidi"/>
          <w:color w:val="000000" w:themeColor="text1"/>
          <w:sz w:val="24"/>
          <w:szCs w:val="24"/>
          <w:highlight w:val="white"/>
        </w:rPr>
        <w:t xml:space="preserve">Sarwar-Aalam, M. D., Wang, D., &amp; Rafique, K. (2019). Chinese one belt-one road scholarship initiative and its impact on sustainable development of the education industry. Paper presented at the </w:t>
      </w:r>
      <w:r w:rsidRPr="00D57F4E">
        <w:rPr>
          <w:rFonts w:asciiTheme="majorBidi" w:hAnsiTheme="majorBidi" w:cstheme="majorBidi"/>
          <w:i/>
          <w:iCs/>
          <w:color w:val="000000" w:themeColor="text1"/>
          <w:sz w:val="24"/>
          <w:szCs w:val="24"/>
          <w:highlight w:val="white"/>
        </w:rPr>
        <w:t>ACM International Conference Proceeding Series</w:t>
      </w:r>
      <w:r w:rsidRPr="00D57F4E">
        <w:rPr>
          <w:rFonts w:asciiTheme="majorBidi" w:hAnsiTheme="majorBidi" w:cstheme="majorBidi"/>
          <w:color w:val="000000" w:themeColor="text1"/>
          <w:sz w:val="24"/>
          <w:szCs w:val="24"/>
          <w:highlight w:val="white"/>
        </w:rPr>
        <w:t>, 263-267.</w:t>
      </w:r>
    </w:p>
    <w:p w14:paraId="21BFCBE6" w14:textId="77777777" w:rsidR="001C2FAA" w:rsidRPr="00D57F4E"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rPr>
      </w:pPr>
      <w:r w:rsidRPr="00D57F4E">
        <w:rPr>
          <w:rFonts w:asciiTheme="majorBidi" w:hAnsiTheme="majorBidi" w:cstheme="majorBidi"/>
          <w:color w:val="000000" w:themeColor="text1"/>
          <w:sz w:val="24"/>
          <w:szCs w:val="24"/>
        </w:rPr>
        <w:t>S</w:t>
      </w:r>
      <w:r>
        <w:rPr>
          <w:rFonts w:asciiTheme="majorBidi" w:hAnsiTheme="majorBidi" w:cstheme="majorBidi"/>
          <w:color w:val="000000" w:themeColor="text1"/>
          <w:sz w:val="24"/>
          <w:szCs w:val="24"/>
        </w:rPr>
        <w:t>chiefele, U. (1991). Interest, learning, and m</w:t>
      </w:r>
      <w:r w:rsidRPr="00D57F4E">
        <w:rPr>
          <w:rFonts w:asciiTheme="majorBidi" w:hAnsiTheme="majorBidi" w:cstheme="majorBidi"/>
          <w:color w:val="000000" w:themeColor="text1"/>
          <w:sz w:val="24"/>
          <w:szCs w:val="24"/>
        </w:rPr>
        <w:t xml:space="preserve">otivation. </w:t>
      </w:r>
      <w:r w:rsidRPr="00D57F4E">
        <w:rPr>
          <w:rFonts w:asciiTheme="majorBidi" w:hAnsiTheme="majorBidi" w:cstheme="majorBidi"/>
          <w:i/>
          <w:iCs/>
          <w:color w:val="000000" w:themeColor="text1"/>
          <w:sz w:val="24"/>
          <w:szCs w:val="24"/>
        </w:rPr>
        <w:t>Educational Psychologist</w:t>
      </w:r>
      <w:r>
        <w:rPr>
          <w:rFonts w:asciiTheme="majorBidi" w:hAnsiTheme="majorBidi" w:cstheme="majorBidi"/>
          <w:color w:val="000000" w:themeColor="text1"/>
          <w:sz w:val="24"/>
          <w:szCs w:val="24"/>
        </w:rPr>
        <w:t xml:space="preserve">, </w:t>
      </w:r>
      <w:r w:rsidRPr="007A4894">
        <w:rPr>
          <w:rFonts w:asciiTheme="majorBidi" w:hAnsiTheme="majorBidi" w:cstheme="majorBidi"/>
          <w:i/>
          <w:color w:val="000000" w:themeColor="text1"/>
          <w:sz w:val="24"/>
          <w:szCs w:val="24"/>
        </w:rPr>
        <w:t>26</w:t>
      </w:r>
      <w:r w:rsidRPr="00D57F4E">
        <w:rPr>
          <w:rFonts w:asciiTheme="majorBidi" w:hAnsiTheme="majorBidi" w:cstheme="majorBidi"/>
          <w:color w:val="000000" w:themeColor="text1"/>
          <w:sz w:val="24"/>
          <w:szCs w:val="24"/>
        </w:rPr>
        <w:t>, 299–323.</w:t>
      </w:r>
    </w:p>
    <w:p w14:paraId="55FDFD70" w14:textId="4E2238F5" w:rsidR="001C2FAA" w:rsidRPr="00D57F4E"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rPr>
      </w:pPr>
      <w:r w:rsidRPr="00D57F4E">
        <w:rPr>
          <w:rFonts w:asciiTheme="majorBidi" w:hAnsiTheme="majorBidi" w:cstheme="majorBidi"/>
          <w:color w:val="000000" w:themeColor="text1"/>
          <w:sz w:val="24"/>
          <w:szCs w:val="24"/>
        </w:rPr>
        <w:t>Schuller, T.</w:t>
      </w:r>
      <w:r w:rsidR="006F3A21">
        <w:rPr>
          <w:rFonts w:asciiTheme="majorBidi" w:hAnsiTheme="majorBidi" w:cstheme="majorBidi"/>
          <w:color w:val="000000" w:themeColor="text1"/>
          <w:sz w:val="24"/>
          <w:szCs w:val="24"/>
        </w:rPr>
        <w:t>,</w:t>
      </w:r>
      <w:r w:rsidRPr="00D57F4E">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&amp;</w:t>
      </w:r>
      <w:r w:rsidRPr="00D57F4E">
        <w:rPr>
          <w:rFonts w:asciiTheme="majorBidi" w:hAnsiTheme="majorBidi" w:cstheme="majorBidi"/>
          <w:color w:val="000000" w:themeColor="text1"/>
          <w:sz w:val="24"/>
          <w:szCs w:val="24"/>
        </w:rPr>
        <w:t xml:space="preserve"> Watson, D. (2009). </w:t>
      </w:r>
      <w:r>
        <w:rPr>
          <w:rFonts w:asciiTheme="majorBidi" w:hAnsiTheme="majorBidi" w:cstheme="majorBidi"/>
          <w:i/>
          <w:iCs/>
          <w:color w:val="000000" w:themeColor="text1"/>
          <w:sz w:val="24"/>
          <w:szCs w:val="24"/>
        </w:rPr>
        <w:t>Learning through l</w:t>
      </w:r>
      <w:r w:rsidRPr="00D57F4E">
        <w:rPr>
          <w:rFonts w:asciiTheme="majorBidi" w:hAnsiTheme="majorBidi" w:cstheme="majorBidi"/>
          <w:i/>
          <w:iCs/>
          <w:color w:val="000000" w:themeColor="text1"/>
          <w:sz w:val="24"/>
          <w:szCs w:val="24"/>
        </w:rPr>
        <w:t>ife: Inquiry into the future for lifelong learning</w:t>
      </w:r>
      <w:r w:rsidRPr="00D57F4E">
        <w:rPr>
          <w:rFonts w:asciiTheme="majorBidi" w:hAnsiTheme="majorBidi" w:cstheme="majorBidi"/>
          <w:color w:val="000000" w:themeColor="text1"/>
          <w:sz w:val="24"/>
          <w:szCs w:val="24"/>
        </w:rPr>
        <w:t xml:space="preserve">. </w:t>
      </w:r>
      <w:r w:rsidRPr="00D57F4E">
        <w:rPr>
          <w:rFonts w:asciiTheme="majorBidi" w:hAnsiTheme="majorBidi" w:cstheme="majorBidi"/>
          <w:color w:val="000000" w:themeColor="text1"/>
          <w:sz w:val="24"/>
          <w:szCs w:val="24"/>
          <w:lang w:val="en-GB"/>
        </w:rPr>
        <w:t>NIACE: Leicester</w:t>
      </w:r>
      <w:r>
        <w:rPr>
          <w:rFonts w:asciiTheme="majorBidi" w:hAnsiTheme="majorBidi" w:cstheme="majorBidi"/>
          <w:color w:val="000000" w:themeColor="text1"/>
          <w:sz w:val="24"/>
          <w:szCs w:val="24"/>
          <w:lang w:val="en-GB"/>
        </w:rPr>
        <w:t>.</w:t>
      </w:r>
      <w:r w:rsidRPr="00D57F4E">
        <w:rPr>
          <w:rFonts w:asciiTheme="majorBidi" w:hAnsiTheme="majorBidi" w:cstheme="majorBidi"/>
          <w:color w:val="000000" w:themeColor="text1"/>
          <w:sz w:val="24"/>
          <w:szCs w:val="24"/>
        </w:rPr>
        <w:t xml:space="preserve"> </w:t>
      </w:r>
    </w:p>
    <w:p w14:paraId="0BF08516" w14:textId="77777777" w:rsidR="001C2FAA" w:rsidRPr="00D57F4E"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rPr>
      </w:pPr>
      <w:r w:rsidRPr="00D57F4E">
        <w:rPr>
          <w:rFonts w:asciiTheme="majorBidi" w:hAnsiTheme="majorBidi" w:cstheme="majorBidi"/>
          <w:color w:val="000000" w:themeColor="text1"/>
          <w:sz w:val="24"/>
          <w:szCs w:val="24"/>
        </w:rPr>
        <w:t xml:space="preserve">Shannon, D.M., &amp; Bradshaw, C.C. (2002). A comparison of response rate, response time, and costs of mail and electronic surveys. </w:t>
      </w:r>
      <w:r w:rsidRPr="00D57F4E">
        <w:rPr>
          <w:rFonts w:asciiTheme="majorBidi" w:hAnsiTheme="majorBidi" w:cstheme="majorBidi"/>
          <w:i/>
          <w:iCs/>
          <w:color w:val="000000" w:themeColor="text1"/>
          <w:sz w:val="24"/>
          <w:szCs w:val="24"/>
        </w:rPr>
        <w:t>The Journal of Experimental Education</w:t>
      </w:r>
      <w:r w:rsidRPr="00D57F4E">
        <w:rPr>
          <w:rFonts w:asciiTheme="majorBidi" w:hAnsiTheme="majorBidi" w:cstheme="majorBidi"/>
          <w:color w:val="000000" w:themeColor="text1"/>
          <w:sz w:val="24"/>
          <w:szCs w:val="24"/>
        </w:rPr>
        <w:t xml:space="preserve">, </w:t>
      </w:r>
      <w:r w:rsidRPr="00D57F4E">
        <w:rPr>
          <w:rFonts w:asciiTheme="majorBidi" w:hAnsiTheme="majorBidi" w:cstheme="majorBidi"/>
          <w:i/>
          <w:iCs/>
          <w:color w:val="000000" w:themeColor="text1"/>
          <w:sz w:val="24"/>
          <w:szCs w:val="24"/>
        </w:rPr>
        <w:t>70</w:t>
      </w:r>
      <w:r w:rsidRPr="00D57F4E">
        <w:rPr>
          <w:rFonts w:asciiTheme="majorBidi" w:hAnsiTheme="majorBidi" w:cstheme="majorBidi"/>
          <w:color w:val="000000" w:themeColor="text1"/>
          <w:sz w:val="24"/>
          <w:szCs w:val="24"/>
        </w:rPr>
        <w:t>(2), 179-192.</w:t>
      </w:r>
    </w:p>
    <w:p w14:paraId="252E56D7" w14:textId="11EFDB5C" w:rsidR="001C2FAA" w:rsidRPr="00D57F4E"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lang w:val="en-GB"/>
        </w:rPr>
      </w:pPr>
      <w:r w:rsidRPr="00D57F4E">
        <w:rPr>
          <w:rStyle w:val="authors"/>
          <w:rFonts w:asciiTheme="majorBidi" w:hAnsiTheme="majorBidi" w:cstheme="majorBidi"/>
          <w:color w:val="000000" w:themeColor="text1"/>
          <w:sz w:val="24"/>
          <w:szCs w:val="24"/>
          <w:shd w:val="clear" w:color="auto" w:fill="FFFFFF"/>
        </w:rPr>
        <w:t>Soo Eun Chae</w:t>
      </w:r>
      <w:r w:rsidR="006F3A21">
        <w:rPr>
          <w:rStyle w:val="authors"/>
          <w:rFonts w:asciiTheme="majorBidi" w:hAnsiTheme="majorBidi" w:cstheme="majorBidi"/>
          <w:color w:val="000000" w:themeColor="text1"/>
          <w:sz w:val="24"/>
          <w:szCs w:val="24"/>
          <w:shd w:val="clear" w:color="auto" w:fill="FFFFFF"/>
        </w:rPr>
        <w:t>,</w:t>
      </w:r>
      <w:r w:rsidRPr="00D57F4E">
        <w:rPr>
          <w:rStyle w:val="authors"/>
          <w:rFonts w:asciiTheme="majorBidi" w:hAnsiTheme="majorBidi" w:cstheme="majorBidi"/>
          <w:color w:val="000000" w:themeColor="text1"/>
          <w:sz w:val="24"/>
          <w:szCs w:val="24"/>
          <w:shd w:val="clear" w:color="auto" w:fill="FFFFFF"/>
        </w:rPr>
        <w:t xml:space="preserve"> &amp; Gusup Kang</w:t>
      </w:r>
      <w:r>
        <w:rPr>
          <w:rStyle w:val="authors"/>
          <w:rFonts w:asciiTheme="majorBidi" w:hAnsiTheme="majorBidi" w:cstheme="majorBidi"/>
          <w:color w:val="000000" w:themeColor="text1"/>
          <w:sz w:val="24"/>
          <w:szCs w:val="24"/>
          <w:shd w:val="clear" w:color="auto" w:fill="FFFFFF"/>
        </w:rPr>
        <w:t>.</w:t>
      </w:r>
      <w:r w:rsidRPr="00D57F4E">
        <w:rPr>
          <w:rFonts w:asciiTheme="majorBidi" w:hAnsiTheme="majorBidi" w:cstheme="majorBidi"/>
          <w:color w:val="000000" w:themeColor="text1"/>
          <w:sz w:val="24"/>
          <w:szCs w:val="24"/>
          <w:shd w:val="clear" w:color="auto" w:fill="FFFFFF"/>
        </w:rPr>
        <w:t> </w:t>
      </w:r>
      <w:r w:rsidRPr="00D57F4E">
        <w:rPr>
          <w:rStyle w:val="Date1"/>
          <w:rFonts w:asciiTheme="majorBidi" w:hAnsiTheme="majorBidi" w:cstheme="majorBidi"/>
          <w:color w:val="000000" w:themeColor="text1"/>
          <w:sz w:val="24"/>
          <w:szCs w:val="24"/>
          <w:shd w:val="clear" w:color="auto" w:fill="FFFFFF"/>
        </w:rPr>
        <w:t>(2018).</w:t>
      </w:r>
      <w:r w:rsidRPr="00D57F4E">
        <w:rPr>
          <w:rFonts w:asciiTheme="majorBidi" w:hAnsiTheme="majorBidi" w:cstheme="majorBidi"/>
          <w:color w:val="000000" w:themeColor="text1"/>
          <w:sz w:val="24"/>
          <w:szCs w:val="24"/>
          <w:shd w:val="clear" w:color="auto" w:fill="FFFFFF"/>
        </w:rPr>
        <w:t> </w:t>
      </w:r>
      <w:r w:rsidRPr="00D57F4E">
        <w:rPr>
          <w:rStyle w:val="arttitle"/>
          <w:rFonts w:asciiTheme="majorBidi" w:hAnsiTheme="majorBidi" w:cstheme="majorBidi"/>
          <w:color w:val="000000" w:themeColor="text1"/>
          <w:sz w:val="24"/>
          <w:szCs w:val="24"/>
          <w:shd w:val="clear" w:color="auto" w:fill="FFFFFF"/>
        </w:rPr>
        <w:t>Determinants of older Korean adults’ participation in life-long learning programmes and life satisfaction</w:t>
      </w:r>
      <w:r>
        <w:rPr>
          <w:rStyle w:val="arttitle"/>
          <w:rFonts w:asciiTheme="majorBidi" w:hAnsiTheme="majorBidi" w:cstheme="majorBidi"/>
          <w:color w:val="000000" w:themeColor="text1"/>
          <w:sz w:val="24"/>
          <w:szCs w:val="24"/>
          <w:shd w:val="clear" w:color="auto" w:fill="FFFFFF"/>
        </w:rPr>
        <w:t xml:space="preserve">. </w:t>
      </w:r>
      <w:r w:rsidRPr="00D57F4E">
        <w:rPr>
          <w:rStyle w:val="serialtitle"/>
          <w:rFonts w:asciiTheme="majorBidi" w:hAnsiTheme="majorBidi" w:cstheme="majorBidi"/>
          <w:i/>
          <w:iCs/>
          <w:color w:val="000000" w:themeColor="text1"/>
          <w:sz w:val="24"/>
          <w:szCs w:val="24"/>
          <w:shd w:val="clear" w:color="auto" w:fill="FFFFFF"/>
        </w:rPr>
        <w:t>International Journal of Lifelong Education</w:t>
      </w:r>
      <w:r w:rsidRPr="00D57F4E">
        <w:rPr>
          <w:rStyle w:val="serialtitle"/>
          <w:rFonts w:asciiTheme="majorBidi" w:hAnsiTheme="majorBidi" w:cstheme="majorBidi"/>
          <w:color w:val="000000" w:themeColor="text1"/>
          <w:sz w:val="24"/>
          <w:szCs w:val="24"/>
          <w:shd w:val="clear" w:color="auto" w:fill="FFFFFF"/>
        </w:rPr>
        <w:t>,</w:t>
      </w:r>
      <w:r w:rsidRPr="00D57F4E">
        <w:rPr>
          <w:rFonts w:asciiTheme="majorBidi" w:hAnsiTheme="majorBidi" w:cstheme="majorBidi"/>
          <w:color w:val="000000" w:themeColor="text1"/>
          <w:sz w:val="24"/>
          <w:szCs w:val="24"/>
          <w:shd w:val="clear" w:color="auto" w:fill="FFFFFF"/>
        </w:rPr>
        <w:t> </w:t>
      </w:r>
      <w:r w:rsidRPr="00D57F4E">
        <w:rPr>
          <w:rStyle w:val="volumeissue"/>
          <w:rFonts w:asciiTheme="majorBidi" w:hAnsiTheme="majorBidi" w:cstheme="majorBidi"/>
          <w:i/>
          <w:iCs/>
          <w:color w:val="000000" w:themeColor="text1"/>
          <w:sz w:val="24"/>
          <w:szCs w:val="24"/>
          <w:shd w:val="clear" w:color="auto" w:fill="FFFFFF"/>
        </w:rPr>
        <w:t>37</w:t>
      </w:r>
      <w:r w:rsidRPr="00D57F4E">
        <w:rPr>
          <w:rStyle w:val="volumeissue"/>
          <w:rFonts w:asciiTheme="majorBidi" w:hAnsiTheme="majorBidi" w:cstheme="majorBidi"/>
          <w:color w:val="000000" w:themeColor="text1"/>
          <w:sz w:val="24"/>
          <w:szCs w:val="24"/>
          <w:shd w:val="clear" w:color="auto" w:fill="FFFFFF"/>
        </w:rPr>
        <w:t>(6),</w:t>
      </w:r>
      <w:r w:rsidRPr="00D57F4E">
        <w:rPr>
          <w:rFonts w:asciiTheme="majorBidi" w:hAnsiTheme="majorBidi" w:cstheme="majorBidi"/>
          <w:color w:val="000000" w:themeColor="text1"/>
          <w:sz w:val="24"/>
          <w:szCs w:val="24"/>
          <w:shd w:val="clear" w:color="auto" w:fill="FFFFFF"/>
        </w:rPr>
        <w:t> </w:t>
      </w:r>
      <w:r w:rsidRPr="00D57F4E">
        <w:rPr>
          <w:rStyle w:val="pagerange"/>
          <w:rFonts w:asciiTheme="majorBidi" w:hAnsiTheme="majorBidi" w:cstheme="majorBidi"/>
          <w:color w:val="000000" w:themeColor="text1"/>
          <w:sz w:val="24"/>
          <w:szCs w:val="24"/>
          <w:shd w:val="clear" w:color="auto" w:fill="FFFFFF"/>
        </w:rPr>
        <w:t>689-700. https://</w:t>
      </w:r>
      <w:r w:rsidRPr="00D57F4E">
        <w:rPr>
          <w:rStyle w:val="doilink"/>
          <w:rFonts w:asciiTheme="majorBidi" w:hAnsiTheme="majorBidi" w:cstheme="majorBidi"/>
          <w:color w:val="000000" w:themeColor="text1"/>
          <w:sz w:val="24"/>
          <w:szCs w:val="24"/>
          <w:shd w:val="clear" w:color="auto" w:fill="FFFFFF"/>
        </w:rPr>
        <w:t>doi: </w:t>
      </w:r>
      <w:r w:rsidRPr="00D57F4E">
        <w:rPr>
          <w:rFonts w:asciiTheme="majorBidi" w:hAnsiTheme="majorBidi" w:cstheme="majorBidi"/>
          <w:color w:val="000000" w:themeColor="text1"/>
          <w:sz w:val="24"/>
          <w:szCs w:val="24"/>
        </w:rPr>
        <w:t>10.1080/02601370.2018.1528306</w:t>
      </w:r>
    </w:p>
    <w:p w14:paraId="7DC63245" w14:textId="39BF0F6C" w:rsidR="001C2FAA" w:rsidRPr="008A0AAF"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highlight w:val="white"/>
          <w:lang w:val="es-ES_tradnl"/>
        </w:rPr>
      </w:pPr>
      <w:r w:rsidRPr="008A0AAF">
        <w:rPr>
          <w:rFonts w:asciiTheme="majorBidi" w:hAnsiTheme="majorBidi" w:cstheme="majorBidi"/>
          <w:color w:val="000000" w:themeColor="text1"/>
          <w:sz w:val="24"/>
          <w:szCs w:val="24"/>
          <w:lang w:val="en-GB"/>
        </w:rPr>
        <w:t>Spante, M., Sofkova, S., Hashemi, M. L., Lundin, M.</w:t>
      </w:r>
      <w:r w:rsidR="006F3A21">
        <w:rPr>
          <w:rFonts w:asciiTheme="majorBidi" w:hAnsiTheme="majorBidi" w:cstheme="majorBidi"/>
          <w:color w:val="000000" w:themeColor="text1"/>
          <w:sz w:val="24"/>
          <w:szCs w:val="24"/>
          <w:lang w:val="en-GB"/>
        </w:rPr>
        <w:t>,</w:t>
      </w:r>
      <w:r w:rsidRPr="008A0AAF">
        <w:rPr>
          <w:rFonts w:asciiTheme="majorBidi" w:hAnsiTheme="majorBidi" w:cstheme="majorBidi"/>
          <w:color w:val="000000" w:themeColor="text1"/>
          <w:sz w:val="24"/>
          <w:szCs w:val="24"/>
          <w:lang w:val="en-GB"/>
        </w:rPr>
        <w:t xml:space="preserve"> &amp; Algers, A. (2018). </w:t>
      </w:r>
      <w:r w:rsidRPr="00D57F4E">
        <w:rPr>
          <w:rFonts w:asciiTheme="majorBidi" w:hAnsiTheme="majorBidi" w:cstheme="majorBidi"/>
          <w:color w:val="000000" w:themeColor="text1"/>
          <w:sz w:val="24"/>
          <w:szCs w:val="24"/>
        </w:rPr>
        <w:t xml:space="preserve">Digital competence and digital literacy in higher education research: Systematic review of concept use. </w:t>
      </w:r>
      <w:r w:rsidRPr="008A0AAF">
        <w:rPr>
          <w:rFonts w:asciiTheme="majorBidi" w:hAnsiTheme="majorBidi" w:cstheme="majorBidi"/>
          <w:i/>
          <w:iCs/>
          <w:color w:val="000000" w:themeColor="text1"/>
          <w:sz w:val="24"/>
          <w:szCs w:val="24"/>
          <w:lang w:val="es-ES_tradnl"/>
        </w:rPr>
        <w:t>Cogent Education</w:t>
      </w:r>
      <w:r w:rsidRPr="008A0AAF">
        <w:rPr>
          <w:rFonts w:asciiTheme="majorBidi" w:hAnsiTheme="majorBidi" w:cstheme="majorBidi"/>
          <w:color w:val="000000" w:themeColor="text1"/>
          <w:sz w:val="24"/>
          <w:szCs w:val="24"/>
          <w:lang w:val="es-ES_tradnl"/>
        </w:rPr>
        <w:t xml:space="preserve">, </w:t>
      </w:r>
      <w:r w:rsidRPr="008A0AAF">
        <w:rPr>
          <w:rFonts w:asciiTheme="majorBidi" w:hAnsiTheme="majorBidi" w:cstheme="majorBidi"/>
          <w:i/>
          <w:color w:val="000000" w:themeColor="text1"/>
          <w:sz w:val="24"/>
          <w:szCs w:val="24"/>
          <w:lang w:val="es-ES_tradnl"/>
        </w:rPr>
        <w:t>5</w:t>
      </w:r>
      <w:r w:rsidRPr="008A0AAF">
        <w:rPr>
          <w:rFonts w:asciiTheme="majorBidi" w:hAnsiTheme="majorBidi" w:cstheme="majorBidi"/>
          <w:color w:val="000000" w:themeColor="text1"/>
          <w:sz w:val="24"/>
          <w:szCs w:val="24"/>
          <w:lang w:val="es-ES_tradnl"/>
        </w:rPr>
        <w:t>, 1-21.</w:t>
      </w:r>
    </w:p>
    <w:p w14:paraId="37837BCD" w14:textId="0A343E54" w:rsidR="001C2FAA" w:rsidRPr="00D57F4E"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rPr>
      </w:pPr>
      <w:r w:rsidRPr="008A0AAF">
        <w:rPr>
          <w:rFonts w:asciiTheme="majorBidi" w:hAnsiTheme="majorBidi" w:cstheme="majorBidi"/>
          <w:color w:val="000000" w:themeColor="text1"/>
          <w:sz w:val="24"/>
          <w:szCs w:val="24"/>
          <w:lang w:val="es-ES_tradnl"/>
        </w:rPr>
        <w:t>Su, Y</w:t>
      </w:r>
      <w:r w:rsidR="006F3A21">
        <w:rPr>
          <w:rFonts w:asciiTheme="majorBidi" w:hAnsiTheme="majorBidi" w:cstheme="majorBidi"/>
          <w:color w:val="000000" w:themeColor="text1"/>
          <w:sz w:val="24"/>
          <w:szCs w:val="24"/>
          <w:lang w:val="es-ES_tradnl"/>
        </w:rPr>
        <w:t>.</w:t>
      </w:r>
      <w:r w:rsidRPr="008A0AAF">
        <w:rPr>
          <w:rFonts w:asciiTheme="majorBidi" w:hAnsiTheme="majorBidi" w:cstheme="majorBidi"/>
          <w:color w:val="000000" w:themeColor="text1"/>
          <w:sz w:val="24"/>
          <w:szCs w:val="24"/>
          <w:lang w:val="es-ES_tradnl"/>
        </w:rPr>
        <w:t>H., Feng, L</w:t>
      </w:r>
      <w:r w:rsidR="006F3A21">
        <w:rPr>
          <w:rFonts w:asciiTheme="majorBidi" w:hAnsiTheme="majorBidi" w:cstheme="majorBidi"/>
          <w:color w:val="000000" w:themeColor="text1"/>
          <w:sz w:val="24"/>
          <w:szCs w:val="24"/>
          <w:lang w:val="es-ES_tradnl"/>
        </w:rPr>
        <w:t>.</w:t>
      </w:r>
      <w:r w:rsidRPr="008A0AAF">
        <w:rPr>
          <w:rFonts w:asciiTheme="majorBidi" w:hAnsiTheme="majorBidi" w:cstheme="majorBidi"/>
          <w:color w:val="000000" w:themeColor="text1"/>
          <w:sz w:val="24"/>
          <w:szCs w:val="24"/>
          <w:lang w:val="es-ES_tradnl"/>
        </w:rPr>
        <w:t>Y., Yang, C</w:t>
      </w:r>
      <w:r w:rsidR="006F3A21">
        <w:rPr>
          <w:rFonts w:asciiTheme="majorBidi" w:hAnsiTheme="majorBidi" w:cstheme="majorBidi"/>
          <w:color w:val="000000" w:themeColor="text1"/>
          <w:sz w:val="24"/>
          <w:szCs w:val="24"/>
          <w:lang w:val="es-ES_tradnl"/>
        </w:rPr>
        <w:t>.</w:t>
      </w:r>
      <w:r w:rsidRPr="008A0AAF">
        <w:rPr>
          <w:rFonts w:asciiTheme="majorBidi" w:hAnsiTheme="majorBidi" w:cstheme="majorBidi"/>
          <w:color w:val="000000" w:themeColor="text1"/>
          <w:sz w:val="24"/>
          <w:szCs w:val="24"/>
          <w:lang w:val="es-ES_tradnl"/>
        </w:rPr>
        <w:t>C.</w:t>
      </w:r>
      <w:r w:rsidR="006F3A21">
        <w:rPr>
          <w:rFonts w:asciiTheme="majorBidi" w:hAnsiTheme="majorBidi" w:cstheme="majorBidi"/>
          <w:color w:val="000000" w:themeColor="text1"/>
          <w:sz w:val="24"/>
          <w:szCs w:val="24"/>
          <w:lang w:val="es-ES_tradnl"/>
        </w:rPr>
        <w:t>,</w:t>
      </w:r>
      <w:r w:rsidRPr="008A0AAF">
        <w:rPr>
          <w:rFonts w:asciiTheme="majorBidi" w:hAnsiTheme="majorBidi" w:cstheme="majorBidi"/>
          <w:color w:val="000000" w:themeColor="text1"/>
          <w:sz w:val="24"/>
          <w:szCs w:val="24"/>
          <w:lang w:val="es-ES_tradnl"/>
        </w:rPr>
        <w:t xml:space="preserve"> </w:t>
      </w:r>
      <w:r>
        <w:rPr>
          <w:rFonts w:asciiTheme="majorBidi" w:hAnsiTheme="majorBidi" w:cstheme="majorBidi"/>
          <w:color w:val="000000" w:themeColor="text1"/>
          <w:sz w:val="24"/>
          <w:szCs w:val="24"/>
        </w:rPr>
        <w:t>&amp;</w:t>
      </w:r>
      <w:r w:rsidRPr="00D57F4E">
        <w:rPr>
          <w:rFonts w:asciiTheme="majorBidi" w:hAnsiTheme="majorBidi" w:cstheme="majorBidi"/>
          <w:color w:val="000000" w:themeColor="text1"/>
          <w:sz w:val="24"/>
          <w:szCs w:val="24"/>
        </w:rPr>
        <w:t xml:space="preserve"> Chen, T</w:t>
      </w:r>
      <w:r w:rsidR="006F3A21">
        <w:rPr>
          <w:rFonts w:asciiTheme="majorBidi" w:hAnsiTheme="majorBidi" w:cstheme="majorBidi"/>
          <w:color w:val="000000" w:themeColor="text1"/>
          <w:sz w:val="24"/>
          <w:szCs w:val="24"/>
        </w:rPr>
        <w:t>.</w:t>
      </w:r>
      <w:r w:rsidRPr="00D57F4E">
        <w:rPr>
          <w:rFonts w:asciiTheme="majorBidi" w:hAnsiTheme="majorBidi" w:cstheme="majorBidi"/>
          <w:color w:val="000000" w:themeColor="text1"/>
          <w:sz w:val="24"/>
          <w:szCs w:val="24"/>
        </w:rPr>
        <w:t xml:space="preserve">L. (2012). How teachers support university students’ lifelong learning development for sustainable futures: The student’s perspective. </w:t>
      </w:r>
      <w:r w:rsidRPr="00D57F4E">
        <w:rPr>
          <w:rFonts w:asciiTheme="majorBidi" w:hAnsiTheme="majorBidi" w:cstheme="majorBidi"/>
          <w:i/>
          <w:iCs/>
          <w:color w:val="000000" w:themeColor="text1"/>
          <w:sz w:val="24"/>
          <w:szCs w:val="24"/>
        </w:rPr>
        <w:t>Futures,</w:t>
      </w:r>
      <w:r w:rsidRPr="00D57F4E">
        <w:rPr>
          <w:rFonts w:asciiTheme="majorBidi" w:hAnsiTheme="majorBidi" w:cstheme="majorBidi"/>
          <w:color w:val="000000" w:themeColor="text1"/>
          <w:sz w:val="24"/>
          <w:szCs w:val="24"/>
        </w:rPr>
        <w:t xml:space="preserve"> </w:t>
      </w:r>
      <w:r w:rsidRPr="007A4894">
        <w:rPr>
          <w:rFonts w:asciiTheme="majorBidi" w:hAnsiTheme="majorBidi" w:cstheme="majorBidi"/>
          <w:i/>
          <w:color w:val="000000" w:themeColor="text1"/>
          <w:sz w:val="24"/>
          <w:szCs w:val="24"/>
        </w:rPr>
        <w:t>44,</w:t>
      </w:r>
      <w:r w:rsidRPr="00D57F4E">
        <w:rPr>
          <w:rFonts w:asciiTheme="majorBidi" w:hAnsiTheme="majorBidi" w:cstheme="majorBidi"/>
          <w:color w:val="000000" w:themeColor="text1"/>
          <w:sz w:val="24"/>
          <w:szCs w:val="24"/>
        </w:rPr>
        <w:t xml:space="preserve"> 158-165. </w:t>
      </w:r>
    </w:p>
    <w:p w14:paraId="4A312F54" w14:textId="1147D577" w:rsidR="001C2FAA" w:rsidRPr="00D57F4E" w:rsidRDefault="001C2FAA" w:rsidP="00665616">
      <w:pPr>
        <w:spacing w:after="0" w:line="240" w:lineRule="auto"/>
        <w:ind w:leftChars="0" w:left="576" w:firstLineChars="0" w:hanging="576"/>
        <w:jc w:val="both"/>
        <w:rPr>
          <w:rFonts w:asciiTheme="majorBidi" w:hAnsiTheme="majorBidi" w:cstheme="majorBidi"/>
          <w:color w:val="000000" w:themeColor="text1"/>
          <w:sz w:val="24"/>
          <w:szCs w:val="24"/>
        </w:rPr>
      </w:pPr>
      <w:bookmarkStart w:id="11" w:name="_Hlk31013596"/>
      <w:r w:rsidRPr="00D57F4E">
        <w:rPr>
          <w:rFonts w:asciiTheme="majorBidi" w:hAnsiTheme="majorBidi" w:cstheme="majorBidi"/>
          <w:color w:val="000000" w:themeColor="text1"/>
          <w:sz w:val="24"/>
          <w:szCs w:val="24"/>
        </w:rPr>
        <w:t>Sufean Hussin, Shahril Marzuki, Ahmad Zabidi Abdu</w:t>
      </w:r>
      <w:r>
        <w:rPr>
          <w:rFonts w:asciiTheme="majorBidi" w:hAnsiTheme="majorBidi" w:cstheme="majorBidi"/>
          <w:color w:val="000000" w:themeColor="text1"/>
          <w:sz w:val="24"/>
          <w:szCs w:val="24"/>
        </w:rPr>
        <w:t>l Razak, Habib Md.Som</w:t>
      </w:r>
      <w:r w:rsidR="006F3A21">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 &amp; Alina </w:t>
      </w:r>
      <w:r w:rsidRPr="00D57F4E">
        <w:rPr>
          <w:rFonts w:asciiTheme="majorBidi" w:hAnsiTheme="majorBidi" w:cstheme="majorBidi"/>
          <w:color w:val="000000" w:themeColor="text1"/>
          <w:sz w:val="24"/>
          <w:szCs w:val="24"/>
        </w:rPr>
        <w:t>Ranee</w:t>
      </w:r>
      <w:bookmarkEnd w:id="11"/>
      <w:r>
        <w:rPr>
          <w:rFonts w:asciiTheme="majorBidi" w:hAnsiTheme="majorBidi" w:cstheme="majorBidi"/>
          <w:color w:val="000000" w:themeColor="text1"/>
          <w:sz w:val="24"/>
          <w:szCs w:val="24"/>
        </w:rPr>
        <w:t xml:space="preserve"> </w:t>
      </w:r>
      <w:r w:rsidRPr="00D57F4E">
        <w:rPr>
          <w:rFonts w:asciiTheme="majorBidi" w:hAnsiTheme="majorBidi" w:cstheme="majorBidi"/>
          <w:color w:val="000000" w:themeColor="text1"/>
          <w:sz w:val="24"/>
          <w:szCs w:val="24"/>
        </w:rPr>
        <w:t>(ed</w:t>
      </w:r>
      <w:r>
        <w:rPr>
          <w:rFonts w:asciiTheme="majorBidi" w:hAnsiTheme="majorBidi" w:cstheme="majorBidi"/>
          <w:color w:val="000000" w:themeColor="text1"/>
          <w:sz w:val="24"/>
          <w:szCs w:val="24"/>
        </w:rPr>
        <w:t>.</w:t>
      </w:r>
      <w:r w:rsidRPr="00D57F4E">
        <w:rPr>
          <w:rFonts w:asciiTheme="majorBidi" w:hAnsiTheme="majorBidi" w:cstheme="majorBidi"/>
          <w:color w:val="000000" w:themeColor="text1"/>
          <w:sz w:val="24"/>
          <w:szCs w:val="24"/>
        </w:rPr>
        <w:t xml:space="preserve">) (2005). </w:t>
      </w:r>
      <w:r w:rsidRPr="00D57F4E">
        <w:rPr>
          <w:rFonts w:asciiTheme="majorBidi" w:hAnsiTheme="majorBidi" w:cstheme="majorBidi"/>
          <w:i/>
          <w:iCs/>
          <w:color w:val="000000" w:themeColor="text1"/>
          <w:sz w:val="24"/>
          <w:szCs w:val="24"/>
        </w:rPr>
        <w:t>Pentadbiran dalam pembangunan pendidikan</w:t>
      </w:r>
      <w:r w:rsidRPr="00D57F4E">
        <w:rPr>
          <w:rFonts w:asciiTheme="majorBidi" w:hAnsiTheme="majorBidi" w:cstheme="majorBidi"/>
          <w:color w:val="000000" w:themeColor="text1"/>
          <w:sz w:val="24"/>
          <w:szCs w:val="24"/>
        </w:rPr>
        <w:t>. Bentong: PTS Publications.</w:t>
      </w:r>
    </w:p>
    <w:p w14:paraId="5BF18AC5" w14:textId="77777777" w:rsidR="001C2FAA" w:rsidRPr="00D57F4E"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rPr>
      </w:pPr>
      <w:r w:rsidRPr="00D57F4E">
        <w:rPr>
          <w:rFonts w:asciiTheme="majorBidi" w:hAnsiTheme="majorBidi" w:cstheme="majorBidi"/>
          <w:color w:val="000000" w:themeColor="text1"/>
          <w:sz w:val="24"/>
          <w:szCs w:val="24"/>
        </w:rPr>
        <w:t xml:space="preserve">Tan, C. (2017). Lifelong learning through the skills future movement in Singapore: Challenges and prospects. </w:t>
      </w:r>
      <w:r w:rsidRPr="00D57F4E">
        <w:rPr>
          <w:rFonts w:asciiTheme="majorBidi" w:hAnsiTheme="majorBidi" w:cstheme="majorBidi"/>
          <w:i/>
          <w:iCs/>
          <w:color w:val="000000" w:themeColor="text1"/>
          <w:sz w:val="24"/>
          <w:szCs w:val="24"/>
        </w:rPr>
        <w:t>International Journal of Lifelong Education</w:t>
      </w:r>
      <w:r w:rsidRPr="00D57F4E">
        <w:rPr>
          <w:rFonts w:asciiTheme="majorBidi" w:hAnsiTheme="majorBidi" w:cstheme="majorBidi"/>
          <w:color w:val="000000" w:themeColor="text1"/>
          <w:sz w:val="24"/>
          <w:szCs w:val="24"/>
        </w:rPr>
        <w:t xml:space="preserve">, </w:t>
      </w:r>
      <w:r w:rsidRPr="00D57F4E">
        <w:rPr>
          <w:rFonts w:asciiTheme="majorBidi" w:hAnsiTheme="majorBidi" w:cstheme="majorBidi"/>
          <w:i/>
          <w:iCs/>
          <w:color w:val="000000" w:themeColor="text1"/>
          <w:sz w:val="24"/>
          <w:szCs w:val="24"/>
        </w:rPr>
        <w:t>36</w:t>
      </w:r>
      <w:r w:rsidRPr="00D57F4E">
        <w:rPr>
          <w:rFonts w:asciiTheme="majorBidi" w:hAnsiTheme="majorBidi" w:cstheme="majorBidi"/>
          <w:color w:val="000000" w:themeColor="text1"/>
          <w:sz w:val="24"/>
          <w:szCs w:val="24"/>
        </w:rPr>
        <w:t xml:space="preserve">(3), 278–291. </w:t>
      </w:r>
    </w:p>
    <w:p w14:paraId="5C659EED" w14:textId="77777777" w:rsidR="001C2FAA"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rPr>
      </w:pPr>
      <w:r w:rsidRPr="00D57F4E">
        <w:rPr>
          <w:rFonts w:asciiTheme="majorBidi" w:hAnsiTheme="majorBidi" w:cstheme="majorBidi"/>
          <w:color w:val="000000" w:themeColor="text1"/>
          <w:sz w:val="24"/>
          <w:szCs w:val="24"/>
        </w:rPr>
        <w:t xml:space="preserve">Tan, C., &amp; Morris, J. (2005). Undergraduate college students, laptop computers, and lifelong learning. </w:t>
      </w:r>
      <w:r w:rsidRPr="00D57F4E">
        <w:rPr>
          <w:rFonts w:asciiTheme="majorBidi" w:hAnsiTheme="majorBidi" w:cstheme="majorBidi"/>
          <w:i/>
          <w:iCs/>
          <w:color w:val="000000" w:themeColor="text1"/>
          <w:sz w:val="24"/>
          <w:szCs w:val="24"/>
        </w:rPr>
        <w:t>The Journal of General Education</w:t>
      </w:r>
      <w:r w:rsidRPr="00D57F4E">
        <w:rPr>
          <w:rFonts w:asciiTheme="majorBidi" w:hAnsiTheme="majorBidi" w:cstheme="majorBidi"/>
          <w:color w:val="000000" w:themeColor="text1"/>
          <w:sz w:val="24"/>
          <w:szCs w:val="24"/>
        </w:rPr>
        <w:t xml:space="preserve">, </w:t>
      </w:r>
      <w:r w:rsidRPr="00D57F4E">
        <w:rPr>
          <w:rFonts w:asciiTheme="majorBidi" w:hAnsiTheme="majorBidi" w:cstheme="majorBidi"/>
          <w:i/>
          <w:iCs/>
          <w:color w:val="000000" w:themeColor="text1"/>
          <w:sz w:val="24"/>
          <w:szCs w:val="24"/>
        </w:rPr>
        <w:t>54</w:t>
      </w:r>
      <w:r w:rsidRPr="00D57F4E">
        <w:rPr>
          <w:rFonts w:asciiTheme="majorBidi" w:hAnsiTheme="majorBidi" w:cstheme="majorBidi"/>
          <w:color w:val="000000" w:themeColor="text1"/>
          <w:sz w:val="24"/>
          <w:szCs w:val="24"/>
        </w:rPr>
        <w:t xml:space="preserve">(4), 316-338. </w:t>
      </w:r>
    </w:p>
    <w:p w14:paraId="418ED180" w14:textId="77777777" w:rsidR="001C2FAA" w:rsidRPr="00D57F4E"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rPr>
      </w:pPr>
      <w:r w:rsidRPr="00D57F4E">
        <w:rPr>
          <w:rFonts w:asciiTheme="majorBidi" w:hAnsiTheme="majorBidi" w:cstheme="majorBidi"/>
          <w:color w:val="000000" w:themeColor="text1"/>
          <w:sz w:val="24"/>
          <w:szCs w:val="24"/>
        </w:rPr>
        <w:t xml:space="preserve">Tikkanen, T. (2006). The lifelong learning debate and older workers. In T. Tikkanen, &amp; B. Nyhan (Eds.), </w:t>
      </w:r>
      <w:r w:rsidRPr="00D57F4E">
        <w:rPr>
          <w:rFonts w:asciiTheme="majorBidi" w:hAnsiTheme="majorBidi" w:cstheme="majorBidi"/>
          <w:i/>
          <w:iCs/>
          <w:color w:val="000000" w:themeColor="text1"/>
          <w:sz w:val="24"/>
          <w:szCs w:val="24"/>
        </w:rPr>
        <w:t>Promoting lifelong learning for older workers: An international overview</w:t>
      </w:r>
      <w:r w:rsidRPr="00D57F4E">
        <w:rPr>
          <w:rFonts w:asciiTheme="majorBidi" w:hAnsiTheme="majorBidi" w:cstheme="majorBidi"/>
          <w:color w:val="000000" w:themeColor="text1"/>
          <w:sz w:val="24"/>
          <w:szCs w:val="24"/>
        </w:rPr>
        <w:t xml:space="preserve"> (pp. 18–47). Luxembourg City, </w:t>
      </w:r>
      <w:r>
        <w:rPr>
          <w:rFonts w:asciiTheme="majorBidi" w:hAnsiTheme="majorBidi" w:cstheme="majorBidi"/>
          <w:color w:val="000000" w:themeColor="text1"/>
          <w:sz w:val="24"/>
          <w:szCs w:val="24"/>
        </w:rPr>
        <w:t>Luxembourge: Cedefop Reference S</w:t>
      </w:r>
      <w:r w:rsidRPr="00D57F4E">
        <w:rPr>
          <w:rFonts w:asciiTheme="majorBidi" w:hAnsiTheme="majorBidi" w:cstheme="majorBidi"/>
          <w:color w:val="000000" w:themeColor="text1"/>
          <w:sz w:val="24"/>
          <w:szCs w:val="24"/>
        </w:rPr>
        <w:t>eries</w:t>
      </w:r>
      <w:r>
        <w:rPr>
          <w:rFonts w:asciiTheme="majorBidi" w:hAnsiTheme="majorBidi" w:cstheme="majorBidi"/>
          <w:color w:val="000000" w:themeColor="text1"/>
          <w:sz w:val="24"/>
          <w:szCs w:val="24"/>
        </w:rPr>
        <w:t>.</w:t>
      </w:r>
    </w:p>
    <w:p w14:paraId="1F07E874" w14:textId="0BD4EB82" w:rsidR="001C2FAA" w:rsidRPr="00D57F4E"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rPr>
      </w:pPr>
      <w:r w:rsidRPr="00D57F4E">
        <w:rPr>
          <w:rFonts w:asciiTheme="majorBidi" w:hAnsiTheme="majorBidi" w:cstheme="majorBidi"/>
          <w:color w:val="000000" w:themeColor="text1"/>
          <w:sz w:val="24"/>
          <w:szCs w:val="24"/>
        </w:rPr>
        <w:t>Trilling, B.</w:t>
      </w:r>
      <w:r w:rsidR="006F3A21">
        <w:rPr>
          <w:rFonts w:asciiTheme="majorBidi" w:hAnsiTheme="majorBidi" w:cstheme="majorBidi"/>
          <w:color w:val="000000" w:themeColor="text1"/>
          <w:sz w:val="24"/>
          <w:szCs w:val="24"/>
        </w:rPr>
        <w:t>,</w:t>
      </w:r>
      <w:r w:rsidRPr="00D57F4E">
        <w:rPr>
          <w:rFonts w:asciiTheme="majorBidi" w:hAnsiTheme="majorBidi" w:cstheme="majorBidi"/>
          <w:color w:val="000000" w:themeColor="text1"/>
          <w:sz w:val="24"/>
          <w:szCs w:val="24"/>
        </w:rPr>
        <w:t xml:space="preserve"> &amp; Fadel, C. (2009). </w:t>
      </w:r>
      <w:r w:rsidRPr="00D57F4E">
        <w:rPr>
          <w:rFonts w:asciiTheme="majorBidi" w:hAnsiTheme="majorBidi" w:cstheme="majorBidi"/>
          <w:i/>
          <w:iCs/>
          <w:color w:val="000000" w:themeColor="text1"/>
          <w:sz w:val="24"/>
          <w:szCs w:val="24"/>
        </w:rPr>
        <w:t>21st century skills: Learning for life in our times</w:t>
      </w:r>
      <w:r w:rsidRPr="00D57F4E">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San Francisco: </w:t>
      </w:r>
      <w:r w:rsidRPr="00D57F4E">
        <w:rPr>
          <w:rFonts w:asciiTheme="majorBidi" w:hAnsiTheme="majorBidi" w:cstheme="majorBidi"/>
          <w:color w:val="000000" w:themeColor="text1"/>
          <w:sz w:val="24"/>
          <w:szCs w:val="24"/>
        </w:rPr>
        <w:t>Wiley.</w:t>
      </w:r>
    </w:p>
    <w:p w14:paraId="0D6D7286" w14:textId="025B9353" w:rsidR="001C2FAA" w:rsidRPr="00D57F4E" w:rsidRDefault="001C2FAA" w:rsidP="00665616">
      <w:pPr>
        <w:spacing w:after="0" w:line="240" w:lineRule="auto"/>
        <w:ind w:leftChars="0" w:left="567" w:firstLineChars="0" w:hanging="569"/>
        <w:jc w:val="both"/>
        <w:rPr>
          <w:rFonts w:asciiTheme="majorBidi" w:hAnsiTheme="majorBidi" w:cstheme="majorBidi"/>
          <w:color w:val="000000" w:themeColor="text1"/>
          <w:sz w:val="24"/>
          <w:szCs w:val="24"/>
        </w:rPr>
      </w:pPr>
      <w:r w:rsidRPr="00D57F4E">
        <w:rPr>
          <w:rFonts w:asciiTheme="majorBidi" w:hAnsiTheme="majorBidi" w:cstheme="majorBidi"/>
          <w:color w:val="000000" w:themeColor="text1"/>
          <w:sz w:val="24"/>
          <w:szCs w:val="24"/>
          <w:highlight w:val="white"/>
        </w:rPr>
        <w:t>Wan, C.</w:t>
      </w:r>
      <w:r w:rsidR="006F3A21">
        <w:rPr>
          <w:rFonts w:asciiTheme="majorBidi" w:hAnsiTheme="majorBidi" w:cstheme="majorBidi"/>
          <w:color w:val="000000" w:themeColor="text1"/>
          <w:sz w:val="24"/>
          <w:szCs w:val="24"/>
          <w:highlight w:val="white"/>
        </w:rPr>
        <w:t>,</w:t>
      </w:r>
      <w:r w:rsidRPr="00D57F4E">
        <w:rPr>
          <w:rFonts w:asciiTheme="majorBidi" w:hAnsiTheme="majorBidi" w:cstheme="majorBidi"/>
          <w:color w:val="000000" w:themeColor="text1"/>
          <w:sz w:val="24"/>
          <w:szCs w:val="24"/>
          <w:highlight w:val="white"/>
        </w:rPr>
        <w:t xml:space="preserve"> </w:t>
      </w:r>
      <w:r>
        <w:rPr>
          <w:rFonts w:asciiTheme="majorBidi" w:hAnsiTheme="majorBidi" w:cstheme="majorBidi"/>
          <w:color w:val="000000" w:themeColor="text1"/>
          <w:sz w:val="24"/>
          <w:szCs w:val="24"/>
          <w:highlight w:val="white"/>
        </w:rPr>
        <w:t>&amp;</w:t>
      </w:r>
      <w:r w:rsidRPr="00D57F4E">
        <w:rPr>
          <w:rFonts w:asciiTheme="majorBidi" w:hAnsiTheme="majorBidi" w:cstheme="majorBidi"/>
          <w:color w:val="000000" w:themeColor="text1"/>
          <w:sz w:val="24"/>
          <w:szCs w:val="24"/>
          <w:highlight w:val="white"/>
        </w:rPr>
        <w:t xml:space="preserve"> Sirat, M. (2018). The development of Malaysian higher education</w:t>
      </w:r>
      <w:r>
        <w:rPr>
          <w:rFonts w:asciiTheme="majorBidi" w:hAnsiTheme="majorBidi" w:cstheme="majorBidi"/>
          <w:color w:val="000000" w:themeColor="text1"/>
          <w:sz w:val="24"/>
          <w:szCs w:val="24"/>
          <w:highlight w:val="white"/>
        </w:rPr>
        <w:t>.</w:t>
      </w:r>
      <w:r w:rsidRPr="00D57F4E">
        <w:rPr>
          <w:rFonts w:asciiTheme="majorBidi" w:hAnsiTheme="majorBidi" w:cstheme="majorBidi"/>
          <w:color w:val="000000" w:themeColor="text1"/>
          <w:sz w:val="24"/>
          <w:szCs w:val="24"/>
          <w:highlight w:val="white"/>
        </w:rPr>
        <w:t xml:space="preserve"> </w:t>
      </w:r>
      <w:r w:rsidRPr="00D57F4E">
        <w:rPr>
          <w:rFonts w:asciiTheme="majorBidi" w:hAnsiTheme="majorBidi" w:cstheme="majorBidi"/>
          <w:i/>
          <w:iCs/>
          <w:color w:val="000000" w:themeColor="text1"/>
          <w:sz w:val="24"/>
          <w:szCs w:val="24"/>
          <w:highlight w:val="white"/>
        </w:rPr>
        <w:t>Asian Education and Development Studies</w:t>
      </w:r>
      <w:r w:rsidRPr="00D57F4E">
        <w:rPr>
          <w:rFonts w:asciiTheme="majorBidi" w:hAnsiTheme="majorBidi" w:cstheme="majorBidi"/>
          <w:color w:val="000000" w:themeColor="text1"/>
          <w:sz w:val="24"/>
          <w:szCs w:val="24"/>
          <w:highlight w:val="white"/>
        </w:rPr>
        <w:t xml:space="preserve">, </w:t>
      </w:r>
      <w:r w:rsidRPr="00D57F4E">
        <w:rPr>
          <w:rFonts w:asciiTheme="majorBidi" w:hAnsiTheme="majorBidi" w:cstheme="majorBidi"/>
          <w:i/>
          <w:iCs/>
          <w:color w:val="000000" w:themeColor="text1"/>
          <w:sz w:val="24"/>
          <w:szCs w:val="24"/>
          <w:highlight w:val="white"/>
        </w:rPr>
        <w:t>7</w:t>
      </w:r>
      <w:r w:rsidRPr="00D57F4E">
        <w:rPr>
          <w:rFonts w:asciiTheme="majorBidi" w:hAnsiTheme="majorBidi" w:cstheme="majorBidi"/>
          <w:color w:val="000000" w:themeColor="text1"/>
          <w:sz w:val="24"/>
          <w:szCs w:val="24"/>
          <w:highlight w:val="white"/>
        </w:rPr>
        <w:t xml:space="preserve">(2), 144-156. </w:t>
      </w:r>
    </w:p>
    <w:p w14:paraId="3ACF43FD" w14:textId="77777777" w:rsidR="001C2FAA" w:rsidRPr="00D57F4E" w:rsidRDefault="001C2FAA" w:rsidP="00665616">
      <w:pPr>
        <w:spacing w:after="0" w:line="240" w:lineRule="auto"/>
        <w:ind w:leftChars="0" w:left="567" w:firstLineChars="0" w:hanging="567"/>
        <w:jc w:val="both"/>
        <w:rPr>
          <w:rFonts w:asciiTheme="majorBidi" w:hAnsiTheme="majorBidi" w:cstheme="majorBidi"/>
          <w:color w:val="000000" w:themeColor="text1"/>
          <w:sz w:val="24"/>
          <w:szCs w:val="24"/>
        </w:rPr>
      </w:pPr>
      <w:r w:rsidRPr="00D57F4E">
        <w:rPr>
          <w:rFonts w:asciiTheme="majorBidi" w:hAnsiTheme="majorBidi" w:cstheme="majorBidi"/>
          <w:color w:val="000000" w:themeColor="text1"/>
          <w:sz w:val="24"/>
          <w:szCs w:val="24"/>
        </w:rPr>
        <w:t xml:space="preserve">Watson, D. (2007). The future for lifelong learning. </w:t>
      </w:r>
      <w:r w:rsidRPr="00D57F4E">
        <w:rPr>
          <w:rFonts w:asciiTheme="majorBidi" w:hAnsiTheme="majorBidi" w:cstheme="majorBidi"/>
          <w:i/>
          <w:iCs/>
          <w:color w:val="000000" w:themeColor="text1"/>
          <w:sz w:val="24"/>
          <w:szCs w:val="24"/>
        </w:rPr>
        <w:t>Adults Learning</w:t>
      </w:r>
      <w:r w:rsidRPr="00D57F4E">
        <w:rPr>
          <w:rFonts w:asciiTheme="majorBidi" w:hAnsiTheme="majorBidi" w:cstheme="majorBidi"/>
          <w:color w:val="000000" w:themeColor="text1"/>
          <w:sz w:val="24"/>
          <w:szCs w:val="24"/>
        </w:rPr>
        <w:t xml:space="preserve">, </w:t>
      </w:r>
      <w:r w:rsidRPr="00D57F4E">
        <w:rPr>
          <w:rFonts w:asciiTheme="majorBidi" w:hAnsiTheme="majorBidi" w:cstheme="majorBidi"/>
          <w:i/>
          <w:iCs/>
          <w:color w:val="000000" w:themeColor="text1"/>
          <w:sz w:val="24"/>
          <w:szCs w:val="24"/>
        </w:rPr>
        <w:t>19</w:t>
      </w:r>
      <w:r w:rsidRPr="00D57F4E">
        <w:rPr>
          <w:rFonts w:asciiTheme="majorBidi" w:hAnsiTheme="majorBidi" w:cstheme="majorBidi"/>
          <w:color w:val="000000" w:themeColor="text1"/>
          <w:sz w:val="24"/>
          <w:szCs w:val="24"/>
        </w:rPr>
        <w:t xml:space="preserve">(3), 21-23. </w:t>
      </w:r>
    </w:p>
    <w:p w14:paraId="3C701B6D" w14:textId="5D9DAEF9" w:rsidR="001C2FAA" w:rsidRPr="00D57F4E" w:rsidRDefault="001C2FAA" w:rsidP="00665616">
      <w:pPr>
        <w:spacing w:after="0" w:line="240" w:lineRule="auto"/>
        <w:ind w:leftChars="0" w:left="567" w:firstLineChars="0" w:hanging="567"/>
        <w:jc w:val="both"/>
        <w:rPr>
          <w:rFonts w:asciiTheme="majorBidi" w:hAnsiTheme="majorBidi" w:cstheme="majorBidi"/>
          <w:color w:val="000000" w:themeColor="text1"/>
          <w:sz w:val="24"/>
          <w:szCs w:val="24"/>
        </w:rPr>
      </w:pPr>
      <w:r w:rsidRPr="00D57F4E">
        <w:rPr>
          <w:rFonts w:asciiTheme="majorBidi" w:hAnsiTheme="majorBidi" w:cstheme="majorBidi"/>
          <w:color w:val="000000" w:themeColor="text1"/>
          <w:sz w:val="24"/>
          <w:szCs w:val="24"/>
        </w:rPr>
        <w:lastRenderedPageBreak/>
        <w:t xml:space="preserve">World Bank. (2003). </w:t>
      </w:r>
      <w:r w:rsidRPr="00D57F4E">
        <w:rPr>
          <w:rFonts w:asciiTheme="majorBidi" w:hAnsiTheme="majorBidi" w:cstheme="majorBidi"/>
          <w:i/>
          <w:iCs/>
          <w:color w:val="000000" w:themeColor="text1"/>
          <w:sz w:val="24"/>
          <w:szCs w:val="24"/>
        </w:rPr>
        <w:t>Lifelong learning in the global knowledge economy: Challenges for developing countries</w:t>
      </w:r>
      <w:r w:rsidRPr="00D57F4E">
        <w:rPr>
          <w:rFonts w:asciiTheme="majorBidi" w:hAnsiTheme="majorBidi" w:cstheme="majorBidi"/>
          <w:color w:val="000000" w:themeColor="text1"/>
          <w:sz w:val="24"/>
          <w:szCs w:val="24"/>
        </w:rPr>
        <w:t xml:space="preserve">. Washington, D.C.: The World Bank. </w:t>
      </w:r>
      <w:r w:rsidR="001363F7">
        <w:rPr>
          <w:rFonts w:asciiTheme="majorBidi" w:hAnsiTheme="majorBidi" w:cstheme="majorBidi"/>
          <w:color w:val="000000" w:themeColor="text1"/>
          <w:sz w:val="24"/>
          <w:szCs w:val="24"/>
        </w:rPr>
        <w:t xml:space="preserve">Retrieved from </w:t>
      </w:r>
      <w:r w:rsidRPr="00D57F4E">
        <w:rPr>
          <w:rFonts w:asciiTheme="majorBidi" w:hAnsiTheme="majorBidi" w:cstheme="majorBidi"/>
          <w:color w:val="000000" w:themeColor="text1"/>
          <w:sz w:val="24"/>
          <w:szCs w:val="24"/>
        </w:rPr>
        <w:t xml:space="preserve">http://siteresources.worldbank.org/INTLL/Resources/Lifelong-Learning-in-theGlobal-Knowledge-Economy/lifelonglearning_GKE.pdf </w:t>
      </w:r>
    </w:p>
    <w:p w14:paraId="33D8E842" w14:textId="77777777" w:rsidR="001C2FAA" w:rsidRDefault="001C2FAA" w:rsidP="00665616">
      <w:pPr>
        <w:spacing w:after="0" w:line="240" w:lineRule="auto"/>
        <w:ind w:leftChars="0" w:left="567" w:firstLineChars="0" w:hanging="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Xihe Zhu &amp; </w:t>
      </w:r>
      <w:r w:rsidRPr="00D57F4E">
        <w:rPr>
          <w:rFonts w:asciiTheme="majorBidi" w:hAnsiTheme="majorBidi" w:cstheme="majorBidi"/>
          <w:color w:val="000000" w:themeColor="text1"/>
          <w:sz w:val="24"/>
          <w:szCs w:val="24"/>
        </w:rPr>
        <w:t xml:space="preserve">Senlin Chen. (2017). Effects of cognitive demand on situational interest and running task performances. </w:t>
      </w:r>
      <w:r w:rsidRPr="00D57F4E">
        <w:rPr>
          <w:rFonts w:asciiTheme="majorBidi" w:hAnsiTheme="majorBidi" w:cstheme="majorBidi"/>
          <w:i/>
          <w:iCs/>
          <w:color w:val="000000" w:themeColor="text1"/>
          <w:sz w:val="24"/>
          <w:szCs w:val="24"/>
        </w:rPr>
        <w:t>Educational Psychology,</w:t>
      </w:r>
      <w:r w:rsidRPr="00D57F4E">
        <w:rPr>
          <w:rFonts w:asciiTheme="majorBidi" w:hAnsiTheme="majorBidi" w:cstheme="majorBidi"/>
          <w:color w:val="000000" w:themeColor="text1"/>
          <w:sz w:val="24"/>
          <w:szCs w:val="24"/>
        </w:rPr>
        <w:t xml:space="preserve"> </w:t>
      </w:r>
      <w:r w:rsidRPr="007A4894">
        <w:rPr>
          <w:rFonts w:asciiTheme="majorBidi" w:hAnsiTheme="majorBidi" w:cstheme="majorBidi"/>
          <w:i/>
          <w:color w:val="000000" w:themeColor="text1"/>
          <w:sz w:val="24"/>
          <w:szCs w:val="24"/>
        </w:rPr>
        <w:t>37</w:t>
      </w:r>
      <w:r w:rsidRPr="00D57F4E">
        <w:rPr>
          <w:rFonts w:asciiTheme="majorBidi" w:hAnsiTheme="majorBidi" w:cstheme="majorBidi"/>
          <w:color w:val="000000" w:themeColor="text1"/>
          <w:sz w:val="24"/>
          <w:szCs w:val="24"/>
        </w:rPr>
        <w:t>(7), 907-920.</w:t>
      </w:r>
    </w:p>
    <w:p w14:paraId="235306A4" w14:textId="77777777" w:rsidR="004A76E0" w:rsidRPr="004A76E0" w:rsidRDefault="004A76E0" w:rsidP="00665616">
      <w:pPr>
        <w:spacing w:after="0" w:line="240" w:lineRule="auto"/>
        <w:ind w:leftChars="0" w:left="567" w:firstLineChars="0" w:hanging="567"/>
        <w:jc w:val="both"/>
        <w:rPr>
          <w:rFonts w:asciiTheme="majorBidi" w:hAnsiTheme="majorBidi" w:cstheme="majorBidi"/>
          <w:color w:val="000000" w:themeColor="text1"/>
          <w:sz w:val="24"/>
          <w:szCs w:val="24"/>
          <w:lang w:val="it-IT"/>
        </w:rPr>
      </w:pPr>
      <w:r w:rsidRPr="004A76E0">
        <w:rPr>
          <w:rFonts w:asciiTheme="majorBidi" w:hAnsiTheme="majorBidi" w:cstheme="majorBidi"/>
          <w:color w:val="000000" w:themeColor="text1"/>
          <w:sz w:val="24"/>
          <w:szCs w:val="24"/>
          <w:lang w:val="it-IT"/>
        </w:rPr>
        <w:t xml:space="preserve">Yusop, M. M., &amp; Abbas, L. N. (2016). Kesediaan guru teknikal melanjutkan pengajian ke peringkat tinggi. </w:t>
      </w:r>
      <w:r w:rsidRPr="004A76E0">
        <w:rPr>
          <w:rFonts w:asciiTheme="majorBidi" w:hAnsiTheme="majorBidi" w:cstheme="majorBidi"/>
          <w:i/>
          <w:iCs/>
          <w:color w:val="000000" w:themeColor="text1"/>
          <w:sz w:val="24"/>
          <w:szCs w:val="24"/>
          <w:lang w:val="it-IT"/>
        </w:rPr>
        <w:t>Online Journal for TVET Practioners</w:t>
      </w:r>
      <w:r w:rsidRPr="004A76E0">
        <w:rPr>
          <w:rFonts w:asciiTheme="majorBidi" w:hAnsiTheme="majorBidi" w:cstheme="majorBidi"/>
          <w:color w:val="000000" w:themeColor="text1"/>
          <w:sz w:val="24"/>
          <w:szCs w:val="24"/>
          <w:lang w:val="it-IT"/>
        </w:rPr>
        <w:t xml:space="preserve">, </w:t>
      </w:r>
      <w:r w:rsidRPr="004A76E0">
        <w:rPr>
          <w:rFonts w:asciiTheme="majorBidi" w:hAnsiTheme="majorBidi" w:cstheme="majorBidi"/>
          <w:i/>
          <w:iCs/>
          <w:color w:val="000000" w:themeColor="text1"/>
          <w:sz w:val="24"/>
          <w:szCs w:val="24"/>
          <w:lang w:val="it-IT"/>
        </w:rPr>
        <w:t>1</w:t>
      </w:r>
      <w:r w:rsidRPr="004A76E0">
        <w:rPr>
          <w:rFonts w:asciiTheme="majorBidi" w:hAnsiTheme="majorBidi" w:cstheme="majorBidi"/>
          <w:color w:val="000000" w:themeColor="text1"/>
          <w:sz w:val="24"/>
          <w:szCs w:val="24"/>
          <w:lang w:val="it-IT"/>
        </w:rPr>
        <w:t>(1).</w:t>
      </w:r>
      <w:r>
        <w:rPr>
          <w:rFonts w:asciiTheme="majorBidi" w:hAnsiTheme="majorBidi" w:cstheme="majorBidi"/>
          <w:color w:val="000000" w:themeColor="text1"/>
          <w:sz w:val="24"/>
          <w:szCs w:val="24"/>
          <w:lang w:val="it-IT"/>
        </w:rPr>
        <w:t xml:space="preserve"> 1-13.</w:t>
      </w:r>
    </w:p>
    <w:sectPr w:rsidR="004A76E0" w:rsidRPr="004A76E0" w:rsidSect="005152B6">
      <w:headerReference w:type="even" r:id="rId19"/>
      <w:headerReference w:type="default" r:id="rId20"/>
      <w:footerReference w:type="even" r:id="rId21"/>
      <w:footerReference w:type="default" r:id="rId22"/>
      <w:headerReference w:type="first" r:id="rId23"/>
      <w:footerReference w:type="first" r:id="rId24"/>
      <w:pgSz w:w="11907" w:h="16839" w:code="9"/>
      <w:pgMar w:top="1440" w:right="1440" w:bottom="1440" w:left="1440" w:header="720" w:footer="720" w:gutter="0"/>
      <w:pgNumType w:start="9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D10479" w14:textId="77777777" w:rsidR="00220021" w:rsidRDefault="00220021">
      <w:pPr>
        <w:spacing w:after="0" w:line="240" w:lineRule="auto"/>
        <w:ind w:left="0" w:hanging="2"/>
      </w:pPr>
      <w:r>
        <w:separator/>
      </w:r>
    </w:p>
  </w:endnote>
  <w:endnote w:type="continuationSeparator" w:id="0">
    <w:p w14:paraId="3E2278C8" w14:textId="77777777" w:rsidR="00220021" w:rsidRDefault="0022002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EB Garamond">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91DE3" w14:textId="77777777" w:rsidR="0015386C" w:rsidRDefault="0015386C">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F8D99" w14:textId="77777777" w:rsidR="0015386C" w:rsidRDefault="0015386C">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F03DF" w14:textId="77777777" w:rsidR="0015386C" w:rsidRDefault="0015386C">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BAC39F" w14:textId="77777777" w:rsidR="00220021" w:rsidRDefault="00220021">
      <w:pPr>
        <w:spacing w:after="0" w:line="240" w:lineRule="auto"/>
        <w:ind w:left="0" w:hanging="2"/>
      </w:pPr>
      <w:r>
        <w:separator/>
      </w:r>
    </w:p>
  </w:footnote>
  <w:footnote w:type="continuationSeparator" w:id="0">
    <w:p w14:paraId="3D0F7799" w14:textId="77777777" w:rsidR="00220021" w:rsidRDefault="00220021">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22090" w14:textId="77777777" w:rsidR="0015386C" w:rsidRDefault="0015386C">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AD01B" w14:textId="15878917" w:rsidR="005152B6" w:rsidRPr="005152B6" w:rsidRDefault="005152B6" w:rsidP="005152B6">
    <w:pPr>
      <w:tabs>
        <w:tab w:val="left" w:pos="720"/>
        <w:tab w:val="center" w:pos="4680"/>
        <w:tab w:val="right" w:pos="9360"/>
      </w:tabs>
      <w:spacing w:after="0" w:line="240" w:lineRule="auto"/>
      <w:ind w:left="0" w:hanging="2"/>
      <w:jc w:val="both"/>
      <w:rPr>
        <w:rFonts w:ascii="Times New Roman" w:hAnsi="Times New Roman" w:cs="Times New Roman"/>
        <w:sz w:val="18"/>
        <w:szCs w:val="18"/>
      </w:rPr>
    </w:pPr>
    <w:r w:rsidRPr="005152B6">
      <w:rPr>
        <w:rFonts w:ascii="Times New Roman" w:hAnsi="Times New Roman" w:cs="Times New Roman"/>
        <w:sz w:val="18"/>
        <w:szCs w:val="18"/>
      </w:rPr>
      <w:t>GEOGRAFIA Online</w:t>
    </w:r>
    <w:r w:rsidRPr="005152B6">
      <w:rPr>
        <w:rFonts w:ascii="Times New Roman" w:hAnsi="Times New Roman" w:cs="Times New Roman"/>
        <w:sz w:val="18"/>
        <w:szCs w:val="18"/>
        <w:vertAlign w:val="superscript"/>
      </w:rPr>
      <w:t>TM</w:t>
    </w:r>
    <w:r w:rsidRPr="005152B6">
      <w:rPr>
        <w:rFonts w:ascii="Times New Roman" w:hAnsi="Times New Roman" w:cs="Times New Roman"/>
        <w:sz w:val="18"/>
        <w:szCs w:val="18"/>
      </w:rPr>
      <w:t xml:space="preserve"> Malaysian Journal of Society and Space</w:t>
    </w:r>
    <w:r w:rsidRPr="005152B6">
      <w:rPr>
        <w:rFonts w:ascii="Times New Roman" w:hAnsi="Times New Roman" w:cs="Times New Roman"/>
        <w:b/>
        <w:sz w:val="18"/>
        <w:szCs w:val="18"/>
      </w:rPr>
      <w:t xml:space="preserve"> </w:t>
    </w:r>
    <w:r w:rsidRPr="005152B6">
      <w:rPr>
        <w:rFonts w:ascii="Times New Roman" w:hAnsi="Times New Roman" w:cs="Times New Roman"/>
        <w:sz w:val="18"/>
        <w:szCs w:val="18"/>
      </w:rPr>
      <w:t>16 issue</w:t>
    </w:r>
    <w:r w:rsidRPr="005152B6">
      <w:rPr>
        <w:rFonts w:ascii="Times New Roman" w:hAnsi="Times New Roman" w:cs="Times New Roman"/>
        <w:b/>
        <w:sz w:val="18"/>
        <w:szCs w:val="18"/>
      </w:rPr>
      <w:t xml:space="preserve"> </w:t>
    </w:r>
    <w:r w:rsidRPr="005152B6">
      <w:rPr>
        <w:rFonts w:ascii="Times New Roman" w:hAnsi="Times New Roman" w:cs="Times New Roman"/>
        <w:sz w:val="18"/>
        <w:szCs w:val="18"/>
      </w:rPr>
      <w:t>1</w:t>
    </w:r>
    <w:r w:rsidRPr="005152B6">
      <w:rPr>
        <w:rFonts w:ascii="Times New Roman" w:hAnsi="Times New Roman" w:cs="Times New Roman"/>
        <w:b/>
        <w:sz w:val="18"/>
        <w:szCs w:val="18"/>
      </w:rPr>
      <w:t xml:space="preserve"> </w:t>
    </w:r>
    <w:r w:rsidRPr="005152B6">
      <w:rPr>
        <w:rFonts w:ascii="Times New Roman" w:hAnsi="Times New Roman" w:cs="Times New Roman"/>
        <w:sz w:val="18"/>
        <w:szCs w:val="18"/>
      </w:rPr>
      <w:t>(95-</w:t>
    </w:r>
    <w:r>
      <w:rPr>
        <w:rFonts w:ascii="Times New Roman" w:hAnsi="Times New Roman" w:cs="Times New Roman"/>
        <w:sz w:val="18"/>
        <w:szCs w:val="18"/>
      </w:rPr>
      <w:t>111</w:t>
    </w:r>
    <w:r w:rsidRPr="005152B6">
      <w:rPr>
        <w:rFonts w:ascii="Times New Roman" w:hAnsi="Times New Roman" w:cs="Times New Roman"/>
        <w:sz w:val="18"/>
        <w:szCs w:val="18"/>
      </w:rPr>
      <w:t>)</w:t>
    </w:r>
    <w:r w:rsidRPr="005152B6">
      <w:rPr>
        <w:rFonts w:ascii="Times New Roman" w:hAnsi="Times New Roman" w:cs="Times New Roman"/>
        <w:sz w:val="18"/>
        <w:szCs w:val="18"/>
      </w:rPr>
      <w:tab/>
    </w:r>
  </w:p>
  <w:p w14:paraId="3A249B73" w14:textId="7CD18C49" w:rsidR="005152B6" w:rsidRPr="005152B6" w:rsidRDefault="005152B6" w:rsidP="005152B6">
    <w:pPr>
      <w:pStyle w:val="Header"/>
      <w:spacing w:after="0" w:line="240" w:lineRule="auto"/>
      <w:ind w:left="0" w:hanging="2"/>
      <w:rPr>
        <w:rFonts w:ascii="Times New Roman" w:hAnsi="Times New Roman" w:cs="Times New Roman"/>
        <w:sz w:val="18"/>
        <w:szCs w:val="18"/>
      </w:rPr>
    </w:pPr>
    <w:r w:rsidRPr="005152B6">
      <w:rPr>
        <w:rFonts w:ascii="Times New Roman" w:hAnsi="Times New Roman" w:cs="Times New Roman"/>
        <w:sz w:val="18"/>
        <w:szCs w:val="18"/>
      </w:rPr>
      <w:t xml:space="preserve">© 2020, e-ISSN 2682-7727   </w:t>
    </w:r>
    <w:hyperlink r:id="rId1" w:history="1">
      <w:r w:rsidRPr="005152B6">
        <w:rPr>
          <w:rStyle w:val="Hyperlink"/>
          <w:rFonts w:ascii="Times New Roman" w:hAnsi="Times New Roman" w:cs="Times New Roman"/>
          <w:color w:val="auto"/>
          <w:sz w:val="18"/>
          <w:szCs w:val="18"/>
          <w:u w:val="none"/>
        </w:rPr>
        <w:t>https://doi.org/10.17576/geo-2020-1601-08</w:t>
      </w:r>
    </w:hyperlink>
    <w:sdt>
      <w:sdtPr>
        <w:rPr>
          <w:rFonts w:ascii="Times New Roman" w:hAnsi="Times New Roman" w:cs="Times New Roman"/>
          <w:sz w:val="18"/>
          <w:szCs w:val="18"/>
        </w:rPr>
        <w:id w:val="-243641193"/>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5152B6">
          <w:rPr>
            <w:rFonts w:ascii="Times New Roman" w:hAnsi="Times New Roman" w:cs="Times New Roman"/>
            <w:sz w:val="18"/>
            <w:szCs w:val="18"/>
          </w:rPr>
          <w:fldChar w:fldCharType="begin"/>
        </w:r>
        <w:r w:rsidRPr="005152B6">
          <w:rPr>
            <w:rFonts w:ascii="Times New Roman" w:hAnsi="Times New Roman" w:cs="Times New Roman"/>
            <w:sz w:val="18"/>
            <w:szCs w:val="18"/>
          </w:rPr>
          <w:instrText xml:space="preserve"> PAGE   \* MERGEFORMAT </w:instrText>
        </w:r>
        <w:r w:rsidRPr="005152B6">
          <w:rPr>
            <w:rFonts w:ascii="Times New Roman" w:hAnsi="Times New Roman" w:cs="Times New Roman"/>
            <w:sz w:val="18"/>
            <w:szCs w:val="18"/>
          </w:rPr>
          <w:fldChar w:fldCharType="separate"/>
        </w:r>
        <w:r w:rsidR="00FD37F6">
          <w:rPr>
            <w:rFonts w:ascii="Times New Roman" w:hAnsi="Times New Roman" w:cs="Times New Roman"/>
            <w:noProof/>
            <w:sz w:val="18"/>
            <w:szCs w:val="18"/>
          </w:rPr>
          <w:t>95</w:t>
        </w:r>
        <w:r w:rsidRPr="005152B6">
          <w:rPr>
            <w:rFonts w:ascii="Times New Roman" w:hAnsi="Times New Roman" w:cs="Times New Roman"/>
            <w:noProof/>
            <w:sz w:val="18"/>
            <w:szCs w:val="18"/>
          </w:rPr>
          <w:fldChar w:fldCharType="end"/>
        </w:r>
      </w:sdtContent>
    </w:sdt>
  </w:p>
  <w:p w14:paraId="3FBCB49E" w14:textId="550EF6F3" w:rsidR="0015386C" w:rsidRPr="00665616" w:rsidRDefault="0015386C" w:rsidP="005152B6">
    <w:pPr>
      <w:pStyle w:val="Header"/>
      <w:spacing w:after="0" w:line="240" w:lineRule="auto"/>
      <w:ind w:left="0" w:hanging="2"/>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B3D06" w14:textId="77777777" w:rsidR="0015386C" w:rsidRDefault="0015386C">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01843"/>
    <w:multiLevelType w:val="multilevel"/>
    <w:tmpl w:val="F8324B4E"/>
    <w:lvl w:ilvl="0">
      <w:start w:val="1"/>
      <w:numFmt w:val="lowerRoman"/>
      <w:lvlText w:val="%1."/>
      <w:lvlJc w:val="left"/>
      <w:pPr>
        <w:ind w:left="2784" w:hanging="720"/>
      </w:pPr>
    </w:lvl>
    <w:lvl w:ilvl="1">
      <w:start w:val="1"/>
      <w:numFmt w:val="lowerLetter"/>
      <w:lvlText w:val="%2."/>
      <w:lvlJc w:val="left"/>
      <w:pPr>
        <w:ind w:left="3144" w:hanging="360"/>
      </w:pPr>
    </w:lvl>
    <w:lvl w:ilvl="2">
      <w:start w:val="1"/>
      <w:numFmt w:val="lowerRoman"/>
      <w:lvlText w:val="%3."/>
      <w:lvlJc w:val="right"/>
      <w:pPr>
        <w:ind w:left="3864" w:hanging="180"/>
      </w:pPr>
    </w:lvl>
    <w:lvl w:ilvl="3">
      <w:start w:val="1"/>
      <w:numFmt w:val="decimal"/>
      <w:lvlText w:val="%4."/>
      <w:lvlJc w:val="left"/>
      <w:pPr>
        <w:ind w:left="4584" w:hanging="360"/>
      </w:pPr>
    </w:lvl>
    <w:lvl w:ilvl="4">
      <w:start w:val="1"/>
      <w:numFmt w:val="lowerLetter"/>
      <w:lvlText w:val="%5."/>
      <w:lvlJc w:val="left"/>
      <w:pPr>
        <w:ind w:left="5304" w:hanging="360"/>
      </w:pPr>
    </w:lvl>
    <w:lvl w:ilvl="5">
      <w:start w:val="1"/>
      <w:numFmt w:val="lowerRoman"/>
      <w:lvlText w:val="%6."/>
      <w:lvlJc w:val="right"/>
      <w:pPr>
        <w:ind w:left="6024" w:hanging="180"/>
      </w:pPr>
    </w:lvl>
    <w:lvl w:ilvl="6">
      <w:start w:val="1"/>
      <w:numFmt w:val="decimal"/>
      <w:lvlText w:val="%7."/>
      <w:lvlJc w:val="left"/>
      <w:pPr>
        <w:ind w:left="6744" w:hanging="360"/>
      </w:pPr>
    </w:lvl>
    <w:lvl w:ilvl="7">
      <w:start w:val="1"/>
      <w:numFmt w:val="lowerLetter"/>
      <w:lvlText w:val="%8."/>
      <w:lvlJc w:val="left"/>
      <w:pPr>
        <w:ind w:left="7464" w:hanging="360"/>
      </w:pPr>
    </w:lvl>
    <w:lvl w:ilvl="8">
      <w:start w:val="1"/>
      <w:numFmt w:val="lowerRoman"/>
      <w:lvlText w:val="%9."/>
      <w:lvlJc w:val="right"/>
      <w:pPr>
        <w:ind w:left="818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s>
  <w:rsids>
    <w:rsidRoot w:val="00227552"/>
    <w:rsid w:val="00006906"/>
    <w:rsid w:val="00010DE4"/>
    <w:rsid w:val="00016C0D"/>
    <w:rsid w:val="00047DD9"/>
    <w:rsid w:val="00057F04"/>
    <w:rsid w:val="00086629"/>
    <w:rsid w:val="00096E51"/>
    <w:rsid w:val="000A7860"/>
    <w:rsid w:val="000B5F8C"/>
    <w:rsid w:val="000C772C"/>
    <w:rsid w:val="000F5F7D"/>
    <w:rsid w:val="001363F7"/>
    <w:rsid w:val="00151009"/>
    <w:rsid w:val="0015386C"/>
    <w:rsid w:val="001819C4"/>
    <w:rsid w:val="0019205E"/>
    <w:rsid w:val="001A5966"/>
    <w:rsid w:val="001C2E8D"/>
    <w:rsid w:val="001C2FAA"/>
    <w:rsid w:val="00204F09"/>
    <w:rsid w:val="00216E24"/>
    <w:rsid w:val="00220021"/>
    <w:rsid w:val="00227552"/>
    <w:rsid w:val="00255913"/>
    <w:rsid w:val="00274F5E"/>
    <w:rsid w:val="002877FE"/>
    <w:rsid w:val="002B4B6A"/>
    <w:rsid w:val="002C79B5"/>
    <w:rsid w:val="002D3056"/>
    <w:rsid w:val="002E3AF6"/>
    <w:rsid w:val="002E5EED"/>
    <w:rsid w:val="00302C1D"/>
    <w:rsid w:val="003462E1"/>
    <w:rsid w:val="0037502C"/>
    <w:rsid w:val="00382B27"/>
    <w:rsid w:val="00392C34"/>
    <w:rsid w:val="00395AE8"/>
    <w:rsid w:val="003C0A32"/>
    <w:rsid w:val="003E3501"/>
    <w:rsid w:val="003E634D"/>
    <w:rsid w:val="003F01CF"/>
    <w:rsid w:val="00406E31"/>
    <w:rsid w:val="0042174E"/>
    <w:rsid w:val="00421A25"/>
    <w:rsid w:val="0047223A"/>
    <w:rsid w:val="004869FE"/>
    <w:rsid w:val="004A3987"/>
    <w:rsid w:val="004A76E0"/>
    <w:rsid w:val="004B4A23"/>
    <w:rsid w:val="004C51BA"/>
    <w:rsid w:val="004E0A04"/>
    <w:rsid w:val="0050302F"/>
    <w:rsid w:val="005152B6"/>
    <w:rsid w:val="005227B6"/>
    <w:rsid w:val="00525258"/>
    <w:rsid w:val="00542292"/>
    <w:rsid w:val="00542AF3"/>
    <w:rsid w:val="005537AB"/>
    <w:rsid w:val="005712A1"/>
    <w:rsid w:val="0057529B"/>
    <w:rsid w:val="00575797"/>
    <w:rsid w:val="005B149E"/>
    <w:rsid w:val="005C0BE8"/>
    <w:rsid w:val="005C5217"/>
    <w:rsid w:val="005F666C"/>
    <w:rsid w:val="00607A63"/>
    <w:rsid w:val="0063654E"/>
    <w:rsid w:val="006645B7"/>
    <w:rsid w:val="00665616"/>
    <w:rsid w:val="00690013"/>
    <w:rsid w:val="006D1415"/>
    <w:rsid w:val="006E7BA9"/>
    <w:rsid w:val="006F36E6"/>
    <w:rsid w:val="006F3A21"/>
    <w:rsid w:val="00704F19"/>
    <w:rsid w:val="00710E81"/>
    <w:rsid w:val="00720630"/>
    <w:rsid w:val="007237FE"/>
    <w:rsid w:val="00726360"/>
    <w:rsid w:val="007308E9"/>
    <w:rsid w:val="007604C9"/>
    <w:rsid w:val="007748CA"/>
    <w:rsid w:val="0077589D"/>
    <w:rsid w:val="00775E7B"/>
    <w:rsid w:val="00777284"/>
    <w:rsid w:val="007A4894"/>
    <w:rsid w:val="007C3EB4"/>
    <w:rsid w:val="007F2D8A"/>
    <w:rsid w:val="00812A8A"/>
    <w:rsid w:val="008219EA"/>
    <w:rsid w:val="00852285"/>
    <w:rsid w:val="008532E6"/>
    <w:rsid w:val="00853F3B"/>
    <w:rsid w:val="00862C22"/>
    <w:rsid w:val="00896C6C"/>
    <w:rsid w:val="008A0AAF"/>
    <w:rsid w:val="008A2AC2"/>
    <w:rsid w:val="008A701E"/>
    <w:rsid w:val="008B0998"/>
    <w:rsid w:val="008B0AD8"/>
    <w:rsid w:val="008C05C4"/>
    <w:rsid w:val="008E2F6C"/>
    <w:rsid w:val="008E3A99"/>
    <w:rsid w:val="008E5135"/>
    <w:rsid w:val="00906507"/>
    <w:rsid w:val="00915CF1"/>
    <w:rsid w:val="009342A7"/>
    <w:rsid w:val="00934A80"/>
    <w:rsid w:val="00943DC1"/>
    <w:rsid w:val="0095236F"/>
    <w:rsid w:val="00952A22"/>
    <w:rsid w:val="00962E48"/>
    <w:rsid w:val="009A3EAF"/>
    <w:rsid w:val="009B158A"/>
    <w:rsid w:val="009C69C3"/>
    <w:rsid w:val="009C7361"/>
    <w:rsid w:val="009D084A"/>
    <w:rsid w:val="009D1EAB"/>
    <w:rsid w:val="00A03ABC"/>
    <w:rsid w:val="00A054EE"/>
    <w:rsid w:val="00A20EFC"/>
    <w:rsid w:val="00A35173"/>
    <w:rsid w:val="00A403A3"/>
    <w:rsid w:val="00A4535F"/>
    <w:rsid w:val="00A520F2"/>
    <w:rsid w:val="00A63832"/>
    <w:rsid w:val="00A73F99"/>
    <w:rsid w:val="00A8178B"/>
    <w:rsid w:val="00A93F65"/>
    <w:rsid w:val="00AC34AD"/>
    <w:rsid w:val="00AD2F41"/>
    <w:rsid w:val="00AD4E14"/>
    <w:rsid w:val="00AE5F77"/>
    <w:rsid w:val="00B03A3B"/>
    <w:rsid w:val="00B13757"/>
    <w:rsid w:val="00B16552"/>
    <w:rsid w:val="00B4006F"/>
    <w:rsid w:val="00B462FA"/>
    <w:rsid w:val="00B62737"/>
    <w:rsid w:val="00B66A8E"/>
    <w:rsid w:val="00B70CC6"/>
    <w:rsid w:val="00B71CE2"/>
    <w:rsid w:val="00B80AFF"/>
    <w:rsid w:val="00BC0C9F"/>
    <w:rsid w:val="00BD33A0"/>
    <w:rsid w:val="00BF0DC2"/>
    <w:rsid w:val="00C06CDE"/>
    <w:rsid w:val="00C1509E"/>
    <w:rsid w:val="00C21F12"/>
    <w:rsid w:val="00C24B35"/>
    <w:rsid w:val="00C43785"/>
    <w:rsid w:val="00C85048"/>
    <w:rsid w:val="00C9500E"/>
    <w:rsid w:val="00C97477"/>
    <w:rsid w:val="00CE2C2B"/>
    <w:rsid w:val="00CE59E3"/>
    <w:rsid w:val="00CF3D6D"/>
    <w:rsid w:val="00D002CC"/>
    <w:rsid w:val="00D16398"/>
    <w:rsid w:val="00D44AE5"/>
    <w:rsid w:val="00D50F2E"/>
    <w:rsid w:val="00D53229"/>
    <w:rsid w:val="00D57F4E"/>
    <w:rsid w:val="00D731CD"/>
    <w:rsid w:val="00D7601A"/>
    <w:rsid w:val="00D9727C"/>
    <w:rsid w:val="00DA02D8"/>
    <w:rsid w:val="00DA6E58"/>
    <w:rsid w:val="00DF137A"/>
    <w:rsid w:val="00E36B43"/>
    <w:rsid w:val="00E41094"/>
    <w:rsid w:val="00E435EF"/>
    <w:rsid w:val="00E51374"/>
    <w:rsid w:val="00E62085"/>
    <w:rsid w:val="00E7286E"/>
    <w:rsid w:val="00E72C92"/>
    <w:rsid w:val="00E86C13"/>
    <w:rsid w:val="00E946C3"/>
    <w:rsid w:val="00E96218"/>
    <w:rsid w:val="00EB4E48"/>
    <w:rsid w:val="00EC5C01"/>
    <w:rsid w:val="00ED08F0"/>
    <w:rsid w:val="00F066FF"/>
    <w:rsid w:val="00F10FA4"/>
    <w:rsid w:val="00F33A30"/>
    <w:rsid w:val="00F557B0"/>
    <w:rsid w:val="00F74CC4"/>
    <w:rsid w:val="00F83C6A"/>
    <w:rsid w:val="00F85D18"/>
    <w:rsid w:val="00F868B0"/>
    <w:rsid w:val="00F91A6E"/>
    <w:rsid w:val="00FB0E73"/>
    <w:rsid w:val="00FB4B2F"/>
    <w:rsid w:val="00FB4D6A"/>
    <w:rsid w:val="00FD37F6"/>
    <w:rsid w:val="00FF577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038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uiPriority w:val="20"/>
    <w:qFormat/>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uiPriority w:val="9"/>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customStyle="1" w:styleId="personname">
    <w:name w:val="person_name"/>
    <w:basedOn w:val="DefaultParagraphFont"/>
    <w:rsid w:val="00C06CDE"/>
  </w:style>
  <w:style w:type="character" w:customStyle="1" w:styleId="a0">
    <w:name w:val="_"/>
    <w:basedOn w:val="DefaultParagraphFont"/>
    <w:rsid w:val="00F557B0"/>
  </w:style>
  <w:style w:type="character" w:customStyle="1" w:styleId="ff3">
    <w:name w:val="ff3"/>
    <w:basedOn w:val="DefaultParagraphFont"/>
    <w:rsid w:val="00F557B0"/>
  </w:style>
  <w:style w:type="character" w:customStyle="1" w:styleId="ff2">
    <w:name w:val="ff2"/>
    <w:basedOn w:val="DefaultParagraphFont"/>
    <w:rsid w:val="00F557B0"/>
  </w:style>
  <w:style w:type="character" w:customStyle="1" w:styleId="authors">
    <w:name w:val="authors"/>
    <w:basedOn w:val="DefaultParagraphFont"/>
    <w:rsid w:val="00F066FF"/>
  </w:style>
  <w:style w:type="character" w:customStyle="1" w:styleId="Date1">
    <w:name w:val="Date1"/>
    <w:basedOn w:val="DefaultParagraphFont"/>
    <w:rsid w:val="00F066FF"/>
  </w:style>
  <w:style w:type="character" w:customStyle="1" w:styleId="arttitle">
    <w:name w:val="art_title"/>
    <w:basedOn w:val="DefaultParagraphFont"/>
    <w:rsid w:val="00F066FF"/>
  </w:style>
  <w:style w:type="character" w:customStyle="1" w:styleId="serialtitle">
    <w:name w:val="serial_title"/>
    <w:basedOn w:val="DefaultParagraphFont"/>
    <w:rsid w:val="00F066FF"/>
  </w:style>
  <w:style w:type="character" w:customStyle="1" w:styleId="volumeissue">
    <w:name w:val="volume_issue"/>
    <w:basedOn w:val="DefaultParagraphFont"/>
    <w:rsid w:val="00F066FF"/>
  </w:style>
  <w:style w:type="character" w:customStyle="1" w:styleId="pagerange">
    <w:name w:val="page_range"/>
    <w:basedOn w:val="DefaultParagraphFont"/>
    <w:rsid w:val="00F066FF"/>
  </w:style>
  <w:style w:type="character" w:customStyle="1" w:styleId="doilink">
    <w:name w:val="doi_link"/>
    <w:basedOn w:val="DefaultParagraphFont"/>
    <w:rsid w:val="00F066FF"/>
  </w:style>
  <w:style w:type="character" w:customStyle="1" w:styleId="citation">
    <w:name w:val="citation"/>
    <w:basedOn w:val="DefaultParagraphFont"/>
    <w:rsid w:val="00710E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uiPriority w:val="20"/>
    <w:qFormat/>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uiPriority w:val="9"/>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customStyle="1" w:styleId="personname">
    <w:name w:val="person_name"/>
    <w:basedOn w:val="DefaultParagraphFont"/>
    <w:rsid w:val="00C06CDE"/>
  </w:style>
  <w:style w:type="character" w:customStyle="1" w:styleId="a0">
    <w:name w:val="_"/>
    <w:basedOn w:val="DefaultParagraphFont"/>
    <w:rsid w:val="00F557B0"/>
  </w:style>
  <w:style w:type="character" w:customStyle="1" w:styleId="ff3">
    <w:name w:val="ff3"/>
    <w:basedOn w:val="DefaultParagraphFont"/>
    <w:rsid w:val="00F557B0"/>
  </w:style>
  <w:style w:type="character" w:customStyle="1" w:styleId="ff2">
    <w:name w:val="ff2"/>
    <w:basedOn w:val="DefaultParagraphFont"/>
    <w:rsid w:val="00F557B0"/>
  </w:style>
  <w:style w:type="character" w:customStyle="1" w:styleId="authors">
    <w:name w:val="authors"/>
    <w:basedOn w:val="DefaultParagraphFont"/>
    <w:rsid w:val="00F066FF"/>
  </w:style>
  <w:style w:type="character" w:customStyle="1" w:styleId="Date1">
    <w:name w:val="Date1"/>
    <w:basedOn w:val="DefaultParagraphFont"/>
    <w:rsid w:val="00F066FF"/>
  </w:style>
  <w:style w:type="character" w:customStyle="1" w:styleId="arttitle">
    <w:name w:val="art_title"/>
    <w:basedOn w:val="DefaultParagraphFont"/>
    <w:rsid w:val="00F066FF"/>
  </w:style>
  <w:style w:type="character" w:customStyle="1" w:styleId="serialtitle">
    <w:name w:val="serial_title"/>
    <w:basedOn w:val="DefaultParagraphFont"/>
    <w:rsid w:val="00F066FF"/>
  </w:style>
  <w:style w:type="character" w:customStyle="1" w:styleId="volumeissue">
    <w:name w:val="volume_issue"/>
    <w:basedOn w:val="DefaultParagraphFont"/>
    <w:rsid w:val="00F066FF"/>
  </w:style>
  <w:style w:type="character" w:customStyle="1" w:styleId="pagerange">
    <w:name w:val="page_range"/>
    <w:basedOn w:val="DefaultParagraphFont"/>
    <w:rsid w:val="00F066FF"/>
  </w:style>
  <w:style w:type="character" w:customStyle="1" w:styleId="doilink">
    <w:name w:val="doi_link"/>
    <w:basedOn w:val="DefaultParagraphFont"/>
    <w:rsid w:val="00F066FF"/>
  </w:style>
  <w:style w:type="character" w:customStyle="1" w:styleId="citation">
    <w:name w:val="citation"/>
    <w:basedOn w:val="DefaultParagraphFont"/>
    <w:rsid w:val="00710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5146">
      <w:bodyDiv w:val="1"/>
      <w:marLeft w:val="0"/>
      <w:marRight w:val="0"/>
      <w:marTop w:val="0"/>
      <w:marBottom w:val="0"/>
      <w:divBdr>
        <w:top w:val="none" w:sz="0" w:space="0" w:color="auto"/>
        <w:left w:val="none" w:sz="0" w:space="0" w:color="auto"/>
        <w:bottom w:val="none" w:sz="0" w:space="0" w:color="auto"/>
        <w:right w:val="none" w:sz="0" w:space="0" w:color="auto"/>
      </w:divBdr>
    </w:div>
    <w:div w:id="368341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merald.com/insight/search?q=Ruswiati%20Surya%20Saputra" TargetMode="External"/><Relationship Id="rId18" Type="http://schemas.openxmlformats.org/officeDocument/2006/relationships/hyperlink" Target="https://drive.google.com/file/d/0B9ZPR6HxY7PXTnNjaDBRd1d1cEE/view"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emerald.com/insight/search?q=Abu%20Rashed%20Osman" TargetMode="External"/><Relationship Id="rId17" Type="http://schemas.openxmlformats.org/officeDocument/2006/relationships/hyperlink" Target="https://www.emerald.com/insight/search?q=Ruswiati%20Surya%20Saputr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merald.com/insight/search?q=Abu%20Rashed%20Osma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andfonline.com/doi/full/10.1080/02601370.2016.1241833" TargetMode="External"/><Relationship Id="rId24" Type="http://schemas.openxmlformats.org/officeDocument/2006/relationships/footer" Target="footer3.xml"/><Relationship Id="rId5" Type="http://schemas.microsoft.com/office/2007/relationships/stylesWithEffects" Target="stylesWithEffects.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image" Target="media/image1.jp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0-160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54CFF0C-0CAD-4F84-9277-176EF6E54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17</Pages>
  <Words>7421</Words>
  <Characters>42303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Jamal Yunus</dc:creator>
  <cp:lastModifiedBy>makmal1349</cp:lastModifiedBy>
  <cp:revision>40</cp:revision>
  <dcterms:created xsi:type="dcterms:W3CDTF">2020-02-19T06:55:00Z</dcterms:created>
  <dcterms:modified xsi:type="dcterms:W3CDTF">2020-02-27T10:25:00Z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