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ADFF" w14:textId="360E7F19" w:rsidR="0030400D" w:rsidRPr="00236EE0" w:rsidRDefault="0030400D" w:rsidP="00C961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n-MY" w:eastAsia="en-MY"/>
        </w:rPr>
        <w:drawing>
          <wp:inline distT="0" distB="0" distL="0" distR="0" wp14:anchorId="4742F340" wp14:editId="347921A7">
            <wp:extent cx="5697415" cy="493931"/>
            <wp:effectExtent l="0" t="0" r="0" b="190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graf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626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B780D" w14:textId="77777777" w:rsidR="00C96133" w:rsidRDefault="00C96133" w:rsidP="00C96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14:paraId="2B777507" w14:textId="33B9FA16" w:rsidR="00114010" w:rsidRPr="008C4B1A" w:rsidRDefault="00114010" w:rsidP="00C961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Are </w:t>
      </w:r>
      <w:r w:rsidR="00EB3082" w:rsidRPr="00236EE0">
        <w:rPr>
          <w:rFonts w:ascii="Times New Roman" w:eastAsia="Calibri" w:hAnsi="Times New Roman" w:cs="Times New Roman"/>
          <w:b/>
          <w:sz w:val="28"/>
          <w:szCs w:val="28"/>
          <w:lang w:val="en-GB"/>
        </w:rPr>
        <w:t>high</w:t>
      </w:r>
      <w:r w:rsidR="00EB3082">
        <w:rPr>
          <w:rFonts w:ascii="Times New Roman" w:eastAsia="Calibri" w:hAnsi="Times New Roman" w:cs="Times New Roman"/>
          <w:b/>
          <w:sz w:val="28"/>
          <w:szCs w:val="28"/>
          <w:lang w:val="en-GB"/>
        </w:rPr>
        <w:t>ly</w:t>
      </w:r>
      <w:r w:rsidR="00EB3082" w:rsidRPr="00236EE0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</w:t>
      </w:r>
      <w:r w:rsidR="00EB3082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unionised </w:t>
      </w:r>
      <w:r w:rsidR="00EB3082" w:rsidRPr="00236EE0">
        <w:rPr>
          <w:rFonts w:ascii="Times New Roman" w:eastAsia="Calibri" w:hAnsi="Times New Roman" w:cs="Times New Roman"/>
          <w:b/>
          <w:sz w:val="28"/>
          <w:szCs w:val="28"/>
          <w:lang w:val="en-GB"/>
        </w:rPr>
        <w:t>industr</w:t>
      </w:r>
      <w:r w:rsidR="00EB3082">
        <w:rPr>
          <w:rFonts w:ascii="Times New Roman" w:eastAsia="Calibri" w:hAnsi="Times New Roman" w:cs="Times New Roman"/>
          <w:b/>
          <w:sz w:val="28"/>
          <w:szCs w:val="28"/>
          <w:lang w:val="en-GB"/>
        </w:rPr>
        <w:t>ies</w:t>
      </w:r>
      <w:r w:rsidR="00EB3082" w:rsidRPr="00236EE0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socially responsible to </w:t>
      </w:r>
      <w:r w:rsidR="00EB3082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their </w:t>
      </w:r>
      <w:r w:rsidR="00EB3082" w:rsidRPr="00236EE0">
        <w:rPr>
          <w:rFonts w:ascii="Times New Roman" w:eastAsia="Calibri" w:hAnsi="Times New Roman" w:cs="Times New Roman"/>
          <w:b/>
          <w:sz w:val="28"/>
          <w:szCs w:val="28"/>
          <w:lang w:val="en-GB"/>
        </w:rPr>
        <w:t>employee</w:t>
      </w:r>
      <w:r w:rsidR="00EB3082">
        <w:rPr>
          <w:rFonts w:ascii="Times New Roman" w:eastAsia="Calibri" w:hAnsi="Times New Roman" w:cs="Times New Roman"/>
          <w:b/>
          <w:sz w:val="28"/>
          <w:szCs w:val="28"/>
          <w:lang w:val="en-GB"/>
        </w:rPr>
        <w:t>s</w:t>
      </w:r>
      <w:r w:rsidRPr="00236EE0">
        <w:rPr>
          <w:rFonts w:ascii="Times New Roman" w:eastAsia="Calibri" w:hAnsi="Times New Roman" w:cs="Times New Roman"/>
          <w:b/>
          <w:sz w:val="28"/>
          <w:szCs w:val="28"/>
          <w:lang w:val="en-GB"/>
        </w:rPr>
        <w:t>?</w:t>
      </w:r>
    </w:p>
    <w:p w14:paraId="1F63D298" w14:textId="77777777" w:rsidR="00EB3082" w:rsidRDefault="00EB3082" w:rsidP="00114010">
      <w:pPr>
        <w:spacing w:after="0" w:line="240" w:lineRule="auto"/>
        <w:jc w:val="center"/>
        <w:rPr>
          <w:rFonts w:ascii="Times New Roman" w:eastAsia="Calibri" w:hAnsi="Times New Roman" w:cs="Times New Roman"/>
          <w:lang w:val="en-GB"/>
        </w:rPr>
      </w:pPr>
    </w:p>
    <w:p w14:paraId="20D15CBF" w14:textId="6D52C755" w:rsidR="00114010" w:rsidRPr="00347F9D" w:rsidRDefault="00114010" w:rsidP="00114010">
      <w:pPr>
        <w:spacing w:after="0" w:line="240" w:lineRule="auto"/>
        <w:jc w:val="center"/>
        <w:rPr>
          <w:rFonts w:ascii="Times New Roman" w:eastAsia="Calibri" w:hAnsi="Times New Roman" w:cs="Times New Roman"/>
          <w:lang w:val="en-GB"/>
        </w:rPr>
      </w:pPr>
      <w:r w:rsidRPr="00347F9D">
        <w:rPr>
          <w:rFonts w:ascii="Times New Roman" w:eastAsia="Calibri" w:hAnsi="Times New Roman" w:cs="Times New Roman"/>
          <w:lang w:val="en-GB"/>
        </w:rPr>
        <w:t>Mara Ridhuan Che Abdul Rahman</w:t>
      </w:r>
      <w:r w:rsidR="00EB3082" w:rsidRPr="00EB3082">
        <w:rPr>
          <w:rFonts w:ascii="Times New Roman" w:eastAsia="Calibri" w:hAnsi="Times New Roman" w:cs="Times New Roman"/>
          <w:vertAlign w:val="superscript"/>
          <w:lang w:val="en-GB"/>
        </w:rPr>
        <w:t>1</w:t>
      </w:r>
      <w:r w:rsidRPr="00347F9D">
        <w:rPr>
          <w:rFonts w:ascii="Times New Roman" w:eastAsia="Calibri" w:hAnsi="Times New Roman" w:cs="Times New Roman"/>
          <w:lang w:val="en-GB"/>
        </w:rPr>
        <w:t>, Insyira Afika Ibrahim</w:t>
      </w:r>
      <w:r w:rsidR="00EB3082" w:rsidRPr="00EB3082">
        <w:rPr>
          <w:rFonts w:ascii="Times New Roman" w:eastAsia="Calibri" w:hAnsi="Times New Roman" w:cs="Times New Roman"/>
          <w:vertAlign w:val="superscript"/>
          <w:lang w:val="en-GB"/>
        </w:rPr>
        <w:t>1</w:t>
      </w:r>
      <w:r w:rsidRPr="00347F9D">
        <w:rPr>
          <w:rFonts w:ascii="Times New Roman" w:eastAsia="Calibri" w:hAnsi="Times New Roman" w:cs="Times New Roman"/>
          <w:lang w:val="en-GB"/>
        </w:rPr>
        <w:t>, Dina Madinah</w:t>
      </w:r>
      <w:r w:rsidR="00EB3082" w:rsidRPr="00EB3082">
        <w:rPr>
          <w:rFonts w:ascii="Times New Roman" w:eastAsia="Calibri" w:hAnsi="Times New Roman" w:cs="Times New Roman"/>
          <w:vertAlign w:val="superscript"/>
          <w:lang w:val="en-GB"/>
        </w:rPr>
        <w:t>1</w:t>
      </w:r>
    </w:p>
    <w:p w14:paraId="1ADFBEA4" w14:textId="77777777" w:rsidR="00114010" w:rsidRPr="00EB3082" w:rsidRDefault="00114010" w:rsidP="00EB3082">
      <w:pPr>
        <w:spacing w:after="0" w:line="240" w:lineRule="auto"/>
        <w:jc w:val="center"/>
        <w:rPr>
          <w:rFonts w:ascii="Times New Roman" w:eastAsia="Calibri" w:hAnsi="Times New Roman" w:cs="Times New Roman"/>
          <w:lang w:val="en-GB"/>
        </w:rPr>
      </w:pPr>
    </w:p>
    <w:p w14:paraId="14A15659" w14:textId="1BB600E4" w:rsidR="00114010" w:rsidRPr="00347F9D" w:rsidRDefault="00EB3082" w:rsidP="00114010">
      <w:pPr>
        <w:spacing w:after="0" w:line="240" w:lineRule="auto"/>
        <w:jc w:val="center"/>
        <w:rPr>
          <w:rFonts w:ascii="Times New Roman" w:eastAsia="Calibri" w:hAnsi="Times New Roman" w:cs="Times New Roman"/>
          <w:lang w:val="en-GB"/>
        </w:rPr>
      </w:pPr>
      <w:r w:rsidRPr="00EB3082">
        <w:rPr>
          <w:rFonts w:ascii="Times New Roman" w:eastAsia="Calibri" w:hAnsi="Times New Roman" w:cs="Times New Roman"/>
          <w:vertAlign w:val="superscript"/>
          <w:lang w:val="en-GB"/>
        </w:rPr>
        <w:t>1</w:t>
      </w:r>
      <w:r w:rsidR="00114010" w:rsidRPr="00347F9D">
        <w:rPr>
          <w:rFonts w:ascii="Times New Roman" w:eastAsia="Calibri" w:hAnsi="Times New Roman" w:cs="Times New Roman"/>
          <w:lang w:val="en-GB"/>
        </w:rPr>
        <w:t>Centre for Governance Resilience and Accountability</w:t>
      </w:r>
    </w:p>
    <w:p w14:paraId="4BEAAD4F" w14:textId="1D18721C" w:rsidR="00114010" w:rsidRPr="00347F9D" w:rsidRDefault="00114010" w:rsidP="00114010">
      <w:pPr>
        <w:spacing w:after="0" w:line="240" w:lineRule="auto"/>
        <w:jc w:val="center"/>
        <w:rPr>
          <w:rFonts w:ascii="Times New Roman" w:eastAsia="Calibri" w:hAnsi="Times New Roman" w:cs="Times New Roman"/>
          <w:lang w:val="en-GB"/>
        </w:rPr>
      </w:pPr>
      <w:r w:rsidRPr="00347F9D">
        <w:rPr>
          <w:rFonts w:ascii="Times New Roman" w:eastAsia="Calibri" w:hAnsi="Times New Roman" w:cs="Times New Roman"/>
          <w:lang w:val="en-GB"/>
        </w:rPr>
        <w:t>Facu</w:t>
      </w:r>
      <w:r w:rsidR="00EB3082">
        <w:rPr>
          <w:rFonts w:ascii="Times New Roman" w:eastAsia="Calibri" w:hAnsi="Times New Roman" w:cs="Times New Roman"/>
          <w:lang w:val="en-GB"/>
        </w:rPr>
        <w:t xml:space="preserve">lty of Economics and Management, </w:t>
      </w:r>
      <w:r w:rsidRPr="00347F9D">
        <w:rPr>
          <w:rFonts w:ascii="Times New Roman" w:eastAsia="Calibri" w:hAnsi="Times New Roman" w:cs="Times New Roman"/>
          <w:lang w:val="en-GB"/>
        </w:rPr>
        <w:t>Universiti Kebangsaan Malaysia</w:t>
      </w:r>
    </w:p>
    <w:p w14:paraId="05078605" w14:textId="77777777" w:rsidR="00114010" w:rsidRPr="00EB3082" w:rsidRDefault="00114010" w:rsidP="00114010">
      <w:pPr>
        <w:spacing w:after="0" w:line="240" w:lineRule="auto"/>
        <w:jc w:val="center"/>
        <w:rPr>
          <w:rFonts w:ascii="Times New Roman" w:eastAsia="Calibri" w:hAnsi="Times New Roman" w:cs="Times New Roman"/>
          <w:lang w:val="en-GB"/>
        </w:rPr>
      </w:pPr>
    </w:p>
    <w:p w14:paraId="0CAD2AE3" w14:textId="11FE90BB" w:rsidR="00114010" w:rsidRPr="00236EE0" w:rsidRDefault="00114010" w:rsidP="001140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Correspondence: Mara Ridhuan Che Abdul Rahman (</w:t>
      </w:r>
      <w:r w:rsidR="00EB3082">
        <w:rPr>
          <w:rFonts w:ascii="Times New Roman" w:eastAsia="Calibri" w:hAnsi="Times New Roman" w:cs="Times New Roman"/>
          <w:sz w:val="24"/>
          <w:szCs w:val="24"/>
          <w:lang w:val="en-GB"/>
        </w:rPr>
        <w:t>email</w:t>
      </w:r>
      <w:r w:rsidR="00EB3082" w:rsidRPr="00F5425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: </w:t>
      </w:r>
      <w:r w:rsidRPr="00F5425F">
        <w:rPr>
          <w:rFonts w:ascii="Times New Roman" w:eastAsia="Calibri" w:hAnsi="Times New Roman" w:cs="Times New Roman"/>
          <w:sz w:val="24"/>
          <w:szCs w:val="24"/>
          <w:lang w:val="en-GB"/>
        </w:rPr>
        <w:t>mara@ukm.edu.my)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6A52FB5D" w14:textId="77777777" w:rsidR="00114010" w:rsidRPr="00EB3082" w:rsidRDefault="00114010" w:rsidP="00114010">
      <w:pPr>
        <w:spacing w:after="0" w:line="240" w:lineRule="auto"/>
        <w:jc w:val="center"/>
        <w:rPr>
          <w:rFonts w:ascii="Times New Roman" w:eastAsia="Calibri" w:hAnsi="Times New Roman" w:cs="Times New Roman"/>
          <w:lang w:val="en-GB"/>
        </w:rPr>
      </w:pPr>
    </w:p>
    <w:p w14:paraId="5C347D99" w14:textId="77777777" w:rsidR="007F7EBE" w:rsidRDefault="007F7EBE" w:rsidP="00EB3082">
      <w:pPr>
        <w:pStyle w:val="NoSpacing"/>
        <w:jc w:val="both"/>
        <w:rPr>
          <w:rFonts w:ascii="Times New Roman" w:hAnsi="Times New Roman"/>
          <w:bCs/>
        </w:rPr>
      </w:pPr>
    </w:p>
    <w:p w14:paraId="64C330F2" w14:textId="2849C0C1" w:rsidR="007F7EBE" w:rsidRDefault="007F7EBE" w:rsidP="007F7EBE">
      <w:pPr>
        <w:pStyle w:val="NormalWeb"/>
        <w:spacing w:after="0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Received: 01 March 2020; Acce</w:t>
      </w:r>
      <w:r w:rsidR="001E4491">
        <w:rPr>
          <w:color w:val="000000"/>
          <w:sz w:val="22"/>
          <w:szCs w:val="22"/>
        </w:rPr>
        <w:t>pted: 15 May 2020; Published: 30</w:t>
      </w:r>
      <w:bookmarkStart w:id="0" w:name="_GoBack"/>
      <w:bookmarkEnd w:id="0"/>
      <w:r>
        <w:rPr>
          <w:color w:val="000000"/>
          <w:sz w:val="22"/>
          <w:szCs w:val="22"/>
        </w:rPr>
        <w:t xml:space="preserve"> May 2020</w:t>
      </w:r>
    </w:p>
    <w:p w14:paraId="0C8201C5" w14:textId="77777777" w:rsidR="00114010" w:rsidRPr="00EB3082" w:rsidRDefault="00114010" w:rsidP="001140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728A9404" w14:textId="77777777" w:rsidR="00114010" w:rsidRPr="00EB3082" w:rsidRDefault="00114010" w:rsidP="001140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95D5929" w14:textId="0EAFA035" w:rsidR="00114010" w:rsidRPr="00236EE0" w:rsidRDefault="008C4B1A" w:rsidP="008C4B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/>
          <w:sz w:val="24"/>
          <w:szCs w:val="24"/>
          <w:lang w:val="en-GB"/>
        </w:rPr>
        <w:t>Abstract</w:t>
      </w:r>
    </w:p>
    <w:p w14:paraId="1D324F8A" w14:textId="77777777" w:rsidR="00114010" w:rsidRPr="00EB3082" w:rsidRDefault="00114010" w:rsidP="001140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E222C36" w14:textId="77777777" w:rsidR="00114010" w:rsidRPr="00236EE0" w:rsidRDefault="00114010" w:rsidP="001140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Corporate social responsibility towards employee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(CSR-E) is a vital aspect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of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modern business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that can promote employee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rights, justice and standards of employment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,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which in turn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can generate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benefits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for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companies.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From the perspective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of stakeholder theory, companies are expected to act and react to the demand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of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their most powerful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stakeholders.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Therefore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previous studies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on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CSR-E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are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skewed towards employee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s, whom they view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as relevant and powerful stakeholder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s,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and view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CSR-E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as a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tool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for promoting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employee engagement. However,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these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studies have neglected the labour union power of stakeholders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over the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CSR-E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activities of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companies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,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particularly in Malaysia.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The presence of l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abour unions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can increase the tendency for a company to observe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a state of democracy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and the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negotiation and collective bargaining power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of these labour unions can narrow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the gap between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the expectations of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employee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companies. Nonetheless, the relationship between labour union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and CSR-E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is only based on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gut feeling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and has never been examined in the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Malaysia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n context.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Given the differences in unionisation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rate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across industries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this study predicts that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highly unionised industries practise 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CSR-E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to a greater extent compared with non-unionised ones</w:t>
      </w:r>
      <w:r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Therefore, this study examines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relationship between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highly unionised industries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and CSR-E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practice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Banking and financial institutions and real estate and properties were selected as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highly and poorly unionised industries in this paper,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respectively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and their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rating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were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calculated based on available data from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the Malaysian Trade Union Congress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. A total of 100 annual reports for financial year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ending in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2017 and 2018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were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gathered from 50 companies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were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analysed for their content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to measure CSR-E. Control variables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 including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size, profit and leverage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were also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used to examine the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relationship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between CSR-E and unionisation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Highly unionised industries demonstrated a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positive relationship with CSR-E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practice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</w:p>
    <w:p w14:paraId="7006ED9A" w14:textId="77777777" w:rsidR="00114010" w:rsidRPr="00236EE0" w:rsidRDefault="00114010" w:rsidP="001140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4D632EB" w14:textId="77777777" w:rsidR="00114010" w:rsidRPr="00F5425F" w:rsidRDefault="00114010" w:rsidP="001140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5425F">
        <w:rPr>
          <w:rFonts w:ascii="Times New Roman" w:eastAsia="Calibri" w:hAnsi="Times New Roman" w:cs="Times New Roman"/>
          <w:b/>
          <w:sz w:val="24"/>
          <w:szCs w:val="24"/>
          <w:lang w:val="en-GB"/>
        </w:rPr>
        <w:t>Keywords</w:t>
      </w:r>
      <w:r w:rsidRPr="00F5425F">
        <w:rPr>
          <w:rFonts w:ascii="Times New Roman" w:eastAsia="Calibri" w:hAnsi="Times New Roman" w:cs="Times New Roman"/>
          <w:sz w:val="24"/>
          <w:szCs w:val="24"/>
          <w:lang w:val="en-GB"/>
        </w:rPr>
        <w:t>: corporate social responsibility, employees, stakeholder theory, unionised industries</w:t>
      </w:r>
    </w:p>
    <w:p w14:paraId="386C3285" w14:textId="77777777" w:rsidR="00114010" w:rsidRPr="00EB3082" w:rsidRDefault="00114010" w:rsidP="001140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9DAE74B" w14:textId="77777777" w:rsidR="00114010" w:rsidRPr="00EB3082" w:rsidRDefault="00114010" w:rsidP="001140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DE7ECF4" w14:textId="77777777" w:rsidR="00114010" w:rsidRPr="00EB3082" w:rsidRDefault="00114010" w:rsidP="001140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B3082">
        <w:rPr>
          <w:rFonts w:ascii="Times New Roman" w:eastAsia="Calibri" w:hAnsi="Times New Roman" w:cs="Times New Roman"/>
          <w:b/>
          <w:sz w:val="24"/>
          <w:szCs w:val="24"/>
          <w:lang w:val="en-GB"/>
        </w:rPr>
        <w:t>Introduction</w:t>
      </w:r>
    </w:p>
    <w:p w14:paraId="557A3C22" w14:textId="77777777" w:rsidR="00114010" w:rsidRPr="00236EE0" w:rsidRDefault="00114010" w:rsidP="00114010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D61C8FB" w14:textId="77777777" w:rsidR="00114010" w:rsidRPr="00236EE0" w:rsidRDefault="00114010" w:rsidP="00114010">
      <w:pPr>
        <w:tabs>
          <w:tab w:val="left" w:pos="90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stakeholder theory,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Ansoff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posited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should be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held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accountable for accumulating value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not only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shareholders but also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their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broader stakeholders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lastRenderedPageBreak/>
        <w:t>(Roberts, 1992) because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as Gray, Kouhy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Lavers (1995)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contended, 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sustainability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companies is directly related to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value of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their employees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Therefore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corporate social responsibility (CSR) is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perceived as a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two-fold strategic tool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managing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expectation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 of stakeholders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building 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social credibility and reputation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companies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Previous studies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perceive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stakeholders as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group of shareholders, societies, governments, employees, labour unions, customers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environments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just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name a few (Wang, Chin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Dogmin, 2011; Cooper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Uzun, 2015; Long, 2015;</w:t>
      </w:r>
      <w:r w:rsidRPr="00236EE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Boodoo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2016). </w:t>
      </w:r>
    </w:p>
    <w:p w14:paraId="3B681CDA" w14:textId="02A1D418" w:rsidR="00114010" w:rsidRPr="00236EE0" w:rsidRDefault="008C4B1A" w:rsidP="008C4B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are considered the most important stakeholders of a company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achieve 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desired outcomes,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should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properly manage and sustain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employees. Mohammad, Al Tarafi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Alafi (2014) and Hernandez et al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(2016)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argued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fair wages and salaries, occupational health and safety, education and training, gender and race equity and other social benefits are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important to employees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The obliviousness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these matters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contribute 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demotivation and insecurity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s, thereby resulting in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high turnover (Tamm, Eamets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Motsmees, 2010; Tuzcu, 2014). By contrast, 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become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productive and contribute 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bottom line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their companies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if they are fairly rewarded and protected (Mohammad et al., 2014; Cavazote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Chang, 2016; Morogo, Cheluget and Mwangi 2016). Therefore,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rewards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protection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measures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adopted by companies for 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are top deal 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CSR strateg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</w:p>
    <w:p w14:paraId="24279E9B" w14:textId="15525119" w:rsidR="00114010" w:rsidRPr="00236EE0" w:rsidRDefault="008C4B1A" w:rsidP="008C4B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Nonetheless, CSR practices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prevalent in certain industries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always associated with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type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stakeholders. For example, CSR towards customers is highly associated with high-street business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es,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such as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retail industry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environmental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-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related CSR can be found 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oil and gas industry (Campbell, 2000; Campbell, Craven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Shrive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2003; Campbell, Moore and Shrives, 2006). CSR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presents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means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companies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respond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demand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powerful stakeholders. 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association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with CSR towards 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(CSR-E), we incorporate labour union as a power stakeholder in our study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propose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labour unions 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have 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significant power over negotiations and establishing fair terms of employment with companies. </w:t>
      </w:r>
    </w:p>
    <w:p w14:paraId="1EFC57C2" w14:textId="11FDDE4A" w:rsidR="00114010" w:rsidRPr="00236EE0" w:rsidRDefault="008C4B1A" w:rsidP="001140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Stakeholders theory posits that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sustainability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company greatly depends on the acceptance or approval of its employees. The impacts of disapproval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become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greater when employees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associate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with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labour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(Rahman, Ahmad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Hassan, 2016). Unfortunately, Malaysia falls behind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this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aspect compare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developed countries (Mohd Suhaimi, 2014).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Therefore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potential influence 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labour union presence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on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practice of companies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 Malaysia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is yet to be empirically investigated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Previous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studies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on CSR have predominantly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focused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on social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responsibility,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customers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 yet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have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failed to contextualise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external strength of employees 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form of labour unions.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From the perspective 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stakeholder theory, this study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offers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preliminary insight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extent to which the presence of labour unions 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industry can be related to CSR-E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practice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The following questions are central to this study: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</w:p>
    <w:p w14:paraId="51BF70D6" w14:textId="77777777" w:rsidR="00114010" w:rsidRPr="00236EE0" w:rsidRDefault="00114010" w:rsidP="0011401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3C078146" w14:textId="72CE86DC" w:rsidR="00114010" w:rsidRPr="008C4B1A" w:rsidRDefault="00114010" w:rsidP="001140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What are types of CSR-E in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highly </w:t>
      </w:r>
      <w:r w:rsidRPr="00236EE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and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poorly unionised </w:t>
      </w:r>
      <w:r w:rsidRPr="00236EE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industries?</w:t>
      </w:r>
    </w:p>
    <w:p w14:paraId="06F72B5B" w14:textId="77777777" w:rsidR="00114010" w:rsidRPr="00236EE0" w:rsidRDefault="00114010" w:rsidP="0011401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Are highly unionised industries </w:t>
      </w:r>
      <w:r w:rsidRPr="00236EE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socially responsible to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employees?</w:t>
      </w:r>
    </w:p>
    <w:p w14:paraId="5346FC21" w14:textId="77777777" w:rsidR="00114010" w:rsidRPr="00236EE0" w:rsidRDefault="00114010" w:rsidP="001140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</w:p>
    <w:p w14:paraId="65434F0F" w14:textId="781898DC" w:rsidR="00114010" w:rsidRPr="00236EE0" w:rsidRDefault="008C4B1A" w:rsidP="008C4B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This study used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annual reports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Malaysian companies for financial years ending in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2017 and 2018 as source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data to examine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practices. All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selected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are listed in Bursa Malaysia. CSR-E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was divided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3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categories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37 items. The industry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unionisation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rate (high and low)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was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determined based 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proportion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 membership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specific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that of all industries in the country. We focus 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25 banking and financial institutions (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highly unionised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) and 25 real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estate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companies (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poorly unionised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)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and perform m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ultiple regression analysis to determine 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relationship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between industry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unionisation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and CSR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-E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</w:p>
    <w:p w14:paraId="623CE0D1" w14:textId="62AD2256" w:rsidR="00114010" w:rsidRPr="00236EE0" w:rsidRDefault="008C4B1A" w:rsidP="008C4B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lastRenderedPageBreak/>
        <w:tab/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This study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offers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several contributions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to the literature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Firstly,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to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the best of our knowledge, this study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is the first to associate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stakeholder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i.e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labour union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s) specific to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Malaysia. This study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also employs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data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from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Malaysia Trade Union Congress (MTUC)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understand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 role of labour union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practising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Accordingly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the findings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this study can help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MTUC identify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those industries with high and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low CSR-E. Secondly,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our findings can help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MTUC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other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regulatory bodies 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formulating strategies that can improve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certain industries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through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either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political lobbying or direct negotiations. Thirdly,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we focus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on neglected stakeholders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have 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powerful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influence 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 practices.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When formulating 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CSR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strategies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companies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should consider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proactive and reactive action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expectations of labour unions. Finally,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given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power of labour unions,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we extend our discussion 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corporate strateg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labour unions,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such as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 effect of labour union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on human capital investment and efficiency. 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rest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this paper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is organised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as follows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C8200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Next 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ection presents 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literature review and develop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research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hypothes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807AF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It is followed by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research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methodology</w:t>
      </w:r>
      <w:r w:rsidR="00807AF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section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807AF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research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findings and discussion</w:t>
      </w:r>
      <w:r w:rsidR="00807AF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are presented in a section before the conclusion section of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the paper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          </w:t>
      </w:r>
    </w:p>
    <w:p w14:paraId="5489A11E" w14:textId="77777777" w:rsidR="00114010" w:rsidRDefault="00114010" w:rsidP="00114010">
      <w:pPr>
        <w:tabs>
          <w:tab w:val="left" w:pos="900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6E03226F" w14:textId="77777777" w:rsidR="00EB3082" w:rsidRPr="00236EE0" w:rsidRDefault="00EB3082" w:rsidP="00114010">
      <w:pPr>
        <w:tabs>
          <w:tab w:val="left" w:pos="900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3EF6EB04" w14:textId="77777777" w:rsidR="00114010" w:rsidRDefault="00114010" w:rsidP="00114010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Literature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r</w:t>
      </w:r>
      <w:r w:rsidRPr="00236EE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eview and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h</w:t>
      </w:r>
      <w:r w:rsidRPr="00236EE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ypothes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i</w:t>
      </w:r>
      <w:r w:rsidRPr="00236EE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s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d</w:t>
      </w:r>
      <w:r w:rsidRPr="00236EE0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evelopment</w:t>
      </w:r>
    </w:p>
    <w:p w14:paraId="270B252B" w14:textId="77777777" w:rsidR="008C4B1A" w:rsidRPr="00236EE0" w:rsidRDefault="008C4B1A" w:rsidP="00114010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</w:p>
    <w:p w14:paraId="21A2E09B" w14:textId="77777777" w:rsidR="00114010" w:rsidRPr="00236EE0" w:rsidRDefault="00114010" w:rsidP="0011401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Ullmann (1985)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defined CSR as the response of companies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social demands of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stakeholders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that can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improve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financial and economic performance. Elkington (1997)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truncated such definition into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3Ps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, that is,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responsibilities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of companies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gain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‘profit’ for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shareholders, to care for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‘people’ and to ensure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that the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‘planet’ is environmentally sustainable.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Specifically,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CSR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involves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responsibilities towards employee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and product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(Haniffa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Cooke, 2005), societ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ies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and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communit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ies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(Campbell, Moore and Shrive, 2006; Tuzcu, 2014), human rights (Reverte, 2009), customers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and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suppliers (Wang et al., 2011; Cavaco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&amp;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Criffo, 2014), workplaces (Lindrof, Johnson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&amp;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McGuire et al., 2012), social philanthrop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y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(Closon, Leys and Hellemans, 2014), laws and ethics (Chaisena, 2016), employee rights (Balabanis, Philips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&amp;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Lyal 1998) and environment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(Babiak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Trendafilova, 2011). </w:t>
      </w:r>
    </w:p>
    <w:p w14:paraId="008F6039" w14:textId="719DB9FC" w:rsidR="00114010" w:rsidRPr="00236EE0" w:rsidRDefault="008C4B1A" w:rsidP="001140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ab/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CSR-E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is essential for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achieve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desired outcomes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their strategies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Previous studies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show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that CSR-E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-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related strategies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such as fair wages and salaries, occupational health and safety, education and training, gender and race equity and other social benefits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are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important to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performance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businesses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(Mohammad et al., 2014, Cavazote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Chang, 2016; Morogo et al., 2016). The obliviousness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matters can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contribute 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demotivation and insecurity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which in turn can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lead 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unacceptable level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 of employee attrition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(Tamm et al., 2010; Tuzcu, 2014). Good 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do not leave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but instead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leave managers with poor CSR-E. Therefore,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rewards and protection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measures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should be included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strategies of companies 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retain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existing 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attract new one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 Cavazote and Chang (2016) found that CSR-E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 term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employee education, healthcare, profit sharing and retirement plan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can promote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productivity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employees and lead to improved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business performance.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 this case, c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ompanies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should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consider CSR-E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not only as 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legal and moral obligation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but also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investment in human capital. Morogo et al. (2016)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argued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employee welfare and equity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positively associated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financial performance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companies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whereas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Mohammad et al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(2014)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argued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business performance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significantly determined by CSR-E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related 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workplace condition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salaries and wages and proper supervision.  </w:t>
      </w:r>
    </w:p>
    <w:p w14:paraId="176B09E1" w14:textId="4AF4F0CE" w:rsidR="00114010" w:rsidRPr="00236EE0" w:rsidRDefault="008C4B1A" w:rsidP="0011401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Previous studies have measured the 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iversity of stakeholders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according to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type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industries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they investigate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Each industry has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specific group of influential stakeholders. For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lastRenderedPageBreak/>
        <w:t xml:space="preserve">example, retail customers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the most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influential stakeholder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 high-street business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es,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such as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retail and fashion industry,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whereas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environmental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-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related stakeholders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such as conservation group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Greenpeace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the most influential stakeholders in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oil and gas industry (Campbell, 2000; Campbell, Craven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Shrive, 2003; Campbell et al, 2006). According to stakeholder theory, CSR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strategies are formulated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 response to the demand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powerful stakeholders.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Accordingly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we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focus 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labour union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 this study because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compared with individual employees, they show greater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influence over negotiations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greater capability to establish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fair terms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employment contract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</w:p>
    <w:p w14:paraId="0066C5CC" w14:textId="31C6FD35" w:rsidR="00114010" w:rsidRPr="00236EE0" w:rsidRDefault="008C4B1A" w:rsidP="001140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A l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abour union is an entity that is formed by employees and 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operates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as a democratic state to represent the employees 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and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to 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protect their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economic and social interest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in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employe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r–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employee relationship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In other words, labour unions aim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to safeguard the interest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of employees and promote mutual relationships between 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an organisation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and its employees (Napathorn 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&amp; 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Chanprateep, 2011; Wilawan, 2007). Labour union</w:t>
      </w:r>
      <w:r w:rsidR="0011401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have increasingly become significant player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in the labour market and political field 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of 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most developed countries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because of their 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significant 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amount of 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power over negotiations 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related to 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employment contract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and healthy working environment</w:t>
      </w:r>
      <w:r w:rsidR="0011401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 w:rsidR="00114010"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(Cristiani </w:t>
      </w:r>
      <w:r w:rsidR="0011401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&amp; </w:t>
      </w:r>
      <w:r w:rsidR="00114010"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>Peiró</w:t>
      </w:r>
      <w:r w:rsidR="0011401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>,</w:t>
      </w:r>
      <w:r w:rsidR="00114010"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 2015)</w:t>
      </w:r>
      <w:r w:rsidR="00114010" w:rsidRPr="00236EE0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.</w:t>
      </w:r>
      <w:r w:rsidR="00114010" w:rsidRPr="00236EE0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These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unions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adopt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group approach to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push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employers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into offering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fair wages and welfare for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their employees, ensuring fair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employment,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establishing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good communication with employees and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creating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fair employment contracts (Checci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Corneo, 1998). In developing countries,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labour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unions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promote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defend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interests and well-being of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employees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their families and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establish harmonious, dynamic and fair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relationships with management (ILO, 2020).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They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can also help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improve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the health and safety of workers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achieve favourable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social dialogue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with the government or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company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management (Ramasamy, 2008). </w:t>
      </w:r>
    </w:p>
    <w:p w14:paraId="2B0A006F" w14:textId="56B21660" w:rsidR="005B34A6" w:rsidRPr="00236EE0" w:rsidRDefault="00943403" w:rsidP="008E00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Employees join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labour unions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for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several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reasons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For instance,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Napathorn and Chanprateep (2011)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found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that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employees join these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unions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protect themselves from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dismissal,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negotiate for higher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compensation and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secure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legal representation.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Joining these unions can also improve one’s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future career prospects (Zientara, Kujawski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Godfrey, 2015). For example, in the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US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employees join labour unions to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improve their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career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prospects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work environments and job satisfaction (Friedman, Abraham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&amp;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Thomas, 2006). Furthermore, a survey conducted in Malaysia by Kumar, Martinez and Rose (2013)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revealed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that employees who join trade unions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enjoy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better pay and working conditions. Their voices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also heard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they receive free legal advice, training and education. Ramasamy (2008)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found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that labour union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are concerned about the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health and safety of employees.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However, they do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not merely solve the bread and butter issues of employees.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These unions are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not designed to meet a single purpose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instead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, they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can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also offer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economic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benefits to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employers. Unioni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ed companies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are also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more profitable than non-unioni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ed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ones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due to the fact that the former (Chanzi, 2017; Filho et al.</w:t>
      </w:r>
      <w:r w:rsidR="00EB3082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2018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;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Chun et al.</w:t>
      </w:r>
      <w:r w:rsidR="00EB3082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2015). </w:t>
      </w:r>
    </w:p>
    <w:p w14:paraId="1386DFB9" w14:textId="08F3EE8C" w:rsidR="00114010" w:rsidRDefault="00943403" w:rsidP="0094340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As for Malaysia, employees, employers and labour unions are interdependent on each other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considered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key component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 modern socio-economic arrangement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formation of labour unions in Malaysia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started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the 1950s,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during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which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British government was advancing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development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these unions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ignificant national rules and guidelines that govern labour unions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organisations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were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also put forward at the time, which resulted in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incorporation of the MTUC in 1958 (Sin Ru, Jamil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Yusof, 2014). MTUC is well recogni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ed as a national trade union that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represents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employees in Malaysia and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through the Joint Labour Advisory Council,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acts as a main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reference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Malaysian government on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matters related to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labour laws. MTUC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has 930,734 members, which are categorised into in-house unions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ational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nions.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As 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2018,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MUTC has 613 in-house unions and 138 national unions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Table 1 shows the number of Malaysian trade unions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members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2018 by sector. The private sector has the highest number of unions (497),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lastRenderedPageBreak/>
        <w:t xml:space="preserve">followed by the government or public sector (167 unions) and statutory body (87 unions).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 terms of membership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the government or public sector has the highest number of members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471,164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)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followed by the private sector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389,885 members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)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statutory body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69,685 members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)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</w:p>
    <w:p w14:paraId="25B0B110" w14:textId="440AF669" w:rsidR="00943403" w:rsidRPr="00943403" w:rsidRDefault="00943403" w:rsidP="00943403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4"/>
          <w:lang w:val="en-GB"/>
        </w:rPr>
      </w:pPr>
      <w:r w:rsidRPr="00943403">
        <w:rPr>
          <w:rFonts w:ascii="Times New Roman" w:eastAsia="Calibri" w:hAnsi="Times New Roman" w:cs="Times New Roman"/>
          <w:b/>
          <w:sz w:val="20"/>
          <w:szCs w:val="24"/>
          <w:lang w:val="en-GB"/>
        </w:rPr>
        <w:t>Table 1</w:t>
      </w:r>
      <w:r w:rsidR="00EB3082" w:rsidRPr="00EB3082">
        <w:rPr>
          <w:rFonts w:ascii="Times New Roman" w:eastAsia="Calibri" w:hAnsi="Times New Roman" w:cs="Times New Roman"/>
          <w:b/>
          <w:sz w:val="20"/>
          <w:szCs w:val="24"/>
          <w:lang w:val="en-GB"/>
        </w:rPr>
        <w:t>.</w:t>
      </w:r>
      <w:r w:rsidRPr="00943403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 Malaysian </w:t>
      </w:r>
      <w:r w:rsidR="00EB3082" w:rsidRPr="00943403">
        <w:rPr>
          <w:rFonts w:ascii="Times New Roman" w:eastAsia="Calibri" w:hAnsi="Times New Roman" w:cs="Times New Roman"/>
          <w:sz w:val="20"/>
          <w:szCs w:val="24"/>
          <w:lang w:val="en-GB"/>
        </w:rPr>
        <w:t xml:space="preserve">unions by sector </w:t>
      </w:r>
      <w:r w:rsidRPr="00943403">
        <w:rPr>
          <w:rFonts w:ascii="Times New Roman" w:eastAsia="Calibri" w:hAnsi="Times New Roman" w:cs="Times New Roman"/>
          <w:sz w:val="20"/>
          <w:szCs w:val="24"/>
          <w:lang w:val="en-GB"/>
        </w:rPr>
        <w:t>in 2018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2147"/>
        <w:gridCol w:w="1985"/>
      </w:tblGrid>
      <w:tr w:rsidR="00114010" w:rsidRPr="00236EE0" w14:paraId="5E6DA5F2" w14:textId="77777777" w:rsidTr="00F5425F">
        <w:trPr>
          <w:trHeight w:val="215"/>
          <w:jc w:val="center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8416BAA" w14:textId="77777777" w:rsidR="00114010" w:rsidRPr="00943403" w:rsidRDefault="00114010" w:rsidP="00EB308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Sector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0CC2230" w14:textId="77777777" w:rsidR="00114010" w:rsidRPr="00943403" w:rsidRDefault="00114010" w:rsidP="00EB308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No. of Unions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2486593" w14:textId="77777777" w:rsidR="00114010" w:rsidRPr="00943403" w:rsidRDefault="00114010" w:rsidP="00EB308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hAnsi="Times New Roman" w:cs="Times New Roman"/>
                <w:b/>
                <w:sz w:val="20"/>
                <w:szCs w:val="24"/>
                <w:lang w:val="en-GB"/>
              </w:rPr>
              <w:t>No. of Members</w:t>
            </w:r>
          </w:p>
        </w:tc>
      </w:tr>
      <w:tr w:rsidR="00114010" w:rsidRPr="00236EE0" w14:paraId="5A3587D7" w14:textId="77777777" w:rsidTr="00EB3082">
        <w:trPr>
          <w:jc w:val="center"/>
        </w:trPr>
        <w:tc>
          <w:tcPr>
            <w:tcW w:w="2389" w:type="dxa"/>
            <w:tcBorders>
              <w:top w:val="single" w:sz="4" w:space="0" w:color="auto"/>
            </w:tcBorders>
          </w:tcPr>
          <w:p w14:paraId="2F842455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Government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14:paraId="7B72AE89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99EBFEB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471,164</w:t>
            </w:r>
          </w:p>
        </w:tc>
      </w:tr>
      <w:tr w:rsidR="00114010" w:rsidRPr="00236EE0" w14:paraId="4562A3AA" w14:textId="77777777" w:rsidTr="00EB3082">
        <w:trPr>
          <w:jc w:val="center"/>
        </w:trPr>
        <w:tc>
          <w:tcPr>
            <w:tcW w:w="2389" w:type="dxa"/>
          </w:tcPr>
          <w:p w14:paraId="52A92B7B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Private</w:t>
            </w:r>
          </w:p>
        </w:tc>
        <w:tc>
          <w:tcPr>
            <w:tcW w:w="2147" w:type="dxa"/>
          </w:tcPr>
          <w:p w14:paraId="3EF5E87F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497</w:t>
            </w:r>
          </w:p>
        </w:tc>
        <w:tc>
          <w:tcPr>
            <w:tcW w:w="1985" w:type="dxa"/>
          </w:tcPr>
          <w:p w14:paraId="7AE52FAB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389,885</w:t>
            </w:r>
          </w:p>
        </w:tc>
      </w:tr>
      <w:tr w:rsidR="00114010" w:rsidRPr="00236EE0" w14:paraId="753DA67C" w14:textId="77777777" w:rsidTr="00EB3082">
        <w:trPr>
          <w:jc w:val="center"/>
        </w:trPr>
        <w:tc>
          <w:tcPr>
            <w:tcW w:w="2389" w:type="dxa"/>
          </w:tcPr>
          <w:p w14:paraId="742D8400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Statutory body</w:t>
            </w:r>
          </w:p>
        </w:tc>
        <w:tc>
          <w:tcPr>
            <w:tcW w:w="2147" w:type="dxa"/>
          </w:tcPr>
          <w:p w14:paraId="112DECA3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87</w:t>
            </w:r>
          </w:p>
        </w:tc>
        <w:tc>
          <w:tcPr>
            <w:tcW w:w="1985" w:type="dxa"/>
          </w:tcPr>
          <w:p w14:paraId="29DBEDC7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sz w:val="20"/>
                <w:szCs w:val="24"/>
                <w:lang w:val="en-GB"/>
              </w:rPr>
              <w:t>69,685</w:t>
            </w:r>
          </w:p>
        </w:tc>
      </w:tr>
      <w:tr w:rsidR="00114010" w:rsidRPr="00236EE0" w14:paraId="6EA1416D" w14:textId="77777777" w:rsidTr="00EB3082">
        <w:trPr>
          <w:trHeight w:val="147"/>
          <w:jc w:val="center"/>
        </w:trPr>
        <w:tc>
          <w:tcPr>
            <w:tcW w:w="2389" w:type="dxa"/>
            <w:tcBorders>
              <w:bottom w:val="single" w:sz="4" w:space="0" w:color="auto"/>
            </w:tcBorders>
          </w:tcPr>
          <w:p w14:paraId="5928CFEB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GB"/>
              </w:rPr>
              <w:t>TOTAL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0DBD415E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GB"/>
              </w:rPr>
              <w:t>751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816234" w14:textId="77777777" w:rsidR="00114010" w:rsidRPr="00943403" w:rsidRDefault="00114010" w:rsidP="00EB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val="en-GB"/>
              </w:rPr>
            </w:pPr>
            <w:r w:rsidRPr="00943403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GB"/>
              </w:rPr>
              <w:t>930,734</w:t>
            </w:r>
          </w:p>
        </w:tc>
      </w:tr>
    </w:tbl>
    <w:p w14:paraId="6737944B" w14:textId="77777777" w:rsidR="00114010" w:rsidRPr="00943403" w:rsidRDefault="00114010" w:rsidP="00114010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0"/>
          <w:szCs w:val="24"/>
          <w:lang w:val="en-GB"/>
        </w:rPr>
      </w:pPr>
      <w:r w:rsidRPr="00943403">
        <w:rPr>
          <w:rFonts w:ascii="Times New Roman" w:eastAsia="Calibri" w:hAnsi="Times New Roman" w:cs="Times New Roman"/>
          <w:i/>
          <w:sz w:val="20"/>
          <w:szCs w:val="24"/>
          <w:lang w:val="en-GB"/>
        </w:rPr>
        <w:t>Source: Malaysian Trade Union Affairs Department</w:t>
      </w:r>
    </w:p>
    <w:p w14:paraId="5A40DF6E" w14:textId="77777777" w:rsidR="00114010" w:rsidRPr="00236EE0" w:rsidRDefault="00114010" w:rsidP="00114010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87BF62C" w14:textId="77777777" w:rsidR="00EB3082" w:rsidRDefault="00943403" w:rsidP="00EB30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table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above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shows that Malaysia has 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fair number of labour unions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which number of members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is expected to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increase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over time. </w:t>
      </w:r>
      <w:r w:rsidR="00EA76A5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 statistic above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point towards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desire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of employees to protect their rights under the umbrella of unions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reflect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collective strength of Malaysian employees to counter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employers over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issues related to 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welfare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equity and employment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opportunities</w:t>
      </w:r>
      <w:r w:rsidR="00EB308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</w:p>
    <w:p w14:paraId="73DDCCCE" w14:textId="6F55DC65" w:rsidR="00114010" w:rsidRPr="00EB3082" w:rsidRDefault="00114010" w:rsidP="00EB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Previous empirical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studies have established a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relationship between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labour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unions and CSR activities.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Checchi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Corneo (1998)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found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that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high level of membership increase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power of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labour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unions in negotiating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wage increase and argued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that employees can only work with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highly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competitive wages. Meanwhile, Boodoo (2016) found that the number of union memberships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positively affects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CSR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matters for 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employees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 including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health and safety and work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–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life balance.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B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ased on the findings of previous studies and stakeholder theory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, we hypothesise</w:t>
      </w:r>
      <w:r w:rsidR="00EB3082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1F06DECB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72506F52" w14:textId="7C846647" w:rsidR="00FF0A93" w:rsidRPr="00236EE0" w:rsidRDefault="00114010" w:rsidP="00943403">
      <w:p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H: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A h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ighly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unionised 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industry has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a 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positive relationship with CSR-E.</w:t>
      </w:r>
    </w:p>
    <w:p w14:paraId="726FD8AF" w14:textId="77777777" w:rsidR="0011401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783BD9E9" w14:textId="77777777" w:rsidR="00EB3082" w:rsidRPr="00EB3082" w:rsidRDefault="00EB3082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47D8AA22" w14:textId="77777777" w:rsidR="00114010" w:rsidRPr="00236EE0" w:rsidRDefault="00114010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Methodology</w:t>
      </w:r>
    </w:p>
    <w:p w14:paraId="5E03BE3B" w14:textId="77777777" w:rsidR="00114010" w:rsidRPr="00236EE0" w:rsidRDefault="00114010" w:rsidP="00EB3082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50A5BC24" w14:textId="77777777" w:rsidR="00114010" w:rsidRPr="00347F9D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347F9D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Source of data</w:t>
      </w:r>
    </w:p>
    <w:p w14:paraId="012FA1B3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6EF2D354" w14:textId="0F6110FC" w:rsidR="00114010" w:rsidRPr="00D35639" w:rsidRDefault="00114010" w:rsidP="00D35639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This study used annual reports for financial year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ending in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2017 and 2018 as source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data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examining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CSR-E. The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se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reports were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selected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because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they are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frequently produced documents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are widely distributed amongst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various group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company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stakeholders.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These documents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also contain information that reflect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intent and strategies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management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(Campbell, 2000). Content analysis was applied to measure CSR-E in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narrative part of annual reports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excluding statutory financial statements and notes to the accounts. The information in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these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reports reflect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the actual number of CRS-E practices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adopted by a company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However, the repeated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information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these reports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was not counted.  </w:t>
      </w:r>
    </w:p>
    <w:p w14:paraId="2B23C2D8" w14:textId="77777777" w:rsidR="00EB3082" w:rsidRDefault="00EB3082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</w:pPr>
    </w:p>
    <w:p w14:paraId="0FC61674" w14:textId="77777777" w:rsidR="00114010" w:rsidRPr="00347F9D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347F9D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Development of CSR-E categories</w:t>
      </w:r>
    </w:p>
    <w:p w14:paraId="3D581F28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78B01227" w14:textId="46793C14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categories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were constructed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prior the content analysis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Previous studies have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developed different categories of CSR-E.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ensure category exhaustiveness, we develop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ed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CSR-E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categories following previous studies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(Aras, Aybars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Kutlu, 2012; Chaisena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Usshawannitchakit, 2010; Rekker, Benson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Robert, 2014; Mohammad et al., 2014; Cavazote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Chang, 2016; Balabanis et al., 1998; Cheruiyot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&amp;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Maru, 2013; Weldon, 2013 and GRI, 2015).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We eventually developed 3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categories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 35 evaluation areas as shown below. </w:t>
      </w:r>
      <w:r w:rsidR="0008172E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Table 2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presents additional details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</w:p>
    <w:p w14:paraId="675B4CFC" w14:textId="77777777" w:rsidR="00114010" w:rsidRPr="00236EE0" w:rsidRDefault="00114010" w:rsidP="00114010">
      <w:pPr>
        <w:pStyle w:val="ListParagraph"/>
        <w:numPr>
          <w:ilvl w:val="0"/>
          <w:numId w:val="9"/>
        </w:num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lastRenderedPageBreak/>
        <w:t xml:space="preserve">Salaries and other benefits of well-being – 11 items </w:t>
      </w:r>
    </w:p>
    <w:p w14:paraId="34A55363" w14:textId="77777777" w:rsidR="00114010" w:rsidRPr="00236EE0" w:rsidRDefault="00114010" w:rsidP="00114010">
      <w:pPr>
        <w:pStyle w:val="ListParagraph"/>
        <w:numPr>
          <w:ilvl w:val="0"/>
          <w:numId w:val="9"/>
        </w:num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Training, career development and education – 12 items</w:t>
      </w:r>
    </w:p>
    <w:p w14:paraId="457CCFC3" w14:textId="77777777" w:rsidR="00114010" w:rsidRDefault="00114010" w:rsidP="00114010">
      <w:pPr>
        <w:pStyle w:val="ListParagraph"/>
        <w:numPr>
          <w:ilvl w:val="0"/>
          <w:numId w:val="9"/>
        </w:num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Occupational health and safety – 12 items. </w:t>
      </w:r>
    </w:p>
    <w:p w14:paraId="3072375E" w14:textId="77777777" w:rsidR="0008172E" w:rsidRDefault="0008172E" w:rsidP="0008172E">
      <w:p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0755EA4C" w14:textId="4F7BFF84" w:rsidR="0008172E" w:rsidRDefault="0008172E" w:rsidP="0008172E">
      <w:pPr>
        <w:tabs>
          <w:tab w:val="left" w:pos="77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lang w:val="en-GB"/>
        </w:rPr>
      </w:pPr>
      <w:r w:rsidRPr="00F5425F">
        <w:rPr>
          <w:rFonts w:ascii="Times New Roman" w:eastAsia="Calibri" w:hAnsi="Times New Roman" w:cs="Times New Roman"/>
          <w:b/>
          <w:bCs/>
          <w:lang w:val="en-GB"/>
        </w:rPr>
        <w:t>Table 2</w:t>
      </w:r>
      <w:r w:rsidRPr="0008172E">
        <w:rPr>
          <w:rFonts w:ascii="Times New Roman" w:eastAsia="Calibri" w:hAnsi="Times New Roman" w:cs="Times New Roman"/>
          <w:bCs/>
          <w:lang w:val="en-GB"/>
        </w:rPr>
        <w:t>. Details of 35 evaluation areas of 3 CSR-E categories</w:t>
      </w:r>
    </w:p>
    <w:p w14:paraId="4538A222" w14:textId="77777777" w:rsidR="0008172E" w:rsidRPr="0008172E" w:rsidRDefault="0008172E" w:rsidP="0008172E">
      <w:pPr>
        <w:tabs>
          <w:tab w:val="left" w:pos="77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lang w:val="en-GB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805"/>
        <w:gridCol w:w="2801"/>
        <w:gridCol w:w="3079"/>
      </w:tblGrid>
      <w:tr w:rsidR="0008172E" w:rsidRPr="00E0694F" w14:paraId="11D3A956" w14:textId="77777777" w:rsidTr="00F5425F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CA61448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A64F782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b/>
                <w:sz w:val="20"/>
                <w:szCs w:val="20"/>
              </w:rPr>
              <w:t>Salaries and other well-being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E77F8B0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b/>
                <w:sz w:val="20"/>
                <w:szCs w:val="20"/>
              </w:rPr>
              <w:t>Training, career development and education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B8C5633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b/>
                <w:sz w:val="20"/>
                <w:szCs w:val="20"/>
              </w:rPr>
              <w:t>Occupational Health and Safety</w:t>
            </w:r>
          </w:p>
        </w:tc>
      </w:tr>
      <w:tr w:rsidR="0008172E" w:rsidRPr="00E0694F" w14:paraId="6F2F2654" w14:textId="77777777" w:rsidTr="00C441E3">
        <w:tc>
          <w:tcPr>
            <w:tcW w:w="562" w:type="dxa"/>
            <w:tcBorders>
              <w:top w:val="single" w:sz="4" w:space="0" w:color="auto"/>
            </w:tcBorders>
          </w:tcPr>
          <w:p w14:paraId="001414AC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D69C874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 xml:space="preserve">Basic salaries above statutory minimum wages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BC5EE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Investment value for training and education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625475A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Expenditure value for health and safety</w:t>
            </w:r>
          </w:p>
        </w:tc>
      </w:tr>
      <w:tr w:rsidR="0008172E" w:rsidRPr="00E0694F" w14:paraId="0B2C6126" w14:textId="77777777" w:rsidTr="00C441E3">
        <w:tc>
          <w:tcPr>
            <w:tcW w:w="562" w:type="dxa"/>
          </w:tcPr>
          <w:p w14:paraId="7EDE4E29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1697F98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Bonus to employees</w:t>
            </w:r>
          </w:p>
        </w:tc>
        <w:tc>
          <w:tcPr>
            <w:tcW w:w="2835" w:type="dxa"/>
          </w:tcPr>
          <w:p w14:paraId="3750B812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Training centre</w:t>
            </w:r>
          </w:p>
        </w:tc>
        <w:tc>
          <w:tcPr>
            <w:tcW w:w="3118" w:type="dxa"/>
          </w:tcPr>
          <w:p w14:paraId="2EB259D1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Safety rewards to staff</w:t>
            </w:r>
          </w:p>
        </w:tc>
      </w:tr>
      <w:tr w:rsidR="0008172E" w:rsidRPr="00E0694F" w14:paraId="54C4CFF0" w14:textId="77777777" w:rsidTr="00C441E3">
        <w:tc>
          <w:tcPr>
            <w:tcW w:w="562" w:type="dxa"/>
          </w:tcPr>
          <w:p w14:paraId="4097A773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4FFCCE8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 xml:space="preserve">Pension plan </w:t>
            </w:r>
          </w:p>
        </w:tc>
        <w:tc>
          <w:tcPr>
            <w:tcW w:w="2835" w:type="dxa"/>
          </w:tcPr>
          <w:p w14:paraId="3464A9DD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Policy for skill and career development</w:t>
            </w:r>
          </w:p>
        </w:tc>
        <w:tc>
          <w:tcPr>
            <w:tcW w:w="3118" w:type="dxa"/>
          </w:tcPr>
          <w:p w14:paraId="14D54500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facility  infrastructure, healthy working conditions and prevention measure in workplace</w:t>
            </w:r>
          </w:p>
        </w:tc>
      </w:tr>
      <w:tr w:rsidR="0008172E" w:rsidRPr="00E0694F" w14:paraId="21D96EA3" w14:textId="77777777" w:rsidTr="00C441E3">
        <w:tc>
          <w:tcPr>
            <w:tcW w:w="562" w:type="dxa"/>
          </w:tcPr>
          <w:p w14:paraId="1D6A1A35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A7C2BF0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Medical treatment</w:t>
            </w:r>
          </w:p>
        </w:tc>
        <w:tc>
          <w:tcPr>
            <w:tcW w:w="2835" w:type="dxa"/>
          </w:tcPr>
          <w:p w14:paraId="58AE5101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Training hours</w:t>
            </w:r>
          </w:p>
        </w:tc>
        <w:tc>
          <w:tcPr>
            <w:tcW w:w="3118" w:type="dxa"/>
          </w:tcPr>
          <w:p w14:paraId="326683C2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Compliant to health and safety standards</w:t>
            </w:r>
          </w:p>
        </w:tc>
      </w:tr>
      <w:tr w:rsidR="0008172E" w:rsidRPr="00E0694F" w14:paraId="33F7E0D1" w14:textId="77777777" w:rsidTr="00C441E3">
        <w:tc>
          <w:tcPr>
            <w:tcW w:w="562" w:type="dxa"/>
          </w:tcPr>
          <w:p w14:paraId="2D762FCB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2A144AA6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Termination compensation</w:t>
            </w:r>
          </w:p>
        </w:tc>
        <w:tc>
          <w:tcPr>
            <w:tcW w:w="2835" w:type="dxa"/>
          </w:tcPr>
          <w:p w14:paraId="67809C37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Awards, certificate or recognition for staff</w:t>
            </w:r>
          </w:p>
        </w:tc>
        <w:tc>
          <w:tcPr>
            <w:tcW w:w="3118" w:type="dxa"/>
          </w:tcPr>
          <w:p w14:paraId="4BF5E8FC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Establishment for health and safety committee</w:t>
            </w:r>
          </w:p>
        </w:tc>
      </w:tr>
      <w:tr w:rsidR="0008172E" w:rsidRPr="00E0694F" w14:paraId="523EF44F" w14:textId="77777777" w:rsidTr="00C441E3">
        <w:tc>
          <w:tcPr>
            <w:tcW w:w="562" w:type="dxa"/>
          </w:tcPr>
          <w:p w14:paraId="47788087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74E78345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 xml:space="preserve">Staff accommodation </w:t>
            </w:r>
          </w:p>
        </w:tc>
        <w:tc>
          <w:tcPr>
            <w:tcW w:w="2835" w:type="dxa"/>
          </w:tcPr>
          <w:p w14:paraId="70A3F22A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Promotion plans</w:t>
            </w:r>
          </w:p>
        </w:tc>
        <w:tc>
          <w:tcPr>
            <w:tcW w:w="3118" w:type="dxa"/>
          </w:tcPr>
          <w:p w14:paraId="5C8E1816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Reasonable working hours</w:t>
            </w:r>
          </w:p>
        </w:tc>
      </w:tr>
      <w:tr w:rsidR="0008172E" w:rsidRPr="00E0694F" w14:paraId="60142720" w14:textId="77777777" w:rsidTr="00C441E3">
        <w:tc>
          <w:tcPr>
            <w:tcW w:w="562" w:type="dxa"/>
          </w:tcPr>
          <w:p w14:paraId="542F5F41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8661150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Staff housing loan</w:t>
            </w:r>
          </w:p>
        </w:tc>
        <w:tc>
          <w:tcPr>
            <w:tcW w:w="2835" w:type="dxa"/>
          </w:tcPr>
          <w:p w14:paraId="3EB2F597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Training and education for operational staff</w:t>
            </w:r>
          </w:p>
        </w:tc>
        <w:tc>
          <w:tcPr>
            <w:tcW w:w="3118" w:type="dxa"/>
          </w:tcPr>
          <w:p w14:paraId="72847F4A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Reasonable policy for accident compensation</w:t>
            </w:r>
          </w:p>
        </w:tc>
      </w:tr>
      <w:tr w:rsidR="0008172E" w:rsidRPr="00E0694F" w14:paraId="3E0E39D2" w14:textId="77777777" w:rsidTr="00C441E3">
        <w:tc>
          <w:tcPr>
            <w:tcW w:w="562" w:type="dxa"/>
          </w:tcPr>
          <w:p w14:paraId="002DF08A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7D717F8C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Cash advances</w:t>
            </w:r>
          </w:p>
        </w:tc>
        <w:tc>
          <w:tcPr>
            <w:tcW w:w="2835" w:type="dxa"/>
          </w:tcPr>
          <w:p w14:paraId="06371E84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Training and education for managerial staff</w:t>
            </w:r>
          </w:p>
        </w:tc>
        <w:tc>
          <w:tcPr>
            <w:tcW w:w="3118" w:type="dxa"/>
          </w:tcPr>
          <w:p w14:paraId="0B9A6B2C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Reasonable policy for death in workplace</w:t>
            </w:r>
          </w:p>
        </w:tc>
      </w:tr>
      <w:tr w:rsidR="0008172E" w:rsidRPr="00E0694F" w14:paraId="03BF8012" w14:textId="77777777" w:rsidTr="00C441E3">
        <w:tc>
          <w:tcPr>
            <w:tcW w:w="562" w:type="dxa"/>
          </w:tcPr>
          <w:p w14:paraId="42CD0807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EB9CD1C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Paid maternity leave</w:t>
            </w:r>
          </w:p>
        </w:tc>
        <w:tc>
          <w:tcPr>
            <w:tcW w:w="2835" w:type="dxa"/>
          </w:tcPr>
          <w:p w14:paraId="48FE7979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Centre for health and safety</w:t>
            </w:r>
          </w:p>
        </w:tc>
        <w:tc>
          <w:tcPr>
            <w:tcW w:w="3118" w:type="dxa"/>
          </w:tcPr>
          <w:p w14:paraId="6586E9AD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 xml:space="preserve">Protection policy for sexual harassment </w:t>
            </w:r>
          </w:p>
        </w:tc>
      </w:tr>
      <w:tr w:rsidR="0008172E" w:rsidRPr="00E0694F" w14:paraId="36EEFD92" w14:textId="77777777" w:rsidTr="00C441E3">
        <w:tc>
          <w:tcPr>
            <w:tcW w:w="562" w:type="dxa"/>
          </w:tcPr>
          <w:p w14:paraId="64A0ED6E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CC18C53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Staff children education sponsorship</w:t>
            </w:r>
          </w:p>
        </w:tc>
        <w:tc>
          <w:tcPr>
            <w:tcW w:w="2835" w:type="dxa"/>
          </w:tcPr>
          <w:p w14:paraId="78310D30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Fair opportunity for training and education</w:t>
            </w:r>
          </w:p>
        </w:tc>
        <w:tc>
          <w:tcPr>
            <w:tcW w:w="3118" w:type="dxa"/>
          </w:tcPr>
          <w:p w14:paraId="0CD3DDC1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Safety policy for hazardous and risky equipment</w:t>
            </w:r>
          </w:p>
        </w:tc>
      </w:tr>
      <w:tr w:rsidR="0008172E" w:rsidRPr="00E0694F" w14:paraId="48D35AAD" w14:textId="77777777" w:rsidTr="00C441E3">
        <w:tc>
          <w:tcPr>
            <w:tcW w:w="562" w:type="dxa"/>
          </w:tcPr>
          <w:p w14:paraId="09829652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71CD77D1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Insurance policy for staff</w:t>
            </w:r>
          </w:p>
        </w:tc>
        <w:tc>
          <w:tcPr>
            <w:tcW w:w="2835" w:type="dxa"/>
          </w:tcPr>
          <w:p w14:paraId="727A7752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Staff social gathering</w:t>
            </w:r>
          </w:p>
        </w:tc>
        <w:tc>
          <w:tcPr>
            <w:tcW w:w="3118" w:type="dxa"/>
          </w:tcPr>
          <w:p w14:paraId="5F40824B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Health and safety audit</w:t>
            </w:r>
          </w:p>
        </w:tc>
      </w:tr>
      <w:tr w:rsidR="0008172E" w:rsidRPr="00E0694F" w14:paraId="4CE60C49" w14:textId="77777777" w:rsidTr="00C441E3">
        <w:tc>
          <w:tcPr>
            <w:tcW w:w="562" w:type="dxa"/>
            <w:tcBorders>
              <w:bottom w:val="single" w:sz="4" w:space="0" w:color="auto"/>
            </w:tcBorders>
          </w:tcPr>
          <w:p w14:paraId="6F4A7A1C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3B6728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F11B0F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 xml:space="preserve">Free access to labour union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8A7EAC3" w14:textId="77777777" w:rsidR="0008172E" w:rsidRPr="00C200D1" w:rsidRDefault="0008172E" w:rsidP="00C441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0D1">
              <w:rPr>
                <w:rFonts w:ascii="Times New Roman" w:hAnsi="Times New Roman" w:cs="Times New Roman"/>
                <w:sz w:val="20"/>
                <w:szCs w:val="20"/>
              </w:rPr>
              <w:t xml:space="preserve">Medical examination facilities </w:t>
            </w:r>
          </w:p>
        </w:tc>
      </w:tr>
    </w:tbl>
    <w:p w14:paraId="603B3AAA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5B4668E4" w14:textId="77777777" w:rsidR="00114010" w:rsidRPr="00347F9D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347F9D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Measurement of industry unionisation</w:t>
      </w:r>
    </w:p>
    <w:p w14:paraId="3732EA90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</w:p>
    <w:p w14:paraId="375D7A31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measure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unionisation of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industries,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adapted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method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Rahman et al. (2017) and Zunker (2011)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who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measured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industry unionisation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rate based on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proportion of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industry union membership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total national union membership. Any industry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whose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membership percentages in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MTUC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above average is considered highly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unionised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According to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MTUC dataset, the mean percentage of labour union membership is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approximately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4%.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Therefore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those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industries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 a mean labour union membership exceeding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4% is considered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unionised,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all other industries are deemed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poor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ly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unionised.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Despite ensuring unionisation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at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industry level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but not at the company level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this method is defensible on the ground that the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unionisation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environment in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specific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industry would shape the CSR-E strategy at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company level.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This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method is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also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beneficial in term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time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and cost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without sacrificing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its validity.    </w:t>
      </w:r>
    </w:p>
    <w:p w14:paraId="2DB64008" w14:textId="6387D9DC" w:rsidR="00FF0A93" w:rsidRPr="00D35639" w:rsidRDefault="00D35639" w:rsidP="00D356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After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calculating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unionisation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rate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all industries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we select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ed the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banking and financial industry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as a highly unionised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industry and real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estate and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properties as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poor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ly unionised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industry. As shown in Table </w:t>
      </w:r>
      <w:r w:rsidR="0008172E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3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membership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percentage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of banking and financial institutions is 7%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(45,113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union members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),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whereas that of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real estate and properties industry is only 0.03%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2,729 members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)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banking and financial institutions industry is services based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greatly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depends on human capability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thereby explaining its high tendency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to practice CSR-E</w:t>
      </w:r>
      <w:r w:rsidR="0091452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to meet employee demands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 We select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25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companies from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these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industries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are listed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Bursa Malaysia stock exchange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thereby resulting in 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sample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50 companies.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 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ystematic content analysis was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performed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over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annual reports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100 companies for financial years ending in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2017 and 2018.    </w:t>
      </w:r>
    </w:p>
    <w:p w14:paraId="3607E5A0" w14:textId="77777777" w:rsidR="00FF0A93" w:rsidRPr="00236EE0" w:rsidRDefault="00FF0A93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</w:p>
    <w:p w14:paraId="3F6D8335" w14:textId="2541A33C" w:rsidR="00114010" w:rsidRDefault="00114010" w:rsidP="00EB3082">
      <w:pPr>
        <w:tabs>
          <w:tab w:val="left" w:pos="77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47F9D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lastRenderedPageBreak/>
        <w:t xml:space="preserve">Table </w:t>
      </w:r>
      <w:r w:rsidR="0008172E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3.</w:t>
      </w:r>
      <w:r w:rsidRPr="00347F9D">
        <w:rPr>
          <w:rFonts w:ascii="Times New Roman" w:eastAsia="Calibri" w:hAnsi="Times New Roman" w:cs="Times New Roman"/>
          <w:bCs/>
          <w:sz w:val="20"/>
          <w:szCs w:val="20"/>
          <w:lang w:val="en-GB"/>
        </w:rPr>
        <w:t xml:space="preserve"> Sample data analysed</w:t>
      </w:r>
    </w:p>
    <w:p w14:paraId="674F6CBB" w14:textId="77777777" w:rsidR="00914527" w:rsidRPr="0008172E" w:rsidRDefault="00914527" w:rsidP="0008172E">
      <w:pPr>
        <w:tabs>
          <w:tab w:val="left" w:pos="777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  <w:lang w:val="en-GB"/>
        </w:rPr>
      </w:pPr>
    </w:p>
    <w:tbl>
      <w:tblPr>
        <w:tblStyle w:val="PlainTable21"/>
        <w:tblpPr w:leftFromText="180" w:rightFromText="180" w:vertAnchor="text" w:horzAnchor="margin" w:tblpXSpec="center" w:tblpY="130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1015"/>
        <w:gridCol w:w="1420"/>
        <w:gridCol w:w="1415"/>
        <w:gridCol w:w="1948"/>
      </w:tblGrid>
      <w:tr w:rsidR="00114010" w:rsidRPr="00236EE0" w14:paraId="4227A60F" w14:textId="77777777" w:rsidTr="00F54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6D0B3206" w14:textId="77777777" w:rsidR="00114010" w:rsidRPr="00347F9D" w:rsidRDefault="00114010" w:rsidP="00EB30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18B0631" w14:textId="0321600B" w:rsidR="00114010" w:rsidRPr="00347F9D" w:rsidRDefault="00114010" w:rsidP="00B979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  <w:r w:rsidR="00EB308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unions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D7962F0" w14:textId="77777777" w:rsidR="00114010" w:rsidRPr="00347F9D" w:rsidRDefault="00114010" w:rsidP="00B979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Membership</w:t>
            </w:r>
          </w:p>
          <w:p w14:paraId="24D56290" w14:textId="77777777" w:rsidR="00114010" w:rsidRPr="00347F9D" w:rsidRDefault="00114010" w:rsidP="00B979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(person)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218E02BA" w14:textId="7C0FBF0D" w:rsidR="00114010" w:rsidRPr="00347F9D" w:rsidRDefault="00114010" w:rsidP="00B979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No. of companies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hideMark/>
          </w:tcPr>
          <w:p w14:paraId="30016FB8" w14:textId="62183ACD" w:rsidR="00114010" w:rsidRPr="00347F9D" w:rsidRDefault="00114010" w:rsidP="00B9795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No. of annual reports</w:t>
            </w:r>
            <w:r w:rsidR="00B9795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347F9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checked</w:t>
            </w:r>
          </w:p>
        </w:tc>
      </w:tr>
      <w:tr w:rsidR="00114010" w:rsidRPr="00236EE0" w14:paraId="0316C06C" w14:textId="77777777" w:rsidTr="00B97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061A5A7B" w14:textId="77777777" w:rsidR="00114010" w:rsidRPr="00347F9D" w:rsidRDefault="00114010" w:rsidP="00EB3082">
            <w:pPr>
              <w:spacing w:after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n-GB"/>
              </w:rPr>
              <w:t>Banking and financial (highly unionised)</w:t>
            </w:r>
          </w:p>
          <w:p w14:paraId="3C0DC9AC" w14:textId="77777777" w:rsidR="00B16C9C" w:rsidRDefault="00B16C9C" w:rsidP="00EB3082">
            <w:pPr>
              <w:spacing w:after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n-GB"/>
              </w:rPr>
            </w:pPr>
          </w:p>
          <w:p w14:paraId="77FE8CAB" w14:textId="77777777" w:rsidR="00114010" w:rsidRPr="00347F9D" w:rsidRDefault="00114010" w:rsidP="00EB30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b w:val="0"/>
                <w:sz w:val="20"/>
                <w:szCs w:val="20"/>
                <w:lang w:val="en-GB"/>
              </w:rPr>
              <w:t>Real estate and properties (poorly unionised)</w:t>
            </w:r>
          </w:p>
        </w:tc>
        <w:tc>
          <w:tcPr>
            <w:tcW w:w="1015" w:type="dxa"/>
            <w:tcBorders>
              <w:top w:val="single" w:sz="4" w:space="0" w:color="auto"/>
              <w:bottom w:val="none" w:sz="0" w:space="0" w:color="auto"/>
            </w:tcBorders>
          </w:tcPr>
          <w:p w14:paraId="7B677D5E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47</w:t>
            </w:r>
          </w:p>
          <w:p w14:paraId="4C418C17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09A81B76" w14:textId="77777777" w:rsidR="00B16C9C" w:rsidRDefault="00B16C9C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11322DD3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bottom w:val="none" w:sz="0" w:space="0" w:color="auto"/>
            </w:tcBorders>
          </w:tcPr>
          <w:p w14:paraId="4D14B4B8" w14:textId="77777777" w:rsidR="00114010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45,113</w:t>
            </w:r>
          </w:p>
          <w:p w14:paraId="2E65D21C" w14:textId="77777777" w:rsidR="00114010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(7%)</w:t>
            </w:r>
          </w:p>
          <w:p w14:paraId="133A38CB" w14:textId="77777777" w:rsidR="00B16C9C" w:rsidRPr="00347F9D" w:rsidRDefault="00B16C9C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3BA17533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2,729</w:t>
            </w:r>
          </w:p>
          <w:p w14:paraId="3C19FADF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(0.03%)</w:t>
            </w:r>
          </w:p>
        </w:tc>
        <w:tc>
          <w:tcPr>
            <w:tcW w:w="1415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4BBA1294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</w:t>
            </w:r>
          </w:p>
          <w:p w14:paraId="3C67A23D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6EC7DC44" w14:textId="77777777" w:rsidR="00B16C9C" w:rsidRDefault="00B16C9C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045A224E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948" w:type="dxa"/>
            <w:tcBorders>
              <w:top w:val="single" w:sz="4" w:space="0" w:color="auto"/>
              <w:bottom w:val="none" w:sz="0" w:space="0" w:color="auto"/>
            </w:tcBorders>
            <w:hideMark/>
          </w:tcPr>
          <w:p w14:paraId="10E2B8B8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50</w:t>
            </w:r>
          </w:p>
          <w:p w14:paraId="64D52F07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617A049F" w14:textId="77777777" w:rsidR="00B16C9C" w:rsidRDefault="00B16C9C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211022E0" w14:textId="77777777" w:rsidR="00114010" w:rsidRPr="00347F9D" w:rsidRDefault="00114010" w:rsidP="00EB30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50</w:t>
            </w:r>
          </w:p>
        </w:tc>
      </w:tr>
      <w:tr w:rsidR="00114010" w:rsidRPr="00236EE0" w14:paraId="7235DEB8" w14:textId="77777777" w:rsidTr="00B9795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tcBorders>
              <w:bottom w:val="single" w:sz="4" w:space="0" w:color="auto"/>
            </w:tcBorders>
            <w:hideMark/>
          </w:tcPr>
          <w:p w14:paraId="1AE0A8EF" w14:textId="77777777" w:rsidR="00114010" w:rsidRPr="00347F9D" w:rsidRDefault="00114010" w:rsidP="00EB30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37BD870F" w14:textId="77777777" w:rsidR="00114010" w:rsidRPr="00347F9D" w:rsidRDefault="00114010" w:rsidP="00EB308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7CF317B2" w14:textId="77777777" w:rsidR="00114010" w:rsidRPr="00347F9D" w:rsidRDefault="00114010" w:rsidP="00EB3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hideMark/>
          </w:tcPr>
          <w:p w14:paraId="14E11249" w14:textId="77777777" w:rsidR="00114010" w:rsidRPr="00347F9D" w:rsidRDefault="00114010" w:rsidP="00EB3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hideMark/>
          </w:tcPr>
          <w:p w14:paraId="19872F7F" w14:textId="77777777" w:rsidR="00114010" w:rsidRPr="00347F9D" w:rsidRDefault="00114010" w:rsidP="00EB3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347F9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100</w:t>
            </w:r>
          </w:p>
        </w:tc>
      </w:tr>
    </w:tbl>
    <w:p w14:paraId="17AE32E8" w14:textId="77777777" w:rsidR="00114010" w:rsidRPr="00236EE0" w:rsidRDefault="00114010" w:rsidP="0008172E">
      <w:pPr>
        <w:spacing w:after="0" w:line="240" w:lineRule="auto"/>
        <w:rPr>
          <w:rFonts w:eastAsia="Calibri"/>
          <w:sz w:val="24"/>
          <w:szCs w:val="24"/>
          <w:lang w:val="en-GB"/>
        </w:rPr>
      </w:pPr>
    </w:p>
    <w:p w14:paraId="70E4EBD9" w14:textId="77777777" w:rsidR="00114010" w:rsidRPr="00347F9D" w:rsidRDefault="00114010" w:rsidP="00114010">
      <w:pPr>
        <w:tabs>
          <w:tab w:val="left" w:pos="7770"/>
        </w:tabs>
        <w:spacing w:after="160" w:line="259" w:lineRule="auto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val="en-GB"/>
        </w:rPr>
      </w:pPr>
      <w:r w:rsidRPr="00347F9D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Statistical model</w:t>
      </w:r>
    </w:p>
    <w:p w14:paraId="1938D67A" w14:textId="77777777" w:rsidR="00114010" w:rsidRPr="00236EE0" w:rsidRDefault="00114010" w:rsidP="00114010">
      <w:pPr>
        <w:tabs>
          <w:tab w:val="left" w:pos="7770"/>
        </w:tabs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collected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data were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analysed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via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descriptive and multiple linear regression to test the relationship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amongst 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independent variable (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unionised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industry), control variables (size, profit and leverage) and dependent variable (CSR-E).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unionised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industry was coded as 1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whereas poorly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industry was coded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0. The assumptions underlying the regression model were tested for normal distribution, linearity between independent and dependent variables, multi-collinearity and uncorrelated error terms. The regression model is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formulated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as </w:t>
      </w:r>
    </w:p>
    <w:p w14:paraId="3488B680" w14:textId="1D47E628" w:rsidR="00114010" w:rsidRPr="00236EE0" w:rsidRDefault="00114010" w:rsidP="00114010">
      <w:pPr>
        <w:tabs>
          <w:tab w:val="left" w:pos="7770"/>
        </w:tabs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CSR-E</w:t>
      </w:r>
      <w:r w:rsidRPr="00236EE0">
        <w:rPr>
          <w:rFonts w:ascii="Times New Roman" w:eastAsia="Calibri" w:hAnsi="Times New Roman" w:cs="Times New Roman"/>
          <w:b/>
          <w:bCs/>
          <w:i/>
          <w:sz w:val="24"/>
          <w:szCs w:val="24"/>
          <w:lang w:val="en-GB"/>
        </w:rPr>
        <w:t xml:space="preserve"> = 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β0 + β</w:t>
      </w:r>
      <w:r w:rsidRPr="00236EE0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1</w:t>
      </w:r>
      <w:r w:rsidR="00424A11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HU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+</w:t>
      </w:r>
      <w:r w:rsidR="00424A11" w:rsidRPr="00424A11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r w:rsidR="00424A11"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β</w:t>
      </w:r>
      <w:r w:rsidR="00424A11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2</w:t>
      </w:r>
      <w:r w:rsidR="00424A11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PU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 </w:t>
      </w:r>
      <w:r w:rsidR="00424A11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 xml:space="preserve">+ 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β</w:t>
      </w:r>
      <w:r w:rsidR="00424A11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3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SIZE + β</w:t>
      </w:r>
      <w:r w:rsidR="00424A11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4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PROFIT + β</w:t>
      </w:r>
      <w:r w:rsidR="00424A11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5</w:t>
      </w:r>
      <w:r w:rsidRPr="00236EE0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LEVERAGE + єi</w:t>
      </w:r>
    </w:p>
    <w:p w14:paraId="4C15C35B" w14:textId="77777777" w:rsidR="0008172E" w:rsidRDefault="0008172E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7BCE1E78" w14:textId="51B9847E" w:rsidR="00114010" w:rsidRPr="00236EE0" w:rsidRDefault="0008172E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here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:</w:t>
      </w:r>
    </w:p>
    <w:p w14:paraId="2D73D6DC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 =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orporate social responsibilities toward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employees</w:t>
      </w:r>
    </w:p>
    <w:p w14:paraId="500673BD" w14:textId="2C7DE0B1" w:rsidR="00114010" w:rsidRDefault="00424A11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HU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=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unionised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industry</w:t>
      </w:r>
    </w:p>
    <w:p w14:paraId="315BCB02" w14:textId="2F76EFDE" w:rsidR="00424A11" w:rsidRPr="00236EE0" w:rsidRDefault="00424A11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PU = poor unionised industry</w:t>
      </w:r>
    </w:p>
    <w:p w14:paraId="2292EDE2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SIZE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=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total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assets</w:t>
      </w:r>
    </w:p>
    <w:p w14:paraId="79BCB0DE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PROFIT =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eturn on equity (ROE)</w:t>
      </w:r>
    </w:p>
    <w:p w14:paraId="56DA3693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LEVERAGE =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otal debt to total assets</w:t>
      </w:r>
    </w:p>
    <w:p w14:paraId="0C6C7E0C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Β0…β4 =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oefficients to be estimated</w:t>
      </w:r>
    </w:p>
    <w:p w14:paraId="392C4144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Єi =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rror terms</w:t>
      </w:r>
    </w:p>
    <w:p w14:paraId="38C30311" w14:textId="77777777" w:rsidR="00FF0A93" w:rsidRDefault="00FF0A93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95BC244" w14:textId="77777777" w:rsidR="0008172E" w:rsidRDefault="0008172E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58CCAC69" w14:textId="4BB6A41E" w:rsidR="00114010" w:rsidRPr="00236EE0" w:rsidRDefault="00114010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Findings and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</w:t>
      </w:r>
      <w:r w:rsidRPr="00236E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iscussions</w:t>
      </w:r>
    </w:p>
    <w:p w14:paraId="3EFF1AFA" w14:textId="77777777" w:rsidR="00114010" w:rsidRPr="00236EE0" w:rsidRDefault="00114010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5BBAB2B3" w14:textId="77777777" w:rsidR="00114010" w:rsidRPr="00347F9D" w:rsidRDefault="00114010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</w:pPr>
      <w:r w:rsidRPr="00347F9D">
        <w:rPr>
          <w:rFonts w:ascii="Times New Roman" w:eastAsia="Calibri" w:hAnsi="Times New Roman" w:cs="Times New Roman"/>
          <w:bCs/>
          <w:i/>
          <w:sz w:val="24"/>
          <w:szCs w:val="24"/>
          <w:lang w:val="en-GB"/>
        </w:rPr>
        <w:t>Descriptive findings</w:t>
      </w:r>
    </w:p>
    <w:p w14:paraId="24665A9D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05AF0DDC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Figure 1 shows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number of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CSR-E information mentioned in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the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annual reports of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highly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and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poorly unionised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industries for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financial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year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ending in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2017 and 2018.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These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industries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demonstrate a slight increase in their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CSR-E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frequency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towards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their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employees across the years.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The highly unionised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industry recorded 629 frequencies in 2017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, which increased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 to 657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in the following year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.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Meanwhile, the poorly unionised industry recorded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483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frequencies in 2017, which increased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to 512 in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the following year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. Overall, 1,086 items related to CSR-E have been practi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s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ed by 25 companies in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the highly unionised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industry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>,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whereas only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795 items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have been practised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by 25 companies in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the poorly unionised </w:t>
      </w:r>
      <w:r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  <w:t xml:space="preserve">industry.  </w:t>
      </w:r>
    </w:p>
    <w:p w14:paraId="27B355B7" w14:textId="32E7FFED" w:rsidR="00114010" w:rsidRPr="00236EE0" w:rsidRDefault="00B97959" w:rsidP="00114010">
      <w:pPr>
        <w:tabs>
          <w:tab w:val="left" w:pos="285"/>
        </w:tabs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ab/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ab/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Figure 2 shows the distribution of CSR-E by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the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three main categories mentioned beforehand.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The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training, career development and education category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had the highest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CSR-E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frequency (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811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)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, followed by occupational health and safety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 (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546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)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 and salaries and other benefits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(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517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)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.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Some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differences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were observed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between the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highly and lowly unionised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lastRenderedPageBreak/>
        <w:t xml:space="preserve">industries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in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terms of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CSR-E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frequency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. Salaries and other benefits of well-being in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the highly unionised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industry record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ed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 323 frequencies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, whereas that in the poorly unionised industry only recorded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 194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frequencies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.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A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clear difference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was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also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observed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in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the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training, education and development category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,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 where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the highly unionised industry reported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434 frequencies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, whereas the poorly unionised industry reported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 377 frequencies. Similarly,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the highly unionised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industry reported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325 frequencies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in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terms of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occupational health and safety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>, whereas the poorly unionised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 industry </w:t>
      </w:r>
      <w:r w:rsidR="0011401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only reported </w:t>
      </w:r>
      <w:r w:rsidR="00114010" w:rsidRPr="00236EE0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 w:eastAsia="en-MY"/>
        </w:rPr>
        <w:t xml:space="preserve">221 frequencies. </w:t>
      </w:r>
    </w:p>
    <w:p w14:paraId="25EC0814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GB"/>
        </w:rPr>
      </w:pPr>
    </w:p>
    <w:p w14:paraId="6AFE9C63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236EE0">
        <w:rPr>
          <w:noProof/>
          <w:lang w:val="en-MY" w:eastAsia="en-MY"/>
        </w:rPr>
        <w:drawing>
          <wp:inline distT="0" distB="0" distL="0" distR="0" wp14:anchorId="58C0AB20" wp14:editId="7271DDA3">
            <wp:extent cx="4410075" cy="2149475"/>
            <wp:effectExtent l="0" t="0" r="9525" b="31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C279DA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</w:p>
    <w:p w14:paraId="73C96BA5" w14:textId="77777777" w:rsidR="00114010" w:rsidRPr="00236EE0" w:rsidRDefault="00114010" w:rsidP="00114010">
      <w:pPr>
        <w:spacing w:after="160" w:line="256" w:lineRule="auto"/>
        <w:jc w:val="center"/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</w:pPr>
      <w:r w:rsidRPr="00347F9D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MY"/>
        </w:rPr>
        <w:t>Figure 1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 w:eastAsia="en-MY"/>
        </w:rPr>
        <w:t xml:space="preserve">. </w:t>
      </w:r>
      <w:r w:rsidRPr="00236EE0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 xml:space="preserve">CSR-E Frequency by </w:t>
      </w:r>
      <w:r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>unionised i</w:t>
      </w:r>
      <w:r w:rsidRPr="00236EE0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>ndustries</w:t>
      </w:r>
    </w:p>
    <w:p w14:paraId="113395C6" w14:textId="77777777" w:rsidR="00114010" w:rsidRPr="00236EE0" w:rsidRDefault="00114010" w:rsidP="00114010">
      <w:pPr>
        <w:tabs>
          <w:tab w:val="left" w:pos="285"/>
        </w:tabs>
        <w:spacing w:after="160" w:line="256" w:lineRule="auto"/>
        <w:jc w:val="both"/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</w:pPr>
    </w:p>
    <w:p w14:paraId="03059816" w14:textId="77777777" w:rsidR="00114010" w:rsidRPr="00236EE0" w:rsidRDefault="00114010" w:rsidP="00114010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en-MY"/>
        </w:rPr>
      </w:pPr>
      <w:r w:rsidRPr="00236EE0">
        <w:rPr>
          <w:noProof/>
          <w:lang w:val="en-MY" w:eastAsia="en-MY"/>
        </w:rPr>
        <w:drawing>
          <wp:inline distT="0" distB="0" distL="0" distR="0" wp14:anchorId="1550AF74" wp14:editId="5367A4B8">
            <wp:extent cx="4572000" cy="25717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A83E97" w14:textId="77777777" w:rsidR="00114010" w:rsidRPr="00236EE0" w:rsidRDefault="00114010" w:rsidP="00114010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en-MY"/>
        </w:rPr>
      </w:pPr>
      <w:r w:rsidRPr="00347F9D">
        <w:rPr>
          <w:rFonts w:ascii="Times New Roman" w:eastAsia="Calibri" w:hAnsi="Times New Roman" w:cs="Times New Roman"/>
          <w:b/>
          <w:color w:val="000000"/>
          <w:kern w:val="24"/>
          <w:sz w:val="20"/>
          <w:szCs w:val="20"/>
          <w:lang w:val="en-GB" w:eastAsia="en-MY"/>
        </w:rPr>
        <w:t>Figure 2</w:t>
      </w:r>
      <w:r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>.</w:t>
      </w:r>
      <w:r w:rsidRPr="00236EE0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 xml:space="preserve"> Comparison </w:t>
      </w:r>
      <w:r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 xml:space="preserve">of </w:t>
      </w:r>
      <w:r w:rsidRPr="00236EE0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 xml:space="preserve">CSR-E by </w:t>
      </w:r>
      <w:r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>m</w:t>
      </w:r>
      <w:r w:rsidRPr="00236EE0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 xml:space="preserve">ain </w:t>
      </w:r>
      <w:r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>c</w:t>
      </w:r>
      <w:r w:rsidRPr="00236EE0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GB" w:eastAsia="en-MY"/>
        </w:rPr>
        <w:t>ategories</w:t>
      </w:r>
    </w:p>
    <w:p w14:paraId="60FBE989" w14:textId="77777777" w:rsidR="00FF0A93" w:rsidRDefault="00FF0A93" w:rsidP="00114010">
      <w:p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</w:p>
    <w:p w14:paraId="798514B2" w14:textId="2C129C1E" w:rsidR="00114010" w:rsidRPr="00347F9D" w:rsidRDefault="00114010" w:rsidP="00114010">
      <w:p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347F9D">
        <w:rPr>
          <w:rFonts w:ascii="Times New Roman" w:eastAsia="Calibri" w:hAnsi="Times New Roman" w:cs="Times New Roman"/>
          <w:i/>
          <w:sz w:val="24"/>
          <w:szCs w:val="24"/>
          <w:lang w:val="en-GB"/>
        </w:rPr>
        <w:t>Hypothesis testing</w:t>
      </w:r>
    </w:p>
    <w:p w14:paraId="0177F07F" w14:textId="77777777" w:rsidR="00114010" w:rsidRPr="00236EE0" w:rsidRDefault="00114010" w:rsidP="00114010">
      <w:p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3586412" w14:textId="74193077" w:rsidR="00D13C6E" w:rsidRPr="00FF0A93" w:rsidRDefault="00114010" w:rsidP="00FF0A93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multiple regression analysis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results shown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Table </w:t>
      </w:r>
      <w:r w:rsidR="0008172E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4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support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significant relationship between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highly unionised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industry and CSR-E.</w:t>
      </w:r>
      <w:r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 standardised regression weights reveal that the highly unionised industry is a significant predictor of CSR-E (β = .4</w:t>
      </w:r>
      <w:r w:rsidR="00404992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39</w:t>
      </w:r>
      <w:r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t = 5.313, p &lt;</w:t>
      </w:r>
      <w:r w:rsidR="00434F92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404992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.001</w:t>
      </w:r>
      <w:r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), thereby supporting the </w:t>
      </w:r>
      <w:r w:rsidR="008C5457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hypothesis. </w:t>
      </w:r>
      <w:r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Moreover, the regression analysis reveals</w:t>
      </w:r>
      <w:r w:rsidR="008C5457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that poor unionised industry follows the similar association with a weaker level </w:t>
      </w:r>
      <w:r w:rsidR="00404992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(β = .299, t = </w:t>
      </w:r>
      <w:r w:rsidR="00404992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lastRenderedPageBreak/>
        <w:t>2.342, p &lt;</w:t>
      </w:r>
      <w:r w:rsidR="00434F92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8C5457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.05). Comparatively, it can be concluded that high unionised industry is stronger predictor that poor unionised industry to CSR-E. </w:t>
      </w:r>
      <w:r w:rsidR="008C545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ompany size is</w:t>
      </w:r>
      <w:r w:rsidR="008C545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also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 significant predictor of CSR-E (β = .300, t = 3.220, p &lt; .05). However, company profit and leverage </w:t>
      </w: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not significantly related </w:t>
      </w:r>
      <w:r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with CSR-E (profit β = .112, t = 1.582, p &gt; .05 and leverage β = .107, t = 1.082, p &gt; .05). </w:t>
      </w:r>
    </w:p>
    <w:p w14:paraId="0951F9E6" w14:textId="77777777" w:rsidR="00B97959" w:rsidRDefault="00B97959" w:rsidP="00114010">
      <w:pPr>
        <w:tabs>
          <w:tab w:val="left" w:pos="7770"/>
        </w:tabs>
        <w:spacing w:after="0" w:line="259" w:lineRule="auto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  <w:lang w:val="en-GB"/>
        </w:rPr>
      </w:pPr>
    </w:p>
    <w:p w14:paraId="57185DA9" w14:textId="18C0E986" w:rsidR="00114010" w:rsidRPr="00236EE0" w:rsidRDefault="00114010" w:rsidP="00B97959">
      <w:pPr>
        <w:tabs>
          <w:tab w:val="left" w:pos="7770"/>
        </w:tabs>
        <w:spacing w:after="12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val="en-GB"/>
        </w:rPr>
      </w:pPr>
      <w:r w:rsidRPr="00347F9D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GB"/>
        </w:rPr>
        <w:t xml:space="preserve">Table </w:t>
      </w:r>
      <w:r w:rsidR="0008172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GB"/>
        </w:rPr>
        <w:t>4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val="en-GB"/>
        </w:rPr>
        <w:t>.</w:t>
      </w:r>
      <w:r w:rsidRPr="00236EE0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GB"/>
        </w:rPr>
        <w:t xml:space="preserve"> Multiple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val="en-GB"/>
        </w:rPr>
        <w:t>l</w:t>
      </w:r>
      <w:r w:rsidRPr="00236EE0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GB"/>
        </w:rPr>
        <w:t xml:space="preserve">inear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val="en-GB"/>
        </w:rPr>
        <w:t>r</w:t>
      </w:r>
      <w:r w:rsidRPr="00236EE0">
        <w:rPr>
          <w:rFonts w:ascii="Times New Roman" w:eastAsia="Calibri" w:hAnsi="Times New Roman" w:cs="Times New Roman"/>
          <w:bCs/>
          <w:color w:val="000000"/>
          <w:sz w:val="20"/>
          <w:szCs w:val="20"/>
          <w:lang w:val="en-GB"/>
        </w:rPr>
        <w:t>egression</w:t>
      </w:r>
    </w:p>
    <w:tbl>
      <w:tblPr>
        <w:tblStyle w:val="Style1"/>
        <w:tblpPr w:leftFromText="180" w:rightFromText="180" w:vertAnchor="text" w:horzAnchor="margin" w:tblpXSpec="center" w:tblpY="139"/>
        <w:tblW w:w="8642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2099"/>
        <w:gridCol w:w="971"/>
        <w:gridCol w:w="1329"/>
        <w:gridCol w:w="1782"/>
        <w:gridCol w:w="851"/>
        <w:gridCol w:w="879"/>
      </w:tblGrid>
      <w:tr w:rsidR="00114010" w:rsidRPr="00236EE0" w14:paraId="2C8451FF" w14:textId="77777777" w:rsidTr="00F5425F">
        <w:trPr>
          <w:trHeight w:val="56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CCDEDC4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47F9D">
              <w:rPr>
                <w:rFonts w:ascii="Times New Roman" w:hAnsi="Times New Roman" w:cs="Times New Roman"/>
                <w:b/>
                <w:lang w:val="en-GB"/>
              </w:rPr>
              <w:t>Model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3275C15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47F9D">
              <w:rPr>
                <w:rFonts w:ascii="Times New Roman" w:hAnsi="Times New Roman" w:cs="Times New Roman"/>
                <w:b/>
                <w:lang w:val="en-GB"/>
              </w:rPr>
              <w:t>Unstandardised coefficients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8047056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47F9D">
              <w:rPr>
                <w:rFonts w:ascii="Times New Roman" w:hAnsi="Times New Roman" w:cs="Times New Roman"/>
                <w:b/>
                <w:lang w:val="en-GB"/>
              </w:rPr>
              <w:t>Standardised coefficients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D5683DC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47F9D">
              <w:rPr>
                <w:rFonts w:ascii="Times New Roman" w:hAnsi="Times New Roman" w:cs="Times New Roman"/>
                <w:b/>
                <w:lang w:val="en-GB"/>
              </w:rPr>
              <w:t>t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B0D690F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47F9D">
              <w:rPr>
                <w:rFonts w:ascii="Times New Roman" w:hAnsi="Times New Roman" w:cs="Times New Roman"/>
                <w:b/>
                <w:lang w:val="en-GB"/>
              </w:rPr>
              <w:t>Sig.</w:t>
            </w:r>
          </w:p>
        </w:tc>
      </w:tr>
      <w:tr w:rsidR="00114010" w:rsidRPr="00236EE0" w14:paraId="6C1CC640" w14:textId="77777777" w:rsidTr="00F5425F">
        <w:trPr>
          <w:trHeight w:val="287"/>
        </w:trPr>
        <w:tc>
          <w:tcPr>
            <w:tcW w:w="28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B4A6C8A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132E039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47F9D">
              <w:rPr>
                <w:rFonts w:ascii="Times New Roman" w:hAnsi="Times New Roman" w:cs="Times New Roman"/>
                <w:lang w:val="en-GB"/>
              </w:rPr>
              <w:t>B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7D0A860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47F9D">
              <w:rPr>
                <w:rFonts w:ascii="Times New Roman" w:hAnsi="Times New Roman" w:cs="Times New Roman"/>
                <w:lang w:val="en-GB"/>
              </w:rPr>
              <w:t>Std. Error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AD83128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47F9D">
              <w:rPr>
                <w:rFonts w:ascii="Times New Roman" w:hAnsi="Times New Roman" w:cs="Times New Roman"/>
                <w:lang w:val="en-GB"/>
              </w:rPr>
              <w:t>Beta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2E2B3E8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E1CA618" w14:textId="77777777" w:rsidR="00114010" w:rsidRPr="00347F9D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14010" w:rsidRPr="00236EE0" w14:paraId="230D3F4E" w14:textId="77777777" w:rsidTr="00B97959">
        <w:trPr>
          <w:trHeight w:val="274"/>
        </w:trPr>
        <w:tc>
          <w:tcPr>
            <w:tcW w:w="731" w:type="dxa"/>
            <w:vMerge w:val="restart"/>
            <w:tcBorders>
              <w:top w:val="single" w:sz="4" w:space="0" w:color="auto"/>
            </w:tcBorders>
          </w:tcPr>
          <w:p w14:paraId="26EE75CB" w14:textId="77777777" w:rsidR="00114010" w:rsidRPr="00B97959" w:rsidRDefault="00114010" w:rsidP="00B9795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2529BFFE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(Constant)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4DB7458B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8.170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0AF3D046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3.056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4689BAB0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CBC0B0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2.674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1FABF61B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 xml:space="preserve">  .009</w:t>
            </w:r>
          </w:p>
        </w:tc>
      </w:tr>
      <w:tr w:rsidR="00114010" w:rsidRPr="00236EE0" w14:paraId="44204F8C" w14:textId="77777777" w:rsidTr="00B97959">
        <w:trPr>
          <w:trHeight w:val="274"/>
        </w:trPr>
        <w:tc>
          <w:tcPr>
            <w:tcW w:w="731" w:type="dxa"/>
            <w:vMerge/>
          </w:tcPr>
          <w:p w14:paraId="4E42507A" w14:textId="77777777" w:rsidR="00114010" w:rsidRPr="00B97959" w:rsidRDefault="00114010" w:rsidP="00B97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099" w:type="dxa"/>
          </w:tcPr>
          <w:p w14:paraId="61163A8D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High unionised industry</w:t>
            </w:r>
          </w:p>
        </w:tc>
        <w:tc>
          <w:tcPr>
            <w:tcW w:w="971" w:type="dxa"/>
          </w:tcPr>
          <w:p w14:paraId="2CD11215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3.800</w:t>
            </w:r>
          </w:p>
        </w:tc>
        <w:tc>
          <w:tcPr>
            <w:tcW w:w="1329" w:type="dxa"/>
          </w:tcPr>
          <w:p w14:paraId="6BAF87D1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.715</w:t>
            </w:r>
          </w:p>
        </w:tc>
        <w:tc>
          <w:tcPr>
            <w:tcW w:w="1782" w:type="dxa"/>
          </w:tcPr>
          <w:p w14:paraId="47FA551C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.439</w:t>
            </w:r>
          </w:p>
        </w:tc>
        <w:tc>
          <w:tcPr>
            <w:tcW w:w="851" w:type="dxa"/>
          </w:tcPr>
          <w:p w14:paraId="699FFA7F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5.313</w:t>
            </w:r>
          </w:p>
        </w:tc>
        <w:tc>
          <w:tcPr>
            <w:tcW w:w="879" w:type="dxa"/>
          </w:tcPr>
          <w:p w14:paraId="3959C67C" w14:textId="1ABC6D58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.000*</w:t>
            </w:r>
            <w:r w:rsidR="00D13C6E" w:rsidRPr="00B97959">
              <w:rPr>
                <w:rFonts w:ascii="Times New Roman" w:hAnsi="Times New Roman" w:cs="Times New Roman"/>
                <w:lang w:val="en-GB"/>
              </w:rPr>
              <w:t>*</w:t>
            </w:r>
          </w:p>
        </w:tc>
      </w:tr>
      <w:tr w:rsidR="005B34A6" w:rsidRPr="00236EE0" w14:paraId="6C8A4EDE" w14:textId="77777777" w:rsidTr="00B97959">
        <w:trPr>
          <w:trHeight w:val="274"/>
        </w:trPr>
        <w:tc>
          <w:tcPr>
            <w:tcW w:w="731" w:type="dxa"/>
            <w:vMerge/>
          </w:tcPr>
          <w:p w14:paraId="0D2707B9" w14:textId="77777777" w:rsidR="005B34A6" w:rsidRPr="00B97959" w:rsidRDefault="005B34A6" w:rsidP="00B97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099" w:type="dxa"/>
          </w:tcPr>
          <w:p w14:paraId="2D600A57" w14:textId="0EA13CB9" w:rsidR="005B34A6" w:rsidRPr="00B97959" w:rsidRDefault="005B34A6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Poorly unionised industry</w:t>
            </w:r>
          </w:p>
        </w:tc>
        <w:tc>
          <w:tcPr>
            <w:tcW w:w="971" w:type="dxa"/>
          </w:tcPr>
          <w:p w14:paraId="5879860B" w14:textId="693C744D" w:rsidR="005B34A6" w:rsidRPr="00B97959" w:rsidRDefault="005B34A6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7.422</w:t>
            </w:r>
          </w:p>
        </w:tc>
        <w:tc>
          <w:tcPr>
            <w:tcW w:w="1329" w:type="dxa"/>
          </w:tcPr>
          <w:p w14:paraId="4918370D" w14:textId="5BCD415B" w:rsidR="005B34A6" w:rsidRPr="00B97959" w:rsidRDefault="005B34A6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3.619</w:t>
            </w:r>
          </w:p>
        </w:tc>
        <w:tc>
          <w:tcPr>
            <w:tcW w:w="1782" w:type="dxa"/>
          </w:tcPr>
          <w:p w14:paraId="4104CC82" w14:textId="109E0426" w:rsidR="005B34A6" w:rsidRPr="00B97959" w:rsidRDefault="00D13C6E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.299</w:t>
            </w:r>
          </w:p>
        </w:tc>
        <w:tc>
          <w:tcPr>
            <w:tcW w:w="851" w:type="dxa"/>
          </w:tcPr>
          <w:p w14:paraId="70266872" w14:textId="43902C5A" w:rsidR="005B34A6" w:rsidRPr="00B97959" w:rsidRDefault="00D13C6E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2.342</w:t>
            </w:r>
          </w:p>
        </w:tc>
        <w:tc>
          <w:tcPr>
            <w:tcW w:w="879" w:type="dxa"/>
          </w:tcPr>
          <w:p w14:paraId="0C81D9B9" w14:textId="49BB801E" w:rsidR="005B34A6" w:rsidRPr="00B97959" w:rsidRDefault="00D13C6E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.024*</w:t>
            </w:r>
          </w:p>
        </w:tc>
      </w:tr>
      <w:tr w:rsidR="00114010" w:rsidRPr="00236EE0" w14:paraId="6C17EF2C" w14:textId="77777777" w:rsidTr="00B97959">
        <w:trPr>
          <w:trHeight w:val="287"/>
        </w:trPr>
        <w:tc>
          <w:tcPr>
            <w:tcW w:w="731" w:type="dxa"/>
            <w:vMerge/>
          </w:tcPr>
          <w:p w14:paraId="26989929" w14:textId="77777777" w:rsidR="00114010" w:rsidRPr="00B97959" w:rsidRDefault="00114010" w:rsidP="00B97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099" w:type="dxa"/>
          </w:tcPr>
          <w:p w14:paraId="47387191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Size</w:t>
            </w:r>
          </w:p>
        </w:tc>
        <w:tc>
          <w:tcPr>
            <w:tcW w:w="971" w:type="dxa"/>
          </w:tcPr>
          <w:p w14:paraId="5B699FF1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1.192</w:t>
            </w:r>
          </w:p>
        </w:tc>
        <w:tc>
          <w:tcPr>
            <w:tcW w:w="1329" w:type="dxa"/>
          </w:tcPr>
          <w:p w14:paraId="7E29B956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.370</w:t>
            </w:r>
          </w:p>
        </w:tc>
        <w:tc>
          <w:tcPr>
            <w:tcW w:w="1782" w:type="dxa"/>
          </w:tcPr>
          <w:p w14:paraId="21B821D0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.300</w:t>
            </w:r>
          </w:p>
        </w:tc>
        <w:tc>
          <w:tcPr>
            <w:tcW w:w="851" w:type="dxa"/>
          </w:tcPr>
          <w:p w14:paraId="2FF5EEEC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3.220</w:t>
            </w:r>
          </w:p>
        </w:tc>
        <w:tc>
          <w:tcPr>
            <w:tcW w:w="879" w:type="dxa"/>
          </w:tcPr>
          <w:p w14:paraId="08DB9CB8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.002*</w:t>
            </w:r>
          </w:p>
        </w:tc>
      </w:tr>
      <w:tr w:rsidR="00114010" w:rsidRPr="00236EE0" w14:paraId="1339E965" w14:textId="77777777" w:rsidTr="00B97959">
        <w:trPr>
          <w:trHeight w:val="287"/>
        </w:trPr>
        <w:tc>
          <w:tcPr>
            <w:tcW w:w="731" w:type="dxa"/>
          </w:tcPr>
          <w:p w14:paraId="6D3F4AE4" w14:textId="77777777" w:rsidR="00114010" w:rsidRPr="00B97959" w:rsidRDefault="00114010" w:rsidP="00B97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099" w:type="dxa"/>
          </w:tcPr>
          <w:p w14:paraId="3028F9DA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Profit</w:t>
            </w:r>
          </w:p>
        </w:tc>
        <w:tc>
          <w:tcPr>
            <w:tcW w:w="971" w:type="dxa"/>
          </w:tcPr>
          <w:p w14:paraId="2F05DEC3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.064</w:t>
            </w:r>
          </w:p>
        </w:tc>
        <w:tc>
          <w:tcPr>
            <w:tcW w:w="1329" w:type="dxa"/>
          </w:tcPr>
          <w:p w14:paraId="0F3FAC05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.041</w:t>
            </w:r>
          </w:p>
        </w:tc>
        <w:tc>
          <w:tcPr>
            <w:tcW w:w="1782" w:type="dxa"/>
          </w:tcPr>
          <w:p w14:paraId="18B6F2BE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.112</w:t>
            </w:r>
          </w:p>
        </w:tc>
        <w:tc>
          <w:tcPr>
            <w:tcW w:w="851" w:type="dxa"/>
          </w:tcPr>
          <w:p w14:paraId="3D8B1BF8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1.582</w:t>
            </w:r>
          </w:p>
        </w:tc>
        <w:tc>
          <w:tcPr>
            <w:tcW w:w="879" w:type="dxa"/>
          </w:tcPr>
          <w:p w14:paraId="1CBCD4BC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 xml:space="preserve">  .117</w:t>
            </w:r>
          </w:p>
        </w:tc>
      </w:tr>
      <w:tr w:rsidR="00114010" w:rsidRPr="00236EE0" w14:paraId="1F9150F4" w14:textId="77777777" w:rsidTr="00B97959">
        <w:trPr>
          <w:trHeight w:val="287"/>
        </w:trPr>
        <w:tc>
          <w:tcPr>
            <w:tcW w:w="731" w:type="dxa"/>
            <w:tcBorders>
              <w:bottom w:val="single" w:sz="4" w:space="0" w:color="auto"/>
            </w:tcBorders>
          </w:tcPr>
          <w:p w14:paraId="2FBB8AE7" w14:textId="77777777" w:rsidR="00114010" w:rsidRPr="00B97959" w:rsidRDefault="00114010" w:rsidP="00B97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48CC9722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Leverage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6BCEDDAC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.017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A1B0605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.016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79C2D570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.107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8331FB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1.082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3E21539C" w14:textId="77777777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>.282</w:t>
            </w:r>
          </w:p>
        </w:tc>
      </w:tr>
      <w:tr w:rsidR="00114010" w:rsidRPr="00236EE0" w14:paraId="10EB69E5" w14:textId="77777777" w:rsidTr="00B97959">
        <w:trPr>
          <w:trHeight w:val="320"/>
        </w:trPr>
        <w:tc>
          <w:tcPr>
            <w:tcW w:w="0" w:type="dxa"/>
            <w:gridSpan w:val="7"/>
            <w:tcBorders>
              <w:top w:val="single" w:sz="4" w:space="0" w:color="auto"/>
            </w:tcBorders>
          </w:tcPr>
          <w:p w14:paraId="24DB6CD8" w14:textId="5BA6F6A1" w:rsidR="00114010" w:rsidRPr="00B97959" w:rsidRDefault="00114010" w:rsidP="00B97959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B97959">
              <w:rPr>
                <w:rFonts w:ascii="Times New Roman" w:hAnsi="Times New Roman" w:cs="Times New Roman"/>
                <w:lang w:val="en-GB"/>
              </w:rPr>
              <w:t xml:space="preserve">R² = .579, adjusted R² = .566  </w:t>
            </w:r>
            <w:r w:rsidR="00D13C6E" w:rsidRPr="00B97959">
              <w:rPr>
                <w:rFonts w:ascii="Times New Roman" w:hAnsi="Times New Roman" w:cs="Times New Roman"/>
                <w:lang w:val="en-GB"/>
              </w:rPr>
              <w:t xml:space="preserve"> *</w:t>
            </w:r>
            <w:r w:rsidR="00D13C6E" w:rsidRPr="00B97959">
              <w:rPr>
                <w:rFonts w:ascii="Times New Roman" w:hAnsi="Times New Roman" w:cs="Times New Roman"/>
                <w:i/>
                <w:lang w:val="en-GB"/>
              </w:rPr>
              <w:t>*significant at p&lt;0.</w:t>
            </w:r>
            <w:r w:rsidR="00434F92" w:rsidRPr="00B97959">
              <w:rPr>
                <w:rFonts w:ascii="Times New Roman" w:hAnsi="Times New Roman" w:cs="Times New Roman"/>
                <w:i/>
                <w:lang w:val="en-GB"/>
              </w:rPr>
              <w:t>0</w:t>
            </w:r>
            <w:r w:rsidR="00D13C6E" w:rsidRPr="00B97959">
              <w:rPr>
                <w:rFonts w:ascii="Times New Roman" w:hAnsi="Times New Roman" w:cs="Times New Roman"/>
                <w:i/>
                <w:lang w:val="en-GB"/>
              </w:rPr>
              <w:t xml:space="preserve">01  </w:t>
            </w:r>
            <w:r w:rsidRPr="00B97959">
              <w:rPr>
                <w:rFonts w:ascii="Times New Roman" w:hAnsi="Times New Roman" w:cs="Times New Roman"/>
                <w:i/>
                <w:lang w:val="en-GB"/>
              </w:rPr>
              <w:t xml:space="preserve"> *significant at p&lt;0.05</w:t>
            </w:r>
          </w:p>
        </w:tc>
      </w:tr>
    </w:tbl>
    <w:p w14:paraId="6546B319" w14:textId="25CF8429" w:rsidR="00114010" w:rsidRPr="00236EE0" w:rsidRDefault="00D35639" w:rsidP="00D356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</w:t>
      </w:r>
      <w:r w:rsidR="008C5457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stronger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significant positive relationship</w:t>
      </w:r>
      <w:r w:rsidR="00497944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was observed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between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unionised industries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and CSR-E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thereby suggesting that these institutions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considered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unionised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industries back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strong force of labour unions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which in turn influence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companies to practice more CSR-E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activities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Operating within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environment, banking and financial institutions in Malaysia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more responsive and sensitive to their respective labour unions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compared with companies in poorly unionised industries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Amongst the banking and financial institutions in Malaysia,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Malayan Banking Bhd, Public Bank Bhd and CIMB Group Bhd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have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largest number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of CSR-E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activities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Around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30,000 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banking and financial institutions in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eninsular Malaysia are member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National Union of Bank Employee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(NUBE) formed in 1958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whereas other employees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are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members 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in-house labour unions. NUBE is the third largest labour union in Malaysia that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boasts a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superior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service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record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for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over 40 years.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other words,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NUBE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acts as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 big brother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on which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bank employees can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depend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Apart from its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strong political lobbying exercise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NUBE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usually organises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strikes to voice out the unfairness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treaties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and to promote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states of employment, wellness inclusion and occupation security between banks 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employees. In term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of CSR-E categories, employee training, development and education was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defined as a major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responsibility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of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banks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given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dependence of banking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financial institutions on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employees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the paramount importance of investing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skill development.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This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industry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also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considers employees not just strategic asset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but also high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-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risk stakeholders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given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they are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highly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sheltered under NUBE and in-house unions.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Therefore, CSR in this industry is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mostly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channelled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through training, career development and education to mitigate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potential threat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posed by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labour unions. </w:t>
      </w:r>
    </w:p>
    <w:p w14:paraId="7F704873" w14:textId="7A0784EB" w:rsidR="00645158" w:rsidRDefault="00D35639" w:rsidP="00D3563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  <w:lang w:val="en-GB"/>
        </w:rPr>
        <w:tab/>
      </w:r>
      <w:r w:rsidR="00D339E6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significant relationship between real estates and properties industry with CSR-E is weaker at p&lt;0.05 compared to financial and banking industry. </w:t>
      </w:r>
      <w:r w:rsidR="000C77A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low </w:t>
      </w:r>
      <w:r w:rsidR="00682156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rate of </w:t>
      </w:r>
      <w:r w:rsidR="000C77A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national membership (0.03%) and number of labour union</w:t>
      </w:r>
      <w:r w:rsidR="00E929B5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entity</w:t>
      </w:r>
      <w:r w:rsidR="000C77A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(7 unions)</w:t>
      </w:r>
      <w:r w:rsidR="00C23D02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514B79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has </w:t>
      </w:r>
      <w:r w:rsidR="00617D16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less</w:t>
      </w:r>
      <w:r w:rsidR="00F851E0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en the </w:t>
      </w:r>
      <w:r w:rsidR="00282F10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unions</w:t>
      </w:r>
      <w:r w:rsidR="00617D16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power</w:t>
      </w:r>
      <w:r w:rsidR="00FF0A93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 this industry</w:t>
      </w:r>
      <w:r w:rsidR="0064515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but </w:t>
      </w:r>
      <w:r w:rsidR="002F05CA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it </w:t>
      </w:r>
      <w:r w:rsidR="0064515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did</w:t>
      </w:r>
      <w:r w:rsidR="00282F10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not reduce the </w:t>
      </w:r>
      <w:r w:rsidR="00F26D6E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CSR-E practices</w:t>
      </w:r>
      <w:r w:rsidR="00282F10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significantly</w:t>
      </w:r>
      <w:r w:rsidR="00F26D6E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  <w:r w:rsidR="00AA69C9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5259AA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Unlike in banking and financial industry</w:t>
      </w:r>
      <w:r w:rsidR="00097D35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 i</w:t>
      </w:r>
      <w:r w:rsidR="0064515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 can be agreed that CSR-E</w:t>
      </w:r>
      <w:r w:rsidR="005259AA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 real estate and properties</w:t>
      </w:r>
      <w:r w:rsidR="00E37DE3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industry</w:t>
      </w:r>
      <w:r w:rsidR="0064515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is</w:t>
      </w:r>
      <w:r w:rsidR="002F05CA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used as</w:t>
      </w:r>
      <w:r w:rsidR="00645158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 tool to respond to the demand of individual employee but</w:t>
      </w:r>
      <w:r w:rsidR="00E37DE3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not to </w:t>
      </w:r>
      <w:r w:rsidR="002F05CA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E37DE3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labour unions. </w:t>
      </w:r>
      <w:r w:rsidR="00AA69C9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This is because there was still CSR-E in the presence of low rate of labour union.</w:t>
      </w:r>
      <w:r w:rsidR="000A7E83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Perhaps, mostly workers </w:t>
      </w:r>
      <w:r w:rsidR="00EB75DE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 this industry </w:t>
      </w:r>
      <w:r w:rsidR="000A7E83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are skilled, well-informed and there is strong individual bargaining power that requires no unions for CSR-E. </w:t>
      </w:r>
      <w:r w:rsidR="00AA69C9" w:rsidRPr="00B97959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</w:p>
    <w:p w14:paraId="6B0F3E1C" w14:textId="20CA84DC" w:rsidR="008E0012" w:rsidRDefault="00D35639" w:rsidP="00D356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ab/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findings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this work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also support stakeholder theory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by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postulating that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CSR</w:t>
      </w:r>
      <w:r w:rsidR="00EB75DE">
        <w:rPr>
          <w:rFonts w:ascii="Times New Roman" w:eastAsia="Calibri" w:hAnsi="Times New Roman" w:cs="Times New Roman"/>
          <w:sz w:val="24"/>
          <w:szCs w:val="24"/>
          <w:lang w:val="en-GB"/>
        </w:rPr>
        <w:t>-E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exercise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must be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accordance with the types of stakeholder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This theory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also postulates that the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strongest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stakeholders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receive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most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attention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from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companies. In this case,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high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amount of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trade union memberships in Malaysia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>n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banking and financial institution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signify the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unionisation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power of the industry to pressure banks to exercise CSR-E.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presence of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labour union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also has a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stronger power over CSR-E 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compared with 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individual employee</w:t>
      </w:r>
      <w:r w:rsidR="008E0012">
        <w:rPr>
          <w:rFonts w:ascii="Times New Roman" w:eastAsia="Calibri" w:hAnsi="Times New Roman" w:cs="Times New Roman"/>
          <w:sz w:val="24"/>
          <w:szCs w:val="24"/>
          <w:lang w:val="en-GB"/>
        </w:rPr>
        <w:t>s</w:t>
      </w:r>
      <w:r w:rsidR="008E0012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Therefore, the power of employee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can be strengthen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ed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via a 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collective form as suggested by stakeholder theory. This 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result 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is consistent with Campbell (2007)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,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who 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suggested 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that companies 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tend 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to act in a socially responsible manner when engaged in formal </w:t>
      </w:r>
      <w:r w:rsidR="008E001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institutionalised </w:t>
      </w:r>
      <w:r w:rsidR="008E0012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dialogue.</w:t>
      </w:r>
      <w:r w:rsidR="00D76CE5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</w:p>
    <w:p w14:paraId="570D981D" w14:textId="0D8D4FFB" w:rsidR="00404992" w:rsidRPr="00236EE0" w:rsidRDefault="00404992" w:rsidP="00114010">
      <w:pPr>
        <w:tabs>
          <w:tab w:val="left" w:pos="777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</w:p>
    <w:p w14:paraId="2C651BE8" w14:textId="49421C39" w:rsidR="00114010" w:rsidRPr="00236EE0" w:rsidRDefault="00404992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</w:p>
    <w:p w14:paraId="3DEC5226" w14:textId="77777777" w:rsidR="00114010" w:rsidRPr="00236EE0" w:rsidRDefault="00114010" w:rsidP="00114010">
      <w:pPr>
        <w:tabs>
          <w:tab w:val="left" w:pos="7770"/>
        </w:tabs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36EE0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Conclusion</w:t>
      </w:r>
    </w:p>
    <w:p w14:paraId="2E183E7E" w14:textId="77777777" w:rsidR="00114010" w:rsidRPr="00236EE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73223492" w14:textId="77777777" w:rsidR="00114010" w:rsidRPr="00236EE0" w:rsidRDefault="00114010" w:rsidP="00114010">
      <w:pPr>
        <w:tabs>
          <w:tab w:val="left" w:pos="7770"/>
        </w:tabs>
        <w:spacing w:after="0" w:line="240" w:lineRule="auto"/>
        <w:jc w:val="both"/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</w:pP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This study aims to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examine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the relationship between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highly unionised industries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and CSR-E based on stakeholder theory. Content analysis was conducted over the annual reports of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highly and poorly unionised industries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to capture CSR-E.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By employing the unionisation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rating method,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we identified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banking and financial institutions and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real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estate and properties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as highly and poorly unionised industries,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respectively. CSR-E was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then grouped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into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3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main categories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comprising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35 construct items. The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frequency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of CSR-E was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revealed to be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significantly related with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>highly unionised industries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.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The findings of this work offer several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practical, 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theoretical 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>and policy</w:t>
      </w:r>
      <w:r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 implications</w:t>
      </w:r>
      <w:r w:rsidRPr="00236EE0">
        <w:rPr>
          <w:rFonts w:ascii="Times-Roman" w:eastAsia="Calibri" w:hAnsi="Times-Roman" w:cs="Times New Roman"/>
          <w:color w:val="242021"/>
          <w:sz w:val="24"/>
          <w:szCs w:val="24"/>
          <w:lang w:val="en-GB"/>
        </w:rPr>
        <w:t xml:space="preserve">.    </w:t>
      </w:r>
    </w:p>
    <w:p w14:paraId="0247CC37" w14:textId="5359676F" w:rsidR="00114010" w:rsidRDefault="00D35639" w:rsidP="00D356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One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limitation of this study is that only annual reports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were used to identify CSR-E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F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uture studies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may use CSR-E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information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from company websites to crosscheck our findings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Moreover, this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study is limited 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within the 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>Malaysia</w:t>
      </w:r>
      <w:r w:rsidR="00114010">
        <w:rPr>
          <w:rFonts w:ascii="Times New Roman" w:eastAsia="Calibri" w:hAnsi="Times New Roman" w:cs="Times New Roman"/>
          <w:sz w:val="24"/>
          <w:szCs w:val="24"/>
          <w:lang w:val="en-GB"/>
        </w:rPr>
        <w:t>n context,</w:t>
      </w:r>
      <w:r w:rsidR="00114010" w:rsidRPr="00236E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future studies can focus on other countries with different legal frameworks, cultures and politics in respect of labour unions.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In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-depth interviews and surveys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may also be conducted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among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st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managers to understand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their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real motivation behind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practicing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CSR-E.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This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study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also adopted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crude measurement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based on MTUC data to derive industry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unionisation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rating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s, and such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limitation can be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addressed in future studies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by conducting in-depth measurement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,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such as identifying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labour union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at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company level. In such case, the strength of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unionisation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can be measured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based on the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number of members, financial positions, governance structure </w:t>
      </w:r>
      <w:r w:rsidR="0011401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and </w:t>
      </w:r>
      <w:r w:rsidR="00114010" w:rsidRPr="00236EE0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level of activities.       </w:t>
      </w:r>
    </w:p>
    <w:p w14:paraId="1772012C" w14:textId="77777777" w:rsidR="0011401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04156A7F" w14:textId="77777777" w:rsidR="00B97959" w:rsidRDefault="00B97959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0BA3A864" w14:textId="77777777" w:rsidR="0011401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47F9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Acknowledgement</w:t>
      </w:r>
    </w:p>
    <w:p w14:paraId="47F9F242" w14:textId="77777777" w:rsidR="00D35639" w:rsidRDefault="00D35639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207FBFAC" w14:textId="77777777" w:rsidR="00114010" w:rsidRPr="001F1BF2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GB"/>
        </w:rPr>
        <w:t>This research was funded by Universiti Kebangsaan Malaysia code EP-2019-035.</w:t>
      </w:r>
    </w:p>
    <w:p w14:paraId="5FE8FDED" w14:textId="77777777" w:rsidR="00114010" w:rsidRDefault="00114010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44A33106" w14:textId="77777777" w:rsidR="00B97959" w:rsidRDefault="00B97959" w:rsidP="00114010">
      <w:pPr>
        <w:tabs>
          <w:tab w:val="left" w:pos="7770"/>
        </w:tabs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</w:p>
    <w:p w14:paraId="08626224" w14:textId="77777777" w:rsidR="00114010" w:rsidRDefault="00114010" w:rsidP="00D35639">
      <w:p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7F9D">
        <w:rPr>
          <w:rFonts w:ascii="Times New Roman" w:eastAsia="Calibri" w:hAnsi="Times New Roman" w:cs="Times New Roman"/>
          <w:b/>
          <w:bCs/>
          <w:sz w:val="24"/>
          <w:szCs w:val="24"/>
        </w:rPr>
        <w:t>References</w:t>
      </w:r>
    </w:p>
    <w:p w14:paraId="66DA06E0" w14:textId="77777777" w:rsidR="00D35639" w:rsidRPr="00347F9D" w:rsidRDefault="00D35639" w:rsidP="00D35639">
      <w:pPr>
        <w:tabs>
          <w:tab w:val="left" w:pos="777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5BA7EA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Aras, G., Aybars, A., &amp; Kutlu, O. (2011). The interaction between 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corporate social responsibility and value added intellectual capital: Empirical evidence from Turkey. </w:t>
      </w:r>
      <w:r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Social Responsibility Journal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r w:rsidRPr="00B979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7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(4), 662-637.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 </w:t>
      </w:r>
    </w:p>
    <w:p w14:paraId="7445959F" w14:textId="696A5882" w:rsidR="00114010" w:rsidRPr="00C94C67" w:rsidRDefault="00B97959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>
        <w:rPr>
          <w:rFonts w:ascii="Times New Roman" w:eastAsia="Calibri" w:hAnsi="Times New Roman" w:cs="Times New Roman"/>
          <w:sz w:val="24"/>
          <w:szCs w:val="24"/>
        </w:rPr>
        <w:t>Balabanis, G., Phillips, H.</w:t>
      </w:r>
      <w:r w:rsidR="00114010" w:rsidRPr="00C94C67">
        <w:rPr>
          <w:rFonts w:ascii="Times New Roman" w:eastAsia="Calibri" w:hAnsi="Times New Roman" w:cs="Times New Roman"/>
          <w:sz w:val="24"/>
          <w:szCs w:val="24"/>
        </w:rPr>
        <w:t xml:space="preserve">C., &amp; Lyal, J. (1998). </w:t>
      </w:r>
      <w:r w:rsidR="00114010"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Corporate social responsibility and economic performance in the top British companies: Are they linked? </w:t>
      </w:r>
      <w:r w:rsidR="00114010"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European Business Review</w:t>
      </w:r>
      <w:r w:rsidR="00114010"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r w:rsidR="00114010" w:rsidRPr="005A50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98</w:t>
      </w:r>
      <w:r w:rsidR="00114010"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(1), 25-44.</w:t>
      </w:r>
    </w:p>
    <w:p w14:paraId="2C89D7E5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lastRenderedPageBreak/>
        <w:t xml:space="preserve">Babiak, K., &amp; Trendafilova, S. (2011), CSR and environmental responsibility: motives and pressure to adopt green management practices. </w:t>
      </w:r>
      <w:r w:rsidRPr="00C94C6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MY"/>
        </w:rPr>
        <w:t>Corporate Social Responsibilities and Environmental Management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Pr="005A50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18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(1), 11-24.</w:t>
      </w:r>
    </w:p>
    <w:p w14:paraId="3F2C2BA8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Boodoo, M. U. (2016). The influence of union on companies’ CSR profiles: more internal policies and programs, but not always at the expense of external endeavors</w:t>
      </w:r>
      <w:r w:rsidRPr="00C94C67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MY"/>
        </w:rPr>
        <w:t>. LSE Research Online</w:t>
      </w:r>
      <w:r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, 1-37. Retrieved from http://lse.ac.uk.</w:t>
      </w:r>
    </w:p>
    <w:p w14:paraId="1C93A01A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Campbell, D. J. (2000). Legitimacy theory or managerial reality construction? Corporate social disclosure in Marks and Spencer plc corporate reports 1969-1997. </w:t>
      </w:r>
      <w:r w:rsidRPr="00C94C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Accounting Forum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Pr="005A50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24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(1), 80-100. </w:t>
      </w:r>
    </w:p>
    <w:p w14:paraId="6671D7A4" w14:textId="3CC19E30" w:rsidR="00114010" w:rsidRPr="00C94C67" w:rsidRDefault="005A507F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Campbell, J.</w:t>
      </w:r>
      <w:r w:rsidR="00114010"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L. (2007). Why would corporations behave in socially responsible ways? An institutional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 xml:space="preserve"> </w:t>
      </w:r>
      <w:r w:rsidR="00114010"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theory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 xml:space="preserve"> </w:t>
      </w:r>
      <w:r w:rsidR="00114010"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of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 xml:space="preserve"> </w:t>
      </w:r>
      <w:r w:rsidR="00114010"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 xml:space="preserve">corporate social responsibility. </w:t>
      </w:r>
      <w:r w:rsidR="00114010" w:rsidRPr="00C94C67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MY"/>
        </w:rPr>
        <w:t xml:space="preserve">Acad. Manag. Rev, </w:t>
      </w:r>
      <w:r w:rsidR="00114010" w:rsidRPr="005A507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MY"/>
        </w:rPr>
        <w:t>32</w:t>
      </w:r>
      <w:r w:rsidR="00114010" w:rsidRPr="00C94C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en-MY"/>
        </w:rPr>
        <w:t>(3)</w:t>
      </w:r>
      <w:r w:rsidR="00114010"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, 946–967.</w:t>
      </w:r>
    </w:p>
    <w:p w14:paraId="386A9262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Campbell, D., Craven, B., &amp; Shrives, P. (2003). Voluntary social reporting in three FTSE sectors: a comment on perception and legitimacy. </w:t>
      </w:r>
      <w:r w:rsidRPr="00C94C6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MY"/>
        </w:rPr>
        <w:t>Accounting, Auditing and Accountability Journal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Pr="005A50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6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(14), 558-581. </w:t>
      </w:r>
    </w:p>
    <w:p w14:paraId="6B7E9157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Campbell, D., Moore, G., &amp; Shrives, P. (2006). Cross sectional effects in community disclosure. </w:t>
      </w:r>
      <w:r w:rsidRPr="00C94C6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MY"/>
        </w:rPr>
        <w:t>Accounting, Auditing and Accountability Journal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Pr="005A50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19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(1), 96-114. </w:t>
      </w:r>
    </w:p>
    <w:p w14:paraId="719AAB57" w14:textId="6ADE7492" w:rsidR="00114010" w:rsidRPr="00C94C67" w:rsidRDefault="00114010" w:rsidP="00C94C67">
      <w:pPr>
        <w:pStyle w:val="Default"/>
        <w:ind w:left="562" w:hanging="562"/>
        <w:jc w:val="both"/>
        <w:rPr>
          <w:color w:val="auto"/>
        </w:rPr>
      </w:pPr>
      <w:r w:rsidRPr="00C94C67">
        <w:rPr>
          <w:color w:val="auto"/>
        </w:rPr>
        <w:t>Cooper, E</w:t>
      </w:r>
      <w:r w:rsidRPr="00C94C67">
        <w:rPr>
          <w:color w:val="auto"/>
          <w:lang w:val="en-GB"/>
        </w:rPr>
        <w:t>.</w:t>
      </w:r>
      <w:r w:rsidRPr="00C94C67">
        <w:rPr>
          <w:color w:val="auto"/>
        </w:rPr>
        <w:t>W.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&amp; Uzun, H.</w:t>
      </w:r>
      <w:r w:rsidRPr="00C94C67">
        <w:rPr>
          <w:color w:val="auto"/>
          <w:lang w:val="en-GB"/>
        </w:rPr>
        <w:t xml:space="preserve"> (</w:t>
      </w:r>
      <w:r w:rsidRPr="00C94C67">
        <w:rPr>
          <w:color w:val="auto"/>
        </w:rPr>
        <w:t>2015</w:t>
      </w:r>
      <w:r w:rsidRPr="00C94C67">
        <w:rPr>
          <w:color w:val="auto"/>
          <w:lang w:val="en-GB"/>
        </w:rPr>
        <w:t>)</w:t>
      </w:r>
      <w:r w:rsidRPr="00C94C67">
        <w:rPr>
          <w:color w:val="auto"/>
        </w:rPr>
        <w:t xml:space="preserve">. Corporate social responsibility and the cost of debt. </w:t>
      </w:r>
      <w:r w:rsidRPr="00C94C67">
        <w:rPr>
          <w:i/>
          <w:iCs/>
          <w:color w:val="auto"/>
        </w:rPr>
        <w:t>Journal of Accounting and Finance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</w:t>
      </w:r>
      <w:r w:rsidRPr="005A507F">
        <w:rPr>
          <w:i/>
          <w:color w:val="auto"/>
        </w:rPr>
        <w:t>15</w:t>
      </w:r>
      <w:r w:rsidRPr="00C94C67">
        <w:rPr>
          <w:color w:val="auto"/>
        </w:rPr>
        <w:t>(8)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11-29.</w:t>
      </w:r>
    </w:p>
    <w:p w14:paraId="55AC28CF" w14:textId="5417128D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 xml:space="preserve">Cavaco, S., &amp; Crifo, P. (2014). CSR and financial performance: </w:t>
      </w:r>
      <w:r w:rsidR="005A507F">
        <w:rPr>
          <w:rFonts w:ascii="Times New Roman" w:hAnsi="Times New Roman" w:cs="Times New Roman"/>
          <w:sz w:val="24"/>
          <w:szCs w:val="24"/>
        </w:rPr>
        <w:t>C</w:t>
      </w:r>
      <w:r w:rsidRPr="00C94C67">
        <w:rPr>
          <w:rFonts w:ascii="Times New Roman" w:hAnsi="Times New Roman" w:cs="Times New Roman"/>
          <w:sz w:val="24"/>
          <w:szCs w:val="24"/>
        </w:rPr>
        <w:t xml:space="preserve">omplementarity between environmental, social and business behaviors. 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Applied Economics</w:t>
      </w:r>
      <w:r w:rsidRPr="00C94C67">
        <w:rPr>
          <w:rFonts w:ascii="Times New Roman" w:hAnsi="Times New Roman" w:cs="Times New Roman"/>
          <w:sz w:val="24"/>
          <w:szCs w:val="24"/>
        </w:rPr>
        <w:t xml:space="preserve">, </w:t>
      </w:r>
      <w:r w:rsidRPr="005A507F">
        <w:rPr>
          <w:rFonts w:ascii="Times New Roman" w:hAnsi="Times New Roman" w:cs="Times New Roman"/>
          <w:i/>
          <w:sz w:val="24"/>
          <w:szCs w:val="24"/>
        </w:rPr>
        <w:t>46</w:t>
      </w:r>
      <w:r w:rsidRPr="00C94C67">
        <w:rPr>
          <w:rFonts w:ascii="Times New Roman" w:hAnsi="Times New Roman" w:cs="Times New Roman"/>
          <w:sz w:val="24"/>
          <w:szCs w:val="24"/>
        </w:rPr>
        <w:t>(27), 3323-3338.</w:t>
      </w:r>
    </w:p>
    <w:p w14:paraId="48A65EF2" w14:textId="77777777" w:rsidR="00114010" w:rsidRPr="00C94C67" w:rsidRDefault="00114010" w:rsidP="00C94C67">
      <w:pPr>
        <w:pStyle w:val="Default"/>
        <w:ind w:left="562" w:hanging="562"/>
        <w:jc w:val="both"/>
        <w:rPr>
          <w:color w:val="auto"/>
        </w:rPr>
      </w:pPr>
      <w:r w:rsidRPr="00C94C67">
        <w:rPr>
          <w:color w:val="auto"/>
        </w:rPr>
        <w:t xml:space="preserve">Closon, C., Leys, C., </w:t>
      </w:r>
      <w:r w:rsidRPr="00C94C67">
        <w:rPr>
          <w:color w:val="auto"/>
          <w:lang w:val="en-GB"/>
        </w:rPr>
        <w:t xml:space="preserve">&amp; </w:t>
      </w:r>
      <w:r w:rsidRPr="00C94C67">
        <w:rPr>
          <w:color w:val="auto"/>
        </w:rPr>
        <w:t>Hellemans, C.</w:t>
      </w:r>
      <w:r w:rsidRPr="00C94C67">
        <w:rPr>
          <w:color w:val="auto"/>
          <w:lang w:val="en-GB"/>
        </w:rPr>
        <w:t xml:space="preserve"> (</w:t>
      </w:r>
      <w:r w:rsidRPr="00C94C67">
        <w:rPr>
          <w:color w:val="auto"/>
        </w:rPr>
        <w:t>2014</w:t>
      </w:r>
      <w:r w:rsidRPr="00C94C67">
        <w:rPr>
          <w:color w:val="auto"/>
          <w:lang w:val="en-GB"/>
        </w:rPr>
        <w:t>)</w:t>
      </w:r>
      <w:r w:rsidRPr="00C94C67">
        <w:rPr>
          <w:color w:val="auto"/>
        </w:rPr>
        <w:t xml:space="preserve">. Perception of corporate social responsibility, organizational commitment and job satisfaction. </w:t>
      </w:r>
      <w:r w:rsidRPr="00C94C67">
        <w:rPr>
          <w:i/>
          <w:iCs/>
          <w:color w:val="auto"/>
        </w:rPr>
        <w:t>The Journal of Iberoamerican Academy of Management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</w:t>
      </w:r>
      <w:r w:rsidRPr="005A507F">
        <w:rPr>
          <w:i/>
          <w:color w:val="auto"/>
        </w:rPr>
        <w:t>13</w:t>
      </w:r>
      <w:r w:rsidRPr="00C94C67">
        <w:rPr>
          <w:color w:val="auto"/>
        </w:rPr>
        <w:t>(1)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31-54.</w:t>
      </w:r>
    </w:p>
    <w:p w14:paraId="31954A46" w14:textId="4352CCE1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C94C67">
        <w:rPr>
          <w:rFonts w:ascii="Times New Roman" w:eastAsia="Calibri" w:hAnsi="Times New Roman" w:cs="Times New Roman"/>
          <w:sz w:val="24"/>
          <w:szCs w:val="24"/>
        </w:rPr>
        <w:t xml:space="preserve">Cavazotte, F., &amp; Chang, N.C. (2016). Internal 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corporate social responsibility and performance: </w:t>
      </w:r>
      <w:r w:rsidR="005A507F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A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study of publicly traded companies. </w:t>
      </w:r>
      <w:r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BAR Rio de Janeiro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, </w:t>
      </w:r>
      <w:r w:rsidRPr="005A50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13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(4), 1-19.</w:t>
      </w:r>
    </w:p>
    <w:p w14:paraId="474F2989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Chaisena, Y., &amp; Ussahawanitchakit, P. (2016). Corporate social responsibility and firm sustainability: An empirical investigation of ISO 14000 business in Thailand. </w:t>
      </w:r>
      <w:r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The Business and Management Review,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r w:rsidRPr="005A50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7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(5), 241-249.</w:t>
      </w:r>
    </w:p>
    <w:p w14:paraId="42F938E6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</w:rPr>
      </w:pPr>
      <w:r w:rsidRPr="00C94C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MY"/>
        </w:rPr>
        <w:t xml:space="preserve">Checchi, D., &amp; Corneo, G. (1998). Trade union membership theories and evidence for Italy. </w:t>
      </w:r>
      <w:r w:rsidRPr="00C94C6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MY"/>
        </w:rPr>
        <w:t xml:space="preserve">The EALE 1995 conference. </w:t>
      </w:r>
      <w:r w:rsidRPr="00C94C6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MY"/>
        </w:rPr>
        <w:t>Retrieved from http://checchi.economia.unimi.it.</w:t>
      </w:r>
    </w:p>
    <w:p w14:paraId="6E089802" w14:textId="1013DA2B" w:rsidR="00114010" w:rsidRPr="00C94C67" w:rsidRDefault="005A507F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Cheruiyot, T.K., &amp; Maru, L.</w:t>
      </w:r>
      <w:r w:rsidR="00114010"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C. (2013). Corporate human rights social responsibility and employee job outcomes in Kenya. </w:t>
      </w:r>
      <w:r w:rsidR="00114010" w:rsidRPr="00C94C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International Journal of Law and Management</w:t>
      </w:r>
      <w:r w:rsidR="00114010"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="00114010" w:rsidRPr="005A50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56</w:t>
      </w:r>
      <w:r w:rsidR="00114010"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(2), 152-168.</w:t>
      </w:r>
    </w:p>
    <w:p w14:paraId="5ABC775E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 xml:space="preserve">Cristiani, A., &amp; Peiró, J.M. (2015). Human resource function strategic role and trade unions: exploring their impact on human resource management practices in Uruguayan firms. </w:t>
      </w:r>
      <w:r w:rsidRPr="00C94C67">
        <w:rPr>
          <w:rFonts w:ascii="Times New Roman" w:eastAsia="Calibri" w:hAnsi="Times New Roman" w:cs="Times New Roman"/>
          <w:i/>
          <w:iCs/>
          <w:sz w:val="24"/>
          <w:szCs w:val="24"/>
          <w:lang w:val="en-MY"/>
        </w:rPr>
        <w:t xml:space="preserve">The International Journal of Human Resources Management, </w:t>
      </w:r>
      <w:r w:rsidRPr="005A507F">
        <w:rPr>
          <w:rFonts w:ascii="Times New Roman" w:eastAsia="Calibri" w:hAnsi="Times New Roman" w:cs="Times New Roman"/>
          <w:i/>
          <w:sz w:val="24"/>
          <w:szCs w:val="24"/>
          <w:lang w:val="en-MY"/>
        </w:rPr>
        <w:t>26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>(3), 381-400.</w:t>
      </w:r>
    </w:p>
    <w:p w14:paraId="0B3C27B2" w14:textId="34C09AA1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 xml:space="preserve">Chun, D., Chug, Y., Woo, C., Seo, H., &amp; Ko, H. (2015). Labour union effects on innovation and commercialization productivity: an integrated propensity score matching and two stage data envelopment analysis. 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Pr="00C94C67">
        <w:rPr>
          <w:rFonts w:ascii="Times New Roman" w:hAnsi="Times New Roman" w:cs="Times New Roman"/>
          <w:sz w:val="24"/>
          <w:szCs w:val="24"/>
        </w:rPr>
        <w:t xml:space="preserve">, </w:t>
      </w:r>
      <w:r w:rsidRPr="005A507F">
        <w:rPr>
          <w:rFonts w:ascii="Times New Roman" w:hAnsi="Times New Roman" w:cs="Times New Roman"/>
          <w:i/>
          <w:sz w:val="24"/>
          <w:szCs w:val="24"/>
        </w:rPr>
        <w:t>7</w:t>
      </w:r>
      <w:r w:rsidRPr="00C94C67">
        <w:rPr>
          <w:rFonts w:ascii="Times New Roman" w:hAnsi="Times New Roman" w:cs="Times New Roman"/>
          <w:sz w:val="24"/>
          <w:szCs w:val="24"/>
        </w:rPr>
        <w:t>(1),</w:t>
      </w:r>
      <w:r w:rsidR="005A507F">
        <w:rPr>
          <w:rFonts w:ascii="Times New Roman" w:hAnsi="Times New Roman" w:cs="Times New Roman"/>
          <w:sz w:val="24"/>
          <w:szCs w:val="24"/>
        </w:rPr>
        <w:t xml:space="preserve"> </w:t>
      </w:r>
      <w:r w:rsidRPr="00C94C67">
        <w:rPr>
          <w:rFonts w:ascii="Times New Roman" w:hAnsi="Times New Roman" w:cs="Times New Roman"/>
          <w:sz w:val="24"/>
          <w:szCs w:val="24"/>
        </w:rPr>
        <w:t>5120-5138.</w:t>
      </w:r>
    </w:p>
    <w:p w14:paraId="1DCB8346" w14:textId="77777777" w:rsidR="00762BCA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 xml:space="preserve">Elkington, J. (1997). 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Cannibals with forks: the triple bottom line of 21st century business</w:t>
      </w:r>
      <w:r w:rsidRPr="00C94C67">
        <w:rPr>
          <w:rFonts w:ascii="Times New Roman" w:hAnsi="Times New Roman" w:cs="Times New Roman"/>
          <w:sz w:val="24"/>
          <w:szCs w:val="24"/>
        </w:rPr>
        <w:t>. Capstone, Oxford</w:t>
      </w:r>
    </w:p>
    <w:p w14:paraId="2377E355" w14:textId="76D65B72" w:rsidR="00114010" w:rsidRPr="00C94C67" w:rsidRDefault="005A507F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Friedman, B.A., Abraham, S.E., &amp; Thomas, R.</w:t>
      </w:r>
      <w:r w:rsidR="00114010"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K. (2006). Factors related to employees’ desire to join and leave unions. </w:t>
      </w:r>
      <w:r w:rsidR="00114010" w:rsidRPr="00C94C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Industrial Relations</w:t>
      </w:r>
      <w:r w:rsidR="00114010"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="00114010" w:rsidRPr="005A50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45</w:t>
      </w:r>
      <w:r w:rsidR="00114010"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(1), 102-110.</w:t>
      </w:r>
    </w:p>
    <w:p w14:paraId="4958F19F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 xml:space="preserve">Filho, N.A., Chahad, J.P., Zylberstajn, H., &amp; Pazello, E.T. (2008). Trade unions and the economic performance of Brazilian establishments. 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JEL Clasification</w:t>
      </w:r>
      <w:r w:rsidRPr="00C94C67">
        <w:rPr>
          <w:rFonts w:ascii="Times New Roman" w:hAnsi="Times New Roman" w:cs="Times New Roman"/>
          <w:sz w:val="24"/>
          <w:szCs w:val="24"/>
        </w:rPr>
        <w:t xml:space="preserve">, </w:t>
      </w:r>
      <w:r w:rsidRPr="005A507F">
        <w:rPr>
          <w:rFonts w:ascii="Times New Roman" w:hAnsi="Times New Roman" w:cs="Times New Roman"/>
          <w:i/>
          <w:sz w:val="24"/>
          <w:szCs w:val="24"/>
        </w:rPr>
        <w:t>38</w:t>
      </w:r>
      <w:r w:rsidRPr="00C94C67">
        <w:rPr>
          <w:rFonts w:ascii="Times New Roman" w:hAnsi="Times New Roman" w:cs="Times New Roman"/>
          <w:sz w:val="24"/>
          <w:szCs w:val="24"/>
        </w:rPr>
        <w:t>(1), 55-72.</w:t>
      </w:r>
    </w:p>
    <w:p w14:paraId="743A2E03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Global Reporting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 xml:space="preserve"> Initiative. (n.d.). (2015). </w:t>
      </w:r>
      <w:r w:rsidRPr="00C94C67">
        <w:rPr>
          <w:rFonts w:ascii="Times New Roman" w:eastAsia="Calibri" w:hAnsi="Times New Roman" w:cs="Times New Roman"/>
          <w:i/>
          <w:iCs/>
          <w:sz w:val="24"/>
          <w:szCs w:val="24"/>
          <w:lang w:val="en-MY"/>
        </w:rPr>
        <w:t>GRI reports list 1999-2015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 xml:space="preserve">. Retrieved from </w:t>
      </w:r>
      <w:hyperlink w:history="1">
        <w:r w:rsidRPr="00C94C67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MY"/>
          </w:rPr>
          <w:t xml:space="preserve">https://www.globalreporting.org.  </w:t>
        </w:r>
      </w:hyperlink>
    </w:p>
    <w:p w14:paraId="77040D57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lastRenderedPageBreak/>
        <w:t xml:space="preserve">Gray, R., Kouhy, R., &amp; Lavers, S. (1995). Corporate social and environmental reporting: A review of the literature and longitudinal study of UK disclosure. </w:t>
      </w:r>
      <w:r w:rsidRPr="00C94C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Accounting, Auditing &amp; Accountability Journal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Pr="005A507F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8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(2), 47-77. </w:t>
      </w:r>
    </w:p>
    <w:p w14:paraId="7180C44E" w14:textId="187F2824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C67">
        <w:rPr>
          <w:rFonts w:ascii="Times New Roman" w:eastAsia="Calibri" w:hAnsi="Times New Roman" w:cs="Times New Roman"/>
          <w:sz w:val="24"/>
          <w:szCs w:val="24"/>
        </w:rPr>
        <w:t xml:space="preserve">Hernandez, M., Isabel. S., Vazquez, D.G., Barcik, A., &amp; Dziwinski, P. (2016). The effect of internal side of social responsibility on firm competitive success in the business service industry. </w:t>
      </w:r>
      <w:r w:rsidRPr="00C94C67">
        <w:rPr>
          <w:rFonts w:ascii="Times New Roman" w:eastAsia="Calibri" w:hAnsi="Times New Roman" w:cs="Times New Roman"/>
          <w:i/>
          <w:sz w:val="24"/>
          <w:szCs w:val="24"/>
        </w:rPr>
        <w:t>Sustainability</w:t>
      </w:r>
      <w:r w:rsidRPr="00C94C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507F">
        <w:rPr>
          <w:rFonts w:ascii="Times New Roman" w:eastAsia="Calibri" w:hAnsi="Times New Roman" w:cs="Times New Roman"/>
          <w:i/>
          <w:sz w:val="24"/>
          <w:szCs w:val="24"/>
        </w:rPr>
        <w:t>8</w:t>
      </w:r>
      <w:r w:rsidRPr="00C94C67">
        <w:rPr>
          <w:rFonts w:ascii="Times New Roman" w:eastAsia="Calibri" w:hAnsi="Times New Roman" w:cs="Times New Roman"/>
          <w:sz w:val="24"/>
          <w:szCs w:val="24"/>
        </w:rPr>
        <w:t>(179), 1-15.</w:t>
      </w:r>
    </w:p>
    <w:p w14:paraId="73F7CE5B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>Haniffa, R.M., &amp; Cooke, T.E. (2005). The impact of culture and governance on corporate social reporting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. Journal of Accounting and Public Policy</w:t>
      </w:r>
      <w:r w:rsidRPr="00C94C67">
        <w:rPr>
          <w:rFonts w:ascii="Times New Roman" w:hAnsi="Times New Roman" w:cs="Times New Roman"/>
          <w:sz w:val="24"/>
          <w:szCs w:val="24"/>
        </w:rPr>
        <w:t xml:space="preserve">, </w:t>
      </w:r>
      <w:r w:rsidRPr="00A63825">
        <w:rPr>
          <w:rFonts w:ascii="Times New Roman" w:hAnsi="Times New Roman" w:cs="Times New Roman"/>
          <w:i/>
          <w:sz w:val="24"/>
          <w:szCs w:val="24"/>
        </w:rPr>
        <w:t>24</w:t>
      </w:r>
      <w:r w:rsidRPr="00C94C67">
        <w:rPr>
          <w:rFonts w:ascii="Times New Roman" w:hAnsi="Times New Roman" w:cs="Times New Roman"/>
          <w:sz w:val="24"/>
          <w:szCs w:val="24"/>
        </w:rPr>
        <w:t xml:space="preserve">(5), 391-430. </w:t>
      </w:r>
    </w:p>
    <w:p w14:paraId="04B47A2A" w14:textId="73584ECB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>ILO. (2020). Undang-</w:t>
      </w:r>
      <w:r w:rsidR="00A63825">
        <w:rPr>
          <w:rFonts w:ascii="Times New Roman" w:hAnsi="Times New Roman" w:cs="Times New Roman"/>
          <w:sz w:val="24"/>
          <w:szCs w:val="24"/>
        </w:rPr>
        <w:t>u</w:t>
      </w:r>
      <w:r w:rsidRPr="00C94C67">
        <w:rPr>
          <w:rFonts w:ascii="Times New Roman" w:hAnsi="Times New Roman" w:cs="Times New Roman"/>
          <w:sz w:val="24"/>
          <w:szCs w:val="24"/>
        </w:rPr>
        <w:t xml:space="preserve">ndang Republik Indonesia No. 13 Tahun 2003 Tentang Ketenagakerjaan. 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>Retrieved</w:t>
      </w:r>
      <w:r w:rsidRPr="00C94C67">
        <w:rPr>
          <w:rFonts w:ascii="Times New Roman" w:hAnsi="Times New Roman" w:cs="Times New Roman"/>
          <w:sz w:val="24"/>
          <w:szCs w:val="24"/>
        </w:rPr>
        <w:t xml:space="preserve"> https://www.ilo.org.</w:t>
      </w:r>
    </w:p>
    <w:p w14:paraId="1ABF4F8A" w14:textId="1DD3B3A4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Kumar, N., Martinez, L.M., &amp; Rose, R.C. (2013). Workplace industrial relations in a developing environment: barriers to renewal within unions in Malaysia. </w:t>
      </w:r>
      <w:r w:rsidRPr="00C94C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Asia Pacific Journal of Human Resources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Pr="00A63825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51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(1), 22-44.</w:t>
      </w:r>
    </w:p>
    <w:p w14:paraId="385B100A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 xml:space="preserve">Lindorff, M., Jonson, E.P., &amp; Mc.Guire, L. (2012). Strategic corporate social responsibility in controversial industry sectors: the social value of harm minimisation. 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J Bus Ethics</w:t>
      </w:r>
      <w:r w:rsidRPr="00C94C67">
        <w:rPr>
          <w:rFonts w:ascii="Times New Roman" w:hAnsi="Times New Roman" w:cs="Times New Roman"/>
          <w:sz w:val="24"/>
          <w:szCs w:val="24"/>
        </w:rPr>
        <w:t xml:space="preserve">, </w:t>
      </w:r>
      <w:r w:rsidRPr="00A63825">
        <w:rPr>
          <w:rFonts w:ascii="Times New Roman" w:hAnsi="Times New Roman" w:cs="Times New Roman"/>
          <w:i/>
          <w:sz w:val="24"/>
          <w:szCs w:val="24"/>
        </w:rPr>
        <w:t>110</w:t>
      </w:r>
      <w:r w:rsidRPr="00C94C67">
        <w:rPr>
          <w:rFonts w:ascii="Times New Roman" w:hAnsi="Times New Roman" w:cs="Times New Roman"/>
          <w:sz w:val="24"/>
          <w:szCs w:val="24"/>
        </w:rPr>
        <w:t>(4), 457 - 467.</w:t>
      </w:r>
    </w:p>
    <w:p w14:paraId="18831E3C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t xml:space="preserve">Morogo, V., Cheluget, D., &amp; Mwangi, B. (2016). Effect of internal corporate social responsibility on firm financial performance: evidence from Kenya commercial bank. 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American Based Research Journal</w:t>
      </w:r>
      <w:r w:rsidRPr="00C94C67">
        <w:rPr>
          <w:rFonts w:ascii="Times New Roman" w:hAnsi="Times New Roman" w:cs="Times New Roman"/>
          <w:sz w:val="24"/>
          <w:szCs w:val="24"/>
        </w:rPr>
        <w:t xml:space="preserve">, </w:t>
      </w:r>
      <w:r w:rsidRPr="00A63825">
        <w:rPr>
          <w:rFonts w:ascii="Times New Roman" w:hAnsi="Times New Roman" w:cs="Times New Roman"/>
          <w:i/>
          <w:sz w:val="24"/>
          <w:szCs w:val="24"/>
        </w:rPr>
        <w:t>5</w:t>
      </w:r>
      <w:r w:rsidRPr="00C94C67">
        <w:rPr>
          <w:rFonts w:ascii="Times New Roman" w:hAnsi="Times New Roman" w:cs="Times New Roman"/>
          <w:sz w:val="24"/>
          <w:szCs w:val="24"/>
        </w:rPr>
        <w:t>(11), 1-9.</w:t>
      </w:r>
    </w:p>
    <w:p w14:paraId="792BAC06" w14:textId="3E28B8BD" w:rsidR="00114010" w:rsidRPr="00C94C67" w:rsidRDefault="00A63825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Mohammad, A.A.S., Altarifi, S.M.M., &amp; Alafi, K,</w:t>
      </w:r>
      <w:r w:rsidR="00114010" w:rsidRPr="00C94C67">
        <w:rPr>
          <w:rFonts w:ascii="Times New Roman" w:eastAsia="Calibri" w:hAnsi="Times New Roman" w:cs="Times New Roman"/>
          <w:sz w:val="24"/>
          <w:szCs w:val="24"/>
        </w:rPr>
        <w:t xml:space="preserve">K. (2014). The impact of </w:t>
      </w:r>
      <w:r w:rsidR="00114010"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corporate social responsibility toward employees on company performance: A Jordanian study. </w:t>
      </w:r>
      <w:r w:rsidR="00114010"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Interdisciplinary Journal of Contemporary Research in Business</w:t>
      </w:r>
      <w:r w:rsidR="00114010"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, 5, 225-270.</w:t>
      </w:r>
    </w:p>
    <w:p w14:paraId="1B736648" w14:textId="397F0A6B" w:rsidR="00114010" w:rsidRPr="00C94C67" w:rsidRDefault="00A63825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>
        <w:rPr>
          <w:rFonts w:ascii="Times New Roman" w:eastAsia="Calibri" w:hAnsi="Times New Roman" w:cs="Times New Roman"/>
          <w:sz w:val="24"/>
          <w:szCs w:val="24"/>
        </w:rPr>
        <w:t>Mohd Suhaimi, R.</w:t>
      </w:r>
      <w:r w:rsidR="00114010" w:rsidRPr="00C94C67">
        <w:rPr>
          <w:rFonts w:ascii="Times New Roman" w:eastAsia="Calibri" w:hAnsi="Times New Roman" w:cs="Times New Roman"/>
          <w:sz w:val="24"/>
          <w:szCs w:val="24"/>
        </w:rPr>
        <w:t xml:space="preserve">N. (2014). </w:t>
      </w:r>
      <w:r w:rsidR="00114010"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Corporate social responsibility towards employees. </w:t>
      </w:r>
      <w:r w:rsidR="00114010" w:rsidRPr="00C94C6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MY" w:eastAsia="en-MY"/>
        </w:rPr>
        <w:t>International Journal of Accounting &amp; Business Management</w:t>
      </w:r>
      <w:r w:rsidR="00114010" w:rsidRPr="00C94C67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, </w:t>
      </w:r>
      <w:r w:rsidR="00114010" w:rsidRPr="00A638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MY" w:eastAsia="en-MY"/>
        </w:rPr>
        <w:t>2</w:t>
      </w:r>
      <w:r w:rsidR="00114010"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>(1), 32-39.</w:t>
      </w:r>
    </w:p>
    <w:p w14:paraId="352794A0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 xml:space="preserve">Napathorn, C., &amp; Chanprateep, S. (2011). What types of factors can influence the strength of labour unions in companies and state enterprises in Thailand? </w:t>
      </w:r>
      <w:r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MY" w:eastAsia="en-MY"/>
        </w:rPr>
        <w:t xml:space="preserve">International Journal of Business and Management, </w:t>
      </w:r>
      <w:r w:rsidRPr="00A638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MY" w:eastAsia="en-MY"/>
        </w:rPr>
        <w:t>6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>(2), 112.</w:t>
      </w:r>
    </w:p>
    <w:p w14:paraId="4A7D8801" w14:textId="59BF702E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>Mara, R.C.A.R., Ahmed, R.M., &amp; Mohamat, S.H</w:t>
      </w:r>
      <w:r w:rsidR="00A63825">
        <w:rPr>
          <w:rFonts w:ascii="Times New Roman" w:eastAsia="Calibri" w:hAnsi="Times New Roman" w:cs="Times New Roman"/>
          <w:sz w:val="24"/>
          <w:szCs w:val="24"/>
          <w:lang w:val="en-MY"/>
        </w:rPr>
        <w:t>.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 xml:space="preserve">S. (2017). Relationship between unionized companies, government ownership and reporting human capital information in corporate annual reports. </w:t>
      </w:r>
      <w:r w:rsidRPr="00C94C67">
        <w:rPr>
          <w:rFonts w:ascii="Times New Roman" w:eastAsia="Times New Roman" w:hAnsi="Times New Roman" w:cs="Times New Roman"/>
          <w:i/>
          <w:iCs/>
          <w:sz w:val="24"/>
          <w:szCs w:val="24"/>
          <w:lang w:val="en-MY" w:eastAsia="en-MY"/>
        </w:rPr>
        <w:t>Asian Journal of Accounting and Governance</w:t>
      </w:r>
      <w:r w:rsidRPr="00C94C67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, </w:t>
      </w:r>
      <w:r w:rsidRPr="00A63825">
        <w:rPr>
          <w:rFonts w:ascii="Times New Roman" w:eastAsia="Times New Roman" w:hAnsi="Times New Roman" w:cs="Times New Roman"/>
          <w:bCs/>
          <w:sz w:val="24"/>
          <w:szCs w:val="24"/>
          <w:lang w:val="en-MY" w:eastAsia="en-MY"/>
        </w:rPr>
        <w:t>8</w:t>
      </w:r>
      <w:r w:rsidRPr="00C94C67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, 113–123.</w:t>
      </w:r>
    </w:p>
    <w:p w14:paraId="4CD76BF3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>Ramasamy, N.</w:t>
      </w:r>
      <w:r w:rsidRPr="00C94C67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(2008). The future of the trade union movement in Malaysia, page 1-14. 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>Retrieved from https://www.researchgate.net.</w:t>
      </w:r>
    </w:p>
    <w:p w14:paraId="7F551E18" w14:textId="203F6F3A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C94C67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Rekker, S.A.C., Benson, K.L., &amp; Fatt, R.W. (2014). C</w:t>
      </w:r>
      <w:r w:rsidRPr="00C94C67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orporate social responsibility and CEO compensation revisited: do disaggregation, market stress, gender matter? </w:t>
      </w:r>
      <w:r w:rsidRPr="00C94C67">
        <w:rPr>
          <w:rFonts w:ascii="Times New Roman" w:eastAsia="Times New Roman" w:hAnsi="Times New Roman" w:cs="Times New Roman"/>
          <w:i/>
          <w:sz w:val="24"/>
          <w:szCs w:val="24"/>
          <w:lang w:eastAsia="en-MY"/>
        </w:rPr>
        <w:t>Journal of Economics and Business,</w:t>
      </w:r>
      <w:r w:rsidRPr="00C94C67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r w:rsidRPr="00A63825">
        <w:rPr>
          <w:rFonts w:ascii="Times New Roman" w:eastAsia="Times New Roman" w:hAnsi="Times New Roman" w:cs="Times New Roman"/>
          <w:i/>
          <w:sz w:val="24"/>
          <w:szCs w:val="24"/>
          <w:lang w:eastAsia="en-MY"/>
        </w:rPr>
        <w:t>72</w:t>
      </w:r>
      <w:r w:rsidRPr="00C94C67">
        <w:rPr>
          <w:rFonts w:ascii="Times New Roman" w:eastAsia="Times New Roman" w:hAnsi="Times New Roman" w:cs="Times New Roman"/>
          <w:sz w:val="24"/>
          <w:szCs w:val="24"/>
          <w:lang w:eastAsia="en-MY"/>
        </w:rPr>
        <w:t>(1), 84-103.</w:t>
      </w:r>
    </w:p>
    <w:p w14:paraId="7F70703B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Roberts, R.W. (1992). Determinants of corporate social responsibility disclosure: an application of stakeholder theory. </w:t>
      </w:r>
      <w:r w:rsidRPr="00C94C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Accounting Organizations and Society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, </w:t>
      </w:r>
      <w:r w:rsidRPr="00A63825">
        <w:rPr>
          <w:rFonts w:ascii="Times New Roman" w:eastAsia="Calibri" w:hAnsi="Times New Roman" w:cs="Times New Roman"/>
          <w:i/>
          <w:color w:val="000000"/>
          <w:sz w:val="24"/>
          <w:szCs w:val="24"/>
          <w:lang w:val="en-MY"/>
        </w:rPr>
        <w:t>17</w:t>
      </w: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>(6), 596-612.</w:t>
      </w:r>
    </w:p>
    <w:p w14:paraId="178E8ED5" w14:textId="77777777" w:rsidR="00114010" w:rsidRPr="00C94C67" w:rsidRDefault="00114010" w:rsidP="00C94C67">
      <w:pPr>
        <w:pStyle w:val="Default"/>
        <w:ind w:left="562" w:hanging="562"/>
        <w:jc w:val="both"/>
        <w:rPr>
          <w:color w:val="auto"/>
        </w:rPr>
      </w:pPr>
      <w:r w:rsidRPr="00C94C67">
        <w:rPr>
          <w:rFonts w:eastAsia="Calibri"/>
          <w:lang w:val="en-MY"/>
        </w:rPr>
        <w:t xml:space="preserve">Sin, R.O,J.R., &amp; Yusof, F.M. (2014). Understanding the declining of trade union density: Literature review and conceptual framework. </w:t>
      </w:r>
      <w:r w:rsidRPr="00C94C67">
        <w:rPr>
          <w:rFonts w:eastAsia="Calibri"/>
          <w:i/>
          <w:lang w:val="en-MY"/>
        </w:rPr>
        <w:t>Sains Humanika</w:t>
      </w:r>
      <w:r w:rsidRPr="00C94C67">
        <w:rPr>
          <w:rFonts w:eastAsia="Calibri"/>
          <w:lang w:val="en-MY"/>
        </w:rPr>
        <w:t xml:space="preserve">, </w:t>
      </w:r>
      <w:r w:rsidRPr="00A63825">
        <w:rPr>
          <w:rFonts w:eastAsia="Calibri"/>
          <w:i/>
          <w:lang w:val="en-MY"/>
        </w:rPr>
        <w:t>2</w:t>
      </w:r>
      <w:r w:rsidRPr="00C94C67">
        <w:rPr>
          <w:rFonts w:eastAsia="Calibri"/>
          <w:lang w:val="en-MY"/>
        </w:rPr>
        <w:t>(2), 25-30.</w:t>
      </w:r>
      <w:r w:rsidRPr="00C94C67">
        <w:rPr>
          <w:color w:val="auto"/>
        </w:rPr>
        <w:t xml:space="preserve"> </w:t>
      </w:r>
    </w:p>
    <w:p w14:paraId="530A3D8C" w14:textId="3C9AC7BB" w:rsidR="00114010" w:rsidRPr="00C94C67" w:rsidRDefault="00114010" w:rsidP="00C94C67">
      <w:pPr>
        <w:pStyle w:val="Default"/>
        <w:ind w:left="562" w:hanging="562"/>
        <w:jc w:val="both"/>
        <w:rPr>
          <w:color w:val="auto"/>
        </w:rPr>
      </w:pPr>
      <w:r w:rsidRPr="00C94C67">
        <w:rPr>
          <w:color w:val="auto"/>
        </w:rPr>
        <w:t xml:space="preserve">Reverte, C. </w:t>
      </w:r>
      <w:r w:rsidRPr="00C94C67">
        <w:rPr>
          <w:color w:val="auto"/>
          <w:lang w:val="en-GB"/>
        </w:rPr>
        <w:t>(</w:t>
      </w:r>
      <w:r w:rsidRPr="00C94C67">
        <w:rPr>
          <w:color w:val="auto"/>
        </w:rPr>
        <w:t>2009</w:t>
      </w:r>
      <w:r w:rsidRPr="00C94C67">
        <w:rPr>
          <w:color w:val="auto"/>
          <w:lang w:val="en-GB"/>
        </w:rPr>
        <w:t>)</w:t>
      </w:r>
      <w:r w:rsidRPr="00C94C67">
        <w:rPr>
          <w:color w:val="auto"/>
        </w:rPr>
        <w:t xml:space="preserve">. Determinants of corporate social responsibility disclouse ratings by Spanish listed firms. </w:t>
      </w:r>
      <w:r w:rsidRPr="00C94C67">
        <w:rPr>
          <w:i/>
          <w:iCs/>
          <w:color w:val="auto"/>
        </w:rPr>
        <w:t>Journal of Business Ethic</w:t>
      </w:r>
      <w:r w:rsidRPr="00C94C67">
        <w:rPr>
          <w:color w:val="auto"/>
        </w:rPr>
        <w:t>s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</w:t>
      </w:r>
      <w:r w:rsidRPr="00A63825">
        <w:rPr>
          <w:i/>
          <w:color w:val="auto"/>
        </w:rPr>
        <w:t>88</w:t>
      </w:r>
      <w:r w:rsidRPr="00C94C67">
        <w:rPr>
          <w:color w:val="auto"/>
          <w:lang w:val="en-MY"/>
        </w:rPr>
        <w:t>(1)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351-366.</w:t>
      </w:r>
    </w:p>
    <w:p w14:paraId="4AE7F83A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Tamm, K., Eamets, R., &amp; Motsmees, P. (2010). </w:t>
      </w:r>
      <w:r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Relationship between corporate social responsibility and job satisfaction: the case of Baltic countries.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>Retrieved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from Faculty of Economics and Business Administration. University of Tartu.  </w:t>
      </w:r>
    </w:p>
    <w:p w14:paraId="402AB724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Tuzchu, A. (2014). The impact of corporate social responsibility perception on the job satisfaction and organizational commitment. </w:t>
      </w:r>
      <w:r w:rsidRPr="00C94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 xml:space="preserve">Journal of The Faculty of Economics and Administrative Sciences, </w:t>
      </w:r>
      <w:r w:rsidRPr="00A638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MY"/>
        </w:rPr>
        <w:t>4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(1), 185-202. 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 xml:space="preserve"> </w:t>
      </w:r>
    </w:p>
    <w:p w14:paraId="41C0B366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sz w:val="24"/>
          <w:szCs w:val="24"/>
        </w:rPr>
      </w:pPr>
      <w:r w:rsidRPr="00C94C67">
        <w:rPr>
          <w:rFonts w:ascii="Times New Roman" w:hAnsi="Times New Roman" w:cs="Times New Roman"/>
          <w:sz w:val="24"/>
          <w:szCs w:val="24"/>
        </w:rPr>
        <w:lastRenderedPageBreak/>
        <w:t xml:space="preserve">Ullmann, A.A. (1985). Data in search of a theory: A critical examination of the relationships among social performance, social disclosure, and economic performance. </w:t>
      </w:r>
      <w:r w:rsidRPr="00C94C67">
        <w:rPr>
          <w:rFonts w:ascii="Times New Roman" w:hAnsi="Times New Roman" w:cs="Times New Roman"/>
          <w:i/>
          <w:iCs/>
          <w:sz w:val="24"/>
          <w:szCs w:val="24"/>
        </w:rPr>
        <w:t>Academy of Management Review</w:t>
      </w:r>
      <w:r w:rsidRPr="00C94C67">
        <w:rPr>
          <w:rFonts w:ascii="Times New Roman" w:hAnsi="Times New Roman" w:cs="Times New Roman"/>
          <w:sz w:val="24"/>
          <w:szCs w:val="24"/>
        </w:rPr>
        <w:t xml:space="preserve">, </w:t>
      </w:r>
      <w:r w:rsidRPr="00A63825">
        <w:rPr>
          <w:rFonts w:ascii="Times New Roman" w:hAnsi="Times New Roman" w:cs="Times New Roman"/>
          <w:i/>
          <w:sz w:val="24"/>
          <w:szCs w:val="24"/>
        </w:rPr>
        <w:t>10</w:t>
      </w:r>
      <w:r w:rsidRPr="00C94C67">
        <w:rPr>
          <w:rFonts w:ascii="Times New Roman" w:hAnsi="Times New Roman" w:cs="Times New Roman"/>
          <w:sz w:val="24"/>
          <w:szCs w:val="24"/>
        </w:rPr>
        <w:t>(3), 540-577.</w:t>
      </w:r>
    </w:p>
    <w:p w14:paraId="18AF294C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 xml:space="preserve">Weldon, R.P. (2013). </w:t>
      </w:r>
      <w:r w:rsidRPr="00C94C67">
        <w:rPr>
          <w:rFonts w:ascii="Times New Roman" w:eastAsia="Calibri" w:hAnsi="Times New Roman" w:cs="Times New Roman"/>
          <w:i/>
          <w:sz w:val="24"/>
          <w:szCs w:val="24"/>
          <w:lang w:val="en-MY"/>
        </w:rPr>
        <w:t>International CSR model in Hungary.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 xml:space="preserve"> Retrieved</w:t>
      </w:r>
      <w:r w:rsidRPr="00C94C67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from 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>Zadar Croatia: Management, Knowledge Learning International Conference. 19-21 June.</w:t>
      </w:r>
    </w:p>
    <w:p w14:paraId="12D008E7" w14:textId="18ED2B99" w:rsidR="00114010" w:rsidRPr="00C94C67" w:rsidRDefault="00114010" w:rsidP="00C94C67">
      <w:pPr>
        <w:pStyle w:val="Default"/>
        <w:ind w:left="562" w:hanging="562"/>
        <w:jc w:val="both"/>
        <w:rPr>
          <w:color w:val="auto"/>
        </w:rPr>
      </w:pPr>
      <w:r w:rsidRPr="00C94C67">
        <w:rPr>
          <w:color w:val="auto"/>
        </w:rPr>
        <w:t xml:space="preserve">Wang, M., Qiu, C., </w:t>
      </w:r>
      <w:r w:rsidRPr="00C94C67">
        <w:rPr>
          <w:color w:val="auto"/>
          <w:lang w:val="en-GB"/>
        </w:rPr>
        <w:t xml:space="preserve">&amp; </w:t>
      </w:r>
      <w:r w:rsidRPr="00C94C67">
        <w:rPr>
          <w:color w:val="auto"/>
        </w:rPr>
        <w:t xml:space="preserve">Kong, D. </w:t>
      </w:r>
      <w:r w:rsidRPr="00C94C67">
        <w:rPr>
          <w:color w:val="auto"/>
          <w:lang w:val="en-GB"/>
        </w:rPr>
        <w:t>(</w:t>
      </w:r>
      <w:r w:rsidRPr="00C94C67">
        <w:rPr>
          <w:color w:val="auto"/>
        </w:rPr>
        <w:t>2011</w:t>
      </w:r>
      <w:r w:rsidRPr="00C94C67">
        <w:rPr>
          <w:color w:val="auto"/>
          <w:lang w:val="en-GB"/>
        </w:rPr>
        <w:t>)</w:t>
      </w:r>
      <w:r w:rsidRPr="00C94C67">
        <w:rPr>
          <w:color w:val="auto"/>
        </w:rPr>
        <w:t xml:space="preserve">. Corporate social responsibility, investor behaviors, and stock market return: evidence from a natural experiment in China. </w:t>
      </w:r>
      <w:r w:rsidRPr="00C94C67">
        <w:rPr>
          <w:i/>
          <w:iCs/>
          <w:color w:val="auto"/>
        </w:rPr>
        <w:t>Journal of Business Ethics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</w:t>
      </w:r>
      <w:r w:rsidRPr="00A63825">
        <w:rPr>
          <w:i/>
          <w:color w:val="auto"/>
        </w:rPr>
        <w:t>101</w:t>
      </w:r>
      <w:r w:rsidRPr="00C94C67">
        <w:rPr>
          <w:color w:val="auto"/>
          <w:lang w:val="en-MY"/>
        </w:rPr>
        <w:t>(1)</w:t>
      </w:r>
      <w:r w:rsidRPr="00C94C67">
        <w:rPr>
          <w:color w:val="auto"/>
          <w:lang w:val="en-GB"/>
        </w:rPr>
        <w:t>,</w:t>
      </w:r>
      <w:r w:rsidRPr="00C94C67">
        <w:rPr>
          <w:color w:val="auto"/>
        </w:rPr>
        <w:t xml:space="preserve"> 127-141.</w:t>
      </w:r>
    </w:p>
    <w:p w14:paraId="51F2338C" w14:textId="77777777" w:rsidR="00114010" w:rsidRPr="00C94C67" w:rsidRDefault="00114010" w:rsidP="00C94C67">
      <w:pPr>
        <w:spacing w:after="0" w:line="240" w:lineRule="auto"/>
        <w:ind w:left="562" w:hanging="56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</w:pPr>
      <w:r w:rsidRPr="00C94C67">
        <w:rPr>
          <w:rFonts w:ascii="Times New Roman" w:eastAsia="Calibri" w:hAnsi="Times New Roman" w:cs="Times New Roman"/>
          <w:color w:val="000000"/>
          <w:sz w:val="24"/>
          <w:szCs w:val="24"/>
          <w:lang w:val="en-MY"/>
        </w:rPr>
        <w:t xml:space="preserve">Zunker, T. (2011). </w:t>
      </w:r>
      <w:r w:rsidRPr="00C94C67">
        <w:rPr>
          <w:rFonts w:ascii="Times New Roman" w:eastAsia="Calibri" w:hAnsi="Times New Roman" w:cs="Times New Roman"/>
          <w:i/>
          <w:sz w:val="24"/>
          <w:szCs w:val="24"/>
          <w:lang w:val="en-MY"/>
        </w:rPr>
        <w:t>Determinants of the voluntary disclosure of employee information in annual reports: An application of stakeholder theory.</w:t>
      </w:r>
      <w:r w:rsidRPr="00C94C67">
        <w:rPr>
          <w:rFonts w:ascii="Times New Roman" w:eastAsia="Calibri" w:hAnsi="Times New Roman" w:cs="Times New Roman"/>
          <w:sz w:val="24"/>
          <w:szCs w:val="24"/>
          <w:lang w:val="en-MY"/>
        </w:rPr>
        <w:t xml:space="preserve"> (Ph.D dissertation). Retrieved from Bond University, Queensland, Australia.</w:t>
      </w:r>
    </w:p>
    <w:p w14:paraId="04D41F47" w14:textId="4DCECAD7" w:rsidR="005B53DB" w:rsidRPr="00FB2886" w:rsidRDefault="00114010" w:rsidP="00FB2886">
      <w:pPr>
        <w:spacing w:after="0" w:line="240" w:lineRule="auto"/>
        <w:ind w:left="562" w:hanging="5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Zientara, P., Kujawski, L., &amp; Godfery, P.B. (2015). Corporate social responsibility and employee attitudes: evidence from a study of Polish hotel employees. </w:t>
      </w:r>
      <w:r w:rsidRPr="00C94C6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Sustainable Tourism</w:t>
      </w:r>
      <w:r w:rsidRPr="00C94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638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23</w:t>
      </w:r>
      <w:r w:rsidRPr="00C94C67">
        <w:rPr>
          <w:rFonts w:ascii="Times New Roman" w:hAnsi="Times New Roman" w:cs="Times New Roman"/>
          <w:color w:val="000000" w:themeColor="text1"/>
          <w:sz w:val="24"/>
          <w:szCs w:val="24"/>
        </w:rPr>
        <w:t>(6), 859-880.</w:t>
      </w:r>
    </w:p>
    <w:sectPr w:rsidR="005B53DB" w:rsidRPr="00FB2886" w:rsidSect="007F7E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NumType w:start="2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314B0" w14:textId="77777777" w:rsidR="00976FFB" w:rsidRDefault="00976FFB">
      <w:pPr>
        <w:spacing w:after="0" w:line="240" w:lineRule="auto"/>
      </w:pPr>
      <w:r>
        <w:separator/>
      </w:r>
    </w:p>
  </w:endnote>
  <w:endnote w:type="continuationSeparator" w:id="0">
    <w:p w14:paraId="765C377E" w14:textId="77777777" w:rsidR="00976FFB" w:rsidRDefault="0097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51F3" w14:textId="77777777" w:rsidR="00F5425F" w:rsidRDefault="00F54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DF11B" w14:textId="2219DAEF" w:rsidR="009302B1" w:rsidRPr="007469D3" w:rsidRDefault="00976FFB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10975953" w14:textId="77777777" w:rsidR="009302B1" w:rsidRDefault="00976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00266" w14:textId="77777777" w:rsidR="00F5425F" w:rsidRDefault="00F54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1B896" w14:textId="77777777" w:rsidR="00976FFB" w:rsidRDefault="00976FFB">
      <w:pPr>
        <w:spacing w:after="0" w:line="240" w:lineRule="auto"/>
      </w:pPr>
      <w:r>
        <w:separator/>
      </w:r>
    </w:p>
  </w:footnote>
  <w:footnote w:type="continuationSeparator" w:id="0">
    <w:p w14:paraId="4F965291" w14:textId="77777777" w:rsidR="00976FFB" w:rsidRDefault="0097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A157" w14:textId="77777777" w:rsidR="00F5425F" w:rsidRDefault="00F54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4738E" w14:textId="76576E4B" w:rsidR="007F7EBE" w:rsidRPr="007F7EBE" w:rsidRDefault="007F7EBE" w:rsidP="007F7EBE">
    <w:pPr>
      <w:tabs>
        <w:tab w:val="left" w:pos="720"/>
        <w:tab w:val="center" w:pos="4680"/>
        <w:tab w:val="right" w:pos="9360"/>
      </w:tabs>
      <w:spacing w:after="0" w:line="240" w:lineRule="auto"/>
      <w:ind w:hanging="2"/>
      <w:jc w:val="both"/>
      <w:rPr>
        <w:rFonts w:ascii="Times New Roman" w:hAnsi="Times New Roman" w:cs="Times New Roman"/>
        <w:sz w:val="18"/>
        <w:szCs w:val="18"/>
      </w:rPr>
    </w:pPr>
    <w:r w:rsidRPr="007F7EBE">
      <w:rPr>
        <w:rFonts w:ascii="Times New Roman" w:hAnsi="Times New Roman" w:cs="Times New Roman"/>
        <w:sz w:val="18"/>
        <w:szCs w:val="18"/>
      </w:rPr>
      <w:t>GEOGRAFIA Online</w:t>
    </w:r>
    <w:r w:rsidRPr="007F7EBE">
      <w:rPr>
        <w:rFonts w:ascii="Times New Roman" w:hAnsi="Times New Roman" w:cs="Times New Roman"/>
        <w:sz w:val="18"/>
        <w:szCs w:val="18"/>
        <w:vertAlign w:val="superscript"/>
      </w:rPr>
      <w:t>TM</w:t>
    </w:r>
    <w:r w:rsidRPr="007F7EBE">
      <w:rPr>
        <w:rFonts w:ascii="Times New Roman" w:hAnsi="Times New Roman" w:cs="Times New Roman"/>
        <w:sz w:val="18"/>
        <w:szCs w:val="18"/>
      </w:rPr>
      <w:t xml:space="preserve"> Malaysian Journal of Society and Space</w:t>
    </w:r>
    <w:r w:rsidRPr="007F7EBE">
      <w:rPr>
        <w:rFonts w:ascii="Times New Roman" w:hAnsi="Times New Roman" w:cs="Times New Roman"/>
        <w:b/>
        <w:sz w:val="18"/>
        <w:szCs w:val="18"/>
      </w:rPr>
      <w:t xml:space="preserve"> </w:t>
    </w:r>
    <w:r w:rsidRPr="007F7EBE">
      <w:rPr>
        <w:rFonts w:ascii="Times New Roman" w:hAnsi="Times New Roman" w:cs="Times New Roman"/>
        <w:sz w:val="18"/>
        <w:szCs w:val="18"/>
      </w:rPr>
      <w:t>16 issue</w:t>
    </w:r>
    <w:r w:rsidRPr="007F7EBE">
      <w:rPr>
        <w:rFonts w:ascii="Times New Roman" w:hAnsi="Times New Roman" w:cs="Times New Roman"/>
        <w:b/>
        <w:sz w:val="18"/>
        <w:szCs w:val="18"/>
      </w:rPr>
      <w:t xml:space="preserve"> </w:t>
    </w:r>
    <w:r w:rsidRPr="007F7EBE">
      <w:rPr>
        <w:rFonts w:ascii="Times New Roman" w:hAnsi="Times New Roman" w:cs="Times New Roman"/>
        <w:sz w:val="18"/>
        <w:szCs w:val="18"/>
      </w:rPr>
      <w:t>2</w:t>
    </w:r>
    <w:r w:rsidRPr="007F7EBE">
      <w:rPr>
        <w:rFonts w:ascii="Times New Roman" w:hAnsi="Times New Roman" w:cs="Times New Roman"/>
        <w:b/>
        <w:sz w:val="18"/>
        <w:szCs w:val="18"/>
      </w:rPr>
      <w:t xml:space="preserve"> </w:t>
    </w:r>
    <w:r w:rsidRPr="007F7EBE">
      <w:rPr>
        <w:rFonts w:ascii="Times New Roman" w:hAnsi="Times New Roman" w:cs="Times New Roman"/>
        <w:sz w:val="18"/>
        <w:szCs w:val="18"/>
      </w:rPr>
      <w:t>(2</w:t>
    </w:r>
    <w:r>
      <w:rPr>
        <w:rFonts w:ascii="Times New Roman" w:hAnsi="Times New Roman" w:cs="Times New Roman"/>
        <w:sz w:val="18"/>
        <w:szCs w:val="18"/>
      </w:rPr>
      <w:t>1</w:t>
    </w:r>
    <w:r w:rsidRPr="007F7EBE">
      <w:rPr>
        <w:rFonts w:ascii="Times New Roman" w:hAnsi="Times New Roman" w:cs="Times New Roman"/>
        <w:sz w:val="18"/>
        <w:szCs w:val="18"/>
      </w:rPr>
      <w:t>5-2</w:t>
    </w:r>
    <w:r>
      <w:rPr>
        <w:rFonts w:ascii="Times New Roman" w:hAnsi="Times New Roman" w:cs="Times New Roman"/>
        <w:sz w:val="18"/>
        <w:szCs w:val="18"/>
      </w:rPr>
      <w:t>2</w:t>
    </w:r>
    <w:r w:rsidR="00F5425F">
      <w:rPr>
        <w:rFonts w:ascii="Times New Roman" w:hAnsi="Times New Roman" w:cs="Times New Roman"/>
        <w:sz w:val="18"/>
        <w:szCs w:val="18"/>
      </w:rPr>
      <w:t>7</w:t>
    </w:r>
    <w:r w:rsidRPr="007F7EBE">
      <w:rPr>
        <w:rFonts w:ascii="Times New Roman" w:hAnsi="Times New Roman" w:cs="Times New Roman"/>
        <w:sz w:val="18"/>
        <w:szCs w:val="18"/>
      </w:rPr>
      <w:t>)</w:t>
    </w:r>
    <w:r w:rsidRPr="007F7EBE">
      <w:rPr>
        <w:rFonts w:ascii="Times New Roman" w:hAnsi="Times New Roman" w:cs="Times New Roman"/>
        <w:sz w:val="18"/>
        <w:szCs w:val="18"/>
      </w:rPr>
      <w:tab/>
    </w:r>
  </w:p>
  <w:p w14:paraId="5800106D" w14:textId="04A7311A" w:rsidR="007F7EBE" w:rsidRPr="007F7EBE" w:rsidRDefault="007F7EBE" w:rsidP="007F7EBE">
    <w:pPr>
      <w:pStyle w:val="Header"/>
      <w:rPr>
        <w:rFonts w:ascii="Times New Roman" w:hAnsi="Times New Roman" w:cs="Times New Roman"/>
        <w:sz w:val="18"/>
        <w:szCs w:val="18"/>
      </w:rPr>
    </w:pPr>
    <w:r w:rsidRPr="007F7EBE">
      <w:rPr>
        <w:rFonts w:ascii="Times New Roman" w:hAnsi="Times New Roman" w:cs="Times New Roman"/>
        <w:sz w:val="18"/>
        <w:szCs w:val="18"/>
      </w:rPr>
      <w:t xml:space="preserve">© 2020, e-ISSN 2682-7727   </w:t>
    </w:r>
    <w:hyperlink r:id="rId1" w:history="1">
      <w:r w:rsidRPr="00F5425F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https://doi.org/10.17576/geo-2020-1602-17</w:t>
      </w:r>
    </w:hyperlink>
    <w:sdt>
      <w:sdtPr>
        <w:rPr>
          <w:rFonts w:ascii="Times New Roman" w:hAnsi="Times New Roman" w:cs="Times New Roman"/>
          <w:sz w:val="18"/>
          <w:szCs w:val="18"/>
        </w:rPr>
        <w:id w:val="-4107808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tab/>
        </w:r>
        <w:r w:rsidRPr="007F7EB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F7EB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F7EB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E4491">
          <w:rPr>
            <w:rFonts w:ascii="Times New Roman" w:hAnsi="Times New Roman" w:cs="Times New Roman"/>
            <w:noProof/>
            <w:sz w:val="18"/>
            <w:szCs w:val="18"/>
          </w:rPr>
          <w:t>215</w:t>
        </w:r>
        <w:r w:rsidRPr="007F7EB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  <w:p w14:paraId="0E40FAF5" w14:textId="54478D2E" w:rsidR="0030400D" w:rsidRDefault="0030400D" w:rsidP="00304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DCCB" w14:textId="77777777" w:rsidR="00F5425F" w:rsidRDefault="00F5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706"/>
    <w:multiLevelType w:val="hybridMultilevel"/>
    <w:tmpl w:val="75244698"/>
    <w:lvl w:ilvl="0" w:tplc="80CA4E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14B8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4A8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C1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CC3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63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89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8D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48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003"/>
    <w:multiLevelType w:val="hybridMultilevel"/>
    <w:tmpl w:val="9640C010"/>
    <w:lvl w:ilvl="0" w:tplc="78F487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582C"/>
    <w:multiLevelType w:val="multilevel"/>
    <w:tmpl w:val="A5089D8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CF85314"/>
    <w:multiLevelType w:val="hybridMultilevel"/>
    <w:tmpl w:val="BEA419F8"/>
    <w:lvl w:ilvl="0" w:tplc="BDD056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9C7E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B84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A0E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AA5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74B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8A1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40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A6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0C53"/>
    <w:multiLevelType w:val="hybridMultilevel"/>
    <w:tmpl w:val="A30C8BE4"/>
    <w:lvl w:ilvl="0" w:tplc="F8DA60EC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5335535A"/>
    <w:multiLevelType w:val="hybridMultilevel"/>
    <w:tmpl w:val="07D271E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82EF3"/>
    <w:multiLevelType w:val="hybridMultilevel"/>
    <w:tmpl w:val="B9324B58"/>
    <w:lvl w:ilvl="0" w:tplc="C352C6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BD7A8A"/>
    <w:multiLevelType w:val="hybridMultilevel"/>
    <w:tmpl w:val="4ADA162E"/>
    <w:lvl w:ilvl="0" w:tplc="8B92F5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D2BFC"/>
    <w:multiLevelType w:val="hybridMultilevel"/>
    <w:tmpl w:val="5B564526"/>
    <w:lvl w:ilvl="0" w:tplc="1506D8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E2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0C57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246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CB8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A284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A89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40D7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84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10"/>
    <w:rsid w:val="00016513"/>
    <w:rsid w:val="0008172E"/>
    <w:rsid w:val="00097D35"/>
    <w:rsid w:val="000A7E83"/>
    <w:rsid w:val="000C77A8"/>
    <w:rsid w:val="00114010"/>
    <w:rsid w:val="001B5146"/>
    <w:rsid w:val="001E4491"/>
    <w:rsid w:val="00246FBC"/>
    <w:rsid w:val="00267225"/>
    <w:rsid w:val="00274581"/>
    <w:rsid w:val="00276860"/>
    <w:rsid w:val="00282F10"/>
    <w:rsid w:val="002D0B71"/>
    <w:rsid w:val="002F05CA"/>
    <w:rsid w:val="0030400D"/>
    <w:rsid w:val="003200A8"/>
    <w:rsid w:val="00323520"/>
    <w:rsid w:val="003A5B42"/>
    <w:rsid w:val="003E152C"/>
    <w:rsid w:val="00404992"/>
    <w:rsid w:val="00424A11"/>
    <w:rsid w:val="00434F92"/>
    <w:rsid w:val="00497944"/>
    <w:rsid w:val="004D7F16"/>
    <w:rsid w:val="00514B79"/>
    <w:rsid w:val="005259AA"/>
    <w:rsid w:val="005A507F"/>
    <w:rsid w:val="005B34A6"/>
    <w:rsid w:val="005B53DB"/>
    <w:rsid w:val="005B606D"/>
    <w:rsid w:val="00617D16"/>
    <w:rsid w:val="00644C66"/>
    <w:rsid w:val="00645158"/>
    <w:rsid w:val="0065421E"/>
    <w:rsid w:val="00682156"/>
    <w:rsid w:val="00737453"/>
    <w:rsid w:val="00762BCA"/>
    <w:rsid w:val="007C1A06"/>
    <w:rsid w:val="007D3FA6"/>
    <w:rsid w:val="007F7EBE"/>
    <w:rsid w:val="00807AF7"/>
    <w:rsid w:val="008258B1"/>
    <w:rsid w:val="008A1478"/>
    <w:rsid w:val="008C4B1A"/>
    <w:rsid w:val="008C5457"/>
    <w:rsid w:val="008E0012"/>
    <w:rsid w:val="00914527"/>
    <w:rsid w:val="00930EAC"/>
    <w:rsid w:val="00943403"/>
    <w:rsid w:val="00947337"/>
    <w:rsid w:val="00976FFB"/>
    <w:rsid w:val="009875F4"/>
    <w:rsid w:val="00A56C91"/>
    <w:rsid w:val="00A63825"/>
    <w:rsid w:val="00AA69C9"/>
    <w:rsid w:val="00B16C9C"/>
    <w:rsid w:val="00B97959"/>
    <w:rsid w:val="00C23D02"/>
    <w:rsid w:val="00C56637"/>
    <w:rsid w:val="00C82003"/>
    <w:rsid w:val="00C94C67"/>
    <w:rsid w:val="00C96133"/>
    <w:rsid w:val="00CB76A0"/>
    <w:rsid w:val="00CE2114"/>
    <w:rsid w:val="00D13C6E"/>
    <w:rsid w:val="00D22668"/>
    <w:rsid w:val="00D339E6"/>
    <w:rsid w:val="00D35639"/>
    <w:rsid w:val="00D76CE5"/>
    <w:rsid w:val="00D860CF"/>
    <w:rsid w:val="00DA1327"/>
    <w:rsid w:val="00DD3658"/>
    <w:rsid w:val="00DE1E32"/>
    <w:rsid w:val="00E300BE"/>
    <w:rsid w:val="00E37DE3"/>
    <w:rsid w:val="00E929B5"/>
    <w:rsid w:val="00EA76A5"/>
    <w:rsid w:val="00EB3082"/>
    <w:rsid w:val="00EB75DE"/>
    <w:rsid w:val="00F037DC"/>
    <w:rsid w:val="00F26D6E"/>
    <w:rsid w:val="00F5425F"/>
    <w:rsid w:val="00F851E0"/>
    <w:rsid w:val="00F919D5"/>
    <w:rsid w:val="00FB2886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5781"/>
  <w15:docId w15:val="{C90BA383-8CDD-4335-9A52-C5C8D5F2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40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4010"/>
    <w:rPr>
      <w:rFonts w:ascii="Times New Roman" w:hAnsi="Times New Roman" w:cs="Times New Roman"/>
      <w:sz w:val="24"/>
      <w:szCs w:val="24"/>
    </w:rPr>
  </w:style>
  <w:style w:type="table" w:customStyle="1" w:styleId="ListTable6Colorful1">
    <w:name w:val="List Table 6 Colorful1"/>
    <w:basedOn w:val="TableNormal"/>
    <w:uiPriority w:val="51"/>
    <w:rsid w:val="0011401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uiPriority w:val="42"/>
    <w:rsid w:val="00114010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1">
    <w:name w:val="Style1"/>
    <w:basedOn w:val="TableSimple1"/>
    <w:uiPriority w:val="99"/>
    <w:rsid w:val="00114010"/>
    <w:pPr>
      <w:spacing w:after="0" w:line="240" w:lineRule="auto"/>
    </w:pPr>
    <w:rPr>
      <w:sz w:val="20"/>
      <w:szCs w:val="20"/>
      <w:lang w:val="en-GB" w:eastAsia="en-MY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114010"/>
    <w:pPr>
      <w:spacing w:after="200" w:line="276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1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4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1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4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10"/>
    <w:rPr>
      <w:lang w:val="en-US"/>
    </w:rPr>
  </w:style>
  <w:style w:type="table" w:styleId="TableGrid">
    <w:name w:val="Table Grid"/>
    <w:basedOn w:val="TableNormal"/>
    <w:uiPriority w:val="59"/>
    <w:rsid w:val="001140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01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10"/>
    <w:rPr>
      <w:b/>
      <w:bCs/>
      <w:sz w:val="20"/>
      <w:szCs w:val="20"/>
      <w:lang w:val="en-US"/>
    </w:rPr>
  </w:style>
  <w:style w:type="paragraph" w:customStyle="1" w:styleId="Default">
    <w:name w:val="Default"/>
    <w:rsid w:val="001140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1140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01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1140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34A6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uiPriority w:val="20"/>
    <w:qFormat/>
    <w:rsid w:val="0030400D"/>
    <w:rPr>
      <w:b/>
      <w:iCs/>
    </w:rPr>
  </w:style>
  <w:style w:type="paragraph" w:styleId="NoSpacing">
    <w:name w:val="No Spacing"/>
    <w:uiPriority w:val="1"/>
    <w:qFormat/>
    <w:rsid w:val="00EB308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576/geo-2020-1602-17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Sheet1!$K$12:$M$12</c:f>
              <c:strCache>
                <c:ptCount val="3"/>
                <c:pt idx="0">
                  <c:v>High Unionized</c:v>
                </c:pt>
                <c:pt idx="1">
                  <c:v>Poor Unionized</c:v>
                </c:pt>
                <c:pt idx="2">
                  <c:v>Total </c:v>
                </c:pt>
              </c:strCache>
            </c:strRef>
          </c:cat>
          <c:val>
            <c:numRef>
              <c:f>Sheet1!$K$13:$M$13</c:f>
              <c:numCache>
                <c:formatCode>General</c:formatCode>
                <c:ptCount val="3"/>
                <c:pt idx="0">
                  <c:v>1082</c:v>
                </c:pt>
                <c:pt idx="1">
                  <c:v>792</c:v>
                </c:pt>
                <c:pt idx="2">
                  <c:v>1874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7-4D16-8D87-75D2766F1B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998144"/>
        <c:axId val="181000832"/>
      </c:barChart>
      <c:catAx>
        <c:axId val="18099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1000832"/>
        <c:crosses val="autoZero"/>
        <c:auto val="1"/>
        <c:lblAlgn val="ctr"/>
        <c:lblOffset val="100"/>
        <c:noMultiLvlLbl val="0"/>
      </c:catAx>
      <c:valAx>
        <c:axId val="181000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099814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Sheet1!$D$6</c:f>
              <c:strCache>
                <c:ptCount val="1"/>
                <c:pt idx="0">
                  <c:v>Salaries and other benefits of well-being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Sheet1!$E$5:$G$5</c:f>
              <c:strCache>
                <c:ptCount val="3"/>
                <c:pt idx="0">
                  <c:v>High Unionized</c:v>
                </c:pt>
                <c:pt idx="1">
                  <c:v>Poor Unionized</c:v>
                </c:pt>
                <c:pt idx="2">
                  <c:v>Total </c:v>
                </c:pt>
              </c:strCache>
            </c:strRef>
          </c:cat>
          <c:val>
            <c:numRef>
              <c:f>Sheet1!$E$6:$G$6</c:f>
              <c:numCache>
                <c:formatCode>General</c:formatCode>
                <c:ptCount val="3"/>
                <c:pt idx="0">
                  <c:v>323</c:v>
                </c:pt>
                <c:pt idx="1">
                  <c:v>194</c:v>
                </c:pt>
                <c:pt idx="2">
                  <c:v>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CD-4422-B47B-768D42DF7057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Training, development and education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Sheet1!$E$5:$G$5</c:f>
              <c:strCache>
                <c:ptCount val="3"/>
                <c:pt idx="0">
                  <c:v>High Unionized</c:v>
                </c:pt>
                <c:pt idx="1">
                  <c:v>Poor Unionized</c:v>
                </c:pt>
                <c:pt idx="2">
                  <c:v>Total </c:v>
                </c:pt>
              </c:strCache>
            </c:strRef>
          </c:cat>
          <c:val>
            <c:numRef>
              <c:f>Sheet1!$E$7:$G$7</c:f>
              <c:numCache>
                <c:formatCode>General</c:formatCode>
                <c:ptCount val="3"/>
                <c:pt idx="0">
                  <c:v>434</c:v>
                </c:pt>
                <c:pt idx="1">
                  <c:v>377</c:v>
                </c:pt>
                <c:pt idx="2">
                  <c:v>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CD-4422-B47B-768D42DF7057}"/>
            </c:ext>
          </c:extLst>
        </c:ser>
        <c:ser>
          <c:idx val="2"/>
          <c:order val="2"/>
          <c:tx>
            <c:strRef>
              <c:f>Sheet1!$D$8</c:f>
              <c:strCache>
                <c:ptCount val="1"/>
                <c:pt idx="0">
                  <c:v>Occupational health and safety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Sheet1!$E$5:$G$5</c:f>
              <c:strCache>
                <c:ptCount val="3"/>
                <c:pt idx="0">
                  <c:v>High Unionized</c:v>
                </c:pt>
                <c:pt idx="1">
                  <c:v>Poor Unionized</c:v>
                </c:pt>
                <c:pt idx="2">
                  <c:v>Total </c:v>
                </c:pt>
              </c:strCache>
            </c:strRef>
          </c:cat>
          <c:val>
            <c:numRef>
              <c:f>Sheet1!$E$8:$G$8</c:f>
              <c:numCache>
                <c:formatCode>General</c:formatCode>
                <c:ptCount val="3"/>
                <c:pt idx="0">
                  <c:v>325</c:v>
                </c:pt>
                <c:pt idx="1">
                  <c:v>221</c:v>
                </c:pt>
                <c:pt idx="2">
                  <c:v>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CD-4422-B47B-768D42DF70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2794112"/>
        <c:axId val="182795648"/>
      </c:barChart>
      <c:catAx>
        <c:axId val="18279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2795648"/>
        <c:crosses val="autoZero"/>
        <c:auto val="1"/>
        <c:lblAlgn val="ctr"/>
        <c:lblOffset val="100"/>
        <c:noMultiLvlLbl val="0"/>
      </c:catAx>
      <c:valAx>
        <c:axId val="182795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279411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B1F8-CDDF-424A-A0EA-60AB63FF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5854</Words>
  <Characters>33369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mararidhuan@outlook.com</dc:creator>
  <cp:lastModifiedBy>allyaasafiaa@gmail.com</cp:lastModifiedBy>
  <cp:revision>7</cp:revision>
  <dcterms:created xsi:type="dcterms:W3CDTF">2020-05-29T09:07:00Z</dcterms:created>
  <dcterms:modified xsi:type="dcterms:W3CDTF">2020-05-29T16:02:00Z</dcterms:modified>
</cp:coreProperties>
</file>