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F5" w:rsidRPr="00E20DF5" w:rsidRDefault="00F53948" w:rsidP="008851EF">
      <w:pPr>
        <w:pStyle w:val="NoSpacing"/>
        <w:jc w:val="both"/>
        <w:rPr>
          <w:rFonts w:ascii="Times New Roman" w:hAnsi="Times New Roman"/>
          <w:b/>
        </w:rPr>
      </w:pPr>
      <w:r w:rsidRPr="00D9735B">
        <w:rPr>
          <w:rFonts w:ascii="Times New Roman" w:hAnsi="Times New Roman"/>
          <w:b/>
          <w:noProof/>
          <w:lang w:val="en-MY" w:eastAsia="en-MY"/>
        </w:rPr>
        <w:drawing>
          <wp:inline distT="0" distB="0" distL="0" distR="0">
            <wp:extent cx="5972175"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E20DF5" w:rsidRPr="003D6404" w:rsidRDefault="00E20DF5" w:rsidP="00564B4B">
      <w:pPr>
        <w:pStyle w:val="NoSpacing"/>
        <w:jc w:val="both"/>
        <w:rPr>
          <w:rFonts w:ascii="Times New Roman" w:hAnsi="Times New Roman"/>
        </w:rPr>
      </w:pPr>
    </w:p>
    <w:p w:rsidR="00BD3D10" w:rsidRPr="005D6187" w:rsidRDefault="00BD3D10" w:rsidP="00564B4B">
      <w:pPr>
        <w:spacing w:after="0" w:line="240" w:lineRule="auto"/>
        <w:jc w:val="center"/>
        <w:rPr>
          <w:rFonts w:ascii="Times New Roman" w:hAnsi="Times New Roman"/>
          <w:b/>
          <w:sz w:val="24"/>
          <w:szCs w:val="24"/>
        </w:rPr>
      </w:pPr>
      <w:r w:rsidRPr="005D6187">
        <w:rPr>
          <w:rFonts w:ascii="Times New Roman" w:hAnsi="Times New Roman"/>
          <w:b/>
          <w:sz w:val="24"/>
          <w:szCs w:val="24"/>
        </w:rPr>
        <w:t xml:space="preserve">An </w:t>
      </w:r>
      <w:r w:rsidR="00564B4B" w:rsidRPr="005D6187">
        <w:rPr>
          <w:rFonts w:ascii="Times New Roman" w:hAnsi="Times New Roman"/>
          <w:b/>
          <w:sz w:val="24"/>
          <w:szCs w:val="24"/>
        </w:rPr>
        <w:t xml:space="preserve">assessment of residential satisfaction in public housing </w:t>
      </w:r>
      <w:r w:rsidR="00564B4B">
        <w:rPr>
          <w:rFonts w:ascii="Times New Roman" w:hAnsi="Times New Roman"/>
          <w:b/>
          <w:sz w:val="24"/>
          <w:szCs w:val="24"/>
        </w:rPr>
        <w:t>u</w:t>
      </w:r>
      <w:r w:rsidR="00564B4B" w:rsidRPr="005D6187">
        <w:rPr>
          <w:rFonts w:ascii="Times New Roman" w:hAnsi="Times New Roman"/>
          <w:b/>
          <w:sz w:val="24"/>
          <w:szCs w:val="24"/>
        </w:rPr>
        <w:t xml:space="preserve">sing </w:t>
      </w:r>
      <w:r w:rsidRPr="005D6187">
        <w:rPr>
          <w:rFonts w:ascii="Times New Roman" w:hAnsi="Times New Roman"/>
          <w:b/>
          <w:sz w:val="24"/>
          <w:szCs w:val="24"/>
        </w:rPr>
        <w:t xml:space="preserve">Housing Habitability System Framework in </w:t>
      </w:r>
      <w:proofErr w:type="spellStart"/>
      <w:r w:rsidRPr="005D6187">
        <w:rPr>
          <w:rFonts w:ascii="Times New Roman" w:hAnsi="Times New Roman"/>
          <w:b/>
          <w:sz w:val="24"/>
          <w:szCs w:val="24"/>
        </w:rPr>
        <w:t>Gombe</w:t>
      </w:r>
      <w:proofErr w:type="spellEnd"/>
      <w:r w:rsidRPr="005D6187">
        <w:rPr>
          <w:rFonts w:ascii="Times New Roman" w:hAnsi="Times New Roman"/>
          <w:b/>
          <w:sz w:val="24"/>
          <w:szCs w:val="24"/>
        </w:rPr>
        <w:t xml:space="preserve">, </w:t>
      </w:r>
      <w:r>
        <w:rPr>
          <w:rFonts w:ascii="Times New Roman" w:hAnsi="Times New Roman"/>
          <w:b/>
          <w:sz w:val="24"/>
          <w:szCs w:val="24"/>
        </w:rPr>
        <w:t xml:space="preserve">Northeast </w:t>
      </w:r>
      <w:r w:rsidRPr="005D6187">
        <w:rPr>
          <w:rFonts w:ascii="Times New Roman" w:hAnsi="Times New Roman"/>
          <w:b/>
          <w:sz w:val="24"/>
          <w:szCs w:val="24"/>
        </w:rPr>
        <w:t>Nigeria</w:t>
      </w:r>
    </w:p>
    <w:p w:rsidR="001254EE" w:rsidRDefault="001254EE" w:rsidP="00564B4B">
      <w:pPr>
        <w:pStyle w:val="NoSpacing"/>
        <w:jc w:val="center"/>
        <w:rPr>
          <w:rFonts w:ascii="Times New Roman" w:hAnsi="Times New Roman"/>
          <w:bCs/>
        </w:rPr>
      </w:pPr>
    </w:p>
    <w:p w:rsidR="00690B87" w:rsidRPr="003D6404" w:rsidRDefault="00BD3D10" w:rsidP="00564B4B">
      <w:pPr>
        <w:pStyle w:val="NoSpacing"/>
        <w:jc w:val="center"/>
        <w:rPr>
          <w:rFonts w:ascii="Times New Roman" w:hAnsi="Times New Roman"/>
          <w:bCs/>
        </w:rPr>
      </w:pPr>
      <w:r>
        <w:rPr>
          <w:rFonts w:ascii="Times New Roman" w:hAnsi="Times New Roman"/>
          <w:bCs/>
        </w:rPr>
        <w:t xml:space="preserve">Joy Joshua </w:t>
      </w:r>
      <w:proofErr w:type="spellStart"/>
      <w:r>
        <w:rPr>
          <w:rFonts w:ascii="Times New Roman" w:hAnsi="Times New Roman"/>
          <w:bCs/>
        </w:rPr>
        <w:t>Maina</w:t>
      </w:r>
      <w:proofErr w:type="spellEnd"/>
      <w:r w:rsidR="00690B87" w:rsidRPr="007144ED">
        <w:rPr>
          <w:rFonts w:ascii="Times New Roman" w:hAnsi="Times New Roman"/>
          <w:bCs/>
        </w:rPr>
        <w:t xml:space="preserve"> </w:t>
      </w:r>
    </w:p>
    <w:p w:rsidR="004748F1" w:rsidRDefault="004748F1" w:rsidP="00564B4B">
      <w:pPr>
        <w:pStyle w:val="NoSpacing"/>
        <w:jc w:val="center"/>
        <w:rPr>
          <w:rFonts w:ascii="Times New Roman" w:hAnsi="Times New Roman"/>
        </w:rPr>
      </w:pPr>
    </w:p>
    <w:p w:rsidR="00690B87" w:rsidRDefault="00BD3D10" w:rsidP="00564B4B">
      <w:pPr>
        <w:pStyle w:val="NoSpacing"/>
        <w:jc w:val="center"/>
        <w:rPr>
          <w:rFonts w:ascii="Times New Roman" w:hAnsi="Times New Roman"/>
        </w:rPr>
      </w:pPr>
      <w:r>
        <w:rPr>
          <w:rFonts w:ascii="Times New Roman" w:hAnsi="Times New Roman"/>
        </w:rPr>
        <w:t>Research and Innovation Unit, Directorate of Academic Planning and Monitoring,</w:t>
      </w:r>
    </w:p>
    <w:p w:rsidR="00BD3D10" w:rsidRPr="007144ED" w:rsidRDefault="00BD3D10" w:rsidP="00564B4B">
      <w:pPr>
        <w:pStyle w:val="NoSpacing"/>
        <w:jc w:val="center"/>
        <w:rPr>
          <w:rFonts w:ascii="Times New Roman" w:hAnsi="Times New Roman"/>
        </w:rPr>
      </w:pPr>
      <w:proofErr w:type="spellStart"/>
      <w:r>
        <w:rPr>
          <w:rFonts w:ascii="Times New Roman" w:hAnsi="Times New Roman"/>
        </w:rPr>
        <w:t>Ahmadu</w:t>
      </w:r>
      <w:proofErr w:type="spellEnd"/>
      <w:r>
        <w:rPr>
          <w:rFonts w:ascii="Times New Roman" w:hAnsi="Times New Roman"/>
        </w:rPr>
        <w:t xml:space="preserve"> Bello University, Zaria-Nigeria</w:t>
      </w:r>
    </w:p>
    <w:p w:rsidR="00A610B5" w:rsidRPr="007144ED" w:rsidRDefault="00A610B5" w:rsidP="00564B4B">
      <w:pPr>
        <w:pStyle w:val="NoSpacing"/>
        <w:jc w:val="center"/>
        <w:rPr>
          <w:rFonts w:ascii="Times New Roman" w:hAnsi="Times New Roman"/>
        </w:rPr>
      </w:pPr>
    </w:p>
    <w:p w:rsidR="00690B87" w:rsidRPr="00D05776" w:rsidRDefault="00BD3D10" w:rsidP="00564B4B">
      <w:pPr>
        <w:pStyle w:val="NoSpacing"/>
        <w:jc w:val="center"/>
        <w:rPr>
          <w:rFonts w:ascii="Times New Roman" w:hAnsi="Times New Roman"/>
          <w:bCs/>
        </w:rPr>
      </w:pPr>
      <w:r>
        <w:rPr>
          <w:rFonts w:ascii="Times New Roman" w:hAnsi="Times New Roman"/>
        </w:rPr>
        <w:t>Correspondence</w:t>
      </w:r>
      <w:r w:rsidR="001254EE">
        <w:rPr>
          <w:rFonts w:ascii="Times New Roman" w:hAnsi="Times New Roman"/>
        </w:rPr>
        <w:t xml:space="preserve">: </w:t>
      </w:r>
      <w:r>
        <w:rPr>
          <w:rFonts w:ascii="Times New Roman" w:hAnsi="Times New Roman"/>
        </w:rPr>
        <w:t xml:space="preserve"> </w:t>
      </w:r>
      <w:r w:rsidR="001254EE">
        <w:rPr>
          <w:rFonts w:ascii="Times New Roman" w:hAnsi="Times New Roman"/>
          <w:bCs/>
        </w:rPr>
        <w:t xml:space="preserve">Joy Joshua </w:t>
      </w:r>
      <w:proofErr w:type="spellStart"/>
      <w:r w:rsidR="001254EE">
        <w:rPr>
          <w:rFonts w:ascii="Times New Roman" w:hAnsi="Times New Roman"/>
          <w:bCs/>
        </w:rPr>
        <w:t>Maina</w:t>
      </w:r>
      <w:proofErr w:type="spellEnd"/>
      <w:r w:rsidR="001254EE" w:rsidRPr="007144ED">
        <w:rPr>
          <w:rFonts w:ascii="Times New Roman" w:hAnsi="Times New Roman"/>
          <w:bCs/>
        </w:rPr>
        <w:t xml:space="preserve"> </w:t>
      </w:r>
      <w:r w:rsidR="001254EE">
        <w:rPr>
          <w:rFonts w:ascii="Times New Roman" w:hAnsi="Times New Roman"/>
          <w:bCs/>
        </w:rPr>
        <w:t>(</w:t>
      </w:r>
      <w:r w:rsidR="00690B87" w:rsidRPr="007144ED">
        <w:rPr>
          <w:rFonts w:ascii="Times New Roman" w:hAnsi="Times New Roman"/>
        </w:rPr>
        <w:t>email</w:t>
      </w:r>
      <w:r w:rsidR="00690B87" w:rsidRPr="00D05776">
        <w:rPr>
          <w:rFonts w:ascii="Times New Roman" w:hAnsi="Times New Roman"/>
        </w:rPr>
        <w:t xml:space="preserve">: </w:t>
      </w:r>
      <w:r w:rsidRPr="00D05776">
        <w:rPr>
          <w:rFonts w:ascii="Times New Roman" w:hAnsi="Times New Roman"/>
          <w:iCs/>
        </w:rPr>
        <w:t>jjmaina@abu.edu.ng</w:t>
      </w:r>
      <w:r w:rsidR="001254EE" w:rsidRPr="00D05776">
        <w:rPr>
          <w:rFonts w:ascii="Times New Roman" w:hAnsi="Times New Roman"/>
          <w:iCs/>
        </w:rPr>
        <w:t>)</w:t>
      </w:r>
    </w:p>
    <w:p w:rsidR="00BD3D10" w:rsidRDefault="00BD3D10" w:rsidP="00564B4B">
      <w:pPr>
        <w:pStyle w:val="NoSpacing"/>
        <w:jc w:val="center"/>
        <w:rPr>
          <w:rFonts w:ascii="Times New Roman" w:hAnsi="Times New Roman"/>
          <w:iCs/>
        </w:rPr>
      </w:pPr>
    </w:p>
    <w:p w:rsidR="00564B4B" w:rsidRPr="001254EE" w:rsidRDefault="00564B4B" w:rsidP="00564B4B">
      <w:pPr>
        <w:pStyle w:val="NoSpacing"/>
        <w:jc w:val="center"/>
        <w:rPr>
          <w:rFonts w:ascii="Times New Roman" w:hAnsi="Times New Roman"/>
          <w:iCs/>
        </w:rPr>
      </w:pPr>
    </w:p>
    <w:p w:rsidR="0033394A" w:rsidRPr="005921AB" w:rsidRDefault="0033394A" w:rsidP="0033394A">
      <w:pPr>
        <w:spacing w:after="0" w:line="240" w:lineRule="auto"/>
        <w:ind w:left="2" w:hanging="2"/>
        <w:jc w:val="both"/>
        <w:rPr>
          <w:rFonts w:ascii="Times New Roman" w:eastAsia="Times New Roman" w:hAnsi="Times New Roman"/>
        </w:rPr>
      </w:pPr>
      <w:r w:rsidRPr="00BA3C48">
        <w:rPr>
          <w:rFonts w:ascii="Times New Roman" w:hAnsi="Times New Roman"/>
          <w:color w:val="000000"/>
        </w:rPr>
        <w:t>Received: </w:t>
      </w:r>
      <w:r>
        <w:rPr>
          <w:rFonts w:ascii="Times New Roman" w:hAnsi="Times New Roman"/>
          <w:color w:val="000000"/>
        </w:rPr>
        <w:t>0</w:t>
      </w:r>
      <w:r w:rsidR="009B333C">
        <w:rPr>
          <w:rFonts w:ascii="Times New Roman" w:hAnsi="Times New Roman"/>
          <w:color w:val="000000"/>
        </w:rPr>
        <w:t>8</w:t>
      </w:r>
      <w:r>
        <w:rPr>
          <w:rFonts w:ascii="Times New Roman" w:hAnsi="Times New Roman"/>
          <w:color w:val="000000"/>
        </w:rPr>
        <w:t xml:space="preserve"> July </w:t>
      </w:r>
      <w:r w:rsidRPr="00BA3C48">
        <w:rPr>
          <w:rFonts w:ascii="Times New Roman" w:hAnsi="Times New Roman"/>
          <w:color w:val="000000"/>
        </w:rPr>
        <w:t>202</w:t>
      </w:r>
      <w:r>
        <w:rPr>
          <w:rFonts w:ascii="Times New Roman" w:hAnsi="Times New Roman"/>
          <w:color w:val="000000"/>
        </w:rPr>
        <w:t>0</w:t>
      </w:r>
      <w:r w:rsidRPr="00BA3C48">
        <w:rPr>
          <w:rFonts w:ascii="Times New Roman" w:hAnsi="Times New Roman"/>
          <w:color w:val="000000"/>
        </w:rPr>
        <w:t xml:space="preserve">; Accepted: </w:t>
      </w:r>
      <w:r w:rsidR="009B333C">
        <w:rPr>
          <w:rFonts w:ascii="Times New Roman" w:hAnsi="Times New Roman"/>
          <w:color w:val="000000"/>
        </w:rPr>
        <w:t>06</w:t>
      </w:r>
      <w:r w:rsidRPr="00BA3C48">
        <w:rPr>
          <w:rFonts w:ascii="Times New Roman" w:hAnsi="Times New Roman"/>
          <w:color w:val="000000"/>
        </w:rPr>
        <w:t xml:space="preserve"> </w:t>
      </w:r>
      <w:r w:rsidR="009B333C">
        <w:rPr>
          <w:rFonts w:ascii="Times New Roman" w:hAnsi="Times New Roman"/>
          <w:color w:val="000000"/>
        </w:rPr>
        <w:t>March</w:t>
      </w:r>
      <w:r w:rsidRPr="00BA3C48">
        <w:rPr>
          <w:rFonts w:ascii="Times New Roman" w:hAnsi="Times New Roman"/>
          <w:color w:val="000000"/>
        </w:rPr>
        <w:t xml:space="preserve"> 202</w:t>
      </w:r>
      <w:r>
        <w:rPr>
          <w:rFonts w:ascii="Times New Roman" w:hAnsi="Times New Roman"/>
          <w:color w:val="000000"/>
        </w:rPr>
        <w:t>1</w:t>
      </w:r>
      <w:r w:rsidRPr="00BA3C48">
        <w:rPr>
          <w:rFonts w:ascii="Times New Roman" w:hAnsi="Times New Roman"/>
          <w:color w:val="000000"/>
        </w:rPr>
        <w:t>; Published: 2</w:t>
      </w:r>
      <w:r>
        <w:rPr>
          <w:rFonts w:ascii="Times New Roman" w:hAnsi="Times New Roman"/>
          <w:color w:val="000000"/>
        </w:rPr>
        <w:t>9</w:t>
      </w:r>
      <w:r w:rsidRPr="00BA3C48">
        <w:rPr>
          <w:rFonts w:ascii="Times New Roman" w:hAnsi="Times New Roman"/>
          <w:color w:val="000000"/>
        </w:rPr>
        <w:t xml:space="preserve"> </w:t>
      </w:r>
      <w:r>
        <w:rPr>
          <w:rFonts w:ascii="Times New Roman" w:hAnsi="Times New Roman"/>
          <w:color w:val="000000"/>
        </w:rPr>
        <w:t>May</w:t>
      </w:r>
      <w:r w:rsidRPr="00BA3C48">
        <w:rPr>
          <w:rFonts w:ascii="Times New Roman" w:hAnsi="Times New Roman"/>
          <w:color w:val="000000"/>
        </w:rPr>
        <w:t xml:space="preserve"> 2021</w:t>
      </w:r>
      <w:r w:rsidRPr="005921AB">
        <w:rPr>
          <w:rFonts w:ascii="Times New Roman" w:eastAsia="Times New Roman" w:hAnsi="Times New Roman"/>
        </w:rPr>
        <w:t xml:space="preserve"> </w:t>
      </w:r>
    </w:p>
    <w:p w:rsidR="001254EE" w:rsidRDefault="001254EE" w:rsidP="00564B4B">
      <w:pPr>
        <w:pStyle w:val="NoSpacing"/>
        <w:jc w:val="both"/>
        <w:rPr>
          <w:rFonts w:ascii="Times New Roman" w:hAnsi="Times New Roman"/>
          <w:iCs/>
        </w:rPr>
      </w:pPr>
    </w:p>
    <w:p w:rsidR="0033394A" w:rsidRPr="003D6404" w:rsidRDefault="0033394A" w:rsidP="00564B4B">
      <w:pPr>
        <w:pStyle w:val="NoSpacing"/>
        <w:jc w:val="both"/>
        <w:rPr>
          <w:rFonts w:ascii="Times New Roman" w:hAnsi="Times New Roman"/>
          <w:iCs/>
          <w:sz w:val="24"/>
          <w:szCs w:val="24"/>
        </w:rPr>
      </w:pPr>
    </w:p>
    <w:p w:rsidR="00690B87" w:rsidRDefault="003D6404" w:rsidP="00564B4B">
      <w:pPr>
        <w:pStyle w:val="NoSpacing"/>
        <w:jc w:val="both"/>
        <w:rPr>
          <w:rFonts w:ascii="Times New Roman" w:hAnsi="Times New Roman"/>
          <w:b/>
          <w:bCs/>
          <w:sz w:val="24"/>
          <w:szCs w:val="24"/>
        </w:rPr>
      </w:pPr>
      <w:r>
        <w:rPr>
          <w:rFonts w:ascii="Times New Roman" w:hAnsi="Times New Roman"/>
          <w:b/>
          <w:bCs/>
          <w:sz w:val="24"/>
          <w:szCs w:val="24"/>
        </w:rPr>
        <w:t>Abstract</w:t>
      </w:r>
    </w:p>
    <w:p w:rsidR="001254EE" w:rsidRPr="007144ED" w:rsidRDefault="001254EE" w:rsidP="00564B4B">
      <w:pPr>
        <w:pStyle w:val="NoSpacing"/>
        <w:jc w:val="both"/>
        <w:rPr>
          <w:rFonts w:ascii="Times New Roman" w:hAnsi="Times New Roman"/>
          <w:b/>
          <w:sz w:val="24"/>
          <w:szCs w:val="24"/>
        </w:rPr>
      </w:pPr>
    </w:p>
    <w:p w:rsidR="00690B87" w:rsidRPr="007144ED" w:rsidRDefault="00BD3D10" w:rsidP="00564B4B">
      <w:pPr>
        <w:spacing w:after="0" w:line="240" w:lineRule="auto"/>
        <w:jc w:val="both"/>
        <w:rPr>
          <w:rFonts w:ascii="Times New Roman" w:hAnsi="Times New Roman"/>
          <w:sz w:val="24"/>
          <w:szCs w:val="24"/>
        </w:rPr>
      </w:pPr>
      <w:r w:rsidRPr="005D6187">
        <w:rPr>
          <w:rFonts w:ascii="Times New Roman" w:hAnsi="Times New Roman"/>
          <w:sz w:val="24"/>
          <w:szCs w:val="24"/>
        </w:rPr>
        <w:t xml:space="preserve">Residential satisfaction has been employed to assess housing environments across several disciplines. However, measurement of variables remains an issue across large and small samples. This study assesses residential satisfaction in </w:t>
      </w:r>
      <w:proofErr w:type="spellStart"/>
      <w:r w:rsidRPr="005D6187">
        <w:rPr>
          <w:rFonts w:ascii="Times New Roman" w:hAnsi="Times New Roman"/>
          <w:sz w:val="24"/>
          <w:szCs w:val="24"/>
        </w:rPr>
        <w:t>Gombe</w:t>
      </w:r>
      <w:proofErr w:type="spellEnd"/>
      <w:r w:rsidRPr="005D6187">
        <w:rPr>
          <w:rFonts w:ascii="Times New Roman" w:hAnsi="Times New Roman"/>
          <w:sz w:val="24"/>
          <w:szCs w:val="24"/>
        </w:rPr>
        <w:t xml:space="preserve">, </w:t>
      </w:r>
      <w:r>
        <w:rPr>
          <w:rFonts w:ascii="Times New Roman" w:hAnsi="Times New Roman"/>
          <w:sz w:val="24"/>
          <w:szCs w:val="24"/>
        </w:rPr>
        <w:t>N</w:t>
      </w:r>
      <w:r w:rsidRPr="005D6187">
        <w:rPr>
          <w:rFonts w:ascii="Times New Roman" w:hAnsi="Times New Roman"/>
          <w:sz w:val="24"/>
          <w:szCs w:val="24"/>
        </w:rPr>
        <w:t xml:space="preserve">ortheast Nigeria </w:t>
      </w:r>
      <w:r>
        <w:rPr>
          <w:rFonts w:ascii="Times New Roman" w:hAnsi="Times New Roman"/>
          <w:sz w:val="24"/>
          <w:szCs w:val="24"/>
        </w:rPr>
        <w:t>us</w:t>
      </w:r>
      <w:r w:rsidRPr="005D6187">
        <w:rPr>
          <w:rFonts w:ascii="Times New Roman" w:hAnsi="Times New Roman"/>
          <w:sz w:val="24"/>
          <w:szCs w:val="24"/>
        </w:rPr>
        <w:t xml:space="preserve">ing </w:t>
      </w:r>
      <w:r>
        <w:rPr>
          <w:rFonts w:ascii="Times New Roman" w:hAnsi="Times New Roman"/>
          <w:sz w:val="24"/>
          <w:szCs w:val="24"/>
        </w:rPr>
        <w:t xml:space="preserve">the </w:t>
      </w:r>
      <w:r w:rsidRPr="005D6187">
        <w:rPr>
          <w:rFonts w:ascii="Times New Roman" w:hAnsi="Times New Roman"/>
          <w:sz w:val="24"/>
          <w:szCs w:val="24"/>
        </w:rPr>
        <w:t>Housing Habitability System framework to ascertain it</w:t>
      </w:r>
      <w:r w:rsidR="009776EF">
        <w:rPr>
          <w:rFonts w:ascii="Times New Roman" w:hAnsi="Times New Roman"/>
          <w:sz w:val="24"/>
          <w:szCs w:val="24"/>
        </w:rPr>
        <w:t>’</w:t>
      </w:r>
      <w:r w:rsidRPr="005D6187">
        <w:rPr>
          <w:rFonts w:ascii="Times New Roman" w:hAnsi="Times New Roman"/>
          <w:sz w:val="24"/>
          <w:szCs w:val="24"/>
        </w:rPr>
        <w:t xml:space="preserve">s consistency across different locations and sample sizes. A mixed methodology including informal interviews and </w:t>
      </w:r>
      <w:r w:rsidR="009776EF">
        <w:rPr>
          <w:rFonts w:ascii="Times New Roman" w:hAnsi="Times New Roman"/>
          <w:sz w:val="24"/>
          <w:szCs w:val="24"/>
        </w:rPr>
        <w:t xml:space="preserve">a </w:t>
      </w:r>
      <w:r w:rsidRPr="005D6187">
        <w:rPr>
          <w:rFonts w:ascii="Times New Roman" w:hAnsi="Times New Roman"/>
          <w:sz w:val="24"/>
          <w:szCs w:val="24"/>
        </w:rPr>
        <w:t xml:space="preserve">questionnaire survey of 41 </w:t>
      </w:r>
      <w:r w:rsidR="009776EF">
        <w:rPr>
          <w:rFonts w:ascii="Times New Roman" w:hAnsi="Times New Roman"/>
          <w:sz w:val="24"/>
          <w:szCs w:val="24"/>
        </w:rPr>
        <w:t xml:space="preserve">public housing </w:t>
      </w:r>
      <w:r w:rsidRPr="005D6187">
        <w:rPr>
          <w:rFonts w:ascii="Times New Roman" w:hAnsi="Times New Roman"/>
          <w:sz w:val="24"/>
          <w:szCs w:val="24"/>
        </w:rPr>
        <w:t xml:space="preserve">residents in </w:t>
      </w:r>
      <w:proofErr w:type="spellStart"/>
      <w:r w:rsidRPr="005D6187">
        <w:rPr>
          <w:rFonts w:ascii="Times New Roman" w:hAnsi="Times New Roman"/>
          <w:sz w:val="24"/>
          <w:szCs w:val="24"/>
        </w:rPr>
        <w:t>Gombe</w:t>
      </w:r>
      <w:proofErr w:type="spellEnd"/>
      <w:r w:rsidRPr="005D6187">
        <w:rPr>
          <w:rFonts w:ascii="Times New Roman" w:hAnsi="Times New Roman"/>
          <w:sz w:val="24"/>
          <w:szCs w:val="24"/>
        </w:rPr>
        <w:t xml:space="preserve"> </w:t>
      </w:r>
      <w:proofErr w:type="spellStart"/>
      <w:r w:rsidRPr="005D6187">
        <w:rPr>
          <w:rFonts w:ascii="Times New Roman" w:hAnsi="Times New Roman"/>
          <w:sz w:val="24"/>
          <w:szCs w:val="24"/>
        </w:rPr>
        <w:t>analysed</w:t>
      </w:r>
      <w:proofErr w:type="spellEnd"/>
      <w:r w:rsidRPr="005D6187">
        <w:rPr>
          <w:rFonts w:ascii="Times New Roman" w:hAnsi="Times New Roman"/>
          <w:sz w:val="24"/>
          <w:szCs w:val="24"/>
        </w:rPr>
        <w:t xml:space="preserve"> in SPSS for descriptive and inferential statistics revealed </w:t>
      </w:r>
      <w:r>
        <w:rPr>
          <w:rFonts w:ascii="Times New Roman" w:hAnsi="Times New Roman"/>
          <w:sz w:val="24"/>
          <w:szCs w:val="24"/>
        </w:rPr>
        <w:t xml:space="preserve">that </w:t>
      </w:r>
      <w:r w:rsidRPr="005D6187">
        <w:rPr>
          <w:rFonts w:ascii="Times New Roman" w:hAnsi="Times New Roman"/>
          <w:sz w:val="24"/>
          <w:szCs w:val="24"/>
        </w:rPr>
        <w:t xml:space="preserve">findings were consistent with four characteristics of </w:t>
      </w:r>
      <w:r w:rsidR="009776EF">
        <w:rPr>
          <w:rFonts w:ascii="Times New Roman" w:hAnsi="Times New Roman"/>
          <w:sz w:val="24"/>
          <w:szCs w:val="24"/>
        </w:rPr>
        <w:t xml:space="preserve">residential satisfaction </w:t>
      </w:r>
      <w:r w:rsidRPr="005D6187">
        <w:rPr>
          <w:rFonts w:ascii="Times New Roman" w:hAnsi="Times New Roman"/>
          <w:sz w:val="24"/>
          <w:szCs w:val="24"/>
        </w:rPr>
        <w:t xml:space="preserve">studies employing the framework identified across the country from previous studies. Specifically, results established </w:t>
      </w:r>
      <w:r>
        <w:rPr>
          <w:rFonts w:ascii="Times New Roman" w:hAnsi="Times New Roman"/>
          <w:sz w:val="24"/>
          <w:szCs w:val="24"/>
        </w:rPr>
        <w:t xml:space="preserve">that </w:t>
      </w:r>
      <w:r w:rsidRPr="005D6187">
        <w:rPr>
          <w:rFonts w:ascii="Times New Roman" w:hAnsi="Times New Roman"/>
          <w:sz w:val="24"/>
          <w:szCs w:val="24"/>
        </w:rPr>
        <w:t xml:space="preserve">residents of public housing in </w:t>
      </w:r>
      <w:proofErr w:type="spellStart"/>
      <w:r w:rsidRPr="005D6187">
        <w:rPr>
          <w:rFonts w:ascii="Times New Roman" w:hAnsi="Times New Roman"/>
          <w:sz w:val="24"/>
          <w:szCs w:val="24"/>
        </w:rPr>
        <w:t>Gombe</w:t>
      </w:r>
      <w:proofErr w:type="spellEnd"/>
      <w:r w:rsidRPr="005D6187">
        <w:rPr>
          <w:rFonts w:ascii="Times New Roman" w:hAnsi="Times New Roman"/>
          <w:sz w:val="24"/>
          <w:szCs w:val="24"/>
        </w:rPr>
        <w:t xml:space="preserve"> were generally dissatisfied </w:t>
      </w:r>
      <w:r>
        <w:rPr>
          <w:rFonts w:ascii="Times New Roman" w:hAnsi="Times New Roman"/>
          <w:sz w:val="24"/>
          <w:szCs w:val="24"/>
        </w:rPr>
        <w:t>with their housing environments</w:t>
      </w:r>
      <w:r w:rsidRPr="005D6187">
        <w:rPr>
          <w:rFonts w:ascii="Times New Roman" w:hAnsi="Times New Roman"/>
          <w:sz w:val="24"/>
          <w:szCs w:val="24"/>
        </w:rPr>
        <w:t xml:space="preserve">. </w:t>
      </w:r>
      <w:r>
        <w:rPr>
          <w:rFonts w:ascii="Times New Roman" w:hAnsi="Times New Roman"/>
          <w:sz w:val="24"/>
          <w:szCs w:val="24"/>
        </w:rPr>
        <w:t>Additionally, s</w:t>
      </w:r>
      <w:r w:rsidRPr="005D6187">
        <w:rPr>
          <w:rFonts w:ascii="Times New Roman" w:hAnsi="Times New Roman"/>
          <w:sz w:val="24"/>
          <w:szCs w:val="24"/>
        </w:rPr>
        <w:t xml:space="preserve">atisfaction followed </w:t>
      </w:r>
      <w:r>
        <w:rPr>
          <w:rFonts w:ascii="Times New Roman" w:hAnsi="Times New Roman"/>
          <w:sz w:val="24"/>
          <w:szCs w:val="24"/>
        </w:rPr>
        <w:t xml:space="preserve">the </w:t>
      </w:r>
      <w:r w:rsidR="009776EF">
        <w:rPr>
          <w:rFonts w:ascii="Times New Roman" w:hAnsi="Times New Roman"/>
          <w:sz w:val="24"/>
          <w:szCs w:val="24"/>
        </w:rPr>
        <w:t>dwelling-</w:t>
      </w:r>
      <w:proofErr w:type="spellStart"/>
      <w:r w:rsidR="009776EF">
        <w:rPr>
          <w:rFonts w:ascii="Times New Roman" w:hAnsi="Times New Roman"/>
          <w:sz w:val="24"/>
          <w:szCs w:val="24"/>
        </w:rPr>
        <w:t>neighbourhood</w:t>
      </w:r>
      <w:proofErr w:type="spellEnd"/>
      <w:r w:rsidRPr="005D6187">
        <w:rPr>
          <w:rFonts w:ascii="Times New Roman" w:hAnsi="Times New Roman"/>
          <w:sz w:val="24"/>
          <w:szCs w:val="24"/>
        </w:rPr>
        <w:t>-management sequence found in literature. Eight components extracted from principal component anal</w:t>
      </w:r>
      <w:r>
        <w:rPr>
          <w:rFonts w:ascii="Times New Roman" w:hAnsi="Times New Roman"/>
          <w:sz w:val="24"/>
          <w:szCs w:val="24"/>
        </w:rPr>
        <w:t xml:space="preserve">ysis reflect housing conditions in the study area. </w:t>
      </w:r>
      <w:r w:rsidRPr="005D6187">
        <w:rPr>
          <w:rFonts w:ascii="Times New Roman" w:hAnsi="Times New Roman"/>
          <w:sz w:val="24"/>
          <w:szCs w:val="24"/>
        </w:rPr>
        <w:t xml:space="preserve">The study concludes </w:t>
      </w:r>
      <w:r>
        <w:rPr>
          <w:rFonts w:ascii="Times New Roman" w:hAnsi="Times New Roman"/>
          <w:sz w:val="24"/>
          <w:szCs w:val="24"/>
        </w:rPr>
        <w:t xml:space="preserve">that </w:t>
      </w:r>
      <w:r w:rsidRPr="005D6187">
        <w:rPr>
          <w:rFonts w:ascii="Times New Roman" w:hAnsi="Times New Roman"/>
          <w:sz w:val="24"/>
          <w:szCs w:val="24"/>
        </w:rPr>
        <w:t>measurements based on tenets of Housing Habitability System framework produces consistent results across regions and different sample sizes and is beneficial for comparative purposes towards improvement of</w:t>
      </w:r>
      <w:r>
        <w:rPr>
          <w:rFonts w:ascii="Times New Roman" w:hAnsi="Times New Roman"/>
          <w:sz w:val="24"/>
          <w:szCs w:val="24"/>
        </w:rPr>
        <w:t xml:space="preserve"> residential satisfaction</w:t>
      </w:r>
      <w:r w:rsidRPr="005D6187">
        <w:rPr>
          <w:rFonts w:ascii="Times New Roman" w:hAnsi="Times New Roman"/>
          <w:sz w:val="24"/>
          <w:szCs w:val="24"/>
        </w:rPr>
        <w:t xml:space="preserve"> research in Nigeria.</w:t>
      </w:r>
    </w:p>
    <w:p w:rsidR="00690B87" w:rsidRPr="007144ED" w:rsidRDefault="00690B87" w:rsidP="00564B4B">
      <w:pPr>
        <w:pStyle w:val="NoSpacing"/>
        <w:jc w:val="both"/>
        <w:rPr>
          <w:rFonts w:ascii="Times New Roman" w:hAnsi="Times New Roman"/>
          <w:b/>
          <w:bCs/>
          <w:sz w:val="24"/>
          <w:szCs w:val="24"/>
        </w:rPr>
      </w:pPr>
      <w:r w:rsidRPr="007144ED">
        <w:rPr>
          <w:rFonts w:ascii="Times New Roman" w:hAnsi="Times New Roman"/>
          <w:b/>
          <w:bCs/>
          <w:sz w:val="24"/>
          <w:szCs w:val="24"/>
        </w:rPr>
        <w:t xml:space="preserve"> </w:t>
      </w:r>
    </w:p>
    <w:p w:rsidR="00690B87" w:rsidRPr="007144ED" w:rsidRDefault="00690B87" w:rsidP="00564B4B">
      <w:pPr>
        <w:pStyle w:val="NoSpacing"/>
        <w:jc w:val="both"/>
        <w:rPr>
          <w:rFonts w:ascii="Times New Roman" w:hAnsi="Times New Roman"/>
          <w:b/>
          <w:sz w:val="24"/>
          <w:szCs w:val="24"/>
        </w:rPr>
      </w:pPr>
      <w:r w:rsidRPr="007144ED">
        <w:rPr>
          <w:rFonts w:ascii="Times New Roman" w:hAnsi="Times New Roman"/>
          <w:b/>
          <w:bCs/>
          <w:sz w:val="24"/>
          <w:szCs w:val="24"/>
        </w:rPr>
        <w:t xml:space="preserve">Keywords: </w:t>
      </w:r>
      <w:proofErr w:type="spellStart"/>
      <w:r w:rsidR="009B0427" w:rsidRPr="005D6187">
        <w:rPr>
          <w:rFonts w:ascii="Times New Roman" w:hAnsi="Times New Roman"/>
          <w:sz w:val="24"/>
          <w:szCs w:val="24"/>
        </w:rPr>
        <w:t>Gombe</w:t>
      </w:r>
      <w:proofErr w:type="spellEnd"/>
      <w:r w:rsidR="009B0427" w:rsidRPr="005D6187">
        <w:rPr>
          <w:rFonts w:ascii="Times New Roman" w:hAnsi="Times New Roman"/>
          <w:sz w:val="24"/>
          <w:szCs w:val="24"/>
        </w:rPr>
        <w:t>,</w:t>
      </w:r>
      <w:r w:rsidR="009B0427">
        <w:rPr>
          <w:rFonts w:ascii="Times New Roman" w:hAnsi="Times New Roman"/>
          <w:sz w:val="24"/>
          <w:szCs w:val="24"/>
        </w:rPr>
        <w:t xml:space="preserve"> </w:t>
      </w:r>
      <w:r w:rsidR="009B0427" w:rsidRPr="005D6187">
        <w:rPr>
          <w:rFonts w:ascii="Times New Roman" w:hAnsi="Times New Roman"/>
          <w:sz w:val="24"/>
          <w:szCs w:val="24"/>
        </w:rPr>
        <w:t xml:space="preserve">Housing Habitability, </w:t>
      </w:r>
      <w:r w:rsidR="009B0427">
        <w:rPr>
          <w:rFonts w:ascii="Times New Roman" w:hAnsi="Times New Roman"/>
          <w:sz w:val="24"/>
          <w:szCs w:val="24"/>
        </w:rPr>
        <w:t xml:space="preserve">Nigeria, Northeast, </w:t>
      </w:r>
      <w:r w:rsidR="009B0427" w:rsidRPr="005D6187">
        <w:rPr>
          <w:rFonts w:ascii="Times New Roman" w:hAnsi="Times New Roman"/>
          <w:sz w:val="24"/>
          <w:szCs w:val="24"/>
        </w:rPr>
        <w:t>Public Housing</w:t>
      </w:r>
      <w:r w:rsidR="009B0427">
        <w:rPr>
          <w:rFonts w:ascii="Times New Roman" w:hAnsi="Times New Roman"/>
          <w:sz w:val="24"/>
          <w:szCs w:val="24"/>
        </w:rPr>
        <w:t>, Residential satisfaction</w:t>
      </w:r>
    </w:p>
    <w:p w:rsidR="00690B87" w:rsidRPr="00564B4B" w:rsidRDefault="00690B87" w:rsidP="00564B4B">
      <w:pPr>
        <w:pStyle w:val="NoSpacing"/>
        <w:jc w:val="both"/>
        <w:rPr>
          <w:rFonts w:ascii="Times New Roman" w:hAnsi="Times New Roman"/>
          <w:bCs/>
          <w:sz w:val="24"/>
          <w:szCs w:val="24"/>
        </w:rPr>
      </w:pPr>
    </w:p>
    <w:p w:rsidR="001254EE" w:rsidRPr="00564B4B" w:rsidRDefault="001254EE" w:rsidP="00564B4B">
      <w:pPr>
        <w:pStyle w:val="NoSpacing"/>
        <w:jc w:val="both"/>
        <w:rPr>
          <w:rFonts w:ascii="Times New Roman" w:hAnsi="Times New Roman"/>
          <w:bCs/>
          <w:sz w:val="24"/>
          <w:szCs w:val="24"/>
        </w:rPr>
      </w:pPr>
    </w:p>
    <w:p w:rsidR="001254EE" w:rsidRDefault="00690B87" w:rsidP="00564B4B">
      <w:pPr>
        <w:pStyle w:val="NoSpacing"/>
        <w:jc w:val="both"/>
        <w:rPr>
          <w:rFonts w:ascii="Times New Roman" w:hAnsi="Times New Roman"/>
          <w:b/>
          <w:bCs/>
          <w:sz w:val="24"/>
          <w:szCs w:val="24"/>
        </w:rPr>
      </w:pPr>
      <w:r w:rsidRPr="007144ED">
        <w:rPr>
          <w:rFonts w:ascii="Times New Roman" w:hAnsi="Times New Roman"/>
          <w:b/>
          <w:bCs/>
          <w:sz w:val="24"/>
          <w:szCs w:val="24"/>
        </w:rPr>
        <w:t>Introduction</w:t>
      </w:r>
    </w:p>
    <w:p w:rsidR="00690B87" w:rsidRPr="007144ED" w:rsidRDefault="00690B87" w:rsidP="00564B4B">
      <w:pPr>
        <w:pStyle w:val="NoSpacing"/>
        <w:jc w:val="both"/>
        <w:rPr>
          <w:rFonts w:ascii="Times New Roman" w:hAnsi="Times New Roman"/>
          <w:b/>
          <w:bCs/>
          <w:sz w:val="24"/>
          <w:szCs w:val="24"/>
        </w:rPr>
      </w:pPr>
      <w:r w:rsidRPr="007144ED">
        <w:rPr>
          <w:rFonts w:ascii="Times New Roman" w:hAnsi="Times New Roman"/>
          <w:b/>
          <w:bCs/>
          <w:sz w:val="24"/>
          <w:szCs w:val="24"/>
        </w:rPr>
        <w:t xml:space="preserve"> </w:t>
      </w:r>
    </w:p>
    <w:p w:rsidR="004748F1" w:rsidRPr="005D6187" w:rsidRDefault="004748F1" w:rsidP="00564B4B">
      <w:pPr>
        <w:spacing w:after="0" w:line="240" w:lineRule="auto"/>
        <w:jc w:val="both"/>
        <w:rPr>
          <w:rFonts w:ascii="Times New Roman" w:hAnsi="Times New Roman"/>
          <w:noProof/>
          <w:sz w:val="24"/>
          <w:szCs w:val="24"/>
        </w:rPr>
      </w:pPr>
      <w:r w:rsidRPr="005D6187">
        <w:rPr>
          <w:rFonts w:ascii="Times New Roman" w:hAnsi="Times New Roman"/>
          <w:sz w:val="24"/>
          <w:szCs w:val="24"/>
        </w:rPr>
        <w:t>Housing as a basic human need has continually attracted research across various academic disciplines. One of most extensive approaches to the study of housing environments i</w:t>
      </w:r>
      <w:r w:rsidR="00E7056F">
        <w:rPr>
          <w:rFonts w:ascii="Times New Roman" w:hAnsi="Times New Roman"/>
          <w:sz w:val="24"/>
          <w:szCs w:val="24"/>
        </w:rPr>
        <w:t>s residential satisfaction (RS)</w:t>
      </w:r>
      <w:r w:rsidRPr="005D6187">
        <w:rPr>
          <w:rFonts w:ascii="Times New Roman" w:hAnsi="Times New Roman"/>
          <w:sz w:val="24"/>
          <w:szCs w:val="24"/>
        </w:rPr>
        <w:t xml:space="preserve"> studied by architects, planners, geographers, psychologists, sociologists, builders, facility managers as well as economists </w:t>
      </w:r>
      <w:r w:rsidR="00E7056F">
        <w:rPr>
          <w:rFonts w:ascii="Times New Roman" w:hAnsi="Times New Roman"/>
          <w:sz w:val="24"/>
          <w:szCs w:val="24"/>
        </w:rPr>
        <w:t>etcetera</w:t>
      </w:r>
      <w:r w:rsidRPr="005D6187">
        <w:rPr>
          <w:rFonts w:ascii="Times New Roman" w:hAnsi="Times New Roman"/>
          <w:sz w:val="24"/>
          <w:szCs w:val="24"/>
        </w:rPr>
        <w:t xml:space="preserve">. RS </w:t>
      </w:r>
      <w:r w:rsidR="009776EF">
        <w:rPr>
          <w:rFonts w:ascii="Times New Roman" w:hAnsi="Times New Roman"/>
          <w:sz w:val="24"/>
          <w:szCs w:val="24"/>
        </w:rPr>
        <w:t>is</w:t>
      </w:r>
      <w:r w:rsidRPr="005D6187">
        <w:rPr>
          <w:rFonts w:ascii="Times New Roman" w:hAnsi="Times New Roman"/>
          <w:sz w:val="24"/>
          <w:szCs w:val="24"/>
        </w:rPr>
        <w:t xml:space="preserve"> a multidimensional construct measuring </w:t>
      </w:r>
      <w:r>
        <w:rPr>
          <w:rFonts w:ascii="Times New Roman" w:hAnsi="Times New Roman"/>
          <w:sz w:val="24"/>
          <w:szCs w:val="24"/>
        </w:rPr>
        <w:t xml:space="preserve">the </w:t>
      </w:r>
      <w:r w:rsidRPr="005D6187">
        <w:rPr>
          <w:rFonts w:ascii="Times New Roman" w:hAnsi="Times New Roman"/>
          <w:sz w:val="24"/>
          <w:szCs w:val="24"/>
        </w:rPr>
        <w:t xml:space="preserve">extent people are happy with their housing environment and associated services as well the gap between expected or aspired housing conditions and situations </w:t>
      </w:r>
      <w:r>
        <w:rPr>
          <w:rFonts w:ascii="Times New Roman" w:hAnsi="Times New Roman"/>
          <w:noProof/>
          <w:sz w:val="24"/>
          <w:szCs w:val="24"/>
        </w:rPr>
        <w:t>(Ibem et al.,</w:t>
      </w:r>
      <w:r w:rsidRPr="005D6187">
        <w:rPr>
          <w:rFonts w:ascii="Times New Roman" w:hAnsi="Times New Roman"/>
          <w:noProof/>
          <w:sz w:val="24"/>
          <w:szCs w:val="24"/>
        </w:rPr>
        <w:t xml:space="preserve"> 2018). </w:t>
      </w:r>
      <w:r w:rsidRPr="005D6187">
        <w:rPr>
          <w:rFonts w:ascii="Times New Roman" w:hAnsi="Times New Roman"/>
          <w:noProof/>
          <w:sz w:val="24"/>
          <w:szCs w:val="24"/>
        </w:rPr>
        <w:lastRenderedPageBreak/>
        <w:t>Smrke</w:t>
      </w:r>
      <w:r>
        <w:rPr>
          <w:rFonts w:ascii="Times New Roman" w:hAnsi="Times New Roman"/>
          <w:noProof/>
          <w:sz w:val="24"/>
          <w:szCs w:val="24"/>
        </w:rPr>
        <w:t xml:space="preserve"> et al.</w:t>
      </w:r>
      <w:r w:rsidRPr="005D6187">
        <w:rPr>
          <w:rFonts w:ascii="Times New Roman" w:hAnsi="Times New Roman"/>
          <w:noProof/>
          <w:sz w:val="24"/>
          <w:szCs w:val="24"/>
        </w:rPr>
        <w:t xml:space="preserve"> (2018) </w:t>
      </w:r>
      <w:r>
        <w:rPr>
          <w:rFonts w:ascii="Times New Roman" w:hAnsi="Times New Roman"/>
          <w:noProof/>
          <w:sz w:val="24"/>
          <w:szCs w:val="24"/>
        </w:rPr>
        <w:t>assert that</w:t>
      </w:r>
      <w:r w:rsidRPr="005D6187">
        <w:rPr>
          <w:rFonts w:ascii="Times New Roman" w:hAnsi="Times New Roman"/>
          <w:noProof/>
          <w:sz w:val="24"/>
          <w:szCs w:val="24"/>
        </w:rPr>
        <w:t xml:space="preserve"> an issue in studies of housing environments employing RS pertains</w:t>
      </w:r>
      <w:r>
        <w:rPr>
          <w:rFonts w:ascii="Times New Roman" w:hAnsi="Times New Roman"/>
          <w:noProof/>
          <w:sz w:val="24"/>
          <w:szCs w:val="24"/>
        </w:rPr>
        <w:t xml:space="preserve"> the</w:t>
      </w:r>
      <w:r w:rsidRPr="005D6187">
        <w:rPr>
          <w:rFonts w:ascii="Times New Roman" w:hAnsi="Times New Roman"/>
          <w:noProof/>
          <w:sz w:val="24"/>
          <w:szCs w:val="24"/>
        </w:rPr>
        <w:t xml:space="preserve"> lack of consistency in measurement. “In most cases, too little thought and effort </w:t>
      </w:r>
      <w:r>
        <w:rPr>
          <w:rFonts w:ascii="Times New Roman" w:hAnsi="Times New Roman"/>
          <w:noProof/>
          <w:sz w:val="24"/>
          <w:szCs w:val="24"/>
        </w:rPr>
        <w:t>is</w:t>
      </w:r>
      <w:r w:rsidRPr="005D6187">
        <w:rPr>
          <w:rFonts w:ascii="Times New Roman" w:hAnsi="Times New Roman"/>
          <w:noProof/>
          <w:sz w:val="24"/>
          <w:szCs w:val="24"/>
        </w:rPr>
        <w:t xml:space="preserve"> put into developing and validating the questionnaires employed . . . researchers so often decide to form their own measures . . . a result of which there is continued inadequacy in residential satisfaction questionnaires” (p. 79). Understanding methodological issues is important in any field of inquiry because it underscores </w:t>
      </w:r>
      <w:r>
        <w:rPr>
          <w:rFonts w:ascii="Times New Roman" w:hAnsi="Times New Roman"/>
          <w:noProof/>
          <w:sz w:val="24"/>
          <w:szCs w:val="24"/>
        </w:rPr>
        <w:t xml:space="preserve">the </w:t>
      </w:r>
      <w:r w:rsidRPr="005D6187">
        <w:rPr>
          <w:rFonts w:ascii="Times New Roman" w:hAnsi="Times New Roman"/>
          <w:noProof/>
          <w:sz w:val="24"/>
          <w:szCs w:val="24"/>
        </w:rPr>
        <w:t>quality of research as well as implications arising from data collected</w:t>
      </w:r>
      <w:r w:rsidR="00D42E6E">
        <w:rPr>
          <w:rFonts w:ascii="Times New Roman" w:hAnsi="Times New Roman"/>
          <w:noProof/>
          <w:sz w:val="24"/>
          <w:szCs w:val="24"/>
        </w:rPr>
        <w:t xml:space="preserve"> and results </w:t>
      </w:r>
      <w:r w:rsidR="008F69D4">
        <w:rPr>
          <w:rFonts w:ascii="Times New Roman" w:hAnsi="Times New Roman"/>
          <w:noProof/>
          <w:sz w:val="24"/>
          <w:szCs w:val="24"/>
        </w:rPr>
        <w:t>presented</w:t>
      </w:r>
      <w:r w:rsidRPr="005D6187">
        <w:rPr>
          <w:rFonts w:ascii="Times New Roman" w:hAnsi="Times New Roman"/>
          <w:noProof/>
          <w:sz w:val="24"/>
          <w:szCs w:val="24"/>
        </w:rPr>
        <w:t xml:space="preserve">. </w:t>
      </w:r>
    </w:p>
    <w:p w:rsidR="004748F1" w:rsidRPr="005D6187" w:rsidRDefault="004748F1" w:rsidP="00564B4B">
      <w:pPr>
        <w:spacing w:after="0" w:line="240" w:lineRule="auto"/>
        <w:ind w:firstLine="720"/>
        <w:jc w:val="both"/>
        <w:rPr>
          <w:rFonts w:ascii="Times New Roman" w:hAnsi="Times New Roman"/>
          <w:noProof/>
          <w:sz w:val="24"/>
          <w:szCs w:val="24"/>
        </w:rPr>
      </w:pPr>
      <w:r w:rsidRPr="005D6187">
        <w:rPr>
          <w:rFonts w:ascii="Times New Roman" w:hAnsi="Times New Roman"/>
          <w:noProof/>
          <w:sz w:val="24"/>
          <w:szCs w:val="24"/>
        </w:rPr>
        <w:t>In Nigeria, this is a particularly p</w:t>
      </w:r>
      <w:r w:rsidR="007C7232">
        <w:rPr>
          <w:rFonts w:ascii="Times New Roman" w:hAnsi="Times New Roman"/>
          <w:noProof/>
          <w:sz w:val="24"/>
          <w:szCs w:val="24"/>
        </w:rPr>
        <w:t>ertinent</w:t>
      </w:r>
      <w:r w:rsidRPr="005D6187">
        <w:rPr>
          <w:rFonts w:ascii="Times New Roman" w:hAnsi="Times New Roman"/>
          <w:noProof/>
          <w:sz w:val="24"/>
          <w:szCs w:val="24"/>
        </w:rPr>
        <w:t xml:space="preserve"> issue for at least three reasons. First, RS measures adequacy, conditions and performance of housing (Okoye &amp; Chigbu, 2017; Ibem &amp; Alagbe, 2015; Jiboye, 2012). Thus RS studies provide feedback on housing environments. Secondly, failure of public housing has been attributed </w:t>
      </w:r>
      <w:r w:rsidR="00323099">
        <w:rPr>
          <w:rFonts w:ascii="Times New Roman" w:hAnsi="Times New Roman"/>
          <w:noProof/>
          <w:sz w:val="24"/>
          <w:szCs w:val="24"/>
        </w:rPr>
        <w:t xml:space="preserve">in part </w:t>
      </w:r>
      <w:r w:rsidRPr="005D6187">
        <w:rPr>
          <w:rFonts w:ascii="Times New Roman" w:hAnsi="Times New Roman"/>
          <w:noProof/>
          <w:sz w:val="24"/>
          <w:szCs w:val="24"/>
        </w:rPr>
        <w:t xml:space="preserve">to top-down approaches based on </w:t>
      </w:r>
      <w:r w:rsidR="000919B8">
        <w:rPr>
          <w:rFonts w:ascii="Times New Roman" w:hAnsi="Times New Roman"/>
          <w:noProof/>
          <w:sz w:val="24"/>
          <w:szCs w:val="24"/>
        </w:rPr>
        <w:t xml:space="preserve">the </w:t>
      </w:r>
      <w:r w:rsidRPr="005D6187">
        <w:rPr>
          <w:rFonts w:ascii="Times New Roman" w:hAnsi="Times New Roman"/>
          <w:noProof/>
          <w:sz w:val="24"/>
          <w:szCs w:val="24"/>
        </w:rPr>
        <w:t xml:space="preserve">perception of professionals and not input from end users, </w:t>
      </w:r>
      <w:r>
        <w:rPr>
          <w:rFonts w:ascii="Times New Roman" w:hAnsi="Times New Roman"/>
          <w:noProof/>
          <w:sz w:val="24"/>
          <w:szCs w:val="24"/>
        </w:rPr>
        <w:t xml:space="preserve">the </w:t>
      </w:r>
      <w:r w:rsidR="009776EF">
        <w:rPr>
          <w:rFonts w:ascii="Times New Roman" w:hAnsi="Times New Roman"/>
          <w:noProof/>
          <w:sz w:val="24"/>
          <w:szCs w:val="24"/>
        </w:rPr>
        <w:t>lack</w:t>
      </w:r>
      <w:r w:rsidRPr="005D6187">
        <w:rPr>
          <w:rFonts w:ascii="Times New Roman" w:hAnsi="Times New Roman"/>
          <w:noProof/>
          <w:sz w:val="24"/>
          <w:szCs w:val="24"/>
        </w:rPr>
        <w:t xml:space="preserve"> </w:t>
      </w:r>
      <w:r w:rsidR="009776EF">
        <w:rPr>
          <w:rFonts w:ascii="Times New Roman" w:hAnsi="Times New Roman"/>
          <w:noProof/>
          <w:sz w:val="24"/>
          <w:szCs w:val="24"/>
        </w:rPr>
        <w:t>contributing to</w:t>
      </w:r>
      <w:r>
        <w:rPr>
          <w:rFonts w:ascii="Times New Roman" w:hAnsi="Times New Roman"/>
          <w:noProof/>
          <w:sz w:val="24"/>
          <w:szCs w:val="24"/>
        </w:rPr>
        <w:t xml:space="preserve"> </w:t>
      </w:r>
      <w:r w:rsidR="00323099">
        <w:rPr>
          <w:rFonts w:ascii="Times New Roman" w:hAnsi="Times New Roman"/>
          <w:noProof/>
          <w:sz w:val="24"/>
          <w:szCs w:val="24"/>
        </w:rPr>
        <w:t xml:space="preserve">problems </w:t>
      </w:r>
      <w:r w:rsidR="00922398">
        <w:rPr>
          <w:rFonts w:ascii="Times New Roman" w:hAnsi="Times New Roman"/>
          <w:noProof/>
          <w:sz w:val="24"/>
          <w:szCs w:val="24"/>
        </w:rPr>
        <w:t xml:space="preserve">observed within </w:t>
      </w:r>
      <w:r w:rsidRPr="005D6187">
        <w:rPr>
          <w:rFonts w:ascii="Times New Roman" w:hAnsi="Times New Roman"/>
          <w:noProof/>
          <w:sz w:val="24"/>
          <w:szCs w:val="24"/>
        </w:rPr>
        <w:t xml:space="preserve">public housing schemes </w:t>
      </w:r>
      <w:r w:rsidR="00922398">
        <w:rPr>
          <w:rFonts w:ascii="Times New Roman" w:hAnsi="Times New Roman"/>
          <w:noProof/>
          <w:sz w:val="24"/>
          <w:szCs w:val="24"/>
        </w:rPr>
        <w:t>across</w:t>
      </w:r>
      <w:r w:rsidRPr="005D6187">
        <w:rPr>
          <w:rFonts w:ascii="Times New Roman" w:hAnsi="Times New Roman"/>
          <w:noProof/>
          <w:sz w:val="24"/>
          <w:szCs w:val="24"/>
        </w:rPr>
        <w:t xml:space="preserve"> the country (Jiboye, 2014). Thirdly, construction of housing units is set to continue </w:t>
      </w:r>
      <w:r w:rsidR="003A618E">
        <w:rPr>
          <w:rFonts w:ascii="Times New Roman" w:hAnsi="Times New Roman"/>
          <w:noProof/>
          <w:sz w:val="24"/>
          <w:szCs w:val="24"/>
        </w:rPr>
        <w:t>as a means of</w:t>
      </w:r>
      <w:r w:rsidRPr="005D6187">
        <w:rPr>
          <w:rFonts w:ascii="Times New Roman" w:hAnsi="Times New Roman"/>
          <w:noProof/>
          <w:sz w:val="24"/>
          <w:szCs w:val="24"/>
        </w:rPr>
        <w:t xml:space="preserve"> redu</w:t>
      </w:r>
      <w:r w:rsidR="009776EF">
        <w:rPr>
          <w:rFonts w:ascii="Times New Roman" w:hAnsi="Times New Roman"/>
          <w:noProof/>
          <w:sz w:val="24"/>
          <w:szCs w:val="24"/>
        </w:rPr>
        <w:t xml:space="preserve">cing the housing deficit </w:t>
      </w:r>
      <w:r w:rsidR="00323099">
        <w:rPr>
          <w:rFonts w:ascii="Times New Roman" w:hAnsi="Times New Roman"/>
          <w:noProof/>
          <w:sz w:val="24"/>
          <w:szCs w:val="24"/>
        </w:rPr>
        <w:t>across</w:t>
      </w:r>
      <w:r w:rsidR="009776EF">
        <w:rPr>
          <w:rFonts w:ascii="Times New Roman" w:hAnsi="Times New Roman"/>
          <w:noProof/>
          <w:sz w:val="24"/>
          <w:szCs w:val="24"/>
        </w:rPr>
        <w:t xml:space="preserve"> the country as well as</w:t>
      </w:r>
      <w:r w:rsidR="000919B8">
        <w:rPr>
          <w:rFonts w:ascii="Times New Roman" w:hAnsi="Times New Roman"/>
          <w:noProof/>
          <w:sz w:val="24"/>
          <w:szCs w:val="24"/>
        </w:rPr>
        <w:t xml:space="preserve"> </w:t>
      </w:r>
      <w:r w:rsidR="009776EF">
        <w:rPr>
          <w:rFonts w:ascii="Times New Roman" w:hAnsi="Times New Roman"/>
          <w:noProof/>
          <w:sz w:val="24"/>
          <w:szCs w:val="24"/>
        </w:rPr>
        <w:t>generating</w:t>
      </w:r>
      <w:r w:rsidRPr="005D6187">
        <w:rPr>
          <w:rFonts w:ascii="Times New Roman" w:hAnsi="Times New Roman"/>
          <w:noProof/>
          <w:sz w:val="24"/>
          <w:szCs w:val="24"/>
        </w:rPr>
        <w:t xml:space="preserve"> employment for many Nigerians (FGN, 2020). Direct construction of 300,000 homes in the next 12 months is part of Federal Government’s (FG) strategy through its Economic Sustainability Plan to alleviate effects of </w:t>
      </w:r>
      <w:r w:rsidR="000919B8">
        <w:rPr>
          <w:rFonts w:ascii="Times New Roman" w:hAnsi="Times New Roman"/>
          <w:noProof/>
          <w:sz w:val="24"/>
          <w:szCs w:val="24"/>
        </w:rPr>
        <w:t xml:space="preserve">the </w:t>
      </w:r>
      <w:r w:rsidRPr="005D6187">
        <w:rPr>
          <w:rFonts w:ascii="Times New Roman" w:hAnsi="Times New Roman"/>
          <w:noProof/>
          <w:sz w:val="24"/>
          <w:szCs w:val="24"/>
        </w:rPr>
        <w:t>COVID-19 pandamic by providing construction related jo</w:t>
      </w:r>
      <w:r w:rsidR="000919B8">
        <w:rPr>
          <w:rFonts w:ascii="Times New Roman" w:hAnsi="Times New Roman"/>
          <w:noProof/>
          <w:sz w:val="24"/>
          <w:szCs w:val="24"/>
        </w:rPr>
        <w:t xml:space="preserve">bs as well as </w:t>
      </w:r>
      <w:r w:rsidR="009776EF">
        <w:rPr>
          <w:rFonts w:ascii="Times New Roman" w:hAnsi="Times New Roman"/>
          <w:noProof/>
          <w:sz w:val="24"/>
          <w:szCs w:val="24"/>
        </w:rPr>
        <w:t xml:space="preserve">providing more </w:t>
      </w:r>
      <w:r w:rsidR="000919B8">
        <w:rPr>
          <w:rFonts w:ascii="Times New Roman" w:hAnsi="Times New Roman"/>
          <w:noProof/>
          <w:sz w:val="24"/>
          <w:szCs w:val="24"/>
        </w:rPr>
        <w:t>housing</w:t>
      </w:r>
      <w:r w:rsidR="009776EF">
        <w:rPr>
          <w:rFonts w:ascii="Times New Roman" w:hAnsi="Times New Roman"/>
          <w:noProof/>
          <w:sz w:val="24"/>
          <w:szCs w:val="24"/>
        </w:rPr>
        <w:t xml:space="preserve"> units</w:t>
      </w:r>
      <w:r w:rsidRPr="005D6187">
        <w:rPr>
          <w:rFonts w:ascii="Times New Roman" w:hAnsi="Times New Roman"/>
          <w:noProof/>
          <w:sz w:val="24"/>
          <w:szCs w:val="24"/>
        </w:rPr>
        <w:t xml:space="preserve">. Consequently, studies on adequacy and current conditions of housing environments are important to ensure </w:t>
      </w:r>
      <w:r w:rsidR="009776EF">
        <w:rPr>
          <w:rFonts w:ascii="Times New Roman" w:hAnsi="Times New Roman"/>
          <w:noProof/>
          <w:sz w:val="24"/>
          <w:szCs w:val="24"/>
        </w:rPr>
        <w:t xml:space="preserve">that </w:t>
      </w:r>
      <w:r w:rsidRPr="005D6187">
        <w:rPr>
          <w:rFonts w:ascii="Times New Roman" w:hAnsi="Times New Roman"/>
          <w:noProof/>
          <w:sz w:val="24"/>
          <w:szCs w:val="24"/>
        </w:rPr>
        <w:t>user input is available for policy making and design of public housing estates</w:t>
      </w:r>
      <w:r w:rsidR="000919B8">
        <w:rPr>
          <w:rFonts w:ascii="Times New Roman" w:hAnsi="Times New Roman"/>
          <w:noProof/>
          <w:sz w:val="24"/>
          <w:szCs w:val="24"/>
        </w:rPr>
        <w:t xml:space="preserve"> in future</w:t>
      </w:r>
      <w:r w:rsidRPr="005D6187">
        <w:rPr>
          <w:rFonts w:ascii="Times New Roman" w:hAnsi="Times New Roman"/>
          <w:noProof/>
          <w:sz w:val="24"/>
          <w:szCs w:val="24"/>
        </w:rPr>
        <w:t>.</w:t>
      </w:r>
    </w:p>
    <w:p w:rsidR="004748F1" w:rsidRPr="005D6187" w:rsidRDefault="004748F1" w:rsidP="00564B4B">
      <w:pPr>
        <w:spacing w:after="0" w:line="240" w:lineRule="auto"/>
        <w:ind w:firstLine="720"/>
        <w:jc w:val="both"/>
        <w:rPr>
          <w:rFonts w:ascii="Times New Roman" w:hAnsi="Times New Roman"/>
          <w:noProof/>
          <w:sz w:val="24"/>
          <w:szCs w:val="24"/>
        </w:rPr>
      </w:pPr>
      <w:r>
        <w:rPr>
          <w:rFonts w:ascii="Times New Roman" w:hAnsi="Times New Roman"/>
          <w:noProof/>
          <w:sz w:val="24"/>
          <w:szCs w:val="24"/>
        </w:rPr>
        <w:t>RS s</w:t>
      </w:r>
      <w:r w:rsidRPr="005D6187">
        <w:rPr>
          <w:rFonts w:ascii="Times New Roman" w:hAnsi="Times New Roman"/>
          <w:noProof/>
          <w:sz w:val="24"/>
          <w:szCs w:val="24"/>
        </w:rPr>
        <w:t>t</w:t>
      </w:r>
      <w:r>
        <w:rPr>
          <w:rFonts w:ascii="Times New Roman" w:hAnsi="Times New Roman"/>
          <w:noProof/>
          <w:sz w:val="24"/>
          <w:szCs w:val="24"/>
        </w:rPr>
        <w:t xml:space="preserve">udies in Nigeria employ several frameworks. These include </w:t>
      </w:r>
      <w:r w:rsidRPr="005D6187">
        <w:rPr>
          <w:rFonts w:ascii="Times New Roman" w:hAnsi="Times New Roman"/>
          <w:noProof/>
          <w:sz w:val="24"/>
          <w:szCs w:val="24"/>
        </w:rPr>
        <w:t xml:space="preserve">Aspiration gap/Purposive Approach </w:t>
      </w:r>
      <w:r>
        <w:rPr>
          <w:rFonts w:ascii="Times New Roman" w:hAnsi="Times New Roman"/>
          <w:noProof/>
          <w:sz w:val="24"/>
          <w:szCs w:val="24"/>
        </w:rPr>
        <w:t xml:space="preserve">theory </w:t>
      </w:r>
      <w:r w:rsidRPr="005D6187">
        <w:rPr>
          <w:rFonts w:ascii="Times New Roman" w:hAnsi="Times New Roman"/>
          <w:noProof/>
          <w:sz w:val="24"/>
          <w:szCs w:val="24"/>
        </w:rPr>
        <w:t xml:space="preserve">(Galster, 1987) as well as theory of Housing Adjustment (Morris &amp; Winter, 1975). </w:t>
      </w:r>
      <w:r>
        <w:rPr>
          <w:rFonts w:ascii="Times New Roman" w:hAnsi="Times New Roman"/>
          <w:noProof/>
          <w:sz w:val="24"/>
          <w:szCs w:val="24"/>
        </w:rPr>
        <w:t>M</w:t>
      </w:r>
      <w:r w:rsidRPr="005D6187">
        <w:rPr>
          <w:rFonts w:ascii="Times New Roman" w:hAnsi="Times New Roman"/>
          <w:noProof/>
          <w:sz w:val="24"/>
          <w:szCs w:val="24"/>
        </w:rPr>
        <w:t xml:space="preserve">any studies </w:t>
      </w:r>
      <w:r>
        <w:rPr>
          <w:rFonts w:ascii="Times New Roman" w:hAnsi="Times New Roman"/>
          <w:noProof/>
          <w:sz w:val="24"/>
          <w:szCs w:val="24"/>
        </w:rPr>
        <w:t xml:space="preserve">also </w:t>
      </w:r>
      <w:r w:rsidRPr="005D6187">
        <w:rPr>
          <w:rFonts w:ascii="Times New Roman" w:hAnsi="Times New Roman"/>
          <w:noProof/>
          <w:sz w:val="24"/>
          <w:szCs w:val="24"/>
        </w:rPr>
        <w:t>employ Housing Habitabi</w:t>
      </w:r>
      <w:r w:rsidR="000919B8">
        <w:rPr>
          <w:rFonts w:ascii="Times New Roman" w:hAnsi="Times New Roman"/>
          <w:noProof/>
          <w:sz w:val="24"/>
          <w:szCs w:val="24"/>
        </w:rPr>
        <w:t>lity System framework presented</w:t>
      </w:r>
      <w:r w:rsidRPr="005D6187">
        <w:rPr>
          <w:rFonts w:ascii="Times New Roman" w:hAnsi="Times New Roman"/>
          <w:noProof/>
          <w:sz w:val="24"/>
          <w:szCs w:val="24"/>
        </w:rPr>
        <w:t xml:space="preserve"> by Onibokun (1974) as a means of measuring </w:t>
      </w:r>
      <w:r w:rsidR="000919B8">
        <w:rPr>
          <w:rFonts w:ascii="Times New Roman" w:hAnsi="Times New Roman"/>
          <w:noProof/>
          <w:sz w:val="24"/>
          <w:szCs w:val="24"/>
        </w:rPr>
        <w:t xml:space="preserve">RS in </w:t>
      </w:r>
      <w:r w:rsidRPr="005D6187">
        <w:rPr>
          <w:rFonts w:ascii="Times New Roman" w:hAnsi="Times New Roman"/>
          <w:noProof/>
          <w:sz w:val="24"/>
          <w:szCs w:val="24"/>
        </w:rPr>
        <w:t xml:space="preserve">housing environments. </w:t>
      </w:r>
      <w:r w:rsidR="000919B8">
        <w:rPr>
          <w:rFonts w:ascii="Times New Roman" w:hAnsi="Times New Roman"/>
          <w:noProof/>
          <w:sz w:val="24"/>
          <w:szCs w:val="24"/>
        </w:rPr>
        <w:t>It i</w:t>
      </w:r>
      <w:r>
        <w:rPr>
          <w:rFonts w:ascii="Times New Roman" w:hAnsi="Times New Roman"/>
          <w:noProof/>
          <w:sz w:val="24"/>
          <w:szCs w:val="24"/>
        </w:rPr>
        <w:t>s</w:t>
      </w:r>
      <w:r w:rsidR="000919B8">
        <w:rPr>
          <w:rFonts w:ascii="Times New Roman" w:hAnsi="Times New Roman"/>
          <w:noProof/>
          <w:sz w:val="24"/>
          <w:szCs w:val="24"/>
        </w:rPr>
        <w:t xml:space="preserve"> popular</w:t>
      </w:r>
      <w:r w:rsidRPr="005D6187">
        <w:rPr>
          <w:rFonts w:ascii="Times New Roman" w:hAnsi="Times New Roman"/>
          <w:noProof/>
          <w:sz w:val="24"/>
          <w:szCs w:val="24"/>
        </w:rPr>
        <w:t xml:space="preserve"> in part due </w:t>
      </w:r>
      <w:r w:rsidR="003E6486">
        <w:rPr>
          <w:rFonts w:ascii="Times New Roman" w:hAnsi="Times New Roman"/>
          <w:noProof/>
          <w:sz w:val="24"/>
          <w:szCs w:val="24"/>
        </w:rPr>
        <w:t>to it’s simplicity whereby</w:t>
      </w:r>
      <w:r w:rsidRPr="005D6187">
        <w:rPr>
          <w:rFonts w:ascii="Times New Roman" w:hAnsi="Times New Roman"/>
          <w:noProof/>
          <w:sz w:val="24"/>
          <w:szCs w:val="24"/>
        </w:rPr>
        <w:t xml:space="preserve"> housing environments </w:t>
      </w:r>
      <w:r w:rsidR="003E6486">
        <w:rPr>
          <w:rFonts w:ascii="Times New Roman" w:hAnsi="Times New Roman"/>
          <w:noProof/>
          <w:sz w:val="24"/>
          <w:szCs w:val="24"/>
        </w:rPr>
        <w:t xml:space="preserve">are classified </w:t>
      </w:r>
      <w:r w:rsidRPr="005D6187">
        <w:rPr>
          <w:rFonts w:ascii="Times New Roman" w:hAnsi="Times New Roman"/>
          <w:noProof/>
          <w:sz w:val="24"/>
          <w:szCs w:val="24"/>
        </w:rPr>
        <w:t>under four subsystems</w:t>
      </w:r>
      <w:r>
        <w:rPr>
          <w:rFonts w:ascii="Times New Roman" w:hAnsi="Times New Roman"/>
          <w:noProof/>
          <w:sz w:val="24"/>
          <w:szCs w:val="24"/>
        </w:rPr>
        <w:t xml:space="preserve"> namely </w:t>
      </w:r>
      <w:r w:rsidRPr="005D6187">
        <w:rPr>
          <w:rFonts w:ascii="Times New Roman" w:hAnsi="Times New Roman"/>
          <w:noProof/>
          <w:sz w:val="24"/>
          <w:szCs w:val="24"/>
        </w:rPr>
        <w:t xml:space="preserve">tenant, dwelling, neighbourhood environment and management. Most studies </w:t>
      </w:r>
      <w:r w:rsidR="000919B8">
        <w:rPr>
          <w:rFonts w:ascii="Times New Roman" w:hAnsi="Times New Roman"/>
          <w:noProof/>
          <w:sz w:val="24"/>
          <w:szCs w:val="24"/>
        </w:rPr>
        <w:t xml:space="preserve">employing this framework </w:t>
      </w:r>
      <w:r w:rsidR="003E6486">
        <w:rPr>
          <w:rFonts w:ascii="Times New Roman" w:hAnsi="Times New Roman"/>
          <w:noProof/>
          <w:sz w:val="24"/>
          <w:szCs w:val="24"/>
        </w:rPr>
        <w:t>have</w:t>
      </w:r>
      <w:r w:rsidRPr="005D6187">
        <w:rPr>
          <w:rFonts w:ascii="Times New Roman" w:hAnsi="Times New Roman"/>
          <w:noProof/>
          <w:sz w:val="24"/>
          <w:szCs w:val="24"/>
        </w:rPr>
        <w:t xml:space="preserve"> however </w:t>
      </w:r>
      <w:r w:rsidR="003E6486">
        <w:rPr>
          <w:rFonts w:ascii="Times New Roman" w:hAnsi="Times New Roman"/>
          <w:noProof/>
          <w:sz w:val="24"/>
          <w:szCs w:val="24"/>
        </w:rPr>
        <w:t xml:space="preserve">been </w:t>
      </w:r>
      <w:r w:rsidRPr="005D6187">
        <w:rPr>
          <w:rFonts w:ascii="Times New Roman" w:hAnsi="Times New Roman"/>
          <w:noProof/>
          <w:sz w:val="24"/>
          <w:szCs w:val="24"/>
        </w:rPr>
        <w:t>conducted in large estates or across States and regions in Southern Nigeria. Few studies employ this framework in Northern parts of the country, over small samples (less t</w:t>
      </w:r>
      <w:r>
        <w:rPr>
          <w:rFonts w:ascii="Times New Roman" w:hAnsi="Times New Roman"/>
          <w:noProof/>
          <w:sz w:val="24"/>
          <w:szCs w:val="24"/>
        </w:rPr>
        <w:t xml:space="preserve">han 50) or </w:t>
      </w:r>
      <w:r w:rsidR="007C7232">
        <w:rPr>
          <w:rFonts w:ascii="Times New Roman" w:hAnsi="Times New Roman"/>
          <w:noProof/>
          <w:sz w:val="24"/>
          <w:szCs w:val="24"/>
        </w:rPr>
        <w:t xml:space="preserve">within </w:t>
      </w:r>
      <w:r>
        <w:rPr>
          <w:rFonts w:ascii="Times New Roman" w:hAnsi="Times New Roman"/>
          <w:noProof/>
          <w:sz w:val="24"/>
          <w:szCs w:val="24"/>
        </w:rPr>
        <w:t>individual estates.</w:t>
      </w:r>
      <w:r w:rsidRPr="005D6187">
        <w:rPr>
          <w:rFonts w:ascii="Times New Roman" w:hAnsi="Times New Roman"/>
          <w:noProof/>
          <w:sz w:val="24"/>
          <w:szCs w:val="24"/>
        </w:rPr>
        <w:t xml:space="preserve"> RS is contextual and results obtained in one part of the country or region may not</w:t>
      </w:r>
      <w:r w:rsidR="00AF5BD3">
        <w:rPr>
          <w:rFonts w:ascii="Times New Roman" w:hAnsi="Times New Roman"/>
          <w:noProof/>
          <w:sz w:val="24"/>
          <w:szCs w:val="24"/>
        </w:rPr>
        <w:t xml:space="preserve"> be applicable to other areas. Consequently, i</w:t>
      </w:r>
      <w:r w:rsidRPr="005D6187">
        <w:rPr>
          <w:rFonts w:ascii="Times New Roman" w:hAnsi="Times New Roman"/>
          <w:noProof/>
          <w:sz w:val="24"/>
          <w:szCs w:val="24"/>
        </w:rPr>
        <w:t>t is uncle</w:t>
      </w:r>
      <w:r>
        <w:rPr>
          <w:rFonts w:ascii="Times New Roman" w:hAnsi="Times New Roman"/>
          <w:noProof/>
          <w:sz w:val="24"/>
          <w:szCs w:val="24"/>
        </w:rPr>
        <w:t xml:space="preserve">ar </w:t>
      </w:r>
      <w:r w:rsidR="005624BA">
        <w:rPr>
          <w:rFonts w:ascii="Times New Roman" w:hAnsi="Times New Roman"/>
          <w:noProof/>
          <w:sz w:val="24"/>
          <w:szCs w:val="24"/>
        </w:rPr>
        <w:t>whether</w:t>
      </w:r>
      <w:r>
        <w:rPr>
          <w:rFonts w:ascii="Times New Roman" w:hAnsi="Times New Roman"/>
          <w:noProof/>
          <w:sz w:val="24"/>
          <w:szCs w:val="24"/>
        </w:rPr>
        <w:t xml:space="preserve"> employing this framework i</w:t>
      </w:r>
      <w:r w:rsidRPr="005D6187">
        <w:rPr>
          <w:rFonts w:ascii="Times New Roman" w:hAnsi="Times New Roman"/>
          <w:noProof/>
          <w:sz w:val="24"/>
          <w:szCs w:val="24"/>
        </w:rPr>
        <w:t xml:space="preserve">n small samples </w:t>
      </w:r>
      <w:r>
        <w:rPr>
          <w:rFonts w:ascii="Times New Roman" w:hAnsi="Times New Roman"/>
          <w:noProof/>
          <w:sz w:val="24"/>
          <w:szCs w:val="24"/>
        </w:rPr>
        <w:t>with</w:t>
      </w:r>
      <w:r w:rsidRPr="005D6187">
        <w:rPr>
          <w:rFonts w:ascii="Times New Roman" w:hAnsi="Times New Roman"/>
          <w:noProof/>
          <w:sz w:val="24"/>
          <w:szCs w:val="24"/>
        </w:rPr>
        <w:t xml:space="preserve">in </w:t>
      </w:r>
      <w:r w:rsidR="000919B8">
        <w:rPr>
          <w:rFonts w:ascii="Times New Roman" w:hAnsi="Times New Roman"/>
          <w:noProof/>
          <w:sz w:val="24"/>
          <w:szCs w:val="24"/>
        </w:rPr>
        <w:t>Northern</w:t>
      </w:r>
      <w:r w:rsidRPr="005D6187">
        <w:rPr>
          <w:rFonts w:ascii="Times New Roman" w:hAnsi="Times New Roman"/>
          <w:noProof/>
          <w:sz w:val="24"/>
          <w:szCs w:val="24"/>
        </w:rPr>
        <w:t xml:space="preserve"> regions will produce similar results as obtained in literature for generalisation and comp</w:t>
      </w:r>
      <w:r w:rsidR="003E6486">
        <w:rPr>
          <w:rFonts w:ascii="Times New Roman" w:hAnsi="Times New Roman"/>
          <w:noProof/>
          <w:sz w:val="24"/>
          <w:szCs w:val="24"/>
        </w:rPr>
        <w:t xml:space="preserve">arative purposes. Testing this </w:t>
      </w:r>
      <w:r w:rsidRPr="005D6187">
        <w:rPr>
          <w:rFonts w:ascii="Times New Roman" w:hAnsi="Times New Roman"/>
          <w:noProof/>
          <w:sz w:val="24"/>
          <w:szCs w:val="24"/>
        </w:rPr>
        <w:t xml:space="preserve">framework in different parts of the country is important for ensuring </w:t>
      </w:r>
      <w:r w:rsidR="00D44E52">
        <w:rPr>
          <w:rFonts w:ascii="Times New Roman" w:hAnsi="Times New Roman"/>
          <w:noProof/>
          <w:sz w:val="24"/>
          <w:szCs w:val="24"/>
        </w:rPr>
        <w:t xml:space="preserve">that </w:t>
      </w:r>
      <w:r w:rsidRPr="005D6187">
        <w:rPr>
          <w:rFonts w:ascii="Times New Roman" w:hAnsi="Times New Roman"/>
          <w:noProof/>
          <w:sz w:val="24"/>
          <w:szCs w:val="24"/>
        </w:rPr>
        <w:t xml:space="preserve">quality </w:t>
      </w:r>
      <w:r w:rsidR="00AF5BD3">
        <w:rPr>
          <w:rFonts w:ascii="Times New Roman" w:hAnsi="Times New Roman"/>
          <w:noProof/>
          <w:sz w:val="24"/>
          <w:szCs w:val="24"/>
        </w:rPr>
        <w:t>of research</w:t>
      </w:r>
      <w:r w:rsidR="003E6486">
        <w:rPr>
          <w:rFonts w:ascii="Times New Roman" w:hAnsi="Times New Roman"/>
          <w:noProof/>
          <w:sz w:val="24"/>
          <w:szCs w:val="24"/>
        </w:rPr>
        <w:t xml:space="preserve"> remain</w:t>
      </w:r>
      <w:r w:rsidR="000919B8">
        <w:rPr>
          <w:rFonts w:ascii="Times New Roman" w:hAnsi="Times New Roman"/>
          <w:noProof/>
          <w:sz w:val="24"/>
          <w:szCs w:val="24"/>
        </w:rPr>
        <w:t>s consistent for</w:t>
      </w:r>
      <w:r w:rsidRPr="005D6187">
        <w:rPr>
          <w:rFonts w:ascii="Times New Roman" w:hAnsi="Times New Roman"/>
          <w:noProof/>
          <w:sz w:val="24"/>
          <w:szCs w:val="24"/>
        </w:rPr>
        <w:t xml:space="preserve"> comparisons at national, regional and local levels considering prototype designs are often constructed across the entire nation, regions or States. </w:t>
      </w:r>
    </w:p>
    <w:p w:rsidR="004748F1" w:rsidRPr="005D6187" w:rsidRDefault="004748F1" w:rsidP="00564B4B">
      <w:pPr>
        <w:spacing w:after="0" w:line="240" w:lineRule="auto"/>
        <w:ind w:firstLine="720"/>
        <w:jc w:val="both"/>
        <w:rPr>
          <w:rFonts w:ascii="Times New Roman" w:hAnsi="Times New Roman"/>
          <w:sz w:val="24"/>
          <w:szCs w:val="24"/>
        </w:rPr>
      </w:pPr>
      <w:r w:rsidRPr="005D6187">
        <w:rPr>
          <w:rFonts w:ascii="Times New Roman" w:hAnsi="Times New Roman"/>
          <w:noProof/>
          <w:sz w:val="24"/>
          <w:szCs w:val="24"/>
        </w:rPr>
        <w:t xml:space="preserve">This paper evaluates </w:t>
      </w:r>
      <w:r>
        <w:rPr>
          <w:rFonts w:ascii="Times New Roman" w:hAnsi="Times New Roman"/>
          <w:noProof/>
          <w:sz w:val="24"/>
          <w:szCs w:val="24"/>
        </w:rPr>
        <w:t>RS</w:t>
      </w:r>
      <w:r w:rsidRPr="005D6187">
        <w:rPr>
          <w:rFonts w:ascii="Times New Roman" w:hAnsi="Times New Roman"/>
          <w:noProof/>
          <w:sz w:val="24"/>
          <w:szCs w:val="24"/>
        </w:rPr>
        <w:t xml:space="preserve"> from </w:t>
      </w:r>
      <w:r w:rsidR="007D69FB">
        <w:rPr>
          <w:rFonts w:ascii="Times New Roman" w:hAnsi="Times New Roman"/>
          <w:noProof/>
          <w:sz w:val="24"/>
          <w:szCs w:val="24"/>
        </w:rPr>
        <w:t>user response</w:t>
      </w:r>
      <w:r>
        <w:rPr>
          <w:rFonts w:ascii="Times New Roman" w:hAnsi="Times New Roman"/>
          <w:noProof/>
          <w:sz w:val="24"/>
          <w:szCs w:val="24"/>
        </w:rPr>
        <w:t xml:space="preserve">s employing </w:t>
      </w:r>
      <w:r w:rsidRPr="005D6187">
        <w:rPr>
          <w:rFonts w:ascii="Times New Roman" w:hAnsi="Times New Roman"/>
          <w:noProof/>
          <w:sz w:val="24"/>
          <w:szCs w:val="24"/>
        </w:rPr>
        <w:t>survey instruments based on Housing Habitability System framework at estate</w:t>
      </w:r>
      <w:r w:rsidR="00D44E52">
        <w:rPr>
          <w:rFonts w:ascii="Times New Roman" w:hAnsi="Times New Roman"/>
          <w:noProof/>
          <w:sz w:val="24"/>
          <w:szCs w:val="24"/>
        </w:rPr>
        <w:t xml:space="preserve"> level using a small sample in N</w:t>
      </w:r>
      <w:r w:rsidRPr="005D6187">
        <w:rPr>
          <w:rFonts w:ascii="Times New Roman" w:hAnsi="Times New Roman"/>
          <w:noProof/>
          <w:sz w:val="24"/>
          <w:szCs w:val="24"/>
        </w:rPr>
        <w:t>orthern Nigeria. Objectives of the study are</w:t>
      </w:r>
      <w:r w:rsidR="007D69FB">
        <w:rPr>
          <w:rFonts w:ascii="Times New Roman" w:hAnsi="Times New Roman"/>
          <w:noProof/>
          <w:sz w:val="24"/>
          <w:szCs w:val="24"/>
        </w:rPr>
        <w:t xml:space="preserve"> to</w:t>
      </w:r>
      <w:r w:rsidR="00564B4B">
        <w:rPr>
          <w:rFonts w:ascii="Times New Roman" w:hAnsi="Times New Roman"/>
          <w:noProof/>
          <w:sz w:val="24"/>
          <w:szCs w:val="24"/>
        </w:rPr>
        <w:t xml:space="preserve">; i) </w:t>
      </w:r>
      <w:r w:rsidR="00564B4B">
        <w:rPr>
          <w:rFonts w:ascii="Times New Roman" w:hAnsi="Times New Roman"/>
          <w:sz w:val="24"/>
          <w:szCs w:val="24"/>
        </w:rPr>
        <w:t>e</w:t>
      </w:r>
      <w:r w:rsidRPr="005D6187">
        <w:rPr>
          <w:rFonts w:ascii="Times New Roman" w:hAnsi="Times New Roman"/>
          <w:sz w:val="24"/>
          <w:szCs w:val="24"/>
        </w:rPr>
        <w:t>xplore satisfactory</w:t>
      </w:r>
      <w:r>
        <w:rPr>
          <w:rFonts w:ascii="Times New Roman" w:hAnsi="Times New Roman"/>
          <w:sz w:val="24"/>
          <w:szCs w:val="24"/>
        </w:rPr>
        <w:t xml:space="preserve"> and unsatisfactory aspects of </w:t>
      </w:r>
      <w:r w:rsidRPr="005D6187">
        <w:rPr>
          <w:rFonts w:ascii="Times New Roman" w:hAnsi="Times New Roman"/>
          <w:sz w:val="24"/>
          <w:szCs w:val="24"/>
        </w:rPr>
        <w:t>the housing enviro</w:t>
      </w:r>
      <w:r w:rsidR="009E5FB7">
        <w:rPr>
          <w:rFonts w:ascii="Times New Roman" w:hAnsi="Times New Roman"/>
          <w:sz w:val="24"/>
          <w:szCs w:val="24"/>
        </w:rPr>
        <w:t>nment within public estates in N</w:t>
      </w:r>
      <w:r w:rsidRPr="005D6187">
        <w:rPr>
          <w:rFonts w:ascii="Times New Roman" w:hAnsi="Times New Roman"/>
          <w:sz w:val="24"/>
          <w:szCs w:val="24"/>
        </w:rPr>
        <w:t>orthern</w:t>
      </w:r>
      <w:r w:rsidR="00564B4B">
        <w:rPr>
          <w:rFonts w:ascii="Times New Roman" w:hAnsi="Times New Roman"/>
          <w:sz w:val="24"/>
          <w:szCs w:val="24"/>
        </w:rPr>
        <w:t xml:space="preserve"> Nigeria from user perspectives; and ii) e</w:t>
      </w:r>
      <w:r w:rsidRPr="005D6187">
        <w:rPr>
          <w:rFonts w:ascii="Times New Roman" w:hAnsi="Times New Roman"/>
          <w:sz w:val="24"/>
          <w:szCs w:val="24"/>
        </w:rPr>
        <w:t xml:space="preserve">stablish factors which influence residential satisfaction from perspectives of </w:t>
      </w:r>
      <w:r w:rsidR="009E5FB7">
        <w:rPr>
          <w:rFonts w:ascii="Times New Roman" w:hAnsi="Times New Roman"/>
          <w:sz w:val="24"/>
          <w:szCs w:val="24"/>
        </w:rPr>
        <w:t>residents of public housing in N</w:t>
      </w:r>
      <w:r w:rsidRPr="005D6187">
        <w:rPr>
          <w:rFonts w:ascii="Times New Roman" w:hAnsi="Times New Roman"/>
          <w:sz w:val="24"/>
          <w:szCs w:val="24"/>
        </w:rPr>
        <w:t>orthern Nigeria.</w:t>
      </w:r>
    </w:p>
    <w:p w:rsidR="004748F1" w:rsidRDefault="004748F1" w:rsidP="00564B4B">
      <w:pPr>
        <w:spacing w:after="0" w:line="240" w:lineRule="auto"/>
        <w:ind w:firstLine="720"/>
        <w:jc w:val="both"/>
        <w:rPr>
          <w:rFonts w:ascii="Times New Roman" w:hAnsi="Times New Roman"/>
          <w:noProof/>
          <w:sz w:val="24"/>
          <w:szCs w:val="24"/>
        </w:rPr>
      </w:pPr>
      <w:r w:rsidRPr="005D6187">
        <w:rPr>
          <w:rFonts w:ascii="Times New Roman" w:hAnsi="Times New Roman"/>
          <w:noProof/>
          <w:sz w:val="24"/>
          <w:szCs w:val="24"/>
        </w:rPr>
        <w:t xml:space="preserve">The underlying premise related </w:t>
      </w:r>
      <w:r>
        <w:rPr>
          <w:rFonts w:ascii="Times New Roman" w:hAnsi="Times New Roman"/>
          <w:noProof/>
          <w:sz w:val="24"/>
          <w:szCs w:val="24"/>
        </w:rPr>
        <w:t xml:space="preserve">to the second objective is that </w:t>
      </w:r>
      <w:r w:rsidRPr="005D6187">
        <w:rPr>
          <w:rFonts w:ascii="Times New Roman" w:hAnsi="Times New Roman"/>
          <w:noProof/>
          <w:sz w:val="24"/>
          <w:szCs w:val="24"/>
        </w:rPr>
        <w:t xml:space="preserve">user responses reflect a combination of dwelling unit features, neighbourhood environment </w:t>
      </w:r>
      <w:r>
        <w:rPr>
          <w:rFonts w:ascii="Times New Roman" w:hAnsi="Times New Roman"/>
          <w:noProof/>
          <w:sz w:val="24"/>
          <w:szCs w:val="24"/>
        </w:rPr>
        <w:t xml:space="preserve">variables </w:t>
      </w:r>
      <w:r w:rsidRPr="005D6187">
        <w:rPr>
          <w:rFonts w:ascii="Times New Roman" w:hAnsi="Times New Roman"/>
          <w:noProof/>
          <w:sz w:val="24"/>
          <w:szCs w:val="24"/>
        </w:rPr>
        <w:t>as well as management aspects of the housing environment depending on conditions and adequacy of available facilities. This premise is tested in Gombe, the Gombe State ca</w:t>
      </w:r>
      <w:r>
        <w:rPr>
          <w:rFonts w:ascii="Times New Roman" w:hAnsi="Times New Roman"/>
          <w:noProof/>
          <w:sz w:val="24"/>
          <w:szCs w:val="24"/>
        </w:rPr>
        <w:t>pital centrally located in the N</w:t>
      </w:r>
      <w:r w:rsidRPr="005D6187">
        <w:rPr>
          <w:rFonts w:ascii="Times New Roman" w:hAnsi="Times New Roman"/>
          <w:noProof/>
          <w:sz w:val="24"/>
          <w:szCs w:val="24"/>
        </w:rPr>
        <w:t xml:space="preserve">ortheast (Figure 1), a region that has received comparatively little housing research in Nigeria </w:t>
      </w:r>
      <w:r w:rsidRPr="005D6187">
        <w:rPr>
          <w:rFonts w:ascii="Times New Roman" w:hAnsi="Times New Roman"/>
          <w:noProof/>
          <w:sz w:val="24"/>
          <w:szCs w:val="24"/>
        </w:rPr>
        <w:lastRenderedPageBreak/>
        <w:t>(M</w:t>
      </w:r>
      <w:r>
        <w:rPr>
          <w:rFonts w:ascii="Times New Roman" w:hAnsi="Times New Roman"/>
          <w:noProof/>
          <w:sz w:val="24"/>
          <w:szCs w:val="24"/>
        </w:rPr>
        <w:t xml:space="preserve">aina, 2013). Although Ishiyaku et al. </w:t>
      </w:r>
      <w:r w:rsidRPr="005D6187">
        <w:rPr>
          <w:rFonts w:ascii="Times New Roman" w:hAnsi="Times New Roman"/>
          <w:noProof/>
          <w:sz w:val="24"/>
          <w:szCs w:val="24"/>
        </w:rPr>
        <w:t xml:space="preserve">(2017) studied RS in </w:t>
      </w:r>
      <w:r w:rsidR="005624BA">
        <w:rPr>
          <w:rFonts w:ascii="Times New Roman" w:hAnsi="Times New Roman"/>
          <w:noProof/>
          <w:sz w:val="24"/>
          <w:szCs w:val="24"/>
        </w:rPr>
        <w:t>Gombe</w:t>
      </w:r>
      <w:r w:rsidRPr="005D6187">
        <w:rPr>
          <w:rFonts w:ascii="Times New Roman" w:hAnsi="Times New Roman"/>
          <w:noProof/>
          <w:sz w:val="24"/>
          <w:szCs w:val="24"/>
        </w:rPr>
        <w:t xml:space="preserve">, investigations focused on aspects of building or dwelling components, unlike the present study which assesses features of overall housing environments, building components inclusive. </w:t>
      </w:r>
    </w:p>
    <w:p w:rsidR="00564B4B" w:rsidRPr="005D6187" w:rsidRDefault="00564B4B" w:rsidP="00564B4B">
      <w:pPr>
        <w:spacing w:after="0" w:line="240" w:lineRule="auto"/>
        <w:ind w:firstLine="720"/>
        <w:jc w:val="both"/>
        <w:rPr>
          <w:rFonts w:ascii="Times New Roman" w:hAnsi="Times New Roman"/>
          <w:noProof/>
          <w:sz w:val="24"/>
          <w:szCs w:val="24"/>
        </w:rPr>
      </w:pPr>
    </w:p>
    <w:p w:rsidR="004748F1" w:rsidRPr="005D6187" w:rsidRDefault="00F53948" w:rsidP="00564B4B">
      <w:pPr>
        <w:spacing w:after="0" w:line="240" w:lineRule="auto"/>
        <w:jc w:val="center"/>
        <w:rPr>
          <w:rFonts w:ascii="Times New Roman" w:hAnsi="Times New Roman"/>
          <w:noProof/>
          <w:sz w:val="24"/>
          <w:szCs w:val="24"/>
        </w:rPr>
      </w:pPr>
      <w:r w:rsidRPr="004748F1">
        <w:rPr>
          <w:rFonts w:ascii="Times New Roman" w:hAnsi="Times New Roman"/>
          <w:noProof/>
          <w:sz w:val="24"/>
          <w:szCs w:val="24"/>
          <w:lang w:val="en-MY" w:eastAsia="en-MY"/>
        </w:rPr>
        <w:drawing>
          <wp:inline distT="0" distB="0" distL="0" distR="0">
            <wp:extent cx="2981325" cy="1781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325" cy="1781175"/>
                    </a:xfrm>
                    <a:prstGeom prst="rect">
                      <a:avLst/>
                    </a:prstGeom>
                    <a:noFill/>
                    <a:ln>
                      <a:noFill/>
                    </a:ln>
                  </pic:spPr>
                </pic:pic>
              </a:graphicData>
            </a:graphic>
          </wp:inline>
        </w:drawing>
      </w:r>
    </w:p>
    <w:p w:rsidR="00690B87" w:rsidRPr="00461050" w:rsidRDefault="00461050" w:rsidP="00564B4B">
      <w:pPr>
        <w:spacing w:before="120" w:after="0" w:line="240" w:lineRule="auto"/>
        <w:jc w:val="center"/>
        <w:rPr>
          <w:rFonts w:ascii="Times New Roman" w:hAnsi="Times New Roman"/>
          <w:noProof/>
          <w:sz w:val="20"/>
          <w:szCs w:val="20"/>
        </w:rPr>
      </w:pPr>
      <w:r w:rsidRPr="00461050">
        <w:rPr>
          <w:rFonts w:ascii="Times New Roman" w:hAnsi="Times New Roman"/>
          <w:b/>
          <w:noProof/>
          <w:sz w:val="20"/>
          <w:szCs w:val="20"/>
        </w:rPr>
        <w:t>Figure 1.</w:t>
      </w:r>
      <w:r w:rsidR="004748F1" w:rsidRPr="00461050">
        <w:rPr>
          <w:rFonts w:ascii="Times New Roman" w:hAnsi="Times New Roman"/>
          <w:noProof/>
          <w:sz w:val="20"/>
          <w:szCs w:val="20"/>
        </w:rPr>
        <w:t xml:space="preserve"> Location of study area</w:t>
      </w:r>
    </w:p>
    <w:p w:rsidR="001254EE" w:rsidRDefault="001254EE" w:rsidP="00564B4B">
      <w:pPr>
        <w:spacing w:after="0" w:line="240" w:lineRule="auto"/>
        <w:jc w:val="both"/>
        <w:rPr>
          <w:rFonts w:ascii="Times New Roman" w:hAnsi="Times New Roman"/>
          <w:b/>
          <w:sz w:val="24"/>
          <w:szCs w:val="24"/>
        </w:rPr>
      </w:pPr>
    </w:p>
    <w:p w:rsidR="00C97B81" w:rsidRPr="005D6187" w:rsidRDefault="00C97B81" w:rsidP="00564B4B">
      <w:pPr>
        <w:spacing w:after="0" w:line="240" w:lineRule="auto"/>
        <w:jc w:val="both"/>
        <w:rPr>
          <w:rFonts w:ascii="Times New Roman" w:hAnsi="Times New Roman"/>
          <w:b/>
          <w:sz w:val="24"/>
          <w:szCs w:val="24"/>
        </w:rPr>
      </w:pPr>
      <w:r w:rsidRPr="005D6187">
        <w:rPr>
          <w:rFonts w:ascii="Times New Roman" w:hAnsi="Times New Roman"/>
          <w:b/>
          <w:sz w:val="24"/>
          <w:szCs w:val="24"/>
        </w:rPr>
        <w:t>Residential satisfaction based on Housing Habitability System framework</w:t>
      </w:r>
    </w:p>
    <w:p w:rsidR="001254EE" w:rsidRDefault="001254EE" w:rsidP="00564B4B">
      <w:pPr>
        <w:spacing w:after="0" w:line="240" w:lineRule="auto"/>
        <w:jc w:val="both"/>
        <w:rPr>
          <w:rFonts w:ascii="Times New Roman" w:hAnsi="Times New Roman"/>
          <w:sz w:val="24"/>
          <w:szCs w:val="24"/>
        </w:rPr>
      </w:pPr>
    </w:p>
    <w:p w:rsidR="00CA0E4F" w:rsidRDefault="00CA0E4F" w:rsidP="00564B4B">
      <w:pPr>
        <w:spacing w:after="0" w:line="240" w:lineRule="auto"/>
        <w:jc w:val="both"/>
        <w:rPr>
          <w:rFonts w:ascii="Times New Roman" w:hAnsi="Times New Roman"/>
          <w:sz w:val="24"/>
          <w:szCs w:val="24"/>
        </w:rPr>
      </w:pPr>
      <w:proofErr w:type="spellStart"/>
      <w:r w:rsidRPr="005D6187">
        <w:rPr>
          <w:rFonts w:ascii="Times New Roman" w:hAnsi="Times New Roman"/>
          <w:sz w:val="24"/>
          <w:szCs w:val="24"/>
        </w:rPr>
        <w:t>Onibokun</w:t>
      </w:r>
      <w:proofErr w:type="spellEnd"/>
      <w:r w:rsidRPr="005D6187">
        <w:rPr>
          <w:rFonts w:ascii="Times New Roman" w:hAnsi="Times New Roman"/>
          <w:sz w:val="24"/>
          <w:szCs w:val="24"/>
        </w:rPr>
        <w:t xml:space="preserve"> (1974) described habitability in terms of a system of tenant-dwelling-en</w:t>
      </w:r>
      <w:r>
        <w:rPr>
          <w:rFonts w:ascii="Times New Roman" w:hAnsi="Times New Roman"/>
          <w:sz w:val="24"/>
          <w:szCs w:val="24"/>
        </w:rPr>
        <w:t>vironment-management components</w:t>
      </w:r>
      <w:r w:rsidRPr="005D6187">
        <w:rPr>
          <w:rFonts w:ascii="Times New Roman" w:hAnsi="Times New Roman"/>
          <w:sz w:val="24"/>
          <w:szCs w:val="24"/>
        </w:rPr>
        <w:t xml:space="preserve"> based on the notion </w:t>
      </w:r>
      <w:r>
        <w:rPr>
          <w:rFonts w:ascii="Times New Roman" w:hAnsi="Times New Roman"/>
          <w:sz w:val="24"/>
          <w:szCs w:val="24"/>
        </w:rPr>
        <w:t xml:space="preserve">that </w:t>
      </w:r>
      <w:r w:rsidRPr="005D6187">
        <w:rPr>
          <w:rFonts w:ascii="Times New Roman" w:hAnsi="Times New Roman"/>
          <w:sz w:val="24"/>
          <w:szCs w:val="24"/>
        </w:rPr>
        <w:t>houses are only one link in the chain of factors determining residents’ relative satisfaction in the entire housing environment</w:t>
      </w:r>
      <w:r>
        <w:rPr>
          <w:rFonts w:ascii="Times New Roman" w:hAnsi="Times New Roman"/>
          <w:sz w:val="24"/>
          <w:szCs w:val="24"/>
        </w:rPr>
        <w:t xml:space="preserve"> (Figure 2)</w:t>
      </w:r>
      <w:r w:rsidRPr="005D6187">
        <w:rPr>
          <w:rFonts w:ascii="Times New Roman" w:hAnsi="Times New Roman"/>
          <w:sz w:val="24"/>
          <w:szCs w:val="24"/>
        </w:rPr>
        <w:t xml:space="preserve">. </w:t>
      </w:r>
    </w:p>
    <w:p w:rsidR="001254EE" w:rsidRDefault="001254EE" w:rsidP="00564B4B">
      <w:pPr>
        <w:spacing w:after="0" w:line="240" w:lineRule="auto"/>
        <w:jc w:val="both"/>
        <w:rPr>
          <w:rFonts w:ascii="Times New Roman" w:hAnsi="Times New Roman"/>
          <w:noProof/>
          <w:sz w:val="24"/>
          <w:szCs w:val="24"/>
        </w:rPr>
      </w:pPr>
    </w:p>
    <w:p w:rsidR="00CA0E4F" w:rsidRDefault="00F53948" w:rsidP="00564B4B">
      <w:pPr>
        <w:spacing w:after="0" w:line="240" w:lineRule="auto"/>
        <w:jc w:val="center"/>
        <w:rPr>
          <w:rFonts w:ascii="Times New Roman" w:hAnsi="Times New Roman"/>
          <w:noProof/>
          <w:sz w:val="24"/>
          <w:szCs w:val="24"/>
        </w:rPr>
      </w:pPr>
      <w:r w:rsidRPr="00CA0E4F">
        <w:rPr>
          <w:rFonts w:ascii="Times New Roman" w:hAnsi="Times New Roman"/>
          <w:noProof/>
          <w:sz w:val="24"/>
          <w:szCs w:val="24"/>
          <w:lang w:val="en-MY" w:eastAsia="en-MY"/>
        </w:rPr>
        <w:drawing>
          <wp:inline distT="0" distB="0" distL="0" distR="0">
            <wp:extent cx="5743575"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2286000"/>
                    </a:xfrm>
                    <a:prstGeom prst="rect">
                      <a:avLst/>
                    </a:prstGeom>
                    <a:noFill/>
                    <a:ln>
                      <a:noFill/>
                    </a:ln>
                  </pic:spPr>
                </pic:pic>
              </a:graphicData>
            </a:graphic>
          </wp:inline>
        </w:drawing>
      </w:r>
    </w:p>
    <w:p w:rsidR="001254EE" w:rsidRDefault="00564B4B" w:rsidP="00564B4B">
      <w:pPr>
        <w:spacing w:after="0" w:line="240" w:lineRule="auto"/>
        <w:rPr>
          <w:rFonts w:ascii="Times New Roman" w:hAnsi="Times New Roman"/>
          <w:noProof/>
          <w:sz w:val="20"/>
          <w:szCs w:val="20"/>
        </w:rPr>
      </w:pPr>
      <w:r>
        <w:rPr>
          <w:rFonts w:ascii="Times New Roman" w:hAnsi="Times New Roman"/>
          <w:noProof/>
          <w:sz w:val="20"/>
          <w:szCs w:val="20"/>
        </w:rPr>
        <w:t xml:space="preserve">      </w:t>
      </w:r>
      <w:r w:rsidR="001254EE">
        <w:rPr>
          <w:rFonts w:ascii="Times New Roman" w:hAnsi="Times New Roman"/>
          <w:noProof/>
          <w:sz w:val="20"/>
          <w:szCs w:val="20"/>
        </w:rPr>
        <w:t>(Source: A</w:t>
      </w:r>
      <w:r w:rsidR="001254EE" w:rsidRPr="00461050">
        <w:rPr>
          <w:rFonts w:ascii="Times New Roman" w:hAnsi="Times New Roman"/>
          <w:noProof/>
          <w:sz w:val="20"/>
          <w:szCs w:val="20"/>
        </w:rPr>
        <w:t>dapted from Onibokun, 1974; Mohit &amp; Azim, 2012)</w:t>
      </w:r>
    </w:p>
    <w:p w:rsidR="00564B4B" w:rsidRDefault="00564B4B" w:rsidP="00564B4B">
      <w:pPr>
        <w:spacing w:after="0" w:line="240" w:lineRule="auto"/>
        <w:rPr>
          <w:rFonts w:ascii="Times New Roman" w:hAnsi="Times New Roman"/>
          <w:noProof/>
          <w:sz w:val="20"/>
          <w:szCs w:val="20"/>
        </w:rPr>
      </w:pPr>
    </w:p>
    <w:p w:rsidR="00CA0E4F" w:rsidRPr="00461050" w:rsidRDefault="00461050" w:rsidP="00564B4B">
      <w:pPr>
        <w:spacing w:after="0" w:line="240" w:lineRule="auto"/>
        <w:jc w:val="center"/>
        <w:rPr>
          <w:rFonts w:ascii="Times New Roman" w:hAnsi="Times New Roman"/>
          <w:noProof/>
          <w:sz w:val="20"/>
          <w:szCs w:val="20"/>
        </w:rPr>
      </w:pPr>
      <w:r w:rsidRPr="00461050">
        <w:rPr>
          <w:rFonts w:ascii="Times New Roman" w:hAnsi="Times New Roman"/>
          <w:b/>
          <w:noProof/>
          <w:sz w:val="20"/>
          <w:szCs w:val="20"/>
        </w:rPr>
        <w:t>Figure 2.</w:t>
      </w:r>
      <w:r w:rsidR="00CA0E4F" w:rsidRPr="00461050">
        <w:rPr>
          <w:rFonts w:ascii="Times New Roman" w:hAnsi="Times New Roman"/>
          <w:noProof/>
          <w:sz w:val="20"/>
          <w:szCs w:val="20"/>
        </w:rPr>
        <w:t xml:space="preserve"> Framework for the study </w:t>
      </w:r>
    </w:p>
    <w:p w:rsidR="001254EE" w:rsidRDefault="001254EE" w:rsidP="00564B4B">
      <w:pPr>
        <w:spacing w:after="0" w:line="240" w:lineRule="auto"/>
        <w:ind w:firstLine="360"/>
        <w:jc w:val="both"/>
        <w:rPr>
          <w:rFonts w:ascii="Times New Roman" w:hAnsi="Times New Roman"/>
          <w:sz w:val="24"/>
          <w:szCs w:val="24"/>
        </w:rPr>
      </w:pPr>
    </w:p>
    <w:p w:rsidR="008F43A1" w:rsidRDefault="008F43A1" w:rsidP="00564B4B">
      <w:pPr>
        <w:spacing w:after="0" w:line="240" w:lineRule="auto"/>
        <w:ind w:firstLine="720"/>
        <w:jc w:val="both"/>
        <w:rPr>
          <w:rFonts w:ascii="Times New Roman" w:hAnsi="Times New Roman"/>
          <w:noProof/>
          <w:sz w:val="24"/>
          <w:szCs w:val="24"/>
        </w:rPr>
      </w:pPr>
      <w:r w:rsidRPr="005D6187">
        <w:rPr>
          <w:rFonts w:ascii="Times New Roman" w:hAnsi="Times New Roman"/>
          <w:sz w:val="24"/>
          <w:szCs w:val="24"/>
        </w:rPr>
        <w:t>Measuring these components often take the form of specific variables in sub-categories or bundles (</w:t>
      </w:r>
      <w:proofErr w:type="spellStart"/>
      <w:r w:rsidRPr="005D6187">
        <w:rPr>
          <w:rFonts w:ascii="Times New Roman" w:hAnsi="Times New Roman"/>
          <w:sz w:val="24"/>
          <w:szCs w:val="24"/>
        </w:rPr>
        <w:t>Ukoha</w:t>
      </w:r>
      <w:proofErr w:type="spellEnd"/>
      <w:r w:rsidRPr="005D6187">
        <w:rPr>
          <w:rFonts w:ascii="Times New Roman" w:hAnsi="Times New Roman"/>
          <w:sz w:val="24"/>
          <w:szCs w:val="24"/>
        </w:rPr>
        <w:t xml:space="preserve"> &amp; Beamish, 1997). T</w:t>
      </w:r>
      <w:r>
        <w:rPr>
          <w:rFonts w:ascii="Times New Roman" w:hAnsi="Times New Roman"/>
          <w:sz w:val="24"/>
          <w:szCs w:val="24"/>
        </w:rPr>
        <w:t>he t</w:t>
      </w:r>
      <w:r w:rsidRPr="005D6187">
        <w:rPr>
          <w:rFonts w:ascii="Times New Roman" w:hAnsi="Times New Roman"/>
          <w:sz w:val="24"/>
          <w:szCs w:val="24"/>
        </w:rPr>
        <w:t xml:space="preserve">enant subsystem </w:t>
      </w:r>
      <w:r w:rsidR="00F92362">
        <w:rPr>
          <w:rFonts w:ascii="Times New Roman" w:hAnsi="Times New Roman"/>
          <w:sz w:val="24"/>
          <w:szCs w:val="24"/>
        </w:rPr>
        <w:t>comprises</w:t>
      </w:r>
      <w:r>
        <w:rPr>
          <w:rFonts w:ascii="Times New Roman" w:hAnsi="Times New Roman"/>
          <w:sz w:val="24"/>
          <w:szCs w:val="24"/>
        </w:rPr>
        <w:t xml:space="preserve"> </w:t>
      </w:r>
      <w:r w:rsidRPr="005D6187">
        <w:rPr>
          <w:rFonts w:ascii="Times New Roman" w:hAnsi="Times New Roman"/>
          <w:sz w:val="24"/>
          <w:szCs w:val="24"/>
        </w:rPr>
        <w:t xml:space="preserve">personal characteristics of residents commonly </w:t>
      </w:r>
      <w:proofErr w:type="spellStart"/>
      <w:r w:rsidRPr="005D6187">
        <w:rPr>
          <w:rFonts w:ascii="Times New Roman" w:hAnsi="Times New Roman"/>
          <w:sz w:val="24"/>
          <w:szCs w:val="24"/>
        </w:rPr>
        <w:t>operationalised</w:t>
      </w:r>
      <w:proofErr w:type="spellEnd"/>
      <w:r w:rsidRPr="005D6187">
        <w:rPr>
          <w:rFonts w:ascii="Times New Roman" w:hAnsi="Times New Roman"/>
          <w:sz w:val="24"/>
          <w:szCs w:val="24"/>
        </w:rPr>
        <w:t xml:space="preserve"> along </w:t>
      </w:r>
      <w:r>
        <w:rPr>
          <w:rFonts w:ascii="Times New Roman" w:hAnsi="Times New Roman"/>
          <w:sz w:val="24"/>
          <w:szCs w:val="24"/>
        </w:rPr>
        <w:t>demographic</w:t>
      </w:r>
      <w:r w:rsidRPr="005D6187">
        <w:rPr>
          <w:rFonts w:ascii="Times New Roman" w:hAnsi="Times New Roman"/>
          <w:sz w:val="24"/>
          <w:szCs w:val="24"/>
        </w:rPr>
        <w:t xml:space="preserve"> </w:t>
      </w:r>
      <w:r>
        <w:rPr>
          <w:rFonts w:ascii="Times New Roman" w:hAnsi="Times New Roman"/>
          <w:sz w:val="24"/>
          <w:szCs w:val="24"/>
        </w:rPr>
        <w:t xml:space="preserve">and </w:t>
      </w:r>
      <w:r w:rsidRPr="005D6187">
        <w:rPr>
          <w:rFonts w:ascii="Times New Roman" w:hAnsi="Times New Roman"/>
          <w:sz w:val="24"/>
          <w:szCs w:val="24"/>
        </w:rPr>
        <w:t>socioeconomic status (SES) variables</w:t>
      </w:r>
      <w:r>
        <w:rPr>
          <w:rFonts w:ascii="Times New Roman" w:hAnsi="Times New Roman"/>
          <w:sz w:val="24"/>
          <w:szCs w:val="24"/>
        </w:rPr>
        <w:t>. These are</w:t>
      </w:r>
      <w:r w:rsidRPr="005D6187">
        <w:rPr>
          <w:rFonts w:ascii="Times New Roman" w:hAnsi="Times New Roman"/>
          <w:sz w:val="24"/>
          <w:szCs w:val="24"/>
        </w:rPr>
        <w:t xml:space="preserve"> gender, age, marital status, education, length of residency, </w:t>
      </w:r>
      <w:r>
        <w:rPr>
          <w:rFonts w:ascii="Times New Roman" w:hAnsi="Times New Roman"/>
          <w:sz w:val="24"/>
          <w:szCs w:val="24"/>
        </w:rPr>
        <w:t xml:space="preserve">tenure, household size, income and </w:t>
      </w:r>
      <w:r w:rsidRPr="005D6187">
        <w:rPr>
          <w:rFonts w:ascii="Times New Roman" w:hAnsi="Times New Roman"/>
          <w:sz w:val="24"/>
          <w:szCs w:val="24"/>
        </w:rPr>
        <w:t>typology (</w:t>
      </w:r>
      <w:proofErr w:type="spellStart"/>
      <w:r w:rsidRPr="005D6187">
        <w:rPr>
          <w:rFonts w:ascii="Times New Roman" w:hAnsi="Times New Roman"/>
          <w:sz w:val="24"/>
          <w:szCs w:val="24"/>
        </w:rPr>
        <w:t>Ibem</w:t>
      </w:r>
      <w:proofErr w:type="spellEnd"/>
      <w:r w:rsidRPr="005D6187">
        <w:rPr>
          <w:rFonts w:ascii="Times New Roman" w:hAnsi="Times New Roman"/>
          <w:sz w:val="24"/>
          <w:szCs w:val="24"/>
        </w:rPr>
        <w:t xml:space="preserve"> et al., 2018; </w:t>
      </w:r>
      <w:proofErr w:type="spellStart"/>
      <w:r w:rsidRPr="005D6187">
        <w:rPr>
          <w:rFonts w:ascii="Times New Roman" w:hAnsi="Times New Roman"/>
          <w:sz w:val="24"/>
          <w:szCs w:val="24"/>
        </w:rPr>
        <w:t>Makinde</w:t>
      </w:r>
      <w:proofErr w:type="spellEnd"/>
      <w:r w:rsidRPr="005D6187">
        <w:rPr>
          <w:rFonts w:ascii="Times New Roman" w:hAnsi="Times New Roman"/>
          <w:sz w:val="24"/>
          <w:szCs w:val="24"/>
        </w:rPr>
        <w:t>, 2015; Waziri</w:t>
      </w:r>
      <w:r>
        <w:rPr>
          <w:rFonts w:ascii="Times New Roman" w:hAnsi="Times New Roman"/>
          <w:sz w:val="24"/>
          <w:szCs w:val="24"/>
        </w:rPr>
        <w:t xml:space="preserve"> et al.,</w:t>
      </w:r>
      <w:r w:rsidRPr="005D6187">
        <w:rPr>
          <w:rFonts w:ascii="Times New Roman" w:hAnsi="Times New Roman"/>
          <w:sz w:val="24"/>
          <w:szCs w:val="24"/>
        </w:rPr>
        <w:t xml:space="preserve"> 2014). </w:t>
      </w:r>
      <w:r>
        <w:rPr>
          <w:rFonts w:ascii="Times New Roman" w:hAnsi="Times New Roman"/>
          <w:sz w:val="24"/>
          <w:szCs w:val="24"/>
        </w:rPr>
        <w:t>The d</w:t>
      </w:r>
      <w:r w:rsidRPr="005D6187">
        <w:rPr>
          <w:rFonts w:ascii="Times New Roman" w:hAnsi="Times New Roman"/>
          <w:sz w:val="24"/>
          <w:szCs w:val="24"/>
        </w:rPr>
        <w:t xml:space="preserve">welling system is often unbundled as housing features and services. Housing features are assessed using variables such as sizes, number and quality of main functional areas notably bedrooms and sitting </w:t>
      </w:r>
      <w:r w:rsidRPr="005D6187">
        <w:rPr>
          <w:rFonts w:ascii="Times New Roman" w:hAnsi="Times New Roman"/>
          <w:sz w:val="24"/>
          <w:szCs w:val="24"/>
        </w:rPr>
        <w:lastRenderedPageBreak/>
        <w:t>rooms, toilet/bathrooms, kitchens, stores, indoor environmental quality (IEQ) of interior spaces, privacy, appearance of dwelling and building materials</w:t>
      </w:r>
      <w:r w:rsidRPr="005D6187">
        <w:rPr>
          <w:rFonts w:ascii="Times New Roman" w:hAnsi="Times New Roman"/>
          <w:noProof/>
          <w:sz w:val="24"/>
          <w:szCs w:val="24"/>
        </w:rPr>
        <w:t xml:space="preserve"> (Ochepa, 2018; Etminani-Ghasrodashti</w:t>
      </w:r>
      <w:r>
        <w:rPr>
          <w:rFonts w:ascii="Times New Roman" w:hAnsi="Times New Roman"/>
          <w:noProof/>
          <w:sz w:val="24"/>
          <w:szCs w:val="24"/>
        </w:rPr>
        <w:t xml:space="preserve"> et al.,</w:t>
      </w:r>
      <w:r w:rsidRPr="005D6187">
        <w:rPr>
          <w:rFonts w:ascii="Times New Roman" w:hAnsi="Times New Roman"/>
          <w:noProof/>
          <w:sz w:val="24"/>
          <w:szCs w:val="24"/>
        </w:rPr>
        <w:t xml:space="preserve"> 2017; Ibem &amp; Amole, 2012; Jiboye, 2012). Housing services pertain to </w:t>
      </w:r>
      <w:r>
        <w:rPr>
          <w:rFonts w:ascii="Times New Roman" w:hAnsi="Times New Roman"/>
          <w:noProof/>
          <w:sz w:val="24"/>
          <w:szCs w:val="24"/>
        </w:rPr>
        <w:t xml:space="preserve">the </w:t>
      </w:r>
      <w:r w:rsidRPr="005D6187">
        <w:rPr>
          <w:rFonts w:ascii="Times New Roman" w:hAnsi="Times New Roman"/>
          <w:noProof/>
          <w:sz w:val="24"/>
          <w:szCs w:val="24"/>
        </w:rPr>
        <w:t>provision of basic amenities such as water and electricity supply, plumbing</w:t>
      </w:r>
      <w:r>
        <w:rPr>
          <w:rFonts w:ascii="Times New Roman" w:hAnsi="Times New Roman"/>
          <w:noProof/>
          <w:sz w:val="24"/>
          <w:szCs w:val="24"/>
        </w:rPr>
        <w:t>, cleanliness et</w:t>
      </w:r>
      <w:r w:rsidR="001254EE">
        <w:rPr>
          <w:rFonts w:ascii="Times New Roman" w:hAnsi="Times New Roman"/>
          <w:noProof/>
          <w:sz w:val="24"/>
          <w:szCs w:val="24"/>
        </w:rPr>
        <w:t xml:space="preserve"> </w:t>
      </w:r>
      <w:r>
        <w:rPr>
          <w:rFonts w:ascii="Times New Roman" w:hAnsi="Times New Roman"/>
          <w:noProof/>
          <w:sz w:val="24"/>
          <w:szCs w:val="24"/>
        </w:rPr>
        <w:t xml:space="preserve">cetera (Hassan et al., </w:t>
      </w:r>
      <w:r w:rsidRPr="005D6187">
        <w:rPr>
          <w:rFonts w:ascii="Times New Roman" w:hAnsi="Times New Roman"/>
          <w:noProof/>
          <w:sz w:val="24"/>
          <w:szCs w:val="24"/>
        </w:rPr>
        <w:t>2019; Maina</w:t>
      </w:r>
      <w:r>
        <w:rPr>
          <w:rFonts w:ascii="Times New Roman" w:hAnsi="Times New Roman"/>
          <w:noProof/>
          <w:sz w:val="24"/>
          <w:szCs w:val="24"/>
        </w:rPr>
        <w:t xml:space="preserve"> et al.,</w:t>
      </w:r>
      <w:r w:rsidRPr="005D6187">
        <w:rPr>
          <w:rFonts w:ascii="Times New Roman" w:hAnsi="Times New Roman"/>
          <w:noProof/>
          <w:sz w:val="24"/>
          <w:szCs w:val="24"/>
        </w:rPr>
        <w:t xml:space="preserve"> 2018; Jiboye, 2010). </w:t>
      </w:r>
      <w:r>
        <w:rPr>
          <w:rFonts w:ascii="Times New Roman" w:hAnsi="Times New Roman"/>
          <w:noProof/>
          <w:sz w:val="24"/>
          <w:szCs w:val="24"/>
        </w:rPr>
        <w:t>The e</w:t>
      </w:r>
      <w:r w:rsidRPr="005D6187">
        <w:rPr>
          <w:rFonts w:ascii="Times New Roman" w:hAnsi="Times New Roman"/>
          <w:noProof/>
          <w:sz w:val="24"/>
          <w:szCs w:val="24"/>
        </w:rPr>
        <w:t>nvironment subsystem, often split into neighbourhood facilties and social environment (Mohit &amp; Azim, 2012) is measured along several variables such as quality of communal and social interactions, urban infrastructure, proximity to workplace, schools, markets and shopping facilities, recreation and sports, healthcare, school, prices of goods and services, job opportunities, level of crime and anti-social behaviour, relationship with neighbours, quality of comm</w:t>
      </w:r>
      <w:r>
        <w:rPr>
          <w:rFonts w:ascii="Times New Roman" w:hAnsi="Times New Roman"/>
          <w:noProof/>
          <w:sz w:val="24"/>
          <w:szCs w:val="24"/>
        </w:rPr>
        <w:t>unal activities et</w:t>
      </w:r>
      <w:r w:rsidR="001254EE">
        <w:rPr>
          <w:rFonts w:ascii="Times New Roman" w:hAnsi="Times New Roman"/>
          <w:noProof/>
          <w:sz w:val="24"/>
          <w:szCs w:val="24"/>
        </w:rPr>
        <w:t xml:space="preserve"> </w:t>
      </w:r>
      <w:r>
        <w:rPr>
          <w:rFonts w:ascii="Times New Roman" w:hAnsi="Times New Roman"/>
          <w:noProof/>
          <w:sz w:val="24"/>
          <w:szCs w:val="24"/>
        </w:rPr>
        <w:t>cetera (Ibem et al.</w:t>
      </w:r>
      <w:r w:rsidRPr="005D6187">
        <w:rPr>
          <w:rFonts w:ascii="Times New Roman" w:hAnsi="Times New Roman"/>
          <w:noProof/>
          <w:sz w:val="24"/>
          <w:szCs w:val="24"/>
        </w:rPr>
        <w:t>, 2016; Ibem</w:t>
      </w:r>
      <w:r>
        <w:rPr>
          <w:rFonts w:ascii="Times New Roman" w:hAnsi="Times New Roman"/>
          <w:noProof/>
          <w:sz w:val="24"/>
          <w:szCs w:val="24"/>
        </w:rPr>
        <w:t xml:space="preserve"> et al.</w:t>
      </w:r>
      <w:r w:rsidRPr="005D6187">
        <w:rPr>
          <w:rFonts w:ascii="Times New Roman" w:hAnsi="Times New Roman"/>
          <w:noProof/>
          <w:sz w:val="24"/>
          <w:szCs w:val="24"/>
        </w:rPr>
        <w:t xml:space="preserve">, 2015; Abdu &amp; Hashim, 2015). </w:t>
      </w:r>
      <w:r>
        <w:rPr>
          <w:rFonts w:ascii="Times New Roman" w:hAnsi="Times New Roman"/>
          <w:noProof/>
          <w:sz w:val="24"/>
          <w:szCs w:val="24"/>
        </w:rPr>
        <w:t>The m</w:t>
      </w:r>
      <w:r w:rsidRPr="005D6187">
        <w:rPr>
          <w:rFonts w:ascii="Times New Roman" w:hAnsi="Times New Roman"/>
          <w:noProof/>
          <w:sz w:val="24"/>
          <w:szCs w:val="24"/>
        </w:rPr>
        <w:t xml:space="preserve">anagement subsystem </w:t>
      </w:r>
      <w:r>
        <w:rPr>
          <w:rFonts w:ascii="Times New Roman" w:hAnsi="Times New Roman"/>
          <w:noProof/>
          <w:sz w:val="24"/>
          <w:szCs w:val="24"/>
        </w:rPr>
        <w:t xml:space="preserve">is commonly described in terms of </w:t>
      </w:r>
      <w:r w:rsidRPr="005D6187">
        <w:rPr>
          <w:rFonts w:ascii="Times New Roman" w:hAnsi="Times New Roman"/>
          <w:noProof/>
          <w:sz w:val="24"/>
          <w:szCs w:val="24"/>
        </w:rPr>
        <w:t>rent/cost of housing, rules and regulations of residency, facility management (FM), allocation process and sometimes, security</w:t>
      </w:r>
      <w:r>
        <w:rPr>
          <w:rFonts w:ascii="Times New Roman" w:hAnsi="Times New Roman"/>
          <w:noProof/>
          <w:sz w:val="24"/>
          <w:szCs w:val="24"/>
        </w:rPr>
        <w:t xml:space="preserve"> to life and property (Adewale et al., </w:t>
      </w:r>
      <w:r w:rsidRPr="005D6187">
        <w:rPr>
          <w:rFonts w:ascii="Times New Roman" w:hAnsi="Times New Roman"/>
          <w:noProof/>
          <w:sz w:val="24"/>
          <w:szCs w:val="24"/>
        </w:rPr>
        <w:t>2018; Jiboye, 2010; Onibokun, 1974).</w:t>
      </w:r>
    </w:p>
    <w:p w:rsidR="00CA0E4F" w:rsidRDefault="00CA0E4F" w:rsidP="00564B4B">
      <w:pPr>
        <w:spacing w:after="0" w:line="240" w:lineRule="auto"/>
        <w:ind w:firstLine="720"/>
        <w:jc w:val="both"/>
        <w:rPr>
          <w:rFonts w:ascii="Times New Roman" w:hAnsi="Times New Roman"/>
          <w:noProof/>
          <w:sz w:val="24"/>
          <w:szCs w:val="24"/>
        </w:rPr>
      </w:pPr>
      <w:r w:rsidRPr="005D6187">
        <w:rPr>
          <w:rFonts w:ascii="Times New Roman" w:hAnsi="Times New Roman"/>
          <w:noProof/>
          <w:sz w:val="24"/>
          <w:szCs w:val="24"/>
        </w:rPr>
        <w:t>Studies employing Housing Habitability System framework in public housing to assess RS in Nigeria reveal four characteristics. First, most of these studies were conducted in Lagos and parts of Ogun State, with few in Enugu and Abuja, N</w:t>
      </w:r>
      <w:r>
        <w:rPr>
          <w:rFonts w:ascii="Times New Roman" w:hAnsi="Times New Roman"/>
          <w:noProof/>
          <w:sz w:val="24"/>
          <w:szCs w:val="24"/>
        </w:rPr>
        <w:t>igeria’s capital city (Table 1). This presents a</w:t>
      </w:r>
      <w:r w:rsidRPr="005D6187">
        <w:rPr>
          <w:rFonts w:ascii="Times New Roman" w:hAnsi="Times New Roman"/>
          <w:noProof/>
          <w:sz w:val="24"/>
          <w:szCs w:val="24"/>
        </w:rPr>
        <w:t xml:space="preserve"> geographic skew</w:t>
      </w:r>
      <w:r>
        <w:rPr>
          <w:rFonts w:ascii="Times New Roman" w:hAnsi="Times New Roman"/>
          <w:noProof/>
          <w:sz w:val="24"/>
          <w:szCs w:val="24"/>
        </w:rPr>
        <w:t xml:space="preserve"> for RS studies</w:t>
      </w:r>
      <w:r w:rsidRPr="005D6187">
        <w:rPr>
          <w:rFonts w:ascii="Times New Roman" w:hAnsi="Times New Roman"/>
          <w:noProof/>
          <w:sz w:val="24"/>
          <w:szCs w:val="24"/>
        </w:rPr>
        <w:t xml:space="preserve"> in favour of Southern regions. Secondly, findings from subjective user ratings of dwelling, environment and management </w:t>
      </w:r>
      <w:r>
        <w:rPr>
          <w:rFonts w:ascii="Times New Roman" w:hAnsi="Times New Roman"/>
          <w:noProof/>
          <w:sz w:val="24"/>
          <w:szCs w:val="24"/>
        </w:rPr>
        <w:t>variable</w:t>
      </w:r>
      <w:r w:rsidRPr="005D6187">
        <w:rPr>
          <w:rFonts w:ascii="Times New Roman" w:hAnsi="Times New Roman"/>
          <w:noProof/>
          <w:sz w:val="24"/>
          <w:szCs w:val="24"/>
        </w:rPr>
        <w:t xml:space="preserve">s generally result from two analytical approaches-descritive statistics and extraction of factors or components, or a combination of both. Thirdly, results obtained by descriptive statistics generally portray dwellings as </w:t>
      </w:r>
      <w:r>
        <w:rPr>
          <w:rFonts w:ascii="Times New Roman" w:hAnsi="Times New Roman"/>
          <w:noProof/>
          <w:sz w:val="24"/>
          <w:szCs w:val="24"/>
        </w:rPr>
        <w:t xml:space="preserve">the </w:t>
      </w:r>
      <w:r w:rsidRPr="005D6187">
        <w:rPr>
          <w:rFonts w:ascii="Times New Roman" w:hAnsi="Times New Roman"/>
          <w:noProof/>
          <w:sz w:val="24"/>
          <w:szCs w:val="24"/>
        </w:rPr>
        <w:t>most satisfactory</w:t>
      </w:r>
      <w:r w:rsidR="00AF1E18">
        <w:rPr>
          <w:rFonts w:ascii="Times New Roman" w:hAnsi="Times New Roman"/>
          <w:noProof/>
          <w:sz w:val="24"/>
          <w:szCs w:val="24"/>
        </w:rPr>
        <w:t xml:space="preserve"> subsystem</w:t>
      </w:r>
      <w:r w:rsidRPr="005D6187">
        <w:rPr>
          <w:rFonts w:ascii="Times New Roman" w:hAnsi="Times New Roman"/>
          <w:noProof/>
          <w:sz w:val="24"/>
          <w:szCs w:val="24"/>
        </w:rPr>
        <w:t xml:space="preserve">, followed </w:t>
      </w:r>
      <w:r w:rsidR="00F92362">
        <w:rPr>
          <w:rFonts w:ascii="Times New Roman" w:hAnsi="Times New Roman"/>
          <w:noProof/>
          <w:sz w:val="24"/>
          <w:szCs w:val="24"/>
        </w:rPr>
        <w:t xml:space="preserve">by neighbourhood environments. </w:t>
      </w:r>
      <w:r w:rsidRPr="005D6187">
        <w:rPr>
          <w:rFonts w:ascii="Times New Roman" w:hAnsi="Times New Roman"/>
          <w:noProof/>
          <w:sz w:val="24"/>
          <w:szCs w:val="24"/>
        </w:rPr>
        <w:t xml:space="preserve">Some studies however report dissatisfaction with dwelling components (Ukoha &amp; Beamish, 1997; Muoghalu, 1984) as well as neighbourhood facilities (Ibem et al., 2018; Ibem &amp; Azuh, 2014; Ibem &amp; Amole, 2012). Management subsystems are most often dissatisfactory (Table 1). </w:t>
      </w:r>
      <w:r>
        <w:rPr>
          <w:rFonts w:ascii="Times New Roman" w:hAnsi="Times New Roman"/>
          <w:noProof/>
          <w:sz w:val="24"/>
          <w:szCs w:val="24"/>
        </w:rPr>
        <w:t xml:space="preserve">Overall, it is common to find that RS follows the dwelling-neighbourhood-management sequence from user ratings in the literature reviewed. </w:t>
      </w:r>
      <w:r w:rsidRPr="005D6187">
        <w:rPr>
          <w:rFonts w:ascii="Times New Roman" w:hAnsi="Times New Roman"/>
          <w:noProof/>
          <w:sz w:val="24"/>
          <w:szCs w:val="24"/>
        </w:rPr>
        <w:t>Fourthly, results from factor analyses usually present components comprising several aspects of all three subsytems, depending on conditions of housing environments assessed by residents</w:t>
      </w:r>
      <w:r>
        <w:rPr>
          <w:rFonts w:ascii="Times New Roman" w:hAnsi="Times New Roman"/>
          <w:noProof/>
          <w:sz w:val="24"/>
          <w:szCs w:val="24"/>
        </w:rPr>
        <w:t xml:space="preserve"> obtained from descriptive statistics</w:t>
      </w:r>
      <w:r w:rsidRPr="005D6187">
        <w:rPr>
          <w:rFonts w:ascii="Times New Roman" w:hAnsi="Times New Roman"/>
          <w:noProof/>
          <w:sz w:val="24"/>
          <w:szCs w:val="24"/>
        </w:rPr>
        <w:t xml:space="preserve">. Tenant subsytem variables are usually assessed objectively, often emerging as predictors when included in regression models. </w:t>
      </w:r>
    </w:p>
    <w:p w:rsidR="00B97F9C" w:rsidRPr="005D6187" w:rsidRDefault="00B97F9C" w:rsidP="00564B4B">
      <w:pPr>
        <w:spacing w:after="0" w:line="240" w:lineRule="auto"/>
        <w:ind w:firstLine="720"/>
        <w:jc w:val="both"/>
        <w:rPr>
          <w:rFonts w:ascii="Times New Roman" w:hAnsi="Times New Roman"/>
          <w:sz w:val="24"/>
          <w:szCs w:val="24"/>
        </w:rPr>
      </w:pPr>
    </w:p>
    <w:p w:rsidR="00CA0E4F" w:rsidRDefault="00C31A96" w:rsidP="00564B4B">
      <w:pPr>
        <w:spacing w:after="0" w:line="240" w:lineRule="auto"/>
        <w:jc w:val="center"/>
        <w:rPr>
          <w:rFonts w:ascii="Times New Roman" w:hAnsi="Times New Roman"/>
          <w:noProof/>
          <w:sz w:val="20"/>
          <w:szCs w:val="20"/>
        </w:rPr>
      </w:pPr>
      <w:r w:rsidRPr="00C31A96">
        <w:rPr>
          <w:rFonts w:ascii="Times New Roman" w:hAnsi="Times New Roman"/>
          <w:b/>
          <w:sz w:val="20"/>
          <w:szCs w:val="20"/>
        </w:rPr>
        <w:t>Table 1.</w:t>
      </w:r>
      <w:r w:rsidR="00CA0E4F" w:rsidRPr="00C31A96">
        <w:rPr>
          <w:rFonts w:ascii="Times New Roman" w:hAnsi="Times New Roman"/>
          <w:sz w:val="20"/>
          <w:szCs w:val="20"/>
        </w:rPr>
        <w:t xml:space="preserve"> RS studies on public housing in Nigeria</w:t>
      </w:r>
      <w:r w:rsidR="00CA0E4F" w:rsidRPr="00C31A96">
        <w:rPr>
          <w:rFonts w:ascii="Times New Roman" w:hAnsi="Times New Roman"/>
          <w:noProof/>
          <w:sz w:val="20"/>
          <w:szCs w:val="20"/>
        </w:rPr>
        <w:t xml:space="preserve"> based on Housing Habitability framework</w:t>
      </w:r>
      <w:r w:rsidR="00564B4B">
        <w:rPr>
          <w:rFonts w:ascii="Times New Roman" w:hAnsi="Times New Roman"/>
          <w:noProof/>
          <w:sz w:val="20"/>
          <w:szCs w:val="20"/>
        </w:rPr>
        <w:t>.</w:t>
      </w:r>
    </w:p>
    <w:p w:rsidR="00B97F9C" w:rsidRPr="00C31A96" w:rsidRDefault="00B97F9C" w:rsidP="00564B4B">
      <w:pPr>
        <w:spacing w:after="0" w:line="240" w:lineRule="auto"/>
        <w:jc w:val="center"/>
        <w:rPr>
          <w:rFonts w:ascii="Times New Roman" w:hAnsi="Times New Roman"/>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1537"/>
        <w:gridCol w:w="2406"/>
        <w:gridCol w:w="5417"/>
      </w:tblGrid>
      <w:tr w:rsidR="00220EF7" w:rsidRPr="00B97F9C" w:rsidTr="00845404">
        <w:tc>
          <w:tcPr>
            <w:tcW w:w="1548" w:type="dxa"/>
            <w:tcBorders>
              <w:top w:val="single" w:sz="4" w:space="0" w:color="auto"/>
              <w:bottom w:val="single" w:sz="4" w:space="0" w:color="auto"/>
            </w:tcBorders>
            <w:shd w:val="clear" w:color="auto" w:fill="BDD6EE"/>
          </w:tcPr>
          <w:p w:rsidR="00CA0E4F" w:rsidRPr="00B97F9C" w:rsidRDefault="00CA0E4F" w:rsidP="00564B4B">
            <w:pPr>
              <w:spacing w:after="0" w:line="240" w:lineRule="auto"/>
              <w:rPr>
                <w:rFonts w:ascii="Times New Roman" w:hAnsi="Times New Roman"/>
                <w:b/>
                <w:sz w:val="20"/>
                <w:szCs w:val="20"/>
              </w:rPr>
            </w:pPr>
            <w:r w:rsidRPr="00B97F9C">
              <w:rPr>
                <w:rFonts w:ascii="Times New Roman" w:hAnsi="Times New Roman"/>
                <w:b/>
                <w:sz w:val="20"/>
                <w:szCs w:val="20"/>
              </w:rPr>
              <w:t xml:space="preserve">Author(s) </w:t>
            </w:r>
          </w:p>
        </w:tc>
        <w:tc>
          <w:tcPr>
            <w:tcW w:w="2430" w:type="dxa"/>
            <w:tcBorders>
              <w:top w:val="single" w:sz="4" w:space="0" w:color="auto"/>
              <w:bottom w:val="single" w:sz="4" w:space="0" w:color="auto"/>
            </w:tcBorders>
            <w:shd w:val="clear" w:color="auto" w:fill="BDD6EE"/>
          </w:tcPr>
          <w:p w:rsidR="00CA0E4F" w:rsidRPr="00B97F9C" w:rsidRDefault="00CA0E4F" w:rsidP="00564B4B">
            <w:pPr>
              <w:spacing w:after="0" w:line="240" w:lineRule="auto"/>
              <w:rPr>
                <w:rFonts w:ascii="Times New Roman" w:hAnsi="Times New Roman"/>
                <w:b/>
                <w:sz w:val="20"/>
                <w:szCs w:val="20"/>
              </w:rPr>
            </w:pPr>
            <w:r w:rsidRPr="00B97F9C">
              <w:rPr>
                <w:rFonts w:ascii="Times New Roman" w:hAnsi="Times New Roman"/>
                <w:b/>
                <w:sz w:val="20"/>
                <w:szCs w:val="20"/>
              </w:rPr>
              <w:t>Aim</w:t>
            </w:r>
          </w:p>
        </w:tc>
        <w:tc>
          <w:tcPr>
            <w:tcW w:w="5490" w:type="dxa"/>
            <w:tcBorders>
              <w:top w:val="single" w:sz="4" w:space="0" w:color="auto"/>
              <w:bottom w:val="single" w:sz="4" w:space="0" w:color="auto"/>
            </w:tcBorders>
            <w:shd w:val="clear" w:color="auto" w:fill="BDD6EE"/>
          </w:tcPr>
          <w:p w:rsidR="00CA0E4F" w:rsidRPr="00B97F9C" w:rsidRDefault="00CA0E4F" w:rsidP="00564B4B">
            <w:pPr>
              <w:spacing w:after="0" w:line="240" w:lineRule="auto"/>
              <w:rPr>
                <w:rFonts w:ascii="Times New Roman" w:hAnsi="Times New Roman"/>
                <w:b/>
                <w:sz w:val="20"/>
                <w:szCs w:val="20"/>
              </w:rPr>
            </w:pPr>
            <w:r w:rsidRPr="00B97F9C">
              <w:rPr>
                <w:rFonts w:ascii="Times New Roman" w:hAnsi="Times New Roman"/>
                <w:b/>
                <w:sz w:val="20"/>
                <w:szCs w:val="20"/>
              </w:rPr>
              <w:t>Factors/components extracted, main findings</w:t>
            </w:r>
          </w:p>
        </w:tc>
      </w:tr>
      <w:tr w:rsidR="00CA0E4F" w:rsidRPr="00B97F9C" w:rsidTr="00845404">
        <w:tc>
          <w:tcPr>
            <w:tcW w:w="1548" w:type="dxa"/>
            <w:tcBorders>
              <w:top w:val="single" w:sz="4" w:space="0" w:color="auto"/>
            </w:tcBorders>
            <w:shd w:val="clear" w:color="auto" w:fill="auto"/>
          </w:tcPr>
          <w:p w:rsidR="00CA0E4F" w:rsidRPr="00B97F9C" w:rsidRDefault="00CA0E4F" w:rsidP="00564B4B">
            <w:pPr>
              <w:spacing w:after="0" w:line="240" w:lineRule="auto"/>
              <w:rPr>
                <w:rFonts w:ascii="Times New Roman" w:hAnsi="Times New Roman"/>
                <w:noProof/>
                <w:sz w:val="20"/>
                <w:szCs w:val="20"/>
              </w:rPr>
            </w:pPr>
            <w:r w:rsidRPr="00B97F9C">
              <w:rPr>
                <w:rFonts w:ascii="Times New Roman" w:hAnsi="Times New Roman"/>
                <w:noProof/>
                <w:sz w:val="20"/>
                <w:szCs w:val="20"/>
              </w:rPr>
              <w:t>Ibem et al. (2018)</w:t>
            </w:r>
          </w:p>
          <w:p w:rsidR="00CA0E4F" w:rsidRPr="00B97F9C" w:rsidRDefault="00CA0E4F" w:rsidP="00564B4B">
            <w:pPr>
              <w:spacing w:after="0" w:line="240" w:lineRule="auto"/>
              <w:rPr>
                <w:rFonts w:ascii="Times New Roman" w:hAnsi="Times New Roman"/>
                <w:sz w:val="20"/>
                <w:szCs w:val="20"/>
              </w:rPr>
            </w:pPr>
          </w:p>
        </w:tc>
        <w:tc>
          <w:tcPr>
            <w:tcW w:w="2430" w:type="dxa"/>
            <w:tcBorders>
              <w:top w:val="single" w:sz="4" w:space="0" w:color="auto"/>
            </w:tcBorders>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Investigate RS and factors influencing it among low income earners in urban areas of Ogun State</w:t>
            </w:r>
          </w:p>
        </w:tc>
        <w:tc>
          <w:tcPr>
            <w:tcW w:w="5490" w:type="dxa"/>
            <w:tcBorders>
              <w:top w:val="single" w:sz="4" w:space="0" w:color="auto"/>
            </w:tcBorders>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 xml:space="preserve">Housing typology, access to social amenities, </w:t>
            </w:r>
            <w:proofErr w:type="spellStart"/>
            <w:r w:rsidRPr="00B97F9C">
              <w:rPr>
                <w:rFonts w:ascii="Times New Roman" w:hAnsi="Times New Roman"/>
                <w:sz w:val="20"/>
                <w:szCs w:val="20"/>
              </w:rPr>
              <w:t>Neighbourhood</w:t>
            </w:r>
            <w:proofErr w:type="spellEnd"/>
            <w:r w:rsidRPr="00B97F9C">
              <w:rPr>
                <w:rFonts w:ascii="Times New Roman" w:hAnsi="Times New Roman"/>
                <w:sz w:val="20"/>
                <w:szCs w:val="20"/>
              </w:rPr>
              <w:t xml:space="preserve"> facilities; Sizes of main activity areas, Privacy, access to market; Management of estates; Security; Economic environment. Satisfactory: Design, Social amenities and management </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Dissatisfactory: Economical environment</w:t>
            </w:r>
          </w:p>
        </w:tc>
      </w:tr>
      <w:tr w:rsidR="00CA0E4F" w:rsidRPr="00B97F9C" w:rsidTr="00845404">
        <w:tc>
          <w:tcPr>
            <w:tcW w:w="1548" w:type="dxa"/>
            <w:shd w:val="clear" w:color="auto" w:fill="auto"/>
          </w:tcPr>
          <w:p w:rsidR="00CA0E4F" w:rsidRPr="00B97F9C" w:rsidRDefault="00CA0E4F" w:rsidP="00564B4B">
            <w:pPr>
              <w:spacing w:after="0" w:line="240" w:lineRule="auto"/>
              <w:rPr>
                <w:rFonts w:ascii="Times New Roman" w:hAnsi="Times New Roman"/>
                <w:noProof/>
                <w:sz w:val="20"/>
                <w:szCs w:val="20"/>
              </w:rPr>
            </w:pPr>
            <w:r w:rsidRPr="00B97F9C">
              <w:rPr>
                <w:rFonts w:ascii="Times New Roman" w:hAnsi="Times New Roman"/>
                <w:noProof/>
                <w:sz w:val="20"/>
                <w:szCs w:val="20"/>
              </w:rPr>
              <w:t>Okoye &amp; Chigbu (2017)</w:t>
            </w:r>
          </w:p>
        </w:tc>
        <w:tc>
          <w:tcPr>
            <w:tcW w:w="243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Examine factors influencing tenants’ satisfaction with dwelling units in Enugu</w:t>
            </w:r>
          </w:p>
        </w:tc>
        <w:tc>
          <w:tcPr>
            <w:tcW w:w="549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Proper estate management; Proximity to facilities; Appearance of buildings; Availability of facilities; Number of rooms in a housing unit</w:t>
            </w:r>
          </w:p>
        </w:tc>
      </w:tr>
      <w:tr w:rsidR="00CA0E4F" w:rsidRPr="00B97F9C" w:rsidTr="00845404">
        <w:tc>
          <w:tcPr>
            <w:tcW w:w="1548" w:type="dxa"/>
            <w:shd w:val="clear" w:color="auto" w:fill="auto"/>
          </w:tcPr>
          <w:p w:rsidR="00CA0E4F" w:rsidRPr="00B97F9C" w:rsidRDefault="00CA0E4F" w:rsidP="00564B4B">
            <w:pPr>
              <w:spacing w:after="0" w:line="240" w:lineRule="auto"/>
              <w:rPr>
                <w:rFonts w:ascii="Times New Roman" w:hAnsi="Times New Roman"/>
                <w:noProof/>
                <w:sz w:val="20"/>
                <w:szCs w:val="20"/>
              </w:rPr>
            </w:pPr>
            <w:r w:rsidRPr="00B97F9C">
              <w:rPr>
                <w:rFonts w:ascii="Times New Roman" w:hAnsi="Times New Roman"/>
                <w:noProof/>
                <w:sz w:val="20"/>
                <w:szCs w:val="20"/>
              </w:rPr>
              <w:t>Ibem</w:t>
            </w:r>
            <w:r w:rsidR="0036371D" w:rsidRPr="00B97F9C">
              <w:rPr>
                <w:rFonts w:ascii="Times New Roman" w:hAnsi="Times New Roman"/>
                <w:noProof/>
                <w:sz w:val="20"/>
                <w:szCs w:val="20"/>
              </w:rPr>
              <w:t xml:space="preserve"> et al.</w:t>
            </w:r>
            <w:r w:rsidRPr="00B97F9C">
              <w:rPr>
                <w:rFonts w:ascii="Times New Roman" w:hAnsi="Times New Roman"/>
                <w:noProof/>
                <w:sz w:val="20"/>
                <w:szCs w:val="20"/>
              </w:rPr>
              <w:t xml:space="preserve"> (2015)</w:t>
            </w:r>
          </w:p>
          <w:p w:rsidR="00CA0E4F" w:rsidRPr="00B97F9C" w:rsidRDefault="00CA0E4F" w:rsidP="00564B4B">
            <w:pPr>
              <w:spacing w:after="0" w:line="240" w:lineRule="auto"/>
              <w:rPr>
                <w:rFonts w:ascii="Times New Roman" w:hAnsi="Times New Roman"/>
                <w:sz w:val="20"/>
                <w:szCs w:val="20"/>
              </w:rPr>
            </w:pPr>
          </w:p>
        </w:tc>
        <w:tc>
          <w:tcPr>
            <w:tcW w:w="243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Investigate similarities and differences in the way residents understand housing adequacy and RS</w:t>
            </w:r>
          </w:p>
        </w:tc>
        <w:tc>
          <w:tcPr>
            <w:tcW w:w="549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 xml:space="preserve">Housing adequacy: Ambient condition of interiors, adequacy of security, utilities, </w:t>
            </w:r>
            <w:proofErr w:type="spellStart"/>
            <w:r w:rsidRPr="00B97F9C">
              <w:rPr>
                <w:rFonts w:ascii="Times New Roman" w:hAnsi="Times New Roman"/>
                <w:sz w:val="20"/>
                <w:szCs w:val="20"/>
              </w:rPr>
              <w:t>neighbourhood</w:t>
            </w:r>
            <w:proofErr w:type="spellEnd"/>
            <w:r w:rsidRPr="00B97F9C">
              <w:rPr>
                <w:rFonts w:ascii="Times New Roman" w:hAnsi="Times New Roman"/>
                <w:sz w:val="20"/>
                <w:szCs w:val="20"/>
              </w:rPr>
              <w:t xml:space="preserve"> facilities; Social infrastructure; Sizes of sleeping areas</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RS: Physical, Social and Economic environment; Size, type, location, appearance and privacy; Security</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Most adequate: Privacy, Sizes of bedrooms</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Least adequate: Recreational/sporting facilities</w:t>
            </w:r>
          </w:p>
        </w:tc>
      </w:tr>
      <w:tr w:rsidR="00CA0E4F" w:rsidRPr="00B97F9C" w:rsidTr="00845404">
        <w:tc>
          <w:tcPr>
            <w:tcW w:w="1548" w:type="dxa"/>
            <w:shd w:val="clear" w:color="auto" w:fill="auto"/>
          </w:tcPr>
          <w:p w:rsidR="00CA0E4F" w:rsidRPr="00B97F9C" w:rsidRDefault="00CA0E4F" w:rsidP="00564B4B">
            <w:pPr>
              <w:spacing w:after="0" w:line="240" w:lineRule="auto"/>
              <w:rPr>
                <w:rFonts w:ascii="Times New Roman" w:hAnsi="Times New Roman"/>
                <w:noProof/>
                <w:sz w:val="20"/>
                <w:szCs w:val="20"/>
              </w:rPr>
            </w:pPr>
            <w:r w:rsidRPr="00B97F9C">
              <w:rPr>
                <w:rFonts w:ascii="Times New Roman" w:hAnsi="Times New Roman"/>
                <w:noProof/>
                <w:sz w:val="20"/>
                <w:szCs w:val="20"/>
              </w:rPr>
              <w:lastRenderedPageBreak/>
              <w:t>Ibem &amp; Azuh (2014)</w:t>
            </w:r>
          </w:p>
          <w:p w:rsidR="00CA0E4F" w:rsidRPr="00B97F9C" w:rsidRDefault="00CA0E4F" w:rsidP="00564B4B">
            <w:pPr>
              <w:spacing w:after="0" w:line="240" w:lineRule="auto"/>
              <w:rPr>
                <w:rFonts w:ascii="Times New Roman" w:hAnsi="Times New Roman"/>
                <w:sz w:val="20"/>
                <w:szCs w:val="20"/>
              </w:rPr>
            </w:pPr>
          </w:p>
        </w:tc>
        <w:tc>
          <w:tcPr>
            <w:tcW w:w="243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Examine housing satisfaction among women in newly constructed schemes in urban areas of Ogun State</w:t>
            </w:r>
          </w:p>
        </w:tc>
        <w:tc>
          <w:tcPr>
            <w:tcW w:w="549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Management; Location of residence; Size of residence; Security of residence; Lighting/ventilation of living spaces; Aesthetics of residence; Social environment</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Most satisfactory: Privacy, Sizes of main living areas</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Least satisfactory: Proximity to social facilities</w:t>
            </w:r>
          </w:p>
        </w:tc>
      </w:tr>
      <w:tr w:rsidR="00CA0E4F" w:rsidRPr="00B97F9C" w:rsidTr="00845404">
        <w:tc>
          <w:tcPr>
            <w:tcW w:w="1548" w:type="dxa"/>
            <w:shd w:val="clear" w:color="auto" w:fill="auto"/>
          </w:tcPr>
          <w:p w:rsidR="00CA0E4F" w:rsidRPr="00B97F9C" w:rsidRDefault="00CA0E4F" w:rsidP="00564B4B">
            <w:pPr>
              <w:spacing w:after="0" w:line="240" w:lineRule="auto"/>
              <w:rPr>
                <w:rFonts w:ascii="Times New Roman" w:hAnsi="Times New Roman"/>
                <w:noProof/>
                <w:sz w:val="20"/>
                <w:szCs w:val="20"/>
              </w:rPr>
            </w:pPr>
            <w:r w:rsidRPr="00B97F9C">
              <w:rPr>
                <w:rFonts w:ascii="Times New Roman" w:hAnsi="Times New Roman"/>
                <w:noProof/>
                <w:sz w:val="20"/>
                <w:szCs w:val="20"/>
              </w:rPr>
              <w:t>Ibem &amp; Aduwo (2013)</w:t>
            </w:r>
          </w:p>
          <w:p w:rsidR="00CA0E4F" w:rsidRPr="00B97F9C" w:rsidRDefault="00CA0E4F" w:rsidP="00564B4B">
            <w:pPr>
              <w:spacing w:after="0" w:line="240" w:lineRule="auto"/>
              <w:rPr>
                <w:rFonts w:ascii="Times New Roman" w:hAnsi="Times New Roman"/>
                <w:sz w:val="20"/>
                <w:szCs w:val="20"/>
              </w:rPr>
            </w:pPr>
          </w:p>
        </w:tc>
        <w:tc>
          <w:tcPr>
            <w:tcW w:w="243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Examine RS in via Turnkey, PPP, Core and Shell strategies in Ogun State</w:t>
            </w:r>
          </w:p>
        </w:tc>
        <w:tc>
          <w:tcPr>
            <w:tcW w:w="5490" w:type="dxa"/>
            <w:shd w:val="clear" w:color="auto" w:fill="auto"/>
          </w:tcPr>
          <w:p w:rsidR="00CA0E4F" w:rsidRPr="00B97F9C" w:rsidRDefault="00CA0E4F" w:rsidP="00564B4B">
            <w:pPr>
              <w:spacing w:after="0" w:line="240" w:lineRule="auto"/>
              <w:rPr>
                <w:rFonts w:ascii="Times New Roman" w:hAnsi="Times New Roman"/>
                <w:sz w:val="20"/>
                <w:szCs w:val="20"/>
              </w:rPr>
            </w:pPr>
            <w:proofErr w:type="spellStart"/>
            <w:r w:rsidRPr="00B97F9C">
              <w:rPr>
                <w:rFonts w:ascii="Times New Roman" w:hAnsi="Times New Roman"/>
                <w:sz w:val="20"/>
                <w:szCs w:val="20"/>
              </w:rPr>
              <w:t>Neighbourhood</w:t>
            </w:r>
            <w:proofErr w:type="spellEnd"/>
            <w:r w:rsidRPr="00B97F9C">
              <w:rPr>
                <w:rFonts w:ascii="Times New Roman" w:hAnsi="Times New Roman"/>
                <w:sz w:val="20"/>
                <w:szCs w:val="20"/>
              </w:rPr>
              <w:t xml:space="preserve"> facilities; Management of estates; Size of housing unit; Type and location of housing unit in estate; Housing services; Housing characteristics; Social environment</w:t>
            </w:r>
          </w:p>
        </w:tc>
      </w:tr>
      <w:tr w:rsidR="00CA0E4F" w:rsidRPr="00B97F9C" w:rsidTr="00845404">
        <w:tc>
          <w:tcPr>
            <w:tcW w:w="1548"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noProof/>
                <w:sz w:val="20"/>
                <w:szCs w:val="20"/>
              </w:rPr>
              <w:t>Ibem &amp; Amole (2012)</w:t>
            </w:r>
          </w:p>
        </w:tc>
        <w:tc>
          <w:tcPr>
            <w:tcW w:w="243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Evaluate RS of OGD Workers’ Housing Estate, Ogun State</w:t>
            </w:r>
          </w:p>
        </w:tc>
        <w:tc>
          <w:tcPr>
            <w:tcW w:w="549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 xml:space="preserve">Light, ventilation  and sizes of housing units; </w:t>
            </w:r>
            <w:proofErr w:type="spellStart"/>
            <w:r w:rsidRPr="00B97F9C">
              <w:rPr>
                <w:rFonts w:ascii="Times New Roman" w:hAnsi="Times New Roman"/>
                <w:sz w:val="20"/>
                <w:szCs w:val="20"/>
              </w:rPr>
              <w:t>Neighbourhood</w:t>
            </w:r>
            <w:proofErr w:type="spellEnd"/>
            <w:r w:rsidRPr="00B97F9C">
              <w:rPr>
                <w:rFonts w:ascii="Times New Roman" w:hAnsi="Times New Roman"/>
                <w:sz w:val="20"/>
                <w:szCs w:val="20"/>
              </w:rPr>
              <w:t xml:space="preserve"> facilities; Management; Safety and security; Housing services; Privacy and thermal comfort</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Most satisfactory: Privacy</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Least satisfactory: Proximity to shopping facilities</w:t>
            </w:r>
          </w:p>
        </w:tc>
      </w:tr>
      <w:tr w:rsidR="00CA0E4F" w:rsidRPr="00B97F9C" w:rsidTr="00845404">
        <w:tc>
          <w:tcPr>
            <w:tcW w:w="1548"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noProof/>
                <w:sz w:val="20"/>
                <w:szCs w:val="20"/>
              </w:rPr>
              <w:t xml:space="preserve">Makinde (2015) </w:t>
            </w:r>
          </w:p>
        </w:tc>
        <w:tc>
          <w:tcPr>
            <w:tcW w:w="243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 xml:space="preserve">Appraise influence of socio-cultural experiences on RS in </w:t>
            </w:r>
            <w:proofErr w:type="spellStart"/>
            <w:r w:rsidRPr="00B97F9C">
              <w:rPr>
                <w:rFonts w:ascii="Times New Roman" w:hAnsi="Times New Roman"/>
                <w:sz w:val="20"/>
                <w:szCs w:val="20"/>
              </w:rPr>
              <w:t>Ikorodu</w:t>
            </w:r>
            <w:proofErr w:type="spellEnd"/>
            <w:r w:rsidRPr="00B97F9C">
              <w:rPr>
                <w:rFonts w:ascii="Times New Roman" w:hAnsi="Times New Roman"/>
                <w:sz w:val="20"/>
                <w:szCs w:val="20"/>
              </w:rPr>
              <w:t xml:space="preserve"> low cost housing estate in Lagos</w:t>
            </w:r>
          </w:p>
        </w:tc>
        <w:tc>
          <w:tcPr>
            <w:tcW w:w="549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Satisfactory: Housing components (number of rooms, ceiling height, privacy) and security</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Dissatisfactory: Bedroom locations, parking and maintenance</w:t>
            </w:r>
          </w:p>
        </w:tc>
      </w:tr>
      <w:tr w:rsidR="00CA0E4F" w:rsidRPr="00B97F9C" w:rsidTr="00845404">
        <w:tc>
          <w:tcPr>
            <w:tcW w:w="1548"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noProof/>
                <w:sz w:val="20"/>
                <w:szCs w:val="20"/>
              </w:rPr>
              <w:t>Jiboye (2014)</w:t>
            </w:r>
          </w:p>
        </w:tc>
        <w:tc>
          <w:tcPr>
            <w:tcW w:w="243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Identify relevant attributes of tenants which contribute to improvement and provision of adequate and satisfactory dwellings</w:t>
            </w:r>
          </w:p>
        </w:tc>
        <w:tc>
          <w:tcPr>
            <w:tcW w:w="549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Satisfactory: Housing/</w:t>
            </w:r>
            <w:proofErr w:type="spellStart"/>
            <w:r w:rsidRPr="00B97F9C">
              <w:rPr>
                <w:rFonts w:ascii="Times New Roman" w:hAnsi="Times New Roman"/>
                <w:sz w:val="20"/>
                <w:szCs w:val="20"/>
              </w:rPr>
              <w:t>neighbourhood</w:t>
            </w:r>
            <w:proofErr w:type="spellEnd"/>
            <w:r w:rsidRPr="00B97F9C">
              <w:rPr>
                <w:rFonts w:ascii="Times New Roman" w:hAnsi="Times New Roman"/>
                <w:sz w:val="20"/>
                <w:szCs w:val="20"/>
              </w:rPr>
              <w:t xml:space="preserve"> environment, dwelling</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Dissatisfactory: Management components</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Age, Education, Income, Marital status, Occupation and Household size correlate with RS</w:t>
            </w:r>
          </w:p>
        </w:tc>
      </w:tr>
      <w:tr w:rsidR="00CA0E4F" w:rsidRPr="00B97F9C" w:rsidTr="00845404">
        <w:tc>
          <w:tcPr>
            <w:tcW w:w="1548" w:type="dxa"/>
            <w:shd w:val="clear" w:color="auto" w:fill="auto"/>
          </w:tcPr>
          <w:p w:rsidR="00CA0E4F" w:rsidRPr="00B97F9C" w:rsidRDefault="00CA0E4F" w:rsidP="00564B4B">
            <w:pPr>
              <w:spacing w:after="0" w:line="240" w:lineRule="auto"/>
              <w:rPr>
                <w:rFonts w:ascii="Times New Roman" w:hAnsi="Times New Roman"/>
                <w:noProof/>
                <w:sz w:val="20"/>
                <w:szCs w:val="20"/>
              </w:rPr>
            </w:pPr>
            <w:r w:rsidRPr="00B97F9C">
              <w:rPr>
                <w:rFonts w:ascii="Times New Roman" w:hAnsi="Times New Roman"/>
                <w:noProof/>
                <w:sz w:val="20"/>
                <w:szCs w:val="20"/>
              </w:rPr>
              <w:t>Jiboye (2010)</w:t>
            </w:r>
          </w:p>
        </w:tc>
        <w:tc>
          <w:tcPr>
            <w:tcW w:w="243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Identify and examine interrelated factors which influence tenants’ satisfaction with their dwellings</w:t>
            </w:r>
          </w:p>
        </w:tc>
        <w:tc>
          <w:tcPr>
            <w:tcW w:w="549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Satisfactory: Dwelling and environment</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Dissatisfactory: Management</w:t>
            </w:r>
          </w:p>
        </w:tc>
      </w:tr>
      <w:tr w:rsidR="00CA0E4F" w:rsidRPr="00B97F9C" w:rsidTr="00845404">
        <w:tc>
          <w:tcPr>
            <w:tcW w:w="1548" w:type="dxa"/>
            <w:shd w:val="clear" w:color="auto" w:fill="auto"/>
          </w:tcPr>
          <w:p w:rsidR="00CA0E4F" w:rsidRPr="00B97F9C" w:rsidRDefault="00CA0E4F" w:rsidP="00564B4B">
            <w:pPr>
              <w:spacing w:after="0" w:line="240" w:lineRule="auto"/>
              <w:rPr>
                <w:rFonts w:ascii="Times New Roman" w:hAnsi="Times New Roman"/>
                <w:noProof/>
                <w:sz w:val="20"/>
                <w:szCs w:val="20"/>
              </w:rPr>
            </w:pPr>
            <w:r w:rsidRPr="00B97F9C">
              <w:rPr>
                <w:rFonts w:ascii="Times New Roman" w:hAnsi="Times New Roman"/>
                <w:noProof/>
                <w:sz w:val="20"/>
                <w:szCs w:val="20"/>
              </w:rPr>
              <w:t>Jiboye (2009)</w:t>
            </w:r>
          </w:p>
        </w:tc>
        <w:tc>
          <w:tcPr>
            <w:tcW w:w="243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Assess levels of tenants’ satisfaction with public housing</w:t>
            </w:r>
          </w:p>
        </w:tc>
        <w:tc>
          <w:tcPr>
            <w:tcW w:w="549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Satisfactory: Environment and dwellings</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Dissatisfactory: Management</w:t>
            </w:r>
          </w:p>
        </w:tc>
      </w:tr>
      <w:tr w:rsidR="00CA0E4F" w:rsidRPr="00B97F9C" w:rsidTr="00845404">
        <w:tc>
          <w:tcPr>
            <w:tcW w:w="1548" w:type="dxa"/>
            <w:shd w:val="clear" w:color="auto" w:fill="auto"/>
          </w:tcPr>
          <w:p w:rsidR="00CA0E4F" w:rsidRPr="00B97F9C" w:rsidRDefault="00CA0E4F" w:rsidP="00564B4B">
            <w:pPr>
              <w:spacing w:after="0" w:line="240" w:lineRule="auto"/>
              <w:rPr>
                <w:rFonts w:ascii="Times New Roman" w:hAnsi="Times New Roman"/>
                <w:noProof/>
                <w:sz w:val="20"/>
                <w:szCs w:val="20"/>
              </w:rPr>
            </w:pPr>
            <w:r w:rsidRPr="00B97F9C">
              <w:rPr>
                <w:rFonts w:ascii="Times New Roman" w:hAnsi="Times New Roman"/>
                <w:noProof/>
                <w:sz w:val="20"/>
                <w:szCs w:val="20"/>
              </w:rPr>
              <w:t>Ukoha &amp; Beamish (1997)</w:t>
            </w:r>
          </w:p>
        </w:tc>
        <w:tc>
          <w:tcPr>
            <w:tcW w:w="243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Examine resident satisfaction with public housing in Abuja</w:t>
            </w:r>
          </w:p>
        </w:tc>
        <w:tc>
          <w:tcPr>
            <w:tcW w:w="549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 xml:space="preserve">Satisfactory: </w:t>
            </w:r>
            <w:proofErr w:type="spellStart"/>
            <w:r w:rsidRPr="00B97F9C">
              <w:rPr>
                <w:rFonts w:ascii="Times New Roman" w:hAnsi="Times New Roman"/>
                <w:sz w:val="20"/>
                <w:szCs w:val="20"/>
              </w:rPr>
              <w:t>Neighbourhood</w:t>
            </w:r>
            <w:proofErr w:type="spellEnd"/>
            <w:r w:rsidRPr="00B97F9C">
              <w:rPr>
                <w:rFonts w:ascii="Times New Roman" w:hAnsi="Times New Roman"/>
                <w:sz w:val="20"/>
                <w:szCs w:val="20"/>
              </w:rPr>
              <w:t xml:space="preserve"> facilities, quality of exterior construction and walls, water pressure</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Dissatisfactory: House types, building features, housing conditions, Management</w:t>
            </w:r>
          </w:p>
        </w:tc>
      </w:tr>
      <w:tr w:rsidR="00CA0E4F" w:rsidRPr="00B97F9C" w:rsidTr="00845404">
        <w:tc>
          <w:tcPr>
            <w:tcW w:w="1548" w:type="dxa"/>
            <w:shd w:val="clear" w:color="auto" w:fill="auto"/>
          </w:tcPr>
          <w:p w:rsidR="00CA0E4F" w:rsidRPr="00B97F9C" w:rsidRDefault="00CA0E4F" w:rsidP="00564B4B">
            <w:pPr>
              <w:spacing w:after="0" w:line="240" w:lineRule="auto"/>
              <w:rPr>
                <w:rFonts w:ascii="Times New Roman" w:hAnsi="Times New Roman"/>
                <w:noProof/>
                <w:sz w:val="20"/>
                <w:szCs w:val="20"/>
              </w:rPr>
            </w:pPr>
            <w:r w:rsidRPr="00B97F9C">
              <w:rPr>
                <w:rFonts w:ascii="Times New Roman" w:hAnsi="Times New Roman"/>
                <w:noProof/>
                <w:sz w:val="20"/>
                <w:szCs w:val="20"/>
              </w:rPr>
              <w:t>Muoghalu (1984)</w:t>
            </w:r>
          </w:p>
        </w:tc>
        <w:tc>
          <w:tcPr>
            <w:tcW w:w="243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Point out indicators of housing satisfaction and dissatisfaction as seen by residents</w:t>
            </w:r>
          </w:p>
        </w:tc>
        <w:tc>
          <w:tcPr>
            <w:tcW w:w="5490" w:type="dxa"/>
            <w:shd w:val="clear" w:color="auto" w:fill="auto"/>
          </w:tcPr>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Construction quality; Internal housing space; Internal house design, common house territory and maintenance; House type and facilities; Illumination and external aesthetics</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Satisfactory: Self-contained nature of dwellings, bedroom sizes</w:t>
            </w:r>
          </w:p>
          <w:p w:rsidR="00CA0E4F" w:rsidRPr="00B97F9C" w:rsidRDefault="00CA0E4F" w:rsidP="00564B4B">
            <w:pPr>
              <w:spacing w:after="0" w:line="240" w:lineRule="auto"/>
              <w:rPr>
                <w:rFonts w:ascii="Times New Roman" w:hAnsi="Times New Roman"/>
                <w:sz w:val="20"/>
                <w:szCs w:val="20"/>
              </w:rPr>
            </w:pPr>
            <w:r w:rsidRPr="00B97F9C">
              <w:rPr>
                <w:rFonts w:ascii="Times New Roman" w:hAnsi="Times New Roman"/>
                <w:sz w:val="20"/>
                <w:szCs w:val="20"/>
              </w:rPr>
              <w:t>Dissatisfactory: Internal facilities and security, storage, construction quality, shared toilet/bath, typology vis-à-vis family composition</w:t>
            </w:r>
          </w:p>
        </w:tc>
      </w:tr>
    </w:tbl>
    <w:p w:rsidR="00564B4B" w:rsidRDefault="00564B4B" w:rsidP="00564B4B">
      <w:pPr>
        <w:spacing w:after="0" w:line="240" w:lineRule="auto"/>
        <w:ind w:firstLine="720"/>
        <w:jc w:val="both"/>
        <w:rPr>
          <w:rFonts w:ascii="Times New Roman" w:hAnsi="Times New Roman"/>
          <w:sz w:val="24"/>
          <w:szCs w:val="24"/>
        </w:rPr>
      </w:pPr>
    </w:p>
    <w:p w:rsidR="00CA0E4F" w:rsidRPr="005D6187" w:rsidRDefault="00CA0E4F" w:rsidP="00564B4B">
      <w:pPr>
        <w:spacing w:after="0" w:line="240" w:lineRule="auto"/>
        <w:ind w:firstLine="720"/>
        <w:jc w:val="both"/>
        <w:rPr>
          <w:rFonts w:ascii="Times New Roman" w:hAnsi="Times New Roman"/>
          <w:sz w:val="24"/>
          <w:szCs w:val="24"/>
        </w:rPr>
      </w:pPr>
      <w:r w:rsidRPr="005D6187">
        <w:rPr>
          <w:rFonts w:ascii="Times New Roman" w:hAnsi="Times New Roman"/>
          <w:sz w:val="24"/>
          <w:szCs w:val="24"/>
        </w:rPr>
        <w:t xml:space="preserve">In sum, several RS studies mostly in Southern parts of the country employ facets of Housing Habitability System framework to assess housing environments revealing common trends depending on </w:t>
      </w:r>
      <w:r>
        <w:rPr>
          <w:rFonts w:ascii="Times New Roman" w:hAnsi="Times New Roman"/>
          <w:sz w:val="24"/>
          <w:szCs w:val="24"/>
        </w:rPr>
        <w:t xml:space="preserve">the </w:t>
      </w:r>
      <w:r w:rsidRPr="005D6187">
        <w:rPr>
          <w:rFonts w:ascii="Times New Roman" w:hAnsi="Times New Roman"/>
          <w:sz w:val="24"/>
          <w:szCs w:val="24"/>
        </w:rPr>
        <w:t xml:space="preserve">mode of analysis and user ratings reflecting conditions in environments assessed. This study investigates RS based on variables accruing from the framework at estate level in </w:t>
      </w:r>
      <w:proofErr w:type="spellStart"/>
      <w:r w:rsidRPr="005D6187">
        <w:rPr>
          <w:rFonts w:ascii="Times New Roman" w:hAnsi="Times New Roman"/>
          <w:sz w:val="24"/>
          <w:szCs w:val="24"/>
        </w:rPr>
        <w:t>Gombe</w:t>
      </w:r>
      <w:proofErr w:type="spellEnd"/>
      <w:r w:rsidRPr="005D6187">
        <w:rPr>
          <w:rFonts w:ascii="Times New Roman" w:hAnsi="Times New Roman"/>
          <w:sz w:val="24"/>
          <w:szCs w:val="24"/>
        </w:rPr>
        <w:t xml:space="preserve">, </w:t>
      </w:r>
      <w:r>
        <w:rPr>
          <w:rFonts w:ascii="Times New Roman" w:hAnsi="Times New Roman"/>
          <w:sz w:val="24"/>
          <w:szCs w:val="24"/>
        </w:rPr>
        <w:t>N</w:t>
      </w:r>
      <w:r w:rsidRPr="005D6187">
        <w:rPr>
          <w:rFonts w:ascii="Times New Roman" w:hAnsi="Times New Roman"/>
          <w:sz w:val="24"/>
          <w:szCs w:val="24"/>
        </w:rPr>
        <w:t>ortheast Nigeria. Specific research ques</w:t>
      </w:r>
      <w:r w:rsidR="00564B4B">
        <w:rPr>
          <w:rFonts w:ascii="Times New Roman" w:hAnsi="Times New Roman"/>
          <w:sz w:val="24"/>
          <w:szCs w:val="24"/>
        </w:rPr>
        <w:t xml:space="preserve">tions to guide this inquiry are; </w:t>
      </w:r>
      <w:proofErr w:type="spellStart"/>
      <w:r w:rsidR="00564B4B">
        <w:rPr>
          <w:rFonts w:ascii="Times New Roman" w:hAnsi="Times New Roman"/>
          <w:sz w:val="24"/>
          <w:szCs w:val="24"/>
        </w:rPr>
        <w:t>i</w:t>
      </w:r>
      <w:proofErr w:type="spellEnd"/>
      <w:r w:rsidR="00564B4B">
        <w:rPr>
          <w:rFonts w:ascii="Times New Roman" w:hAnsi="Times New Roman"/>
          <w:sz w:val="24"/>
          <w:szCs w:val="24"/>
        </w:rPr>
        <w:t>) w</w:t>
      </w:r>
      <w:r w:rsidRPr="005D6187">
        <w:rPr>
          <w:rFonts w:ascii="Times New Roman" w:hAnsi="Times New Roman"/>
          <w:sz w:val="24"/>
          <w:szCs w:val="24"/>
        </w:rPr>
        <w:t>hich aspects of the housing environment are satisfactory or dissatisfactory from user perspectives in the study area?</w:t>
      </w:r>
      <w:r w:rsidR="00564B4B">
        <w:rPr>
          <w:rFonts w:ascii="Times New Roman" w:hAnsi="Times New Roman"/>
          <w:sz w:val="24"/>
          <w:szCs w:val="24"/>
        </w:rPr>
        <w:t>; and ii) w</w:t>
      </w:r>
      <w:r w:rsidRPr="005D6187">
        <w:rPr>
          <w:rFonts w:ascii="Times New Roman" w:hAnsi="Times New Roman"/>
          <w:sz w:val="24"/>
          <w:szCs w:val="24"/>
        </w:rPr>
        <w:t>hich factors emerge from user ratings in the study area?</w:t>
      </w:r>
      <w:r w:rsidR="00564B4B">
        <w:rPr>
          <w:rFonts w:ascii="Times New Roman" w:hAnsi="Times New Roman"/>
          <w:sz w:val="24"/>
          <w:szCs w:val="24"/>
        </w:rPr>
        <w:t xml:space="preserve"> </w:t>
      </w:r>
      <w:r w:rsidRPr="005D6187">
        <w:rPr>
          <w:rFonts w:ascii="Times New Roman" w:hAnsi="Times New Roman"/>
          <w:sz w:val="24"/>
          <w:szCs w:val="24"/>
        </w:rPr>
        <w:t xml:space="preserve">Underlying this inquiry is the intention to assess how results from descriptive and factor analyses </w:t>
      </w:r>
      <w:r>
        <w:rPr>
          <w:rFonts w:ascii="Times New Roman" w:hAnsi="Times New Roman"/>
          <w:sz w:val="24"/>
          <w:szCs w:val="24"/>
        </w:rPr>
        <w:t xml:space="preserve">from this study </w:t>
      </w:r>
      <w:r w:rsidRPr="005D6187">
        <w:rPr>
          <w:rFonts w:ascii="Times New Roman" w:hAnsi="Times New Roman"/>
          <w:sz w:val="24"/>
          <w:szCs w:val="24"/>
        </w:rPr>
        <w:t>fit the third and fourth characteristics of studies employing Housing Habitability System framework described in preceding paragraphs.</w:t>
      </w:r>
    </w:p>
    <w:p w:rsidR="00690B87" w:rsidRPr="007144ED" w:rsidRDefault="007370F7" w:rsidP="00564B4B">
      <w:pPr>
        <w:pStyle w:val="NoSpacing"/>
        <w:jc w:val="both"/>
        <w:rPr>
          <w:rFonts w:ascii="Times New Roman" w:hAnsi="Times New Roman"/>
          <w:b/>
          <w:sz w:val="24"/>
          <w:szCs w:val="24"/>
        </w:rPr>
      </w:pPr>
      <w:r w:rsidRPr="007144ED">
        <w:rPr>
          <w:rFonts w:ascii="Times New Roman" w:hAnsi="Times New Roman"/>
          <w:b/>
          <w:bCs/>
          <w:sz w:val="24"/>
          <w:szCs w:val="24"/>
        </w:rPr>
        <w:lastRenderedPageBreak/>
        <w:t>Method</w:t>
      </w:r>
      <w:r w:rsidR="00386506">
        <w:rPr>
          <w:rFonts w:ascii="Times New Roman" w:hAnsi="Times New Roman"/>
          <w:b/>
          <w:bCs/>
          <w:sz w:val="24"/>
          <w:szCs w:val="24"/>
        </w:rPr>
        <w:t xml:space="preserve"> and study area</w:t>
      </w:r>
      <w:r w:rsidR="00690B87" w:rsidRPr="007144ED">
        <w:rPr>
          <w:rFonts w:ascii="Times New Roman" w:hAnsi="Times New Roman"/>
          <w:b/>
          <w:sz w:val="24"/>
          <w:szCs w:val="24"/>
        </w:rPr>
        <w:t xml:space="preserve"> </w:t>
      </w:r>
    </w:p>
    <w:p w:rsidR="00B97F9C" w:rsidRDefault="00B97F9C" w:rsidP="00564B4B">
      <w:pPr>
        <w:spacing w:after="0" w:line="240" w:lineRule="auto"/>
        <w:jc w:val="both"/>
        <w:rPr>
          <w:rFonts w:ascii="Times New Roman" w:hAnsi="Times New Roman"/>
          <w:sz w:val="24"/>
          <w:szCs w:val="24"/>
        </w:rPr>
      </w:pPr>
    </w:p>
    <w:p w:rsidR="000B58CF" w:rsidRDefault="000B58CF" w:rsidP="00564B4B">
      <w:pPr>
        <w:spacing w:after="0" w:line="240" w:lineRule="auto"/>
        <w:jc w:val="both"/>
        <w:rPr>
          <w:rFonts w:ascii="Times New Roman" w:hAnsi="Times New Roman"/>
          <w:sz w:val="24"/>
          <w:szCs w:val="24"/>
        </w:rPr>
      </w:pPr>
      <w:r w:rsidRPr="005D6187">
        <w:rPr>
          <w:rFonts w:ascii="Times New Roman" w:hAnsi="Times New Roman"/>
          <w:sz w:val="24"/>
          <w:szCs w:val="24"/>
        </w:rPr>
        <w:t xml:space="preserve">Investment Quarters, selected as the study area in </w:t>
      </w:r>
      <w:proofErr w:type="spellStart"/>
      <w:r w:rsidRPr="005D6187">
        <w:rPr>
          <w:rFonts w:ascii="Times New Roman" w:hAnsi="Times New Roman"/>
          <w:sz w:val="24"/>
          <w:szCs w:val="24"/>
        </w:rPr>
        <w:t>Gombe</w:t>
      </w:r>
      <w:proofErr w:type="spellEnd"/>
      <w:r w:rsidRPr="005D6187">
        <w:rPr>
          <w:rFonts w:ascii="Times New Roman" w:hAnsi="Times New Roman"/>
          <w:sz w:val="24"/>
          <w:szCs w:val="24"/>
        </w:rPr>
        <w:t xml:space="preserve">, comprises 200 housing units made up of 2-bedroom semi-detached houses (Figure </w:t>
      </w:r>
      <w:r>
        <w:rPr>
          <w:rFonts w:ascii="Times New Roman" w:hAnsi="Times New Roman"/>
          <w:sz w:val="24"/>
          <w:szCs w:val="24"/>
        </w:rPr>
        <w:t>3</w:t>
      </w:r>
      <w:r w:rsidRPr="005D6187">
        <w:rPr>
          <w:rFonts w:ascii="Times New Roman" w:hAnsi="Times New Roman"/>
          <w:sz w:val="24"/>
          <w:szCs w:val="24"/>
        </w:rPr>
        <w:t>) and 3-bedroom freestanding bungalows. These were constructed by the State Governmen</w:t>
      </w:r>
      <w:r w:rsidR="00C57B35">
        <w:rPr>
          <w:rFonts w:ascii="Times New Roman" w:hAnsi="Times New Roman"/>
          <w:sz w:val="24"/>
          <w:szCs w:val="24"/>
        </w:rPr>
        <w:t xml:space="preserve">t and after commissioning, sold to the </w:t>
      </w:r>
      <w:r w:rsidRPr="005D6187">
        <w:rPr>
          <w:rFonts w:ascii="Times New Roman" w:hAnsi="Times New Roman"/>
          <w:sz w:val="24"/>
          <w:szCs w:val="24"/>
        </w:rPr>
        <w:t xml:space="preserve">public. At </w:t>
      </w:r>
      <w:r w:rsidR="00C57B35">
        <w:rPr>
          <w:rFonts w:ascii="Times New Roman" w:hAnsi="Times New Roman"/>
          <w:sz w:val="24"/>
          <w:szCs w:val="24"/>
        </w:rPr>
        <w:t xml:space="preserve">the </w:t>
      </w:r>
      <w:r w:rsidRPr="005D6187">
        <w:rPr>
          <w:rFonts w:ascii="Times New Roman" w:hAnsi="Times New Roman"/>
          <w:sz w:val="24"/>
          <w:szCs w:val="24"/>
        </w:rPr>
        <w:t xml:space="preserve">time of the survey in June-August 2019, 115 units were occupied. The sample comprised approximately 50% of this occupied population. </w:t>
      </w:r>
    </w:p>
    <w:p w:rsidR="00B97F9C" w:rsidRPr="005D6187" w:rsidRDefault="00B97F9C" w:rsidP="00564B4B">
      <w:pPr>
        <w:spacing w:after="0" w:line="240" w:lineRule="auto"/>
        <w:jc w:val="both"/>
        <w:rPr>
          <w:rFonts w:ascii="Times New Roman" w:hAnsi="Times New Roman"/>
          <w:sz w:val="24"/>
          <w:szCs w:val="24"/>
        </w:rPr>
      </w:pPr>
    </w:p>
    <w:p w:rsidR="000B58CF" w:rsidRPr="005D6187" w:rsidRDefault="00F53948" w:rsidP="00564B4B">
      <w:pPr>
        <w:spacing w:after="0" w:line="240" w:lineRule="auto"/>
        <w:jc w:val="center"/>
        <w:rPr>
          <w:rFonts w:ascii="Times New Roman" w:hAnsi="Times New Roman"/>
          <w:sz w:val="24"/>
          <w:szCs w:val="24"/>
        </w:rPr>
      </w:pPr>
      <w:r w:rsidRPr="000B58CF">
        <w:rPr>
          <w:rFonts w:ascii="Times New Roman" w:hAnsi="Times New Roman"/>
          <w:noProof/>
          <w:sz w:val="24"/>
          <w:szCs w:val="24"/>
          <w:lang w:val="en-MY" w:eastAsia="en-MY"/>
        </w:rPr>
        <w:drawing>
          <wp:inline distT="0" distB="0" distL="0" distR="0">
            <wp:extent cx="480060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0600" cy="1428750"/>
                    </a:xfrm>
                    <a:prstGeom prst="rect">
                      <a:avLst/>
                    </a:prstGeom>
                    <a:noFill/>
                    <a:ln>
                      <a:noFill/>
                    </a:ln>
                  </pic:spPr>
                </pic:pic>
              </a:graphicData>
            </a:graphic>
          </wp:inline>
        </w:drawing>
      </w:r>
    </w:p>
    <w:p w:rsidR="000B58CF" w:rsidRPr="00C31A96" w:rsidRDefault="000B58CF" w:rsidP="00564B4B">
      <w:pPr>
        <w:spacing w:before="120" w:after="0" w:line="240" w:lineRule="auto"/>
        <w:jc w:val="center"/>
        <w:rPr>
          <w:rFonts w:ascii="Times New Roman" w:hAnsi="Times New Roman"/>
          <w:noProof/>
          <w:sz w:val="20"/>
          <w:szCs w:val="20"/>
        </w:rPr>
      </w:pPr>
      <w:r w:rsidRPr="00C31A96">
        <w:rPr>
          <w:rFonts w:ascii="Times New Roman" w:hAnsi="Times New Roman"/>
          <w:b/>
          <w:sz w:val="20"/>
          <w:szCs w:val="20"/>
        </w:rPr>
        <w:t>Figure 3</w:t>
      </w:r>
      <w:r w:rsidR="00C31A96">
        <w:rPr>
          <w:rFonts w:ascii="Times New Roman" w:hAnsi="Times New Roman"/>
          <w:b/>
          <w:sz w:val="20"/>
          <w:szCs w:val="20"/>
        </w:rPr>
        <w:t>.</w:t>
      </w:r>
      <w:r w:rsidRPr="00C31A96">
        <w:rPr>
          <w:rFonts w:ascii="Times New Roman" w:hAnsi="Times New Roman"/>
          <w:sz w:val="20"/>
          <w:szCs w:val="20"/>
        </w:rPr>
        <w:t xml:space="preserve"> Plans, 2-bedroom semi-detached bungalow</w:t>
      </w:r>
    </w:p>
    <w:p w:rsidR="00B97F9C" w:rsidRDefault="00B97F9C" w:rsidP="00564B4B">
      <w:pPr>
        <w:spacing w:after="0" w:line="240" w:lineRule="auto"/>
        <w:ind w:firstLine="360"/>
        <w:jc w:val="both"/>
        <w:rPr>
          <w:rFonts w:ascii="Times New Roman" w:hAnsi="Times New Roman"/>
          <w:sz w:val="24"/>
          <w:szCs w:val="24"/>
        </w:rPr>
      </w:pPr>
    </w:p>
    <w:p w:rsidR="00C57B35" w:rsidRDefault="00F92362" w:rsidP="00564B4B">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Gombe</w:t>
      </w:r>
      <w:proofErr w:type="spellEnd"/>
      <w:r>
        <w:rPr>
          <w:rFonts w:ascii="Times New Roman" w:hAnsi="Times New Roman"/>
          <w:sz w:val="24"/>
          <w:szCs w:val="24"/>
        </w:rPr>
        <w:t xml:space="preserve"> is centrally located in N</w:t>
      </w:r>
      <w:r w:rsidR="006D553C" w:rsidRPr="005D6187">
        <w:rPr>
          <w:rFonts w:ascii="Times New Roman" w:hAnsi="Times New Roman"/>
          <w:sz w:val="24"/>
          <w:szCs w:val="24"/>
        </w:rPr>
        <w:t>ortheast Nigeria, a region that has faced enormous security challenges in the last decade due to insurgency. It has consequently attracted people who ha</w:t>
      </w:r>
      <w:r w:rsidR="00C57B35">
        <w:rPr>
          <w:rFonts w:ascii="Times New Roman" w:hAnsi="Times New Roman"/>
          <w:sz w:val="24"/>
          <w:szCs w:val="24"/>
        </w:rPr>
        <w:t xml:space="preserve">ve relocated from </w:t>
      </w:r>
      <w:proofErr w:type="spellStart"/>
      <w:r w:rsidR="00C57B35">
        <w:rPr>
          <w:rFonts w:ascii="Times New Roman" w:hAnsi="Times New Roman"/>
          <w:sz w:val="24"/>
          <w:szCs w:val="24"/>
        </w:rPr>
        <w:t>neighbouring</w:t>
      </w:r>
      <w:proofErr w:type="spellEnd"/>
      <w:r w:rsidR="00C57B35">
        <w:rPr>
          <w:rFonts w:ascii="Times New Roman" w:hAnsi="Times New Roman"/>
          <w:sz w:val="24"/>
          <w:szCs w:val="24"/>
        </w:rPr>
        <w:t xml:space="preserve"> S</w:t>
      </w:r>
      <w:r w:rsidR="006D553C" w:rsidRPr="005D6187">
        <w:rPr>
          <w:rFonts w:ascii="Times New Roman" w:hAnsi="Times New Roman"/>
          <w:sz w:val="24"/>
          <w:szCs w:val="24"/>
        </w:rPr>
        <w:t>tates, heightening security measures by Government</w:t>
      </w:r>
      <w:r>
        <w:rPr>
          <w:rFonts w:ascii="Times New Roman" w:hAnsi="Times New Roman"/>
          <w:sz w:val="24"/>
          <w:szCs w:val="24"/>
        </w:rPr>
        <w:t>, communities</w:t>
      </w:r>
      <w:r w:rsidR="006D553C" w:rsidRPr="005D6187">
        <w:rPr>
          <w:rFonts w:ascii="Times New Roman" w:hAnsi="Times New Roman"/>
          <w:sz w:val="24"/>
          <w:szCs w:val="24"/>
        </w:rPr>
        <w:t xml:space="preserve"> and </w:t>
      </w:r>
      <w:proofErr w:type="spellStart"/>
      <w:r w:rsidR="006D553C" w:rsidRPr="005D6187">
        <w:rPr>
          <w:rFonts w:ascii="Times New Roman" w:hAnsi="Times New Roman"/>
          <w:sz w:val="24"/>
          <w:szCs w:val="24"/>
        </w:rPr>
        <w:t>neighbourhoods</w:t>
      </w:r>
      <w:proofErr w:type="spellEnd"/>
      <w:r w:rsidR="006D553C" w:rsidRPr="005D6187">
        <w:rPr>
          <w:rFonts w:ascii="Times New Roman" w:hAnsi="Times New Roman"/>
          <w:sz w:val="24"/>
          <w:szCs w:val="24"/>
        </w:rPr>
        <w:t xml:space="preserve">. Successive governments have also invested heavily in infrastructure, making the capital arguably one of the most developed in terms of roads, urban development and </w:t>
      </w:r>
      <w:r w:rsidR="006D553C">
        <w:rPr>
          <w:rFonts w:ascii="Times New Roman" w:hAnsi="Times New Roman"/>
          <w:sz w:val="24"/>
          <w:szCs w:val="24"/>
        </w:rPr>
        <w:t>housing provision in the region.</w:t>
      </w:r>
      <w:r w:rsidR="006D553C" w:rsidRPr="005D6187">
        <w:rPr>
          <w:rFonts w:ascii="Times New Roman" w:hAnsi="Times New Roman"/>
          <w:sz w:val="24"/>
          <w:szCs w:val="24"/>
        </w:rPr>
        <w:t xml:space="preserve"> </w:t>
      </w:r>
      <w:r w:rsidR="006D553C">
        <w:rPr>
          <w:rFonts w:ascii="Times New Roman" w:hAnsi="Times New Roman"/>
          <w:sz w:val="24"/>
          <w:szCs w:val="24"/>
        </w:rPr>
        <w:t xml:space="preserve">Water supply </w:t>
      </w:r>
      <w:r w:rsidR="00C57B35">
        <w:rPr>
          <w:rFonts w:ascii="Times New Roman" w:hAnsi="Times New Roman"/>
          <w:sz w:val="24"/>
          <w:szCs w:val="24"/>
        </w:rPr>
        <w:t xml:space="preserve">however </w:t>
      </w:r>
      <w:r w:rsidR="006D553C">
        <w:rPr>
          <w:rFonts w:ascii="Times New Roman" w:hAnsi="Times New Roman"/>
          <w:sz w:val="24"/>
          <w:szCs w:val="24"/>
        </w:rPr>
        <w:t>remains</w:t>
      </w:r>
      <w:r w:rsidR="006D553C" w:rsidRPr="005D6187">
        <w:rPr>
          <w:rFonts w:ascii="Times New Roman" w:hAnsi="Times New Roman"/>
          <w:sz w:val="24"/>
          <w:szCs w:val="24"/>
        </w:rPr>
        <w:t xml:space="preserve"> a chronic</w:t>
      </w:r>
      <w:r>
        <w:rPr>
          <w:rFonts w:ascii="Times New Roman" w:hAnsi="Times New Roman"/>
          <w:sz w:val="24"/>
          <w:szCs w:val="24"/>
        </w:rPr>
        <w:t xml:space="preserve"> and acute</w:t>
      </w:r>
      <w:r w:rsidR="006D553C" w:rsidRPr="005D6187">
        <w:rPr>
          <w:rFonts w:ascii="Times New Roman" w:hAnsi="Times New Roman"/>
          <w:sz w:val="24"/>
          <w:szCs w:val="24"/>
        </w:rPr>
        <w:t xml:space="preserve"> issue </w:t>
      </w:r>
      <w:r w:rsidR="006D553C">
        <w:rPr>
          <w:rFonts w:ascii="Times New Roman" w:hAnsi="Times New Roman"/>
          <w:sz w:val="24"/>
          <w:szCs w:val="24"/>
        </w:rPr>
        <w:t xml:space="preserve">in need </w:t>
      </w:r>
      <w:r w:rsidR="006D553C" w:rsidRPr="005D6187">
        <w:rPr>
          <w:rFonts w:ascii="Times New Roman" w:hAnsi="Times New Roman"/>
          <w:sz w:val="24"/>
          <w:szCs w:val="24"/>
        </w:rPr>
        <w:t xml:space="preserve">of improvement </w:t>
      </w:r>
      <w:r w:rsidR="006D553C" w:rsidRPr="005D6187">
        <w:rPr>
          <w:rFonts w:ascii="Times New Roman" w:hAnsi="Times New Roman"/>
          <w:noProof/>
          <w:sz w:val="24"/>
          <w:szCs w:val="24"/>
        </w:rPr>
        <w:t>(Gombe State Govt, 2019)</w:t>
      </w:r>
      <w:r w:rsidR="006D553C" w:rsidRPr="005D6187">
        <w:rPr>
          <w:rFonts w:ascii="Times New Roman" w:hAnsi="Times New Roman"/>
          <w:sz w:val="24"/>
          <w:szCs w:val="24"/>
        </w:rPr>
        <w:t xml:space="preserve">. </w:t>
      </w:r>
    </w:p>
    <w:p w:rsidR="006D553C" w:rsidRDefault="006D553C" w:rsidP="00564B4B">
      <w:pPr>
        <w:spacing w:after="0" w:line="240" w:lineRule="auto"/>
        <w:ind w:firstLine="720"/>
        <w:jc w:val="both"/>
        <w:rPr>
          <w:rFonts w:ascii="Times New Roman" w:hAnsi="Times New Roman"/>
          <w:sz w:val="24"/>
          <w:szCs w:val="24"/>
        </w:rPr>
      </w:pPr>
      <w:r w:rsidRPr="005D6187">
        <w:rPr>
          <w:rFonts w:ascii="Times New Roman" w:hAnsi="Times New Roman"/>
          <w:sz w:val="24"/>
          <w:szCs w:val="24"/>
        </w:rPr>
        <w:t xml:space="preserve">Traditionally, courtyard housing is common </w:t>
      </w:r>
      <w:r>
        <w:rPr>
          <w:rFonts w:ascii="Times New Roman" w:hAnsi="Times New Roman"/>
          <w:sz w:val="24"/>
          <w:szCs w:val="24"/>
        </w:rPr>
        <w:t>in the study area</w:t>
      </w:r>
      <w:r w:rsidRPr="005D6187">
        <w:rPr>
          <w:rFonts w:ascii="Times New Roman" w:hAnsi="Times New Roman"/>
          <w:sz w:val="24"/>
          <w:szCs w:val="24"/>
        </w:rPr>
        <w:t xml:space="preserve">, with cooking and diurnal activities occurring within open courtyards. Rooms constructed of earth or concrete blocks roofed with thatch or corrugated </w:t>
      </w:r>
      <w:proofErr w:type="spellStart"/>
      <w:r w:rsidRPr="005D6187">
        <w:rPr>
          <w:rFonts w:ascii="Times New Roman" w:hAnsi="Times New Roman"/>
          <w:sz w:val="24"/>
          <w:szCs w:val="24"/>
        </w:rPr>
        <w:t>aluminium</w:t>
      </w:r>
      <w:proofErr w:type="spellEnd"/>
      <w:r w:rsidRPr="005D6187">
        <w:rPr>
          <w:rFonts w:ascii="Times New Roman" w:hAnsi="Times New Roman"/>
          <w:sz w:val="24"/>
          <w:szCs w:val="24"/>
        </w:rPr>
        <w:t xml:space="preserve"> sheets surrounding centrally located open courtyards are employed largely for storage and sleeping. This configuration describes </w:t>
      </w:r>
      <w:r>
        <w:rPr>
          <w:rFonts w:ascii="Times New Roman" w:hAnsi="Times New Roman"/>
          <w:sz w:val="24"/>
          <w:szCs w:val="24"/>
        </w:rPr>
        <w:t xml:space="preserve">the </w:t>
      </w:r>
      <w:r w:rsidRPr="005D6187">
        <w:rPr>
          <w:rFonts w:ascii="Times New Roman" w:hAnsi="Times New Roman"/>
          <w:sz w:val="24"/>
          <w:szCs w:val="24"/>
        </w:rPr>
        <w:t>common h</w:t>
      </w:r>
      <w:r w:rsidR="00356CD4">
        <w:rPr>
          <w:rFonts w:ascii="Times New Roman" w:hAnsi="Times New Roman"/>
          <w:sz w:val="24"/>
          <w:szCs w:val="24"/>
        </w:rPr>
        <w:t>ouse-form across most parts of N</w:t>
      </w:r>
      <w:r w:rsidRPr="005D6187">
        <w:rPr>
          <w:rFonts w:ascii="Times New Roman" w:hAnsi="Times New Roman"/>
          <w:sz w:val="24"/>
          <w:szCs w:val="24"/>
        </w:rPr>
        <w:t xml:space="preserve">orthern Nigeria </w:t>
      </w:r>
      <w:r w:rsidRPr="005D6187">
        <w:rPr>
          <w:rFonts w:ascii="Times New Roman" w:hAnsi="Times New Roman"/>
          <w:noProof/>
          <w:sz w:val="24"/>
          <w:szCs w:val="24"/>
        </w:rPr>
        <w:t>(Saad &amp; Ogunsusi, 1996)</w:t>
      </w:r>
      <w:r w:rsidRPr="005D6187">
        <w:rPr>
          <w:rFonts w:ascii="Times New Roman" w:hAnsi="Times New Roman"/>
          <w:sz w:val="24"/>
          <w:szCs w:val="24"/>
        </w:rPr>
        <w:t xml:space="preserve">. </w:t>
      </w:r>
    </w:p>
    <w:p w:rsidR="000B58CF" w:rsidRPr="005D6187" w:rsidRDefault="000B58CF" w:rsidP="00564B4B">
      <w:pPr>
        <w:spacing w:after="0" w:line="240" w:lineRule="auto"/>
        <w:ind w:firstLine="720"/>
        <w:jc w:val="both"/>
        <w:rPr>
          <w:rFonts w:ascii="Times New Roman" w:hAnsi="Times New Roman"/>
          <w:sz w:val="24"/>
          <w:szCs w:val="24"/>
        </w:rPr>
      </w:pPr>
      <w:r w:rsidRPr="005D6187">
        <w:rPr>
          <w:rFonts w:ascii="Times New Roman" w:hAnsi="Times New Roman"/>
          <w:sz w:val="24"/>
          <w:szCs w:val="24"/>
        </w:rPr>
        <w:t>A questionnaire survey as well as informal interviews and observations address</w:t>
      </w:r>
      <w:r w:rsidR="00356CD4">
        <w:rPr>
          <w:rFonts w:ascii="Times New Roman" w:hAnsi="Times New Roman"/>
          <w:sz w:val="24"/>
          <w:szCs w:val="24"/>
        </w:rPr>
        <w:t>ed</w:t>
      </w:r>
      <w:r w:rsidRPr="005D6187">
        <w:rPr>
          <w:rFonts w:ascii="Times New Roman" w:hAnsi="Times New Roman"/>
          <w:sz w:val="24"/>
          <w:szCs w:val="24"/>
        </w:rPr>
        <w:t xml:space="preserve"> the study aim. Questionnaires, adapted from </w:t>
      </w:r>
      <w:proofErr w:type="spellStart"/>
      <w:r w:rsidRPr="005D6187">
        <w:rPr>
          <w:rFonts w:ascii="Times New Roman" w:hAnsi="Times New Roman"/>
          <w:sz w:val="24"/>
          <w:szCs w:val="24"/>
        </w:rPr>
        <w:t>Ibem</w:t>
      </w:r>
      <w:proofErr w:type="spellEnd"/>
      <w:r w:rsidRPr="005D6187">
        <w:rPr>
          <w:rFonts w:ascii="Times New Roman" w:hAnsi="Times New Roman"/>
          <w:sz w:val="24"/>
          <w:szCs w:val="24"/>
        </w:rPr>
        <w:t xml:space="preserve"> et al. (2018), comprise two sections. The first requested data on tenant characteristics from household heads notably gender, age, marital status, education, monthly income, household size, employment sector, tenure as well as length of stay in the estate</w:t>
      </w:r>
      <w:r>
        <w:rPr>
          <w:rFonts w:ascii="Times New Roman" w:hAnsi="Times New Roman"/>
          <w:sz w:val="24"/>
          <w:szCs w:val="24"/>
        </w:rPr>
        <w:t>. Results from this section</w:t>
      </w:r>
      <w:r w:rsidRPr="005D6187">
        <w:rPr>
          <w:rFonts w:ascii="Times New Roman" w:hAnsi="Times New Roman"/>
          <w:sz w:val="24"/>
          <w:szCs w:val="24"/>
        </w:rPr>
        <w:t xml:space="preserve"> describ</w:t>
      </w:r>
      <w:r w:rsidR="0088128F">
        <w:rPr>
          <w:rFonts w:ascii="Times New Roman" w:hAnsi="Times New Roman"/>
          <w:sz w:val="24"/>
          <w:szCs w:val="24"/>
        </w:rPr>
        <w:t>e</w:t>
      </w:r>
      <w:r w:rsidRPr="005D6187">
        <w:rPr>
          <w:rFonts w:ascii="Times New Roman" w:hAnsi="Times New Roman"/>
          <w:sz w:val="24"/>
          <w:szCs w:val="24"/>
        </w:rPr>
        <w:t xml:space="preserve"> the sample </w:t>
      </w:r>
      <w:r w:rsidR="0088128F">
        <w:rPr>
          <w:rFonts w:ascii="Times New Roman" w:hAnsi="Times New Roman"/>
          <w:sz w:val="24"/>
          <w:szCs w:val="24"/>
        </w:rPr>
        <w:t>in</w:t>
      </w:r>
      <w:r w:rsidRPr="005D6187">
        <w:rPr>
          <w:rFonts w:ascii="Times New Roman" w:hAnsi="Times New Roman"/>
          <w:sz w:val="24"/>
          <w:szCs w:val="24"/>
        </w:rPr>
        <w:t xml:space="preserve"> simple frequencies and percentages</w:t>
      </w:r>
      <w:r w:rsidR="0088128F">
        <w:rPr>
          <w:rFonts w:ascii="Times New Roman" w:hAnsi="Times New Roman"/>
          <w:sz w:val="24"/>
          <w:szCs w:val="24"/>
        </w:rPr>
        <w:t xml:space="preserve"> (Table 2)</w:t>
      </w:r>
      <w:r w:rsidRPr="005D6187">
        <w:rPr>
          <w:rFonts w:ascii="Times New Roman" w:hAnsi="Times New Roman"/>
          <w:sz w:val="24"/>
          <w:szCs w:val="24"/>
        </w:rPr>
        <w:t xml:space="preserve">. Section two of the questionnaire comprises 31 dwelling-environment-management related variables rated on 5-point </w:t>
      </w:r>
      <w:proofErr w:type="spellStart"/>
      <w:r w:rsidRPr="005D6187">
        <w:rPr>
          <w:rFonts w:ascii="Times New Roman" w:hAnsi="Times New Roman"/>
          <w:sz w:val="24"/>
          <w:szCs w:val="24"/>
        </w:rPr>
        <w:t>likert</w:t>
      </w:r>
      <w:proofErr w:type="spellEnd"/>
      <w:r w:rsidRPr="005D6187">
        <w:rPr>
          <w:rFonts w:ascii="Times New Roman" w:hAnsi="Times New Roman"/>
          <w:sz w:val="24"/>
          <w:szCs w:val="24"/>
        </w:rPr>
        <w:t xml:space="preserve"> scales by residents. 41 (75%) completed questionnaires of the 55 distributed were retrieved after repeated visits to the estate. Reliability of responses from section two</w:t>
      </w:r>
      <w:r w:rsidR="0088128F">
        <w:rPr>
          <w:rFonts w:ascii="Times New Roman" w:hAnsi="Times New Roman"/>
          <w:sz w:val="24"/>
          <w:szCs w:val="24"/>
        </w:rPr>
        <w:t>, computed via Cronbach’s alpha</w:t>
      </w:r>
      <w:r w:rsidRPr="005D6187">
        <w:rPr>
          <w:rFonts w:ascii="Times New Roman" w:hAnsi="Times New Roman"/>
          <w:sz w:val="24"/>
          <w:szCs w:val="24"/>
        </w:rPr>
        <w:t xml:space="preserve"> was 0.929. </w:t>
      </w:r>
    </w:p>
    <w:p w:rsidR="00690B87" w:rsidRPr="00773291" w:rsidRDefault="000B58CF" w:rsidP="00564B4B">
      <w:pPr>
        <w:spacing w:after="0" w:line="240" w:lineRule="auto"/>
        <w:ind w:firstLine="720"/>
        <w:jc w:val="both"/>
        <w:rPr>
          <w:rFonts w:ascii="Times New Roman" w:hAnsi="Times New Roman"/>
          <w:sz w:val="24"/>
          <w:szCs w:val="24"/>
        </w:rPr>
      </w:pPr>
      <w:r w:rsidRPr="005D6187">
        <w:rPr>
          <w:rFonts w:ascii="Times New Roman" w:hAnsi="Times New Roman"/>
          <w:sz w:val="24"/>
          <w:szCs w:val="24"/>
        </w:rPr>
        <w:t xml:space="preserve">To ascertain satisfactory and unsatisfactory aspects of the housing environment in response to research question one, ratings from residents for the 31 housing environment variables were </w:t>
      </w:r>
      <w:proofErr w:type="spellStart"/>
      <w:r w:rsidRPr="005D6187">
        <w:rPr>
          <w:rFonts w:ascii="Times New Roman" w:hAnsi="Times New Roman"/>
          <w:sz w:val="24"/>
          <w:szCs w:val="24"/>
        </w:rPr>
        <w:t>analysed</w:t>
      </w:r>
      <w:proofErr w:type="spellEnd"/>
      <w:r w:rsidRPr="005D6187">
        <w:rPr>
          <w:rFonts w:ascii="Times New Roman" w:hAnsi="Times New Roman"/>
          <w:sz w:val="24"/>
          <w:szCs w:val="24"/>
        </w:rPr>
        <w:t xml:space="preserve"> for means (M), standard deviations (SD) and ranking based on mean values</w:t>
      </w:r>
      <w:r>
        <w:rPr>
          <w:rFonts w:ascii="Times New Roman" w:hAnsi="Times New Roman"/>
          <w:sz w:val="24"/>
          <w:szCs w:val="24"/>
        </w:rPr>
        <w:t xml:space="preserve"> as presented in Table 3</w:t>
      </w:r>
      <w:r w:rsidRPr="005D6187">
        <w:rPr>
          <w:rFonts w:ascii="Times New Roman" w:hAnsi="Times New Roman"/>
          <w:sz w:val="24"/>
          <w:szCs w:val="24"/>
        </w:rPr>
        <w:t>. Mean Satisfaction Score (MSS) of all residents across all v</w:t>
      </w:r>
      <w:r w:rsidR="00464CDD">
        <w:rPr>
          <w:rFonts w:ascii="Times New Roman" w:hAnsi="Times New Roman"/>
          <w:sz w:val="24"/>
          <w:szCs w:val="24"/>
        </w:rPr>
        <w:t>ariables was computed at 2.79. Assessment of s</w:t>
      </w:r>
      <w:r w:rsidRPr="005D6187">
        <w:rPr>
          <w:rFonts w:ascii="Times New Roman" w:hAnsi="Times New Roman"/>
          <w:sz w:val="24"/>
          <w:szCs w:val="24"/>
        </w:rPr>
        <w:t>atisfaction levels of residents within the estate w</w:t>
      </w:r>
      <w:r w:rsidR="00464CDD">
        <w:rPr>
          <w:rFonts w:ascii="Times New Roman" w:hAnsi="Times New Roman"/>
          <w:sz w:val="24"/>
          <w:szCs w:val="24"/>
        </w:rPr>
        <w:t xml:space="preserve">as </w:t>
      </w:r>
      <w:r w:rsidRPr="005D6187">
        <w:rPr>
          <w:rFonts w:ascii="Times New Roman" w:hAnsi="Times New Roman"/>
          <w:sz w:val="24"/>
          <w:szCs w:val="24"/>
        </w:rPr>
        <w:t xml:space="preserve">based on this value. Variables are satisfactory if mean values </w:t>
      </w:r>
      <w:r w:rsidR="00464CDD">
        <w:rPr>
          <w:rFonts w:ascii="Times New Roman" w:hAnsi="Times New Roman"/>
          <w:sz w:val="24"/>
          <w:szCs w:val="24"/>
        </w:rPr>
        <w:t>we</w:t>
      </w:r>
      <w:r w:rsidRPr="005D6187">
        <w:rPr>
          <w:rFonts w:ascii="Times New Roman" w:hAnsi="Times New Roman"/>
          <w:sz w:val="24"/>
          <w:szCs w:val="24"/>
        </w:rPr>
        <w:t xml:space="preserve">re higher than 2.79. Dissatisfactory variables have means below this value. For comparison with other studies, mean values for dwelling, </w:t>
      </w:r>
      <w:proofErr w:type="spellStart"/>
      <w:r w:rsidRPr="005D6187">
        <w:rPr>
          <w:rFonts w:ascii="Times New Roman" w:hAnsi="Times New Roman"/>
          <w:sz w:val="24"/>
          <w:szCs w:val="24"/>
        </w:rPr>
        <w:lastRenderedPageBreak/>
        <w:t>neighbourhood</w:t>
      </w:r>
      <w:proofErr w:type="spellEnd"/>
      <w:r w:rsidRPr="005D6187">
        <w:rPr>
          <w:rFonts w:ascii="Times New Roman" w:hAnsi="Times New Roman"/>
          <w:sz w:val="24"/>
          <w:szCs w:val="24"/>
        </w:rPr>
        <w:t xml:space="preserve"> environment and management subsystems were computed and assessed based on a global value of 3</w:t>
      </w:r>
      <w:r w:rsidR="0088128F">
        <w:rPr>
          <w:rFonts w:ascii="Times New Roman" w:hAnsi="Times New Roman"/>
          <w:sz w:val="24"/>
          <w:szCs w:val="24"/>
        </w:rPr>
        <w:t>.0</w:t>
      </w:r>
      <w:r w:rsidRPr="005D6187">
        <w:rPr>
          <w:rFonts w:ascii="Times New Roman" w:hAnsi="Times New Roman"/>
          <w:sz w:val="24"/>
          <w:szCs w:val="24"/>
        </w:rPr>
        <w:t xml:space="preserve">, mid-point of a 5-point </w:t>
      </w:r>
      <w:proofErr w:type="spellStart"/>
      <w:r w:rsidRPr="005D6187">
        <w:rPr>
          <w:rFonts w:ascii="Times New Roman" w:hAnsi="Times New Roman"/>
          <w:sz w:val="24"/>
          <w:szCs w:val="24"/>
        </w:rPr>
        <w:t>likert</w:t>
      </w:r>
      <w:proofErr w:type="spellEnd"/>
      <w:r w:rsidRPr="005D6187">
        <w:rPr>
          <w:rFonts w:ascii="Times New Roman" w:hAnsi="Times New Roman"/>
          <w:sz w:val="24"/>
          <w:szCs w:val="24"/>
        </w:rPr>
        <w:t xml:space="preserve"> scale employed by majority of RS studies.</w:t>
      </w:r>
      <w:r w:rsidR="00564B4B">
        <w:rPr>
          <w:rFonts w:ascii="Times New Roman" w:hAnsi="Times New Roman"/>
          <w:sz w:val="24"/>
          <w:szCs w:val="24"/>
        </w:rPr>
        <w:t xml:space="preserve"> </w:t>
      </w:r>
      <w:r w:rsidRPr="005D6187">
        <w:rPr>
          <w:rFonts w:ascii="Times New Roman" w:hAnsi="Times New Roman"/>
          <w:sz w:val="24"/>
          <w:szCs w:val="24"/>
        </w:rPr>
        <w:t xml:space="preserve">Principal Component Analysis (PCA) with </w:t>
      </w:r>
      <w:proofErr w:type="spellStart"/>
      <w:r w:rsidRPr="005D6187">
        <w:rPr>
          <w:rFonts w:ascii="Times New Roman" w:hAnsi="Times New Roman"/>
          <w:sz w:val="24"/>
          <w:szCs w:val="24"/>
        </w:rPr>
        <w:t>Varimax</w:t>
      </w:r>
      <w:proofErr w:type="spellEnd"/>
      <w:r w:rsidRPr="005D6187">
        <w:rPr>
          <w:rFonts w:ascii="Times New Roman" w:hAnsi="Times New Roman"/>
          <w:sz w:val="24"/>
          <w:szCs w:val="24"/>
        </w:rPr>
        <w:t xml:space="preserve"> rotation address</w:t>
      </w:r>
      <w:r w:rsidR="0088128F">
        <w:rPr>
          <w:rFonts w:ascii="Times New Roman" w:hAnsi="Times New Roman"/>
          <w:sz w:val="24"/>
          <w:szCs w:val="24"/>
        </w:rPr>
        <w:t>ed</w:t>
      </w:r>
      <w:r w:rsidRPr="005D6187">
        <w:rPr>
          <w:rFonts w:ascii="Times New Roman" w:hAnsi="Times New Roman"/>
          <w:sz w:val="24"/>
          <w:szCs w:val="24"/>
        </w:rPr>
        <w:t xml:space="preserve"> the second research question</w:t>
      </w:r>
      <w:r>
        <w:rPr>
          <w:rFonts w:ascii="Times New Roman" w:hAnsi="Times New Roman"/>
          <w:sz w:val="24"/>
          <w:szCs w:val="24"/>
        </w:rPr>
        <w:t>, with results presented in Table 4</w:t>
      </w:r>
      <w:r w:rsidRPr="005D6187">
        <w:rPr>
          <w:rFonts w:ascii="Times New Roman" w:hAnsi="Times New Roman"/>
          <w:sz w:val="24"/>
          <w:szCs w:val="24"/>
        </w:rPr>
        <w:t xml:space="preserve">. KMO measure of sampling adequacy was 0.547 just above the minimum </w:t>
      </w:r>
      <w:r>
        <w:rPr>
          <w:rFonts w:ascii="Times New Roman" w:hAnsi="Times New Roman"/>
          <w:sz w:val="24"/>
          <w:szCs w:val="24"/>
        </w:rPr>
        <w:t xml:space="preserve">accepted </w:t>
      </w:r>
      <w:r w:rsidRPr="005D6187">
        <w:rPr>
          <w:rFonts w:ascii="Times New Roman" w:hAnsi="Times New Roman"/>
          <w:sz w:val="24"/>
          <w:szCs w:val="24"/>
        </w:rPr>
        <w:t xml:space="preserve">value of 0.5 </w:t>
      </w:r>
      <w:r w:rsidRPr="005D6187">
        <w:rPr>
          <w:rFonts w:ascii="Times New Roman" w:hAnsi="Times New Roman"/>
          <w:noProof/>
          <w:sz w:val="24"/>
          <w:szCs w:val="24"/>
        </w:rPr>
        <w:t>(Field, 2013)</w:t>
      </w:r>
      <w:r w:rsidRPr="005D6187">
        <w:rPr>
          <w:rFonts w:ascii="Times New Roman" w:hAnsi="Times New Roman"/>
          <w:sz w:val="24"/>
          <w:szCs w:val="24"/>
        </w:rPr>
        <w:t xml:space="preserve">. </w:t>
      </w:r>
    </w:p>
    <w:p w:rsidR="00B97F9C" w:rsidRDefault="00B97F9C" w:rsidP="00564B4B">
      <w:pPr>
        <w:pStyle w:val="NoSpacing"/>
        <w:jc w:val="both"/>
        <w:rPr>
          <w:rFonts w:ascii="Times New Roman" w:hAnsi="Times New Roman"/>
          <w:b/>
          <w:bCs/>
          <w:sz w:val="24"/>
          <w:szCs w:val="24"/>
        </w:rPr>
      </w:pPr>
    </w:p>
    <w:p w:rsidR="00B97F9C" w:rsidRDefault="00B97F9C" w:rsidP="00564B4B">
      <w:pPr>
        <w:pStyle w:val="NoSpacing"/>
        <w:jc w:val="both"/>
        <w:rPr>
          <w:rFonts w:ascii="Times New Roman" w:hAnsi="Times New Roman"/>
          <w:b/>
          <w:bCs/>
          <w:sz w:val="24"/>
          <w:szCs w:val="24"/>
        </w:rPr>
      </w:pPr>
    </w:p>
    <w:p w:rsidR="00690B87" w:rsidRDefault="003D6404" w:rsidP="00564B4B">
      <w:pPr>
        <w:pStyle w:val="NoSpacing"/>
        <w:jc w:val="both"/>
        <w:rPr>
          <w:rFonts w:ascii="Times New Roman" w:hAnsi="Times New Roman"/>
          <w:b/>
          <w:bCs/>
          <w:sz w:val="24"/>
          <w:szCs w:val="24"/>
        </w:rPr>
      </w:pPr>
      <w:r>
        <w:rPr>
          <w:rFonts w:ascii="Times New Roman" w:hAnsi="Times New Roman"/>
          <w:b/>
          <w:bCs/>
          <w:sz w:val="24"/>
          <w:szCs w:val="24"/>
        </w:rPr>
        <w:t>Results and discussion</w:t>
      </w:r>
      <w:r w:rsidR="00690B87" w:rsidRPr="007144ED">
        <w:rPr>
          <w:rFonts w:ascii="Times New Roman" w:hAnsi="Times New Roman"/>
          <w:b/>
          <w:bCs/>
          <w:sz w:val="24"/>
          <w:szCs w:val="24"/>
        </w:rPr>
        <w:t xml:space="preserve"> </w:t>
      </w:r>
    </w:p>
    <w:p w:rsidR="00B97F9C" w:rsidRDefault="00B97F9C" w:rsidP="00564B4B">
      <w:pPr>
        <w:pStyle w:val="NoSpacing"/>
        <w:jc w:val="both"/>
        <w:rPr>
          <w:rFonts w:ascii="Times New Roman" w:hAnsi="Times New Roman"/>
          <w:i/>
          <w:iCs/>
          <w:sz w:val="24"/>
          <w:szCs w:val="24"/>
        </w:rPr>
      </w:pPr>
    </w:p>
    <w:p w:rsidR="008851EF" w:rsidRDefault="008851EF" w:rsidP="00564B4B">
      <w:pPr>
        <w:spacing w:after="0" w:line="240" w:lineRule="auto"/>
        <w:jc w:val="both"/>
        <w:rPr>
          <w:rFonts w:ascii="Times New Roman" w:hAnsi="Times New Roman"/>
          <w:sz w:val="24"/>
          <w:szCs w:val="24"/>
        </w:rPr>
      </w:pPr>
      <w:r w:rsidRPr="005D6187">
        <w:rPr>
          <w:rFonts w:ascii="Times New Roman" w:hAnsi="Times New Roman"/>
          <w:sz w:val="24"/>
          <w:szCs w:val="24"/>
        </w:rPr>
        <w:t>Demographic data from the sample generally fit profiles expected of residents in pub</w:t>
      </w:r>
      <w:r w:rsidR="0088128F">
        <w:rPr>
          <w:rFonts w:ascii="Times New Roman" w:hAnsi="Times New Roman"/>
          <w:sz w:val="24"/>
          <w:szCs w:val="24"/>
        </w:rPr>
        <w:t>lic housing estates in Nigeria from Table 2</w:t>
      </w:r>
      <w:r w:rsidRPr="005D6187">
        <w:rPr>
          <w:rFonts w:ascii="Times New Roman" w:hAnsi="Times New Roman"/>
          <w:sz w:val="24"/>
          <w:szCs w:val="24"/>
        </w:rPr>
        <w:t xml:space="preserve">.  On average, respondents </w:t>
      </w:r>
      <w:r>
        <w:rPr>
          <w:rFonts w:ascii="Times New Roman" w:hAnsi="Times New Roman"/>
          <w:sz w:val="24"/>
          <w:szCs w:val="24"/>
        </w:rPr>
        <w:t>wer</w:t>
      </w:r>
      <w:r w:rsidRPr="005D6187">
        <w:rPr>
          <w:rFonts w:ascii="Times New Roman" w:hAnsi="Times New Roman"/>
          <w:sz w:val="24"/>
          <w:szCs w:val="24"/>
        </w:rPr>
        <w:t>e male (</w:t>
      </w:r>
      <w:r>
        <w:rPr>
          <w:rFonts w:ascii="Times New Roman" w:hAnsi="Times New Roman"/>
          <w:sz w:val="24"/>
          <w:szCs w:val="24"/>
        </w:rPr>
        <w:t>n 34, 8</w:t>
      </w:r>
      <w:r w:rsidRPr="005D6187">
        <w:rPr>
          <w:rFonts w:ascii="Times New Roman" w:hAnsi="Times New Roman"/>
          <w:sz w:val="24"/>
          <w:szCs w:val="24"/>
        </w:rPr>
        <w:t>3%), married (</w:t>
      </w:r>
      <w:r>
        <w:rPr>
          <w:rFonts w:ascii="Times New Roman" w:hAnsi="Times New Roman"/>
          <w:sz w:val="24"/>
          <w:szCs w:val="24"/>
        </w:rPr>
        <w:t xml:space="preserve">n 26, </w:t>
      </w:r>
      <w:r w:rsidRPr="005D6187">
        <w:rPr>
          <w:rFonts w:ascii="Times New Roman" w:hAnsi="Times New Roman"/>
          <w:sz w:val="24"/>
          <w:szCs w:val="24"/>
        </w:rPr>
        <w:t>63%), 25-40 years (</w:t>
      </w:r>
      <w:r>
        <w:rPr>
          <w:rFonts w:ascii="Times New Roman" w:hAnsi="Times New Roman"/>
          <w:sz w:val="24"/>
          <w:szCs w:val="24"/>
        </w:rPr>
        <w:t xml:space="preserve">n 25, </w:t>
      </w:r>
      <w:r w:rsidRPr="005D6187">
        <w:rPr>
          <w:rFonts w:ascii="Times New Roman" w:hAnsi="Times New Roman"/>
          <w:sz w:val="24"/>
          <w:szCs w:val="24"/>
        </w:rPr>
        <w:t>61%), educated to tertiary level (</w:t>
      </w:r>
      <w:r>
        <w:rPr>
          <w:rFonts w:ascii="Times New Roman" w:hAnsi="Times New Roman"/>
          <w:sz w:val="24"/>
          <w:szCs w:val="24"/>
        </w:rPr>
        <w:t xml:space="preserve">n 29, </w:t>
      </w:r>
      <w:r w:rsidRPr="005D6187">
        <w:rPr>
          <w:rFonts w:ascii="Times New Roman" w:hAnsi="Times New Roman"/>
          <w:sz w:val="24"/>
          <w:szCs w:val="24"/>
        </w:rPr>
        <w:t>7</w:t>
      </w:r>
      <w:r>
        <w:rPr>
          <w:rFonts w:ascii="Times New Roman" w:hAnsi="Times New Roman"/>
          <w:sz w:val="24"/>
          <w:szCs w:val="24"/>
        </w:rPr>
        <w:t xml:space="preserve">1%) and </w:t>
      </w:r>
      <w:r w:rsidRPr="005D6187">
        <w:rPr>
          <w:rFonts w:ascii="Times New Roman" w:hAnsi="Times New Roman"/>
          <w:sz w:val="24"/>
          <w:szCs w:val="24"/>
        </w:rPr>
        <w:t xml:space="preserve"> </w:t>
      </w:r>
      <w:r>
        <w:rPr>
          <w:rFonts w:ascii="Times New Roman" w:hAnsi="Times New Roman"/>
          <w:sz w:val="24"/>
          <w:szCs w:val="24"/>
        </w:rPr>
        <w:t xml:space="preserve">employed in the </w:t>
      </w:r>
      <w:r w:rsidRPr="005D6187">
        <w:rPr>
          <w:rFonts w:ascii="Times New Roman" w:hAnsi="Times New Roman"/>
          <w:sz w:val="24"/>
          <w:szCs w:val="24"/>
        </w:rPr>
        <w:t xml:space="preserve">public </w:t>
      </w:r>
      <w:r>
        <w:rPr>
          <w:rFonts w:ascii="Times New Roman" w:hAnsi="Times New Roman"/>
          <w:sz w:val="24"/>
          <w:szCs w:val="24"/>
        </w:rPr>
        <w:t xml:space="preserve">sector </w:t>
      </w:r>
      <w:r w:rsidRPr="005D6187">
        <w:rPr>
          <w:rFonts w:ascii="Times New Roman" w:hAnsi="Times New Roman"/>
          <w:sz w:val="24"/>
          <w:szCs w:val="24"/>
        </w:rPr>
        <w:t>(</w:t>
      </w:r>
      <w:r>
        <w:rPr>
          <w:rFonts w:ascii="Times New Roman" w:hAnsi="Times New Roman"/>
          <w:sz w:val="24"/>
          <w:szCs w:val="24"/>
        </w:rPr>
        <w:t xml:space="preserve">n 22, </w:t>
      </w:r>
      <w:r w:rsidRPr="005D6187">
        <w:rPr>
          <w:rFonts w:ascii="Times New Roman" w:hAnsi="Times New Roman"/>
          <w:sz w:val="24"/>
          <w:szCs w:val="24"/>
        </w:rPr>
        <w:t>54%)</w:t>
      </w:r>
      <w:r>
        <w:rPr>
          <w:rFonts w:ascii="Times New Roman" w:hAnsi="Times New Roman"/>
          <w:sz w:val="24"/>
          <w:szCs w:val="24"/>
        </w:rPr>
        <w:t xml:space="preserve">. 29 (71%) </w:t>
      </w:r>
      <w:r w:rsidRPr="005D6187">
        <w:rPr>
          <w:rFonts w:ascii="Times New Roman" w:hAnsi="Times New Roman"/>
          <w:sz w:val="24"/>
          <w:szCs w:val="24"/>
        </w:rPr>
        <w:t>earn N51-150,000 monthly</w:t>
      </w:r>
      <w:r>
        <w:rPr>
          <w:rFonts w:ascii="Times New Roman" w:hAnsi="Times New Roman"/>
          <w:sz w:val="24"/>
          <w:szCs w:val="24"/>
        </w:rPr>
        <w:t xml:space="preserve">, </w:t>
      </w:r>
      <w:r w:rsidRPr="005D6187">
        <w:rPr>
          <w:rFonts w:ascii="Times New Roman" w:hAnsi="Times New Roman"/>
          <w:sz w:val="24"/>
          <w:szCs w:val="24"/>
        </w:rPr>
        <w:t xml:space="preserve">have </w:t>
      </w:r>
      <w:r>
        <w:rPr>
          <w:rFonts w:ascii="Times New Roman" w:hAnsi="Times New Roman"/>
          <w:sz w:val="24"/>
          <w:szCs w:val="24"/>
        </w:rPr>
        <w:t>lived</w:t>
      </w:r>
      <w:r w:rsidRPr="005D6187">
        <w:rPr>
          <w:rFonts w:ascii="Times New Roman" w:hAnsi="Times New Roman"/>
          <w:sz w:val="24"/>
          <w:szCs w:val="24"/>
        </w:rPr>
        <w:t xml:space="preserve"> 3-10 years in the estate (</w:t>
      </w:r>
      <w:r>
        <w:rPr>
          <w:rFonts w:ascii="Times New Roman" w:hAnsi="Times New Roman"/>
          <w:sz w:val="24"/>
          <w:szCs w:val="24"/>
        </w:rPr>
        <w:t xml:space="preserve">n 21, </w:t>
      </w:r>
      <w:r w:rsidRPr="005D6187">
        <w:rPr>
          <w:rFonts w:ascii="Times New Roman" w:hAnsi="Times New Roman"/>
          <w:sz w:val="24"/>
          <w:szCs w:val="24"/>
        </w:rPr>
        <w:t xml:space="preserve">51%), accommodate </w:t>
      </w:r>
      <w:r>
        <w:rPr>
          <w:rFonts w:ascii="Times New Roman" w:hAnsi="Times New Roman"/>
          <w:sz w:val="24"/>
          <w:szCs w:val="24"/>
        </w:rPr>
        <w:t xml:space="preserve">households of </w:t>
      </w:r>
      <w:r w:rsidRPr="005D6187">
        <w:rPr>
          <w:rFonts w:ascii="Times New Roman" w:hAnsi="Times New Roman"/>
          <w:sz w:val="24"/>
          <w:szCs w:val="24"/>
        </w:rPr>
        <w:t>more than 4 persons (</w:t>
      </w:r>
      <w:r>
        <w:rPr>
          <w:rFonts w:ascii="Times New Roman" w:hAnsi="Times New Roman"/>
          <w:sz w:val="24"/>
          <w:szCs w:val="24"/>
        </w:rPr>
        <w:t xml:space="preserve">n 20, </w:t>
      </w:r>
      <w:r w:rsidRPr="005D6187">
        <w:rPr>
          <w:rFonts w:ascii="Times New Roman" w:hAnsi="Times New Roman"/>
          <w:sz w:val="24"/>
          <w:szCs w:val="24"/>
        </w:rPr>
        <w:t>49%) and are owner occupiers (</w:t>
      </w:r>
      <w:r>
        <w:rPr>
          <w:rFonts w:ascii="Times New Roman" w:hAnsi="Times New Roman"/>
          <w:sz w:val="24"/>
          <w:szCs w:val="24"/>
        </w:rPr>
        <w:t xml:space="preserve">n 29, </w:t>
      </w:r>
      <w:r w:rsidRPr="005D6187">
        <w:rPr>
          <w:rFonts w:ascii="Times New Roman" w:hAnsi="Times New Roman"/>
          <w:sz w:val="24"/>
          <w:szCs w:val="24"/>
        </w:rPr>
        <w:t>71%) occupying 2 and 3-bedroom housing units (</w:t>
      </w:r>
      <w:r>
        <w:rPr>
          <w:rFonts w:ascii="Times New Roman" w:hAnsi="Times New Roman"/>
          <w:sz w:val="24"/>
          <w:szCs w:val="24"/>
        </w:rPr>
        <w:t xml:space="preserve">n 38, </w:t>
      </w:r>
      <w:r w:rsidRPr="005D6187">
        <w:rPr>
          <w:rFonts w:ascii="Times New Roman" w:hAnsi="Times New Roman"/>
          <w:sz w:val="24"/>
          <w:szCs w:val="24"/>
        </w:rPr>
        <w:t xml:space="preserve">93%). </w:t>
      </w:r>
    </w:p>
    <w:p w:rsidR="008851EF" w:rsidRDefault="008851EF" w:rsidP="00564B4B">
      <w:pPr>
        <w:spacing w:after="0" w:line="240" w:lineRule="auto"/>
        <w:ind w:firstLine="720"/>
        <w:jc w:val="both"/>
        <w:rPr>
          <w:rFonts w:ascii="Times New Roman" w:hAnsi="Times New Roman"/>
          <w:sz w:val="24"/>
          <w:szCs w:val="24"/>
        </w:rPr>
      </w:pPr>
      <w:r w:rsidRPr="005D6187">
        <w:rPr>
          <w:rFonts w:ascii="Times New Roman" w:hAnsi="Times New Roman"/>
          <w:sz w:val="24"/>
          <w:szCs w:val="24"/>
        </w:rPr>
        <w:t>Retired residents (M 3.02), households containing 4 persons (M 3) as well as 4-bedroom occupants were the most satisfied in the estate, although sample sizes for these categories are low</w:t>
      </w:r>
      <w:r>
        <w:rPr>
          <w:rFonts w:ascii="Times New Roman" w:hAnsi="Times New Roman"/>
          <w:sz w:val="24"/>
          <w:szCs w:val="24"/>
        </w:rPr>
        <w:t xml:space="preserve"> (Table 2)</w:t>
      </w:r>
      <w:r w:rsidRPr="005D6187">
        <w:rPr>
          <w:rFonts w:ascii="Times New Roman" w:hAnsi="Times New Roman"/>
          <w:sz w:val="24"/>
          <w:szCs w:val="24"/>
        </w:rPr>
        <w:t xml:space="preserve">. Additionally, since original plans of units within the estate contain only 2 or 3-bedroom houses, </w:t>
      </w:r>
      <w:r>
        <w:rPr>
          <w:rFonts w:ascii="Times New Roman" w:hAnsi="Times New Roman"/>
          <w:sz w:val="24"/>
          <w:szCs w:val="24"/>
        </w:rPr>
        <w:t xml:space="preserve">the </w:t>
      </w:r>
      <w:r w:rsidRPr="005D6187">
        <w:rPr>
          <w:rFonts w:ascii="Times New Roman" w:hAnsi="Times New Roman"/>
          <w:sz w:val="24"/>
          <w:szCs w:val="24"/>
        </w:rPr>
        <w:t xml:space="preserve">presence of a 4-bedroom response could mean transformation by addition of bedrooms or misinformation by residents of two semi-detached 2-bedroom housing units. While transformation is a common occurrence in public housing estates over time </w:t>
      </w:r>
      <w:r w:rsidRPr="005D6187">
        <w:rPr>
          <w:rFonts w:ascii="Times New Roman" w:hAnsi="Times New Roman"/>
          <w:noProof/>
          <w:sz w:val="24"/>
          <w:szCs w:val="24"/>
        </w:rPr>
        <w:t>(Morakinyo</w:t>
      </w:r>
      <w:r>
        <w:rPr>
          <w:rFonts w:ascii="Times New Roman" w:hAnsi="Times New Roman"/>
          <w:noProof/>
          <w:sz w:val="24"/>
          <w:szCs w:val="24"/>
        </w:rPr>
        <w:t xml:space="preserve"> et al.,</w:t>
      </w:r>
      <w:r w:rsidRPr="005D6187">
        <w:rPr>
          <w:rFonts w:ascii="Times New Roman" w:hAnsi="Times New Roman"/>
          <w:noProof/>
          <w:sz w:val="24"/>
          <w:szCs w:val="24"/>
        </w:rPr>
        <w:t xml:space="preserve"> 2018)</w:t>
      </w:r>
      <w:r w:rsidRPr="005D6187">
        <w:rPr>
          <w:rFonts w:ascii="Times New Roman" w:hAnsi="Times New Roman"/>
          <w:sz w:val="24"/>
          <w:szCs w:val="24"/>
        </w:rPr>
        <w:t xml:space="preserve">, misinformation suggests </w:t>
      </w:r>
      <w:r>
        <w:rPr>
          <w:rFonts w:ascii="Times New Roman" w:hAnsi="Times New Roman"/>
          <w:sz w:val="24"/>
          <w:szCs w:val="24"/>
        </w:rPr>
        <w:t xml:space="preserve">a </w:t>
      </w:r>
      <w:r w:rsidRPr="005D6187">
        <w:rPr>
          <w:rFonts w:ascii="Times New Roman" w:hAnsi="Times New Roman"/>
          <w:sz w:val="24"/>
          <w:szCs w:val="24"/>
        </w:rPr>
        <w:t>lack of public knowledge of bas</w:t>
      </w:r>
      <w:r w:rsidR="006D553C">
        <w:rPr>
          <w:rFonts w:ascii="Times New Roman" w:hAnsi="Times New Roman"/>
          <w:sz w:val="24"/>
          <w:szCs w:val="24"/>
        </w:rPr>
        <w:t>ic typological terms in housing among respondents. This has</w:t>
      </w:r>
      <w:r w:rsidRPr="005D6187">
        <w:rPr>
          <w:rFonts w:ascii="Times New Roman" w:hAnsi="Times New Roman"/>
          <w:sz w:val="24"/>
          <w:szCs w:val="24"/>
        </w:rPr>
        <w:t xml:space="preserve"> negative consequences for </w:t>
      </w:r>
      <w:r w:rsidR="006D553C">
        <w:rPr>
          <w:rFonts w:ascii="Times New Roman" w:hAnsi="Times New Roman"/>
          <w:sz w:val="24"/>
          <w:szCs w:val="24"/>
        </w:rPr>
        <w:t xml:space="preserve">the </w:t>
      </w:r>
      <w:r w:rsidRPr="005D6187">
        <w:rPr>
          <w:rFonts w:ascii="Times New Roman" w:hAnsi="Times New Roman"/>
          <w:sz w:val="24"/>
          <w:szCs w:val="24"/>
        </w:rPr>
        <w:t>quality of data collected.</w:t>
      </w:r>
    </w:p>
    <w:p w:rsidR="00564B4B" w:rsidRPr="005D6187" w:rsidRDefault="00564B4B" w:rsidP="00564B4B">
      <w:pPr>
        <w:spacing w:after="0" w:line="240" w:lineRule="auto"/>
        <w:ind w:firstLine="720"/>
        <w:jc w:val="both"/>
        <w:rPr>
          <w:rFonts w:ascii="Times New Roman" w:hAnsi="Times New Roman"/>
          <w:sz w:val="24"/>
          <w:szCs w:val="24"/>
        </w:rPr>
      </w:pPr>
    </w:p>
    <w:p w:rsidR="008851EF" w:rsidRPr="00C31A96" w:rsidRDefault="00C31A96" w:rsidP="00564B4B">
      <w:pPr>
        <w:spacing w:after="0" w:line="240" w:lineRule="auto"/>
        <w:jc w:val="center"/>
        <w:rPr>
          <w:rFonts w:ascii="Times New Roman" w:hAnsi="Times New Roman"/>
          <w:color w:val="FF0000"/>
          <w:sz w:val="20"/>
          <w:szCs w:val="20"/>
        </w:rPr>
      </w:pPr>
      <w:r>
        <w:rPr>
          <w:rFonts w:ascii="Times New Roman" w:hAnsi="Times New Roman"/>
          <w:b/>
          <w:sz w:val="20"/>
          <w:szCs w:val="20"/>
        </w:rPr>
        <w:t>Table 2.</w:t>
      </w:r>
      <w:r w:rsidR="008851EF" w:rsidRPr="00C31A96">
        <w:rPr>
          <w:rFonts w:ascii="Times New Roman" w:hAnsi="Times New Roman"/>
          <w:sz w:val="20"/>
          <w:szCs w:val="20"/>
        </w:rPr>
        <w:t xml:space="preserve"> Demographic profile of respondents</w:t>
      </w:r>
    </w:p>
    <w:tbl>
      <w:tblPr>
        <w:tblW w:w="6311" w:type="dxa"/>
        <w:jc w:val="center"/>
        <w:tblBorders>
          <w:top w:val="single" w:sz="4" w:space="0" w:color="auto"/>
          <w:bottom w:val="single" w:sz="4" w:space="0" w:color="auto"/>
        </w:tblBorders>
        <w:tblLayout w:type="fixed"/>
        <w:tblLook w:val="04A0" w:firstRow="1" w:lastRow="0" w:firstColumn="1" w:lastColumn="0" w:noHBand="0" w:noVBand="1"/>
      </w:tblPr>
      <w:tblGrid>
        <w:gridCol w:w="20"/>
        <w:gridCol w:w="2709"/>
        <w:gridCol w:w="20"/>
        <w:gridCol w:w="709"/>
        <w:gridCol w:w="121"/>
        <w:gridCol w:w="662"/>
        <w:gridCol w:w="47"/>
        <w:gridCol w:w="709"/>
        <w:gridCol w:w="243"/>
        <w:gridCol w:w="236"/>
        <w:gridCol w:w="797"/>
        <w:gridCol w:w="38"/>
      </w:tblGrid>
      <w:tr w:rsidR="009D3CEA" w:rsidRPr="00845404" w:rsidTr="009D3CEA">
        <w:trPr>
          <w:gridBefore w:val="1"/>
          <w:gridAfter w:val="1"/>
          <w:wBefore w:w="20" w:type="dxa"/>
          <w:wAfter w:w="38" w:type="dxa"/>
          <w:trHeight w:val="144"/>
          <w:jc w:val="center"/>
        </w:trPr>
        <w:tc>
          <w:tcPr>
            <w:tcW w:w="2729" w:type="dxa"/>
            <w:gridSpan w:val="2"/>
            <w:tcBorders>
              <w:top w:val="single" w:sz="4" w:space="0" w:color="auto"/>
              <w:bottom w:val="single" w:sz="4" w:space="0" w:color="auto"/>
            </w:tcBorders>
            <w:shd w:val="clear" w:color="auto" w:fill="BDD6EE"/>
            <w:noWrap/>
            <w:hideMark/>
          </w:tcPr>
          <w:p w:rsidR="009D3CEA" w:rsidRPr="00845404" w:rsidRDefault="009D3CEA" w:rsidP="00564B4B">
            <w:pPr>
              <w:spacing w:after="0" w:line="240" w:lineRule="auto"/>
              <w:rPr>
                <w:rFonts w:ascii="Times New Roman" w:hAnsi="Times New Roman"/>
                <w:b/>
                <w:sz w:val="20"/>
                <w:szCs w:val="20"/>
              </w:rPr>
            </w:pPr>
            <w:r w:rsidRPr="00845404">
              <w:rPr>
                <w:rFonts w:ascii="Times New Roman" w:hAnsi="Times New Roman"/>
                <w:b/>
                <w:sz w:val="20"/>
                <w:szCs w:val="20"/>
              </w:rPr>
              <w:t>Variable</w:t>
            </w:r>
          </w:p>
        </w:tc>
        <w:tc>
          <w:tcPr>
            <w:tcW w:w="709" w:type="dxa"/>
            <w:tcBorders>
              <w:top w:val="single" w:sz="4" w:space="0" w:color="auto"/>
              <w:bottom w:val="single" w:sz="4" w:space="0" w:color="auto"/>
            </w:tcBorders>
            <w:shd w:val="clear" w:color="auto" w:fill="BDD6EE"/>
            <w:noWrap/>
            <w:hideMark/>
          </w:tcPr>
          <w:p w:rsidR="009D3CEA" w:rsidRPr="00845404" w:rsidRDefault="009D3CEA" w:rsidP="00564B4B">
            <w:pPr>
              <w:spacing w:after="0" w:line="240" w:lineRule="auto"/>
              <w:rPr>
                <w:rFonts w:ascii="Times New Roman" w:hAnsi="Times New Roman"/>
                <w:b/>
                <w:sz w:val="20"/>
                <w:szCs w:val="20"/>
              </w:rPr>
            </w:pPr>
            <w:proofErr w:type="spellStart"/>
            <w:r w:rsidRPr="00845404">
              <w:rPr>
                <w:rFonts w:ascii="Times New Roman" w:hAnsi="Times New Roman"/>
                <w:b/>
                <w:sz w:val="20"/>
                <w:szCs w:val="20"/>
              </w:rPr>
              <w:t>Freq</w:t>
            </w:r>
            <w:proofErr w:type="spellEnd"/>
          </w:p>
        </w:tc>
        <w:tc>
          <w:tcPr>
            <w:tcW w:w="783" w:type="dxa"/>
            <w:gridSpan w:val="2"/>
            <w:tcBorders>
              <w:top w:val="single" w:sz="4" w:space="0" w:color="auto"/>
              <w:bottom w:val="single" w:sz="4" w:space="0" w:color="auto"/>
            </w:tcBorders>
            <w:shd w:val="clear" w:color="auto" w:fill="BDD6EE"/>
            <w:noWrap/>
            <w:hideMark/>
          </w:tcPr>
          <w:p w:rsidR="009D3CEA" w:rsidRPr="00845404" w:rsidRDefault="009D3CEA" w:rsidP="00564B4B">
            <w:pPr>
              <w:spacing w:after="0" w:line="240" w:lineRule="auto"/>
              <w:rPr>
                <w:rFonts w:ascii="Times New Roman" w:hAnsi="Times New Roman"/>
                <w:b/>
                <w:sz w:val="20"/>
                <w:szCs w:val="20"/>
              </w:rPr>
            </w:pPr>
            <w:r w:rsidRPr="00845404">
              <w:rPr>
                <w:rFonts w:ascii="Times New Roman" w:hAnsi="Times New Roman"/>
                <w:b/>
                <w:sz w:val="20"/>
                <w:szCs w:val="20"/>
              </w:rPr>
              <w:t>%</w:t>
            </w:r>
          </w:p>
        </w:tc>
        <w:tc>
          <w:tcPr>
            <w:tcW w:w="756" w:type="dxa"/>
            <w:gridSpan w:val="2"/>
            <w:tcBorders>
              <w:top w:val="single" w:sz="4" w:space="0" w:color="auto"/>
              <w:bottom w:val="single" w:sz="4" w:space="0" w:color="auto"/>
            </w:tcBorders>
            <w:shd w:val="clear" w:color="auto" w:fill="BDD6EE"/>
            <w:noWrap/>
            <w:hideMark/>
          </w:tcPr>
          <w:p w:rsidR="009D3CEA" w:rsidRPr="00845404" w:rsidRDefault="009D3CEA" w:rsidP="00564B4B">
            <w:pPr>
              <w:spacing w:after="0" w:line="240" w:lineRule="auto"/>
              <w:rPr>
                <w:rFonts w:ascii="Times New Roman" w:hAnsi="Times New Roman"/>
                <w:b/>
                <w:sz w:val="20"/>
                <w:szCs w:val="20"/>
              </w:rPr>
            </w:pPr>
            <w:r w:rsidRPr="00845404">
              <w:rPr>
                <w:rFonts w:ascii="Times New Roman" w:hAnsi="Times New Roman"/>
                <w:b/>
                <w:sz w:val="20"/>
                <w:szCs w:val="20"/>
              </w:rPr>
              <w:t>MSS</w:t>
            </w:r>
          </w:p>
        </w:tc>
        <w:tc>
          <w:tcPr>
            <w:tcW w:w="1276" w:type="dxa"/>
            <w:gridSpan w:val="3"/>
            <w:tcBorders>
              <w:top w:val="single" w:sz="4" w:space="0" w:color="auto"/>
              <w:bottom w:val="single" w:sz="4" w:space="0" w:color="auto"/>
            </w:tcBorders>
            <w:shd w:val="clear" w:color="auto" w:fill="BDD6EE"/>
          </w:tcPr>
          <w:p w:rsidR="009D3CEA" w:rsidRPr="00845404" w:rsidRDefault="009D3CEA" w:rsidP="00564B4B">
            <w:pPr>
              <w:spacing w:after="0" w:line="240" w:lineRule="auto"/>
              <w:rPr>
                <w:rFonts w:ascii="Times New Roman" w:hAnsi="Times New Roman"/>
                <w:b/>
                <w:sz w:val="20"/>
                <w:szCs w:val="20"/>
              </w:rPr>
            </w:pPr>
            <w:r w:rsidRPr="00845404">
              <w:rPr>
                <w:rFonts w:ascii="Times New Roman" w:hAnsi="Times New Roman"/>
                <w:b/>
                <w:sz w:val="20"/>
                <w:szCs w:val="20"/>
              </w:rPr>
              <w:t>Status</w:t>
            </w:r>
          </w:p>
        </w:tc>
      </w:tr>
      <w:tr w:rsidR="009D3CEA" w:rsidRPr="00845404" w:rsidTr="009D3CEA">
        <w:trPr>
          <w:gridBefore w:val="1"/>
          <w:gridAfter w:val="1"/>
          <w:wBefore w:w="20" w:type="dxa"/>
          <w:wAfter w:w="38" w:type="dxa"/>
          <w:trHeight w:val="144"/>
          <w:jc w:val="center"/>
        </w:trPr>
        <w:tc>
          <w:tcPr>
            <w:tcW w:w="2729" w:type="dxa"/>
            <w:gridSpan w:val="2"/>
            <w:tcBorders>
              <w:top w:val="single" w:sz="4" w:space="0" w:color="auto"/>
            </w:tcBorders>
            <w:shd w:val="clear" w:color="auto" w:fill="auto"/>
            <w:noWrap/>
            <w:hideMark/>
          </w:tcPr>
          <w:p w:rsidR="009D3CEA" w:rsidRPr="00845404" w:rsidRDefault="009D3CEA" w:rsidP="00564B4B">
            <w:pPr>
              <w:spacing w:after="0" w:line="240" w:lineRule="auto"/>
              <w:rPr>
                <w:rFonts w:ascii="Times New Roman" w:hAnsi="Times New Roman"/>
                <w:b/>
                <w:bCs/>
                <w:sz w:val="20"/>
                <w:szCs w:val="20"/>
              </w:rPr>
            </w:pPr>
            <w:r w:rsidRPr="00845404">
              <w:rPr>
                <w:rFonts w:ascii="Times New Roman" w:hAnsi="Times New Roman"/>
                <w:b/>
                <w:bCs/>
                <w:sz w:val="20"/>
                <w:szCs w:val="20"/>
              </w:rPr>
              <w:t>Gender</w:t>
            </w:r>
          </w:p>
        </w:tc>
        <w:tc>
          <w:tcPr>
            <w:tcW w:w="709" w:type="dxa"/>
            <w:tcBorders>
              <w:top w:val="single" w:sz="4" w:space="0" w:color="auto"/>
            </w:tcBorders>
            <w:shd w:val="clear" w:color="auto" w:fill="auto"/>
            <w:noWrap/>
            <w:hideMark/>
          </w:tcPr>
          <w:p w:rsidR="009D3CEA" w:rsidRPr="00845404" w:rsidRDefault="009D3CEA" w:rsidP="00564B4B">
            <w:pPr>
              <w:spacing w:after="0" w:line="240" w:lineRule="auto"/>
              <w:rPr>
                <w:rFonts w:ascii="Times New Roman" w:hAnsi="Times New Roman"/>
                <w:b/>
                <w:bCs/>
                <w:sz w:val="20"/>
                <w:szCs w:val="20"/>
              </w:rPr>
            </w:pPr>
          </w:p>
        </w:tc>
        <w:tc>
          <w:tcPr>
            <w:tcW w:w="783" w:type="dxa"/>
            <w:gridSpan w:val="2"/>
            <w:tcBorders>
              <w:top w:val="single" w:sz="4" w:space="0" w:color="auto"/>
            </w:tcBorders>
            <w:shd w:val="clear" w:color="auto" w:fill="auto"/>
            <w:noWrap/>
            <w:hideMark/>
          </w:tcPr>
          <w:p w:rsidR="009D3CEA" w:rsidRPr="00845404" w:rsidRDefault="009D3CEA" w:rsidP="00564B4B">
            <w:pPr>
              <w:spacing w:after="0" w:line="240" w:lineRule="auto"/>
              <w:rPr>
                <w:rFonts w:ascii="Times New Roman" w:hAnsi="Times New Roman"/>
                <w:sz w:val="20"/>
                <w:szCs w:val="20"/>
              </w:rPr>
            </w:pPr>
          </w:p>
        </w:tc>
        <w:tc>
          <w:tcPr>
            <w:tcW w:w="756" w:type="dxa"/>
            <w:gridSpan w:val="2"/>
            <w:tcBorders>
              <w:top w:val="single" w:sz="4" w:space="0" w:color="auto"/>
            </w:tcBorders>
            <w:shd w:val="clear" w:color="auto" w:fill="auto"/>
            <w:noWrap/>
            <w:hideMark/>
          </w:tcPr>
          <w:p w:rsidR="009D3CEA" w:rsidRPr="00845404" w:rsidRDefault="009D3CEA" w:rsidP="00564B4B">
            <w:pPr>
              <w:spacing w:after="0" w:line="240" w:lineRule="auto"/>
              <w:rPr>
                <w:rFonts w:ascii="Times New Roman" w:hAnsi="Times New Roman"/>
                <w:sz w:val="20"/>
                <w:szCs w:val="20"/>
              </w:rPr>
            </w:pPr>
          </w:p>
        </w:tc>
        <w:tc>
          <w:tcPr>
            <w:tcW w:w="1276" w:type="dxa"/>
            <w:gridSpan w:val="3"/>
            <w:tcBorders>
              <w:top w:val="single" w:sz="4" w:space="0" w:color="auto"/>
            </w:tcBorders>
            <w:shd w:val="clear" w:color="auto" w:fill="auto"/>
          </w:tcPr>
          <w:p w:rsidR="009D3CEA" w:rsidRPr="00845404" w:rsidRDefault="009D3CEA" w:rsidP="00564B4B">
            <w:pPr>
              <w:spacing w:after="0" w:line="240" w:lineRule="auto"/>
              <w:rPr>
                <w:rFonts w:ascii="Times New Roman" w:hAnsi="Times New Roman"/>
                <w:sz w:val="20"/>
                <w:szCs w:val="20"/>
              </w:rPr>
            </w:pP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Male</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34</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82.9</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2.80</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Female</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7</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17.1</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2.72</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9D3CEA" w:rsidRPr="00845404" w:rsidTr="009D3CEA">
        <w:trPr>
          <w:gridBefore w:val="1"/>
          <w:gridAfter w:val="1"/>
          <w:wBefore w:w="20" w:type="dxa"/>
          <w:wAfter w:w="38" w:type="dxa"/>
          <w:trHeight w:val="144"/>
          <w:jc w:val="center"/>
        </w:trPr>
        <w:tc>
          <w:tcPr>
            <w:tcW w:w="4221" w:type="dxa"/>
            <w:gridSpan w:val="5"/>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b/>
                <w:bCs/>
                <w:sz w:val="20"/>
                <w:szCs w:val="20"/>
              </w:rPr>
              <w:t>Marital Status</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Married</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26</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63.4</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2.84</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Single</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15</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36.6</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2.70</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b/>
                <w:bCs/>
                <w:sz w:val="20"/>
                <w:szCs w:val="20"/>
              </w:rPr>
            </w:pPr>
            <w:r w:rsidRPr="00845404">
              <w:rPr>
                <w:rFonts w:ascii="Times New Roman" w:hAnsi="Times New Roman"/>
                <w:b/>
                <w:bCs/>
                <w:sz w:val="20"/>
                <w:szCs w:val="20"/>
              </w:rPr>
              <w:t>Age in years</w:t>
            </w:r>
          </w:p>
        </w:tc>
        <w:tc>
          <w:tcPr>
            <w:tcW w:w="709" w:type="dxa"/>
            <w:shd w:val="clear" w:color="auto" w:fill="auto"/>
            <w:noWrap/>
            <w:hideMark/>
          </w:tcPr>
          <w:p w:rsidR="009D3CEA" w:rsidRPr="00845404" w:rsidRDefault="009D3CEA" w:rsidP="00564B4B">
            <w:pPr>
              <w:spacing w:after="0" w:line="240" w:lineRule="auto"/>
              <w:rPr>
                <w:rFonts w:ascii="Times New Roman" w:hAnsi="Times New Roman"/>
                <w:b/>
                <w:bCs/>
                <w:sz w:val="20"/>
                <w:szCs w:val="20"/>
              </w:rPr>
            </w:pP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&lt;18</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4.9</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1.92</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25-30</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13</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31.7</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2.86</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31-40</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12</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29.3</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2.86</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41-50</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7</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17.1</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2.78</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51-60</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6</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14.6</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2.75</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60+</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1</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2.4</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3.16</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b/>
                <w:bCs/>
                <w:sz w:val="20"/>
                <w:szCs w:val="20"/>
              </w:rPr>
            </w:pPr>
            <w:r w:rsidRPr="00845404">
              <w:rPr>
                <w:rFonts w:ascii="Times New Roman" w:hAnsi="Times New Roman"/>
                <w:b/>
                <w:bCs/>
                <w:sz w:val="20"/>
                <w:szCs w:val="20"/>
              </w:rPr>
              <w:t>Education</w:t>
            </w:r>
          </w:p>
        </w:tc>
        <w:tc>
          <w:tcPr>
            <w:tcW w:w="709" w:type="dxa"/>
            <w:shd w:val="clear" w:color="auto" w:fill="auto"/>
            <w:noWrap/>
            <w:hideMark/>
          </w:tcPr>
          <w:p w:rsidR="009D3CEA" w:rsidRPr="00845404" w:rsidRDefault="009D3CEA" w:rsidP="00564B4B">
            <w:pPr>
              <w:spacing w:after="0" w:line="240" w:lineRule="auto"/>
              <w:rPr>
                <w:rFonts w:ascii="Times New Roman" w:hAnsi="Times New Roman"/>
                <w:b/>
                <w:bCs/>
                <w:sz w:val="20"/>
                <w:szCs w:val="20"/>
              </w:rPr>
            </w:pP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proofErr w:type="spellStart"/>
            <w:r w:rsidRPr="00845404">
              <w:rPr>
                <w:rFonts w:ascii="Times New Roman" w:hAnsi="Times New Roman"/>
                <w:sz w:val="20"/>
                <w:szCs w:val="20"/>
              </w:rPr>
              <w:t>O'Levels</w:t>
            </w:r>
            <w:proofErr w:type="spellEnd"/>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3</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7.3</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1.95</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Diploma</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7</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17.1</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2.70</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 xml:space="preserve">Tertiary </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29</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70.7</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2.91</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No response</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4.9</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2.68</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b/>
                <w:bCs/>
                <w:sz w:val="20"/>
                <w:szCs w:val="20"/>
              </w:rPr>
            </w:pPr>
            <w:r w:rsidRPr="00845404">
              <w:rPr>
                <w:rFonts w:ascii="Times New Roman" w:hAnsi="Times New Roman"/>
                <w:b/>
                <w:bCs/>
                <w:sz w:val="20"/>
                <w:szCs w:val="20"/>
              </w:rPr>
              <w:t xml:space="preserve">Employment </w:t>
            </w:r>
          </w:p>
        </w:tc>
        <w:tc>
          <w:tcPr>
            <w:tcW w:w="709" w:type="dxa"/>
            <w:shd w:val="clear" w:color="auto" w:fill="auto"/>
            <w:noWrap/>
            <w:hideMark/>
          </w:tcPr>
          <w:p w:rsidR="009D3CEA" w:rsidRPr="00845404" w:rsidRDefault="009D3CEA" w:rsidP="00564B4B">
            <w:pPr>
              <w:spacing w:after="0" w:line="240" w:lineRule="auto"/>
              <w:rPr>
                <w:rFonts w:ascii="Times New Roman" w:hAnsi="Times New Roman"/>
                <w:b/>
                <w:bCs/>
                <w:sz w:val="20"/>
                <w:szCs w:val="20"/>
              </w:rPr>
            </w:pP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 xml:space="preserve">Public </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22</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53.7</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2.93</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9D3CEA" w:rsidRPr="00845404" w:rsidTr="009D3CEA">
        <w:trPr>
          <w:gridBefore w:val="1"/>
          <w:gridAfter w:val="1"/>
          <w:wBefore w:w="20" w:type="dxa"/>
          <w:wAfter w:w="38" w:type="dxa"/>
          <w:trHeight w:val="144"/>
          <w:jc w:val="center"/>
        </w:trPr>
        <w:tc>
          <w:tcPr>
            <w:tcW w:w="2729"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Private</w:t>
            </w:r>
          </w:p>
        </w:tc>
        <w:tc>
          <w:tcPr>
            <w:tcW w:w="709" w:type="dxa"/>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13</w:t>
            </w:r>
          </w:p>
        </w:tc>
        <w:tc>
          <w:tcPr>
            <w:tcW w:w="783"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31.7</w:t>
            </w:r>
          </w:p>
        </w:tc>
        <w:tc>
          <w:tcPr>
            <w:tcW w:w="756" w:type="dxa"/>
            <w:gridSpan w:val="2"/>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2.55</w:t>
            </w:r>
          </w:p>
        </w:tc>
        <w:tc>
          <w:tcPr>
            <w:tcW w:w="1276" w:type="dxa"/>
            <w:gridSpan w:val="3"/>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9D3CEA" w:rsidRPr="00845404" w:rsidTr="009D3CEA">
        <w:trPr>
          <w:gridBefore w:val="1"/>
          <w:gridAfter w:val="1"/>
          <w:wBefore w:w="20" w:type="dxa"/>
          <w:wAfter w:w="38" w:type="dxa"/>
          <w:trHeight w:val="144"/>
          <w:jc w:val="center"/>
        </w:trPr>
        <w:tc>
          <w:tcPr>
            <w:tcW w:w="2729" w:type="dxa"/>
            <w:gridSpan w:val="2"/>
            <w:tcBorders>
              <w:bottom w:val="nil"/>
            </w:tcBorders>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Retired</w:t>
            </w:r>
          </w:p>
        </w:tc>
        <w:tc>
          <w:tcPr>
            <w:tcW w:w="709" w:type="dxa"/>
            <w:tcBorders>
              <w:bottom w:val="nil"/>
            </w:tcBorders>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4</w:t>
            </w:r>
          </w:p>
        </w:tc>
        <w:tc>
          <w:tcPr>
            <w:tcW w:w="783" w:type="dxa"/>
            <w:gridSpan w:val="2"/>
            <w:tcBorders>
              <w:bottom w:val="nil"/>
            </w:tcBorders>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9.8</w:t>
            </w:r>
          </w:p>
        </w:tc>
        <w:tc>
          <w:tcPr>
            <w:tcW w:w="756" w:type="dxa"/>
            <w:gridSpan w:val="2"/>
            <w:tcBorders>
              <w:bottom w:val="nil"/>
            </w:tcBorders>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3.02</w:t>
            </w:r>
          </w:p>
        </w:tc>
        <w:tc>
          <w:tcPr>
            <w:tcW w:w="1276" w:type="dxa"/>
            <w:gridSpan w:val="3"/>
            <w:tcBorders>
              <w:bottom w:val="nil"/>
            </w:tcBorders>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9D3CEA" w:rsidRPr="00845404" w:rsidTr="009D3CEA">
        <w:trPr>
          <w:gridBefore w:val="1"/>
          <w:gridAfter w:val="1"/>
          <w:wBefore w:w="20" w:type="dxa"/>
          <w:wAfter w:w="38" w:type="dxa"/>
          <w:trHeight w:val="144"/>
          <w:jc w:val="center"/>
        </w:trPr>
        <w:tc>
          <w:tcPr>
            <w:tcW w:w="2729" w:type="dxa"/>
            <w:gridSpan w:val="2"/>
            <w:tcBorders>
              <w:top w:val="nil"/>
              <w:bottom w:val="nil"/>
            </w:tcBorders>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No response</w:t>
            </w:r>
          </w:p>
        </w:tc>
        <w:tc>
          <w:tcPr>
            <w:tcW w:w="709" w:type="dxa"/>
            <w:tcBorders>
              <w:top w:val="nil"/>
              <w:bottom w:val="nil"/>
            </w:tcBorders>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w:t>
            </w:r>
          </w:p>
        </w:tc>
        <w:tc>
          <w:tcPr>
            <w:tcW w:w="783" w:type="dxa"/>
            <w:gridSpan w:val="2"/>
            <w:tcBorders>
              <w:top w:val="nil"/>
              <w:bottom w:val="nil"/>
            </w:tcBorders>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4.9</w:t>
            </w:r>
          </w:p>
        </w:tc>
        <w:tc>
          <w:tcPr>
            <w:tcW w:w="756" w:type="dxa"/>
            <w:gridSpan w:val="2"/>
            <w:tcBorders>
              <w:top w:val="nil"/>
              <w:bottom w:val="nil"/>
            </w:tcBorders>
            <w:shd w:val="clear" w:color="auto" w:fill="auto"/>
            <w:noWrap/>
            <w:hideMark/>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2.31</w:t>
            </w:r>
          </w:p>
        </w:tc>
        <w:tc>
          <w:tcPr>
            <w:tcW w:w="1276" w:type="dxa"/>
            <w:gridSpan w:val="3"/>
            <w:tcBorders>
              <w:top w:val="nil"/>
              <w:bottom w:val="nil"/>
            </w:tcBorders>
            <w:shd w:val="clear" w:color="auto" w:fill="auto"/>
          </w:tcPr>
          <w:p w:rsidR="009D3CEA" w:rsidRPr="00845404" w:rsidRDefault="009D3CEA" w:rsidP="00564B4B">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564B4B" w:rsidRPr="00845404" w:rsidTr="009D3CEA">
        <w:trPr>
          <w:trHeight w:val="144"/>
          <w:jc w:val="center"/>
        </w:trPr>
        <w:tc>
          <w:tcPr>
            <w:tcW w:w="3579" w:type="dxa"/>
            <w:gridSpan w:val="5"/>
            <w:tcBorders>
              <w:top w:val="nil"/>
              <w:bottom w:val="nil"/>
            </w:tcBorders>
            <w:shd w:val="clear" w:color="auto" w:fill="auto"/>
            <w:noWrap/>
            <w:hideMark/>
          </w:tcPr>
          <w:p w:rsidR="00564B4B" w:rsidRPr="00845404" w:rsidRDefault="00564B4B" w:rsidP="0062577F">
            <w:pPr>
              <w:spacing w:after="0" w:line="240" w:lineRule="auto"/>
              <w:rPr>
                <w:rFonts w:ascii="Times New Roman" w:hAnsi="Times New Roman"/>
                <w:b/>
                <w:bCs/>
                <w:sz w:val="20"/>
                <w:szCs w:val="20"/>
              </w:rPr>
            </w:pPr>
            <w:r w:rsidRPr="00845404">
              <w:rPr>
                <w:rFonts w:ascii="Times New Roman" w:hAnsi="Times New Roman"/>
                <w:b/>
                <w:bCs/>
                <w:sz w:val="20"/>
                <w:szCs w:val="20"/>
              </w:rPr>
              <w:t>Monthly Income (</w:t>
            </w:r>
            <w:r w:rsidRPr="00845404">
              <w:rPr>
                <w:rFonts w:ascii="Times New Roman" w:hAnsi="Times New Roman"/>
                <w:b/>
                <w:bCs/>
                <w:strike/>
                <w:sz w:val="20"/>
                <w:szCs w:val="20"/>
              </w:rPr>
              <w:t>N</w:t>
            </w:r>
            <w:r w:rsidRPr="00845404">
              <w:rPr>
                <w:rFonts w:ascii="Times New Roman" w:hAnsi="Times New Roman"/>
                <w:b/>
                <w:bCs/>
                <w:sz w:val="20"/>
                <w:szCs w:val="20"/>
              </w:rPr>
              <w:t>)</w:t>
            </w:r>
          </w:p>
        </w:tc>
        <w:tc>
          <w:tcPr>
            <w:tcW w:w="709" w:type="dxa"/>
            <w:gridSpan w:val="2"/>
            <w:tcBorders>
              <w:top w:val="nil"/>
              <w:bottom w:val="nil"/>
            </w:tcBorders>
            <w:shd w:val="clear" w:color="auto" w:fill="auto"/>
            <w:noWrap/>
            <w:hideMark/>
          </w:tcPr>
          <w:p w:rsidR="00564B4B" w:rsidRPr="00845404" w:rsidRDefault="00564B4B" w:rsidP="0062577F">
            <w:pPr>
              <w:spacing w:after="0" w:line="240" w:lineRule="auto"/>
              <w:rPr>
                <w:rFonts w:ascii="Times New Roman" w:hAnsi="Times New Roman"/>
                <w:b/>
                <w:bCs/>
                <w:sz w:val="20"/>
                <w:szCs w:val="20"/>
              </w:rPr>
            </w:pPr>
          </w:p>
        </w:tc>
        <w:tc>
          <w:tcPr>
            <w:tcW w:w="709" w:type="dxa"/>
            <w:tcBorders>
              <w:top w:val="nil"/>
              <w:bottom w:val="nil"/>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p>
        </w:tc>
        <w:tc>
          <w:tcPr>
            <w:tcW w:w="1314" w:type="dxa"/>
            <w:gridSpan w:val="4"/>
            <w:tcBorders>
              <w:top w:val="nil"/>
              <w:bottom w:val="nil"/>
            </w:tcBorders>
            <w:shd w:val="clear" w:color="auto" w:fill="auto"/>
          </w:tcPr>
          <w:p w:rsidR="00564B4B" w:rsidRPr="00845404" w:rsidRDefault="00564B4B" w:rsidP="0062577F">
            <w:pPr>
              <w:spacing w:after="0" w:line="240" w:lineRule="auto"/>
              <w:rPr>
                <w:rFonts w:ascii="Times New Roman" w:hAnsi="Times New Roman"/>
                <w:sz w:val="20"/>
                <w:szCs w:val="20"/>
              </w:rPr>
            </w:pPr>
          </w:p>
        </w:tc>
      </w:tr>
      <w:tr w:rsidR="00564B4B" w:rsidRPr="00845404" w:rsidTr="009D3CEA">
        <w:trPr>
          <w:trHeight w:val="144"/>
          <w:jc w:val="center"/>
        </w:trPr>
        <w:tc>
          <w:tcPr>
            <w:tcW w:w="2729" w:type="dxa"/>
            <w:gridSpan w:val="2"/>
            <w:tcBorders>
              <w:top w:val="nil"/>
              <w:bottom w:val="nil"/>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&lt;38,000</w:t>
            </w:r>
          </w:p>
        </w:tc>
        <w:tc>
          <w:tcPr>
            <w:tcW w:w="850" w:type="dxa"/>
            <w:gridSpan w:val="3"/>
            <w:tcBorders>
              <w:top w:val="nil"/>
              <w:bottom w:val="nil"/>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4</w:t>
            </w:r>
          </w:p>
        </w:tc>
        <w:tc>
          <w:tcPr>
            <w:tcW w:w="709" w:type="dxa"/>
            <w:gridSpan w:val="2"/>
            <w:tcBorders>
              <w:top w:val="nil"/>
              <w:bottom w:val="nil"/>
            </w:tcBorders>
            <w:shd w:val="clear" w:color="auto" w:fill="auto"/>
            <w:noWrap/>
            <w:hideMark/>
          </w:tcPr>
          <w:p w:rsidR="00564B4B" w:rsidRPr="00845404" w:rsidRDefault="00564B4B" w:rsidP="009D3CEA">
            <w:pPr>
              <w:spacing w:after="0" w:line="240" w:lineRule="auto"/>
              <w:ind w:left="-108"/>
              <w:rPr>
                <w:rFonts w:ascii="Times New Roman" w:hAnsi="Times New Roman"/>
                <w:sz w:val="20"/>
                <w:szCs w:val="20"/>
              </w:rPr>
            </w:pPr>
            <w:r w:rsidRPr="00845404">
              <w:rPr>
                <w:rFonts w:ascii="Times New Roman" w:hAnsi="Times New Roman"/>
                <w:sz w:val="20"/>
                <w:szCs w:val="20"/>
              </w:rPr>
              <w:t>9.8</w:t>
            </w:r>
          </w:p>
        </w:tc>
        <w:tc>
          <w:tcPr>
            <w:tcW w:w="709" w:type="dxa"/>
            <w:tcBorders>
              <w:top w:val="nil"/>
              <w:bottom w:val="nil"/>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2.10</w:t>
            </w:r>
          </w:p>
        </w:tc>
        <w:tc>
          <w:tcPr>
            <w:tcW w:w="1314" w:type="dxa"/>
            <w:gridSpan w:val="4"/>
            <w:tcBorders>
              <w:top w:val="nil"/>
              <w:bottom w:val="nil"/>
            </w:tcBorders>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564B4B" w:rsidRPr="00845404" w:rsidTr="009D3CEA">
        <w:trPr>
          <w:trHeight w:val="144"/>
          <w:jc w:val="center"/>
        </w:trPr>
        <w:tc>
          <w:tcPr>
            <w:tcW w:w="2729" w:type="dxa"/>
            <w:gridSpan w:val="2"/>
            <w:tcBorders>
              <w:top w:val="nil"/>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lastRenderedPageBreak/>
              <w:t>38-50,000</w:t>
            </w:r>
          </w:p>
        </w:tc>
        <w:tc>
          <w:tcPr>
            <w:tcW w:w="850" w:type="dxa"/>
            <w:gridSpan w:val="3"/>
            <w:tcBorders>
              <w:top w:val="nil"/>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5</w:t>
            </w:r>
          </w:p>
        </w:tc>
        <w:tc>
          <w:tcPr>
            <w:tcW w:w="709" w:type="dxa"/>
            <w:gridSpan w:val="2"/>
            <w:tcBorders>
              <w:top w:val="nil"/>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12.2</w:t>
            </w:r>
          </w:p>
        </w:tc>
        <w:tc>
          <w:tcPr>
            <w:tcW w:w="709" w:type="dxa"/>
            <w:tcBorders>
              <w:top w:val="nil"/>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2.72</w:t>
            </w:r>
          </w:p>
        </w:tc>
        <w:tc>
          <w:tcPr>
            <w:tcW w:w="1314" w:type="dxa"/>
            <w:gridSpan w:val="4"/>
            <w:tcBorders>
              <w:top w:val="nil"/>
            </w:tcBorders>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51-100,000</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15</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36.6</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2.86</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101-150,000</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14</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34.1</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2.94</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150,000+</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3</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7.3</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2.78</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564B4B" w:rsidRPr="00845404" w:rsidTr="009D3CEA">
        <w:trPr>
          <w:trHeight w:val="144"/>
          <w:jc w:val="center"/>
        </w:trPr>
        <w:tc>
          <w:tcPr>
            <w:tcW w:w="3579" w:type="dxa"/>
            <w:gridSpan w:val="5"/>
            <w:shd w:val="clear" w:color="auto" w:fill="auto"/>
            <w:noWrap/>
            <w:hideMark/>
          </w:tcPr>
          <w:p w:rsidR="00564B4B" w:rsidRPr="00845404" w:rsidRDefault="00564B4B" w:rsidP="0062577F">
            <w:pPr>
              <w:spacing w:after="0" w:line="240" w:lineRule="auto"/>
              <w:rPr>
                <w:rFonts w:ascii="Times New Roman" w:hAnsi="Times New Roman"/>
                <w:b/>
                <w:bCs/>
                <w:sz w:val="20"/>
                <w:szCs w:val="20"/>
              </w:rPr>
            </w:pPr>
            <w:r w:rsidRPr="00845404">
              <w:rPr>
                <w:rFonts w:ascii="Times New Roman" w:hAnsi="Times New Roman"/>
                <w:b/>
                <w:bCs/>
                <w:sz w:val="20"/>
                <w:szCs w:val="20"/>
              </w:rPr>
              <w:t>Length of Stay</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b/>
                <w:bCs/>
                <w:sz w:val="20"/>
                <w:szCs w:val="20"/>
              </w:rPr>
            </w:pP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&lt;3 years</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20</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48.8</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2.70</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3-10 years</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21</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51.2</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2.88</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564B4B" w:rsidRPr="00845404" w:rsidTr="009D3CEA">
        <w:trPr>
          <w:trHeight w:val="144"/>
          <w:jc w:val="center"/>
        </w:trPr>
        <w:tc>
          <w:tcPr>
            <w:tcW w:w="3579" w:type="dxa"/>
            <w:gridSpan w:val="5"/>
            <w:shd w:val="clear" w:color="auto" w:fill="auto"/>
            <w:noWrap/>
            <w:hideMark/>
          </w:tcPr>
          <w:p w:rsidR="00564B4B" w:rsidRPr="00845404" w:rsidRDefault="00564B4B" w:rsidP="0062577F">
            <w:pPr>
              <w:spacing w:after="0" w:line="240" w:lineRule="auto"/>
              <w:rPr>
                <w:rFonts w:ascii="Times New Roman" w:hAnsi="Times New Roman"/>
                <w:b/>
                <w:bCs/>
                <w:sz w:val="20"/>
                <w:szCs w:val="20"/>
              </w:rPr>
            </w:pPr>
            <w:r w:rsidRPr="00845404">
              <w:rPr>
                <w:rFonts w:ascii="Times New Roman" w:hAnsi="Times New Roman"/>
                <w:b/>
                <w:bCs/>
                <w:sz w:val="20"/>
                <w:szCs w:val="20"/>
              </w:rPr>
              <w:t>Household size</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b/>
                <w:bCs/>
                <w:sz w:val="20"/>
                <w:szCs w:val="20"/>
              </w:rPr>
            </w:pP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&lt;4</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13</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31.7</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2.65</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4</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8</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9.5</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3.00</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4+</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20</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48.8</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2.79</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b/>
                <w:bCs/>
                <w:sz w:val="20"/>
                <w:szCs w:val="20"/>
              </w:rPr>
            </w:pPr>
            <w:r w:rsidRPr="00845404">
              <w:rPr>
                <w:rFonts w:ascii="Times New Roman" w:hAnsi="Times New Roman"/>
                <w:b/>
                <w:bCs/>
                <w:sz w:val="20"/>
                <w:szCs w:val="20"/>
              </w:rPr>
              <w:t>Tenure</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b/>
                <w:bCs/>
                <w:sz w:val="20"/>
                <w:szCs w:val="20"/>
              </w:rPr>
            </w:pP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Owner occupied</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29</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70.7</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2.82</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Rented</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8</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19.5</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2.86</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No response</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4</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9.8</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2.42</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564B4B" w:rsidRPr="00845404" w:rsidTr="009D3CEA">
        <w:trPr>
          <w:trHeight w:val="144"/>
          <w:jc w:val="center"/>
        </w:trPr>
        <w:tc>
          <w:tcPr>
            <w:tcW w:w="5240" w:type="dxa"/>
            <w:gridSpan w:val="9"/>
            <w:shd w:val="clear" w:color="auto" w:fill="auto"/>
            <w:noWrap/>
            <w:hideMark/>
          </w:tcPr>
          <w:p w:rsidR="00564B4B" w:rsidRPr="00845404" w:rsidRDefault="00564B4B" w:rsidP="0062577F">
            <w:pPr>
              <w:spacing w:after="0" w:line="240" w:lineRule="auto"/>
              <w:rPr>
                <w:rFonts w:ascii="Times New Roman" w:hAnsi="Times New Roman"/>
                <w:b/>
                <w:bCs/>
                <w:sz w:val="20"/>
                <w:szCs w:val="20"/>
              </w:rPr>
            </w:pPr>
            <w:r w:rsidRPr="00845404">
              <w:rPr>
                <w:rFonts w:ascii="Times New Roman" w:hAnsi="Times New Roman"/>
                <w:b/>
                <w:bCs/>
                <w:sz w:val="20"/>
                <w:szCs w:val="20"/>
              </w:rPr>
              <w:t>Number of Bedrooms</w:t>
            </w:r>
          </w:p>
        </w:tc>
        <w:tc>
          <w:tcPr>
            <w:tcW w:w="236" w:type="dxa"/>
            <w:shd w:val="clear" w:color="auto" w:fill="auto"/>
          </w:tcPr>
          <w:p w:rsidR="00564B4B" w:rsidRPr="00845404" w:rsidRDefault="00564B4B" w:rsidP="0062577F">
            <w:pPr>
              <w:spacing w:after="0" w:line="240" w:lineRule="auto"/>
              <w:rPr>
                <w:rFonts w:ascii="Times New Roman" w:hAnsi="Times New Roman"/>
                <w:b/>
                <w:bCs/>
                <w:sz w:val="20"/>
                <w:szCs w:val="20"/>
              </w:rPr>
            </w:pPr>
          </w:p>
        </w:tc>
        <w:tc>
          <w:tcPr>
            <w:tcW w:w="835" w:type="dxa"/>
            <w:gridSpan w:val="2"/>
            <w:shd w:val="clear" w:color="auto" w:fill="auto"/>
            <w:noWrap/>
            <w:hideMark/>
          </w:tcPr>
          <w:p w:rsidR="00564B4B" w:rsidRPr="00845404" w:rsidRDefault="00564B4B" w:rsidP="0062577F">
            <w:pPr>
              <w:spacing w:after="0" w:line="240" w:lineRule="auto"/>
              <w:rPr>
                <w:rFonts w:ascii="Times New Roman" w:hAnsi="Times New Roman"/>
                <w:b/>
                <w:bCs/>
                <w:sz w:val="20"/>
                <w:szCs w:val="20"/>
              </w:rPr>
            </w:pP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16</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39</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2.76</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3</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22</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53.7</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2.82</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564B4B" w:rsidRPr="00845404" w:rsidTr="009D3CEA">
        <w:trPr>
          <w:trHeight w:val="144"/>
          <w:jc w:val="center"/>
        </w:trPr>
        <w:tc>
          <w:tcPr>
            <w:tcW w:w="2729" w:type="dxa"/>
            <w:gridSpan w:val="2"/>
            <w:shd w:val="clear" w:color="auto" w:fill="auto"/>
            <w:noWrap/>
            <w:hideMark/>
          </w:tcPr>
          <w:p w:rsidR="00564B4B" w:rsidRPr="00845404" w:rsidRDefault="00564B4B" w:rsidP="0062577F">
            <w:pPr>
              <w:spacing w:after="0" w:line="240" w:lineRule="auto"/>
              <w:rPr>
                <w:rFonts w:ascii="Times New Roman" w:hAnsi="Times New Roman"/>
                <w:color w:val="FF0000"/>
                <w:sz w:val="20"/>
                <w:szCs w:val="20"/>
              </w:rPr>
            </w:pPr>
            <w:r w:rsidRPr="00845404">
              <w:rPr>
                <w:rFonts w:ascii="Times New Roman" w:hAnsi="Times New Roman"/>
                <w:sz w:val="20"/>
                <w:szCs w:val="20"/>
              </w:rPr>
              <w:t xml:space="preserve">4 </w:t>
            </w:r>
          </w:p>
        </w:tc>
        <w:tc>
          <w:tcPr>
            <w:tcW w:w="850" w:type="dxa"/>
            <w:gridSpan w:val="3"/>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1</w:t>
            </w:r>
          </w:p>
        </w:tc>
        <w:tc>
          <w:tcPr>
            <w:tcW w:w="709" w:type="dxa"/>
            <w:gridSpan w:val="2"/>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2.4</w:t>
            </w:r>
          </w:p>
        </w:tc>
        <w:tc>
          <w:tcPr>
            <w:tcW w:w="709" w:type="dxa"/>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3.16</w:t>
            </w:r>
          </w:p>
        </w:tc>
        <w:tc>
          <w:tcPr>
            <w:tcW w:w="1314" w:type="dxa"/>
            <w:gridSpan w:val="4"/>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Satisfied</w:t>
            </w:r>
          </w:p>
        </w:tc>
      </w:tr>
      <w:tr w:rsidR="00564B4B" w:rsidRPr="00845404" w:rsidTr="009D3CEA">
        <w:trPr>
          <w:trHeight w:val="144"/>
          <w:jc w:val="center"/>
        </w:trPr>
        <w:tc>
          <w:tcPr>
            <w:tcW w:w="2729" w:type="dxa"/>
            <w:gridSpan w:val="2"/>
            <w:tcBorders>
              <w:bottom w:val="single" w:sz="4" w:space="0" w:color="auto"/>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No response</w:t>
            </w:r>
          </w:p>
        </w:tc>
        <w:tc>
          <w:tcPr>
            <w:tcW w:w="850" w:type="dxa"/>
            <w:gridSpan w:val="3"/>
            <w:tcBorders>
              <w:bottom w:val="single" w:sz="4" w:space="0" w:color="auto"/>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w:t>
            </w:r>
          </w:p>
        </w:tc>
        <w:tc>
          <w:tcPr>
            <w:tcW w:w="709" w:type="dxa"/>
            <w:gridSpan w:val="2"/>
            <w:tcBorders>
              <w:bottom w:val="single" w:sz="4" w:space="0" w:color="auto"/>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4.9</w:t>
            </w:r>
          </w:p>
        </w:tc>
        <w:tc>
          <w:tcPr>
            <w:tcW w:w="709" w:type="dxa"/>
            <w:tcBorders>
              <w:bottom w:val="single" w:sz="4" w:space="0" w:color="auto"/>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2.45</w:t>
            </w:r>
          </w:p>
        </w:tc>
        <w:tc>
          <w:tcPr>
            <w:tcW w:w="1314" w:type="dxa"/>
            <w:gridSpan w:val="4"/>
            <w:tcBorders>
              <w:bottom w:val="single" w:sz="4" w:space="0" w:color="auto"/>
            </w:tcBorders>
            <w:shd w:val="clear" w:color="auto" w:fill="auto"/>
          </w:tcPr>
          <w:p w:rsidR="00564B4B" w:rsidRPr="00845404" w:rsidRDefault="00564B4B" w:rsidP="0062577F">
            <w:pPr>
              <w:spacing w:after="0" w:line="240" w:lineRule="auto"/>
              <w:rPr>
                <w:rFonts w:ascii="Times New Roman" w:hAnsi="Times New Roman"/>
                <w:sz w:val="20"/>
                <w:szCs w:val="20"/>
              </w:rPr>
            </w:pPr>
            <w:r w:rsidRPr="00845404">
              <w:rPr>
                <w:rFonts w:ascii="Times New Roman" w:hAnsi="Times New Roman"/>
                <w:sz w:val="20"/>
                <w:szCs w:val="20"/>
              </w:rPr>
              <w:t>Unsatisfied</w:t>
            </w:r>
          </w:p>
        </w:tc>
      </w:tr>
      <w:tr w:rsidR="00564B4B" w:rsidRPr="00845404" w:rsidTr="009D3CEA">
        <w:trPr>
          <w:trHeight w:val="144"/>
          <w:jc w:val="center"/>
        </w:trPr>
        <w:tc>
          <w:tcPr>
            <w:tcW w:w="3579" w:type="dxa"/>
            <w:gridSpan w:val="5"/>
            <w:tcBorders>
              <w:top w:val="single" w:sz="4" w:space="0" w:color="auto"/>
              <w:bottom w:val="single" w:sz="4" w:space="0" w:color="auto"/>
            </w:tcBorders>
            <w:shd w:val="clear" w:color="auto" w:fill="auto"/>
            <w:noWrap/>
            <w:hideMark/>
          </w:tcPr>
          <w:p w:rsidR="00564B4B" w:rsidRPr="00845404" w:rsidRDefault="00564B4B" w:rsidP="0062577F">
            <w:pPr>
              <w:spacing w:after="0" w:line="240" w:lineRule="auto"/>
              <w:rPr>
                <w:rFonts w:ascii="Times New Roman" w:hAnsi="Times New Roman"/>
                <w:i/>
                <w:iCs/>
                <w:sz w:val="20"/>
                <w:szCs w:val="20"/>
              </w:rPr>
            </w:pPr>
            <w:r w:rsidRPr="00845404">
              <w:rPr>
                <w:rFonts w:ascii="Times New Roman" w:hAnsi="Times New Roman"/>
                <w:i/>
                <w:iCs/>
                <w:sz w:val="20"/>
                <w:szCs w:val="20"/>
              </w:rPr>
              <w:t xml:space="preserve">Overall MSS 2.79 </w:t>
            </w:r>
          </w:p>
        </w:tc>
        <w:tc>
          <w:tcPr>
            <w:tcW w:w="709" w:type="dxa"/>
            <w:gridSpan w:val="2"/>
            <w:tcBorders>
              <w:top w:val="single" w:sz="4" w:space="0" w:color="auto"/>
              <w:bottom w:val="single" w:sz="4" w:space="0" w:color="auto"/>
            </w:tcBorders>
            <w:shd w:val="clear" w:color="auto" w:fill="auto"/>
            <w:noWrap/>
            <w:hideMark/>
          </w:tcPr>
          <w:p w:rsidR="00564B4B" w:rsidRPr="00845404" w:rsidRDefault="00564B4B" w:rsidP="0062577F">
            <w:pPr>
              <w:spacing w:after="0" w:line="240" w:lineRule="auto"/>
              <w:rPr>
                <w:rFonts w:ascii="Times New Roman" w:hAnsi="Times New Roman"/>
                <w:i/>
                <w:iCs/>
                <w:sz w:val="20"/>
                <w:szCs w:val="20"/>
              </w:rPr>
            </w:pPr>
          </w:p>
        </w:tc>
        <w:tc>
          <w:tcPr>
            <w:tcW w:w="709" w:type="dxa"/>
            <w:tcBorders>
              <w:top w:val="single" w:sz="4" w:space="0" w:color="auto"/>
              <w:bottom w:val="single" w:sz="4" w:space="0" w:color="auto"/>
            </w:tcBorders>
            <w:shd w:val="clear" w:color="auto" w:fill="auto"/>
            <w:noWrap/>
            <w:hideMark/>
          </w:tcPr>
          <w:p w:rsidR="00564B4B" w:rsidRPr="00845404" w:rsidRDefault="00564B4B" w:rsidP="0062577F">
            <w:pPr>
              <w:spacing w:after="0" w:line="240" w:lineRule="auto"/>
              <w:rPr>
                <w:rFonts w:ascii="Times New Roman" w:hAnsi="Times New Roman"/>
                <w:sz w:val="20"/>
                <w:szCs w:val="20"/>
              </w:rPr>
            </w:pPr>
          </w:p>
        </w:tc>
        <w:tc>
          <w:tcPr>
            <w:tcW w:w="1314" w:type="dxa"/>
            <w:gridSpan w:val="4"/>
            <w:tcBorders>
              <w:top w:val="single" w:sz="4" w:space="0" w:color="auto"/>
              <w:bottom w:val="single" w:sz="4" w:space="0" w:color="auto"/>
            </w:tcBorders>
            <w:shd w:val="clear" w:color="auto" w:fill="auto"/>
          </w:tcPr>
          <w:p w:rsidR="00564B4B" w:rsidRPr="00845404" w:rsidRDefault="00564B4B" w:rsidP="0062577F">
            <w:pPr>
              <w:spacing w:after="0" w:line="240" w:lineRule="auto"/>
              <w:rPr>
                <w:rFonts w:ascii="Times New Roman" w:hAnsi="Times New Roman"/>
                <w:sz w:val="20"/>
                <w:szCs w:val="20"/>
              </w:rPr>
            </w:pPr>
          </w:p>
        </w:tc>
      </w:tr>
    </w:tbl>
    <w:p w:rsidR="008851EF" w:rsidRPr="005D6187" w:rsidRDefault="008851EF" w:rsidP="00564B4B">
      <w:pPr>
        <w:spacing w:after="0" w:line="240" w:lineRule="auto"/>
        <w:rPr>
          <w:rFonts w:ascii="Times New Roman" w:hAnsi="Times New Roman"/>
        </w:rPr>
      </w:pPr>
    </w:p>
    <w:p w:rsidR="008851EF" w:rsidRPr="005D6187" w:rsidRDefault="008851EF" w:rsidP="00564B4B">
      <w:pPr>
        <w:spacing w:after="0" w:line="240" w:lineRule="auto"/>
        <w:ind w:firstLine="720"/>
        <w:jc w:val="both"/>
        <w:rPr>
          <w:rFonts w:ascii="Times New Roman" w:hAnsi="Times New Roman"/>
          <w:sz w:val="24"/>
          <w:szCs w:val="24"/>
        </w:rPr>
      </w:pPr>
      <w:r w:rsidRPr="005D6187">
        <w:rPr>
          <w:rFonts w:ascii="Times New Roman" w:hAnsi="Times New Roman"/>
          <w:sz w:val="24"/>
          <w:szCs w:val="24"/>
        </w:rPr>
        <w:t xml:space="preserve">Overall, MSS of 2.79 implies </w:t>
      </w:r>
      <w:r>
        <w:rPr>
          <w:rFonts w:ascii="Times New Roman" w:hAnsi="Times New Roman"/>
          <w:sz w:val="24"/>
          <w:szCs w:val="24"/>
        </w:rPr>
        <w:t xml:space="preserve">that </w:t>
      </w:r>
      <w:r w:rsidRPr="005D6187">
        <w:rPr>
          <w:rFonts w:ascii="Times New Roman" w:hAnsi="Times New Roman"/>
          <w:sz w:val="24"/>
          <w:szCs w:val="24"/>
        </w:rPr>
        <w:t xml:space="preserve">residents </w:t>
      </w:r>
      <w:r w:rsidR="00007B3C">
        <w:rPr>
          <w:rFonts w:ascii="Times New Roman" w:hAnsi="Times New Roman"/>
          <w:sz w:val="24"/>
          <w:szCs w:val="24"/>
        </w:rPr>
        <w:t>we</w:t>
      </w:r>
      <w:r w:rsidRPr="005D6187">
        <w:rPr>
          <w:rFonts w:ascii="Times New Roman" w:hAnsi="Times New Roman"/>
          <w:sz w:val="24"/>
          <w:szCs w:val="24"/>
        </w:rPr>
        <w:t>re d</w:t>
      </w:r>
      <w:r w:rsidR="0088128F">
        <w:rPr>
          <w:rFonts w:ascii="Times New Roman" w:hAnsi="Times New Roman"/>
          <w:sz w:val="24"/>
          <w:szCs w:val="24"/>
        </w:rPr>
        <w:t>issatisfied based on global cut-</w:t>
      </w:r>
      <w:r w:rsidRPr="005D6187">
        <w:rPr>
          <w:rFonts w:ascii="Times New Roman" w:hAnsi="Times New Roman"/>
          <w:sz w:val="24"/>
          <w:szCs w:val="24"/>
        </w:rPr>
        <w:t xml:space="preserve">off point of 3.0. Dwelling features (M 2.9, SD 0.57) recorded the highest mean score, followed by </w:t>
      </w:r>
      <w:proofErr w:type="spellStart"/>
      <w:r w:rsidRPr="005D6187">
        <w:rPr>
          <w:rFonts w:ascii="Times New Roman" w:hAnsi="Times New Roman"/>
          <w:sz w:val="24"/>
          <w:szCs w:val="24"/>
        </w:rPr>
        <w:t>neighbourhood</w:t>
      </w:r>
      <w:proofErr w:type="spellEnd"/>
      <w:r w:rsidRPr="005D6187">
        <w:rPr>
          <w:rFonts w:ascii="Times New Roman" w:hAnsi="Times New Roman"/>
          <w:sz w:val="24"/>
          <w:szCs w:val="24"/>
        </w:rPr>
        <w:t xml:space="preserve"> environment (M 2.7, SD 0.59) and lastly, management (M 2.6, SD 0.72). This finding supports the third characteristic of RS studies employing Housing</w:t>
      </w:r>
      <w:r>
        <w:rPr>
          <w:rFonts w:ascii="Times New Roman" w:hAnsi="Times New Roman"/>
          <w:sz w:val="24"/>
          <w:szCs w:val="24"/>
        </w:rPr>
        <w:t xml:space="preserve"> Habitability</w:t>
      </w:r>
      <w:r w:rsidR="0088128F">
        <w:rPr>
          <w:rFonts w:ascii="Times New Roman" w:hAnsi="Times New Roman"/>
          <w:sz w:val="24"/>
          <w:szCs w:val="24"/>
        </w:rPr>
        <w:t xml:space="preserve"> System framework presented </w:t>
      </w:r>
      <w:r>
        <w:rPr>
          <w:rFonts w:ascii="Times New Roman" w:hAnsi="Times New Roman"/>
          <w:sz w:val="24"/>
          <w:szCs w:val="24"/>
        </w:rPr>
        <w:t>in the</w:t>
      </w:r>
      <w:r w:rsidRPr="005D6187">
        <w:rPr>
          <w:rFonts w:ascii="Times New Roman" w:hAnsi="Times New Roman"/>
          <w:sz w:val="24"/>
          <w:szCs w:val="24"/>
        </w:rPr>
        <w:t xml:space="preserve"> literature</w:t>
      </w:r>
      <w:r>
        <w:rPr>
          <w:rFonts w:ascii="Times New Roman" w:hAnsi="Times New Roman"/>
          <w:sz w:val="24"/>
          <w:szCs w:val="24"/>
        </w:rPr>
        <w:t xml:space="preserve"> review</w:t>
      </w:r>
      <w:r w:rsidRPr="005D6187">
        <w:rPr>
          <w:rFonts w:ascii="Times New Roman" w:hAnsi="Times New Roman"/>
          <w:sz w:val="24"/>
          <w:szCs w:val="24"/>
        </w:rPr>
        <w:t>.</w:t>
      </w:r>
    </w:p>
    <w:p w:rsidR="008851EF" w:rsidRPr="005D6187" w:rsidRDefault="00F17057" w:rsidP="00564B4B">
      <w:pPr>
        <w:spacing w:after="0" w:line="240" w:lineRule="auto"/>
        <w:ind w:firstLine="720"/>
        <w:jc w:val="both"/>
        <w:rPr>
          <w:rFonts w:ascii="Times New Roman" w:hAnsi="Times New Roman"/>
          <w:sz w:val="24"/>
          <w:szCs w:val="24"/>
        </w:rPr>
      </w:pPr>
      <w:r>
        <w:rPr>
          <w:rFonts w:ascii="Times New Roman" w:hAnsi="Times New Roman"/>
          <w:sz w:val="24"/>
          <w:szCs w:val="24"/>
        </w:rPr>
        <w:t>Residents</w:t>
      </w:r>
      <w:r w:rsidR="008851EF" w:rsidRPr="005D6187">
        <w:rPr>
          <w:rFonts w:ascii="Times New Roman" w:hAnsi="Times New Roman"/>
          <w:sz w:val="24"/>
          <w:szCs w:val="24"/>
        </w:rPr>
        <w:t xml:space="preserve"> rate</w:t>
      </w:r>
      <w:r w:rsidR="008851EF">
        <w:rPr>
          <w:rFonts w:ascii="Times New Roman" w:hAnsi="Times New Roman"/>
          <w:sz w:val="24"/>
          <w:szCs w:val="24"/>
        </w:rPr>
        <w:t>d</w:t>
      </w:r>
      <w:r w:rsidR="008851EF" w:rsidRPr="005D6187">
        <w:rPr>
          <w:rFonts w:ascii="Times New Roman" w:hAnsi="Times New Roman"/>
          <w:sz w:val="24"/>
          <w:szCs w:val="24"/>
        </w:rPr>
        <w:t xml:space="preserve"> 14 (45%) dwelling and </w:t>
      </w:r>
      <w:proofErr w:type="spellStart"/>
      <w:r w:rsidR="008851EF" w:rsidRPr="005D6187">
        <w:rPr>
          <w:rFonts w:ascii="Times New Roman" w:hAnsi="Times New Roman"/>
          <w:sz w:val="24"/>
          <w:szCs w:val="24"/>
        </w:rPr>
        <w:t>neighbourhood</w:t>
      </w:r>
      <w:proofErr w:type="spellEnd"/>
      <w:r w:rsidR="008851EF" w:rsidRPr="005D6187">
        <w:rPr>
          <w:rFonts w:ascii="Times New Roman" w:hAnsi="Times New Roman"/>
          <w:sz w:val="24"/>
          <w:szCs w:val="24"/>
        </w:rPr>
        <w:t xml:space="preserve"> related variables satisfactory (Table 3). These include electricity supply, </w:t>
      </w:r>
      <w:r w:rsidR="008851EF">
        <w:rPr>
          <w:rFonts w:ascii="Times New Roman" w:hAnsi="Times New Roman"/>
          <w:sz w:val="24"/>
          <w:szCs w:val="24"/>
        </w:rPr>
        <w:t>natural lighting and ventilation</w:t>
      </w:r>
      <w:r w:rsidR="008851EF" w:rsidRPr="005D6187">
        <w:rPr>
          <w:rFonts w:ascii="Times New Roman" w:hAnsi="Times New Roman"/>
          <w:sz w:val="24"/>
          <w:szCs w:val="24"/>
        </w:rPr>
        <w:t xml:space="preserve">, location and privacy of the dwelling, level of crime/anti-social </w:t>
      </w:r>
      <w:proofErr w:type="spellStart"/>
      <w:r w:rsidR="008851EF" w:rsidRPr="005D6187">
        <w:rPr>
          <w:rFonts w:ascii="Times New Roman" w:hAnsi="Times New Roman"/>
          <w:sz w:val="24"/>
          <w:szCs w:val="24"/>
        </w:rPr>
        <w:t>b</w:t>
      </w:r>
      <w:r w:rsidR="00EA5B14">
        <w:rPr>
          <w:rFonts w:ascii="Times New Roman" w:hAnsi="Times New Roman"/>
          <w:sz w:val="24"/>
          <w:szCs w:val="24"/>
        </w:rPr>
        <w:t>ehaviour</w:t>
      </w:r>
      <w:proofErr w:type="spellEnd"/>
      <w:r w:rsidR="00EA5B14">
        <w:rPr>
          <w:rFonts w:ascii="Times New Roman" w:hAnsi="Times New Roman"/>
          <w:sz w:val="24"/>
          <w:szCs w:val="24"/>
        </w:rPr>
        <w:t>, cleanliness, security</w:t>
      </w:r>
      <w:r w:rsidR="008851EF" w:rsidRPr="005D6187">
        <w:rPr>
          <w:rFonts w:ascii="Times New Roman" w:hAnsi="Times New Roman"/>
          <w:sz w:val="24"/>
          <w:szCs w:val="24"/>
        </w:rPr>
        <w:t xml:space="preserve"> </w:t>
      </w:r>
      <w:r w:rsidR="00EA5B14" w:rsidRPr="005D6187">
        <w:rPr>
          <w:rFonts w:ascii="Times New Roman" w:hAnsi="Times New Roman"/>
          <w:sz w:val="24"/>
          <w:szCs w:val="24"/>
        </w:rPr>
        <w:t>and suitability</w:t>
      </w:r>
      <w:r w:rsidR="008851EF" w:rsidRPr="005D6187">
        <w:rPr>
          <w:rFonts w:ascii="Times New Roman" w:hAnsi="Times New Roman"/>
          <w:sz w:val="24"/>
          <w:szCs w:val="24"/>
        </w:rPr>
        <w:t xml:space="preserve"> of location to lifestyle, external appearance of dwelling, proximity to school and nearest market, dwelling type as well as bath/toil</w:t>
      </w:r>
      <w:r w:rsidR="008851EF">
        <w:rPr>
          <w:rFonts w:ascii="Times New Roman" w:hAnsi="Times New Roman"/>
          <w:sz w:val="24"/>
          <w:szCs w:val="24"/>
        </w:rPr>
        <w:t>et facilities.  Other variables</w:t>
      </w:r>
      <w:r w:rsidR="008851EF" w:rsidRPr="005D6187">
        <w:rPr>
          <w:rFonts w:ascii="Times New Roman" w:hAnsi="Times New Roman"/>
          <w:sz w:val="24"/>
          <w:szCs w:val="24"/>
        </w:rPr>
        <w:t xml:space="preserve"> comprising aspects of all three subsystems were dissatisfa</w:t>
      </w:r>
      <w:r>
        <w:rPr>
          <w:rFonts w:ascii="Times New Roman" w:hAnsi="Times New Roman"/>
          <w:sz w:val="24"/>
          <w:szCs w:val="24"/>
        </w:rPr>
        <w:t xml:space="preserve">ctory. Dissatisfactory dwelling </w:t>
      </w:r>
      <w:r w:rsidR="008851EF" w:rsidRPr="005D6187">
        <w:rPr>
          <w:rFonts w:ascii="Times New Roman" w:hAnsi="Times New Roman"/>
          <w:sz w:val="24"/>
          <w:szCs w:val="24"/>
        </w:rPr>
        <w:t xml:space="preserve">related variables were sizes and number of bedrooms, sizes of living, cooking and storage spaces. </w:t>
      </w:r>
      <w:r w:rsidR="008851EF">
        <w:rPr>
          <w:rFonts w:ascii="Times New Roman" w:hAnsi="Times New Roman"/>
          <w:sz w:val="24"/>
          <w:szCs w:val="24"/>
        </w:rPr>
        <w:t>Ranked last was w</w:t>
      </w:r>
      <w:r w:rsidR="008851EF" w:rsidRPr="005D6187">
        <w:rPr>
          <w:rFonts w:ascii="Times New Roman" w:hAnsi="Times New Roman"/>
          <w:sz w:val="24"/>
          <w:szCs w:val="24"/>
        </w:rPr>
        <w:t>ater supply, an aspect of housing services</w:t>
      </w:r>
      <w:r w:rsidR="00A002C0">
        <w:rPr>
          <w:rFonts w:ascii="Times New Roman" w:hAnsi="Times New Roman"/>
          <w:sz w:val="24"/>
          <w:szCs w:val="24"/>
        </w:rPr>
        <w:t>,</w:t>
      </w:r>
      <w:r w:rsidR="008851EF" w:rsidRPr="005D6187">
        <w:rPr>
          <w:rFonts w:ascii="Times New Roman" w:hAnsi="Times New Roman"/>
          <w:sz w:val="24"/>
          <w:szCs w:val="24"/>
        </w:rPr>
        <w:t xml:space="preserve"> the only variable </w:t>
      </w:r>
      <w:r w:rsidR="00A002C0">
        <w:rPr>
          <w:rFonts w:ascii="Times New Roman" w:hAnsi="Times New Roman"/>
          <w:sz w:val="24"/>
          <w:szCs w:val="24"/>
        </w:rPr>
        <w:t>that</w:t>
      </w:r>
      <w:r w:rsidR="008851EF">
        <w:rPr>
          <w:rFonts w:ascii="Times New Roman" w:hAnsi="Times New Roman"/>
          <w:sz w:val="24"/>
          <w:szCs w:val="24"/>
        </w:rPr>
        <w:t xml:space="preserve"> recorded</w:t>
      </w:r>
      <w:r w:rsidR="008851EF" w:rsidRPr="005D6187">
        <w:rPr>
          <w:rFonts w:ascii="Times New Roman" w:hAnsi="Times New Roman"/>
          <w:sz w:val="24"/>
          <w:szCs w:val="24"/>
        </w:rPr>
        <w:t xml:space="preserve"> </w:t>
      </w:r>
      <w:r w:rsidR="008851EF">
        <w:rPr>
          <w:rFonts w:ascii="Times New Roman" w:hAnsi="Times New Roman"/>
          <w:sz w:val="24"/>
          <w:szCs w:val="24"/>
        </w:rPr>
        <w:t xml:space="preserve">a </w:t>
      </w:r>
      <w:r w:rsidR="008851EF" w:rsidRPr="005D6187">
        <w:rPr>
          <w:rFonts w:ascii="Times New Roman" w:hAnsi="Times New Roman"/>
          <w:sz w:val="24"/>
          <w:szCs w:val="24"/>
        </w:rPr>
        <w:t xml:space="preserve">mean </w:t>
      </w:r>
      <w:r w:rsidR="008851EF">
        <w:rPr>
          <w:rFonts w:ascii="Times New Roman" w:hAnsi="Times New Roman"/>
          <w:sz w:val="24"/>
          <w:szCs w:val="24"/>
        </w:rPr>
        <w:t>value below 2.0 in Table 3</w:t>
      </w:r>
      <w:r w:rsidR="008851EF" w:rsidRPr="005D6187">
        <w:rPr>
          <w:rFonts w:ascii="Times New Roman" w:hAnsi="Times New Roman"/>
          <w:sz w:val="24"/>
          <w:szCs w:val="24"/>
        </w:rPr>
        <w:t xml:space="preserve">. Dissatisfactory </w:t>
      </w:r>
      <w:proofErr w:type="spellStart"/>
      <w:r w:rsidR="008851EF" w:rsidRPr="005D6187">
        <w:rPr>
          <w:rFonts w:ascii="Times New Roman" w:hAnsi="Times New Roman"/>
          <w:sz w:val="24"/>
          <w:szCs w:val="24"/>
        </w:rPr>
        <w:t>neighbourhood</w:t>
      </w:r>
      <w:proofErr w:type="spellEnd"/>
      <w:r w:rsidR="008851EF" w:rsidRPr="005D6187">
        <w:rPr>
          <w:rFonts w:ascii="Times New Roman" w:hAnsi="Times New Roman"/>
          <w:sz w:val="24"/>
          <w:szCs w:val="24"/>
        </w:rPr>
        <w:t xml:space="preserve"> environment variables include proximity to shopping</w:t>
      </w:r>
      <w:r w:rsidR="008851EF">
        <w:rPr>
          <w:rFonts w:ascii="Times New Roman" w:hAnsi="Times New Roman"/>
          <w:sz w:val="24"/>
          <w:szCs w:val="24"/>
        </w:rPr>
        <w:t xml:space="preserve"> facilities</w:t>
      </w:r>
      <w:r w:rsidR="008851EF" w:rsidRPr="005D6187">
        <w:rPr>
          <w:rFonts w:ascii="Times New Roman" w:hAnsi="Times New Roman"/>
          <w:sz w:val="24"/>
          <w:szCs w:val="24"/>
        </w:rPr>
        <w:t>, recreation/sports, workplaces, healthcare facilities, urban infrastructure, type of building materials, quality of communal activities, prices of goods and services, rules/regulations of residency, rent/cost of housing, FM and maintenance as well as availability of job opportunities. All management related variables were dissatisfactory.</w:t>
      </w:r>
    </w:p>
    <w:p w:rsidR="006F3C77" w:rsidRDefault="006F3C77" w:rsidP="006F3C77">
      <w:pPr>
        <w:spacing w:after="0" w:line="240" w:lineRule="auto"/>
        <w:ind w:firstLine="720"/>
        <w:jc w:val="both"/>
        <w:rPr>
          <w:rFonts w:ascii="Times New Roman" w:hAnsi="Times New Roman"/>
          <w:sz w:val="24"/>
          <w:szCs w:val="24"/>
        </w:rPr>
      </w:pPr>
      <w:r w:rsidRPr="005D6187">
        <w:rPr>
          <w:rFonts w:ascii="Times New Roman" w:hAnsi="Times New Roman"/>
          <w:sz w:val="24"/>
          <w:szCs w:val="24"/>
        </w:rPr>
        <w:t xml:space="preserve">In response to research question </w:t>
      </w:r>
      <w:r>
        <w:rPr>
          <w:rFonts w:ascii="Times New Roman" w:hAnsi="Times New Roman"/>
          <w:sz w:val="24"/>
          <w:szCs w:val="24"/>
        </w:rPr>
        <w:t>two</w:t>
      </w:r>
      <w:r w:rsidRPr="005D6187">
        <w:rPr>
          <w:rFonts w:ascii="Times New Roman" w:hAnsi="Times New Roman"/>
          <w:sz w:val="24"/>
          <w:szCs w:val="24"/>
        </w:rPr>
        <w:t xml:space="preserve">, eight components emerged from user ratings of dwelling, </w:t>
      </w:r>
      <w:proofErr w:type="spellStart"/>
      <w:r w:rsidRPr="005D6187">
        <w:rPr>
          <w:rFonts w:ascii="Times New Roman" w:hAnsi="Times New Roman"/>
          <w:sz w:val="24"/>
          <w:szCs w:val="24"/>
        </w:rPr>
        <w:t>neighbourhood</w:t>
      </w:r>
      <w:proofErr w:type="spellEnd"/>
      <w:r w:rsidRPr="005D6187">
        <w:rPr>
          <w:rFonts w:ascii="Times New Roman" w:hAnsi="Times New Roman"/>
          <w:sz w:val="24"/>
          <w:szCs w:val="24"/>
        </w:rPr>
        <w:t xml:space="preserve"> and management vari</w:t>
      </w:r>
      <w:r>
        <w:rPr>
          <w:rFonts w:ascii="Times New Roman" w:hAnsi="Times New Roman"/>
          <w:sz w:val="24"/>
          <w:szCs w:val="24"/>
        </w:rPr>
        <w:t>ables, explaining 74% variance in Table 4</w:t>
      </w:r>
      <w:r w:rsidRPr="005D6187">
        <w:rPr>
          <w:rFonts w:ascii="Times New Roman" w:hAnsi="Times New Roman"/>
          <w:sz w:val="24"/>
          <w:szCs w:val="24"/>
        </w:rPr>
        <w:t>. All components comprise aspects of at le</w:t>
      </w:r>
      <w:r>
        <w:rPr>
          <w:rFonts w:ascii="Times New Roman" w:hAnsi="Times New Roman"/>
          <w:sz w:val="24"/>
          <w:szCs w:val="24"/>
        </w:rPr>
        <w:t>ast two of the three subsystems. This observation</w:t>
      </w:r>
      <w:r w:rsidRPr="005D6187">
        <w:rPr>
          <w:rFonts w:ascii="Times New Roman" w:hAnsi="Times New Roman"/>
          <w:sz w:val="24"/>
          <w:szCs w:val="24"/>
        </w:rPr>
        <w:t xml:space="preserve"> support</w:t>
      </w:r>
      <w:r>
        <w:rPr>
          <w:rFonts w:ascii="Times New Roman" w:hAnsi="Times New Roman"/>
          <w:sz w:val="24"/>
          <w:szCs w:val="24"/>
        </w:rPr>
        <w:t>s</w:t>
      </w:r>
      <w:r w:rsidRPr="005D6187">
        <w:rPr>
          <w:rFonts w:ascii="Times New Roman" w:hAnsi="Times New Roman"/>
          <w:sz w:val="24"/>
          <w:szCs w:val="24"/>
        </w:rPr>
        <w:t xml:space="preserve"> the fourth characteristic of RS studies employing Housing Habitability framework from literature. </w:t>
      </w:r>
    </w:p>
    <w:p w:rsidR="00B97F9C" w:rsidRDefault="00B97F9C" w:rsidP="00564B4B">
      <w:pPr>
        <w:spacing w:after="0" w:line="240" w:lineRule="auto"/>
        <w:jc w:val="center"/>
        <w:rPr>
          <w:rFonts w:ascii="Times New Roman" w:hAnsi="Times New Roman"/>
          <w:b/>
          <w:sz w:val="20"/>
          <w:szCs w:val="20"/>
        </w:rPr>
      </w:pPr>
    </w:p>
    <w:p w:rsidR="006F3C77" w:rsidRDefault="006F3C77" w:rsidP="00564B4B">
      <w:pPr>
        <w:spacing w:after="0" w:line="240" w:lineRule="auto"/>
        <w:jc w:val="center"/>
        <w:rPr>
          <w:rFonts w:ascii="Times New Roman" w:hAnsi="Times New Roman"/>
          <w:b/>
          <w:sz w:val="20"/>
          <w:szCs w:val="20"/>
        </w:rPr>
      </w:pPr>
    </w:p>
    <w:p w:rsidR="006F3C77" w:rsidRDefault="006F3C77" w:rsidP="00564B4B">
      <w:pPr>
        <w:spacing w:after="0" w:line="240" w:lineRule="auto"/>
        <w:jc w:val="center"/>
        <w:rPr>
          <w:rFonts w:ascii="Times New Roman" w:hAnsi="Times New Roman"/>
          <w:b/>
          <w:sz w:val="20"/>
          <w:szCs w:val="20"/>
        </w:rPr>
      </w:pPr>
    </w:p>
    <w:p w:rsidR="006F3C77" w:rsidRDefault="006F3C77" w:rsidP="00564B4B">
      <w:pPr>
        <w:spacing w:after="0" w:line="240" w:lineRule="auto"/>
        <w:jc w:val="center"/>
        <w:rPr>
          <w:rFonts w:ascii="Times New Roman" w:hAnsi="Times New Roman"/>
          <w:b/>
          <w:sz w:val="20"/>
          <w:szCs w:val="20"/>
        </w:rPr>
      </w:pPr>
    </w:p>
    <w:p w:rsidR="006F3C77" w:rsidRDefault="006F3C77" w:rsidP="00564B4B">
      <w:pPr>
        <w:spacing w:after="0" w:line="240" w:lineRule="auto"/>
        <w:jc w:val="center"/>
        <w:rPr>
          <w:rFonts w:ascii="Times New Roman" w:hAnsi="Times New Roman"/>
          <w:b/>
          <w:sz w:val="20"/>
          <w:szCs w:val="20"/>
        </w:rPr>
      </w:pPr>
    </w:p>
    <w:p w:rsidR="00D05776" w:rsidRDefault="00D05776" w:rsidP="00564B4B">
      <w:pPr>
        <w:spacing w:after="0" w:line="240" w:lineRule="auto"/>
        <w:jc w:val="center"/>
        <w:rPr>
          <w:rFonts w:ascii="Times New Roman" w:hAnsi="Times New Roman"/>
          <w:b/>
          <w:sz w:val="20"/>
          <w:szCs w:val="20"/>
        </w:rPr>
      </w:pPr>
    </w:p>
    <w:p w:rsidR="006F3C77" w:rsidRDefault="006F3C77" w:rsidP="00564B4B">
      <w:pPr>
        <w:spacing w:after="0" w:line="240" w:lineRule="auto"/>
        <w:jc w:val="center"/>
        <w:rPr>
          <w:rFonts w:ascii="Times New Roman" w:hAnsi="Times New Roman"/>
          <w:b/>
          <w:sz w:val="20"/>
          <w:szCs w:val="20"/>
        </w:rPr>
      </w:pPr>
    </w:p>
    <w:p w:rsidR="008851EF" w:rsidRDefault="00C31A96" w:rsidP="00564B4B">
      <w:pPr>
        <w:spacing w:after="0" w:line="240" w:lineRule="auto"/>
        <w:jc w:val="center"/>
        <w:rPr>
          <w:rFonts w:ascii="Times New Roman" w:hAnsi="Times New Roman"/>
          <w:sz w:val="20"/>
          <w:szCs w:val="20"/>
        </w:rPr>
      </w:pPr>
      <w:r>
        <w:rPr>
          <w:rFonts w:ascii="Times New Roman" w:hAnsi="Times New Roman"/>
          <w:b/>
          <w:sz w:val="20"/>
          <w:szCs w:val="20"/>
        </w:rPr>
        <w:lastRenderedPageBreak/>
        <w:t>Table 3.</w:t>
      </w:r>
      <w:r w:rsidR="008851EF" w:rsidRPr="00C31A96">
        <w:rPr>
          <w:rFonts w:ascii="Times New Roman" w:hAnsi="Times New Roman"/>
          <w:sz w:val="20"/>
          <w:szCs w:val="20"/>
        </w:rPr>
        <w:t xml:space="preserve"> Satisfaction levels of housing environment attributes based on residents’ perception</w:t>
      </w:r>
    </w:p>
    <w:p w:rsidR="00B97F9C" w:rsidRPr="00C31A96" w:rsidRDefault="00B97F9C" w:rsidP="00564B4B">
      <w:pPr>
        <w:spacing w:after="0" w:line="240" w:lineRule="auto"/>
        <w:jc w:val="center"/>
        <w:rPr>
          <w:rFonts w:ascii="Times New Roman" w:hAnsi="Times New Roman"/>
          <w:sz w:val="20"/>
          <w:szCs w:val="20"/>
        </w:rPr>
      </w:pPr>
    </w:p>
    <w:tbl>
      <w:tblPr>
        <w:tblW w:w="9469" w:type="dxa"/>
        <w:tblBorders>
          <w:top w:val="single" w:sz="4" w:space="0" w:color="auto"/>
          <w:bottom w:val="single" w:sz="4" w:space="0" w:color="auto"/>
        </w:tblBorders>
        <w:tblLook w:val="04A0" w:firstRow="1" w:lastRow="0" w:firstColumn="1" w:lastColumn="0" w:noHBand="0" w:noVBand="1"/>
      </w:tblPr>
      <w:tblGrid>
        <w:gridCol w:w="4338"/>
        <w:gridCol w:w="1350"/>
        <w:gridCol w:w="1440"/>
        <w:gridCol w:w="899"/>
        <w:gridCol w:w="1442"/>
      </w:tblGrid>
      <w:tr w:rsidR="008851EF" w:rsidRPr="00845404" w:rsidTr="00845404">
        <w:trPr>
          <w:trHeight w:val="144"/>
        </w:trPr>
        <w:tc>
          <w:tcPr>
            <w:tcW w:w="4338" w:type="dxa"/>
            <w:tcBorders>
              <w:top w:val="single" w:sz="4" w:space="0" w:color="auto"/>
              <w:bottom w:val="single" w:sz="4" w:space="0" w:color="auto"/>
            </w:tcBorders>
            <w:shd w:val="clear" w:color="auto" w:fill="BDD6EE"/>
            <w:hideMark/>
          </w:tcPr>
          <w:p w:rsidR="008851EF" w:rsidRPr="00845404" w:rsidRDefault="008851EF" w:rsidP="00564B4B">
            <w:pPr>
              <w:spacing w:after="0" w:line="240" w:lineRule="auto"/>
              <w:rPr>
                <w:rFonts w:ascii="Times New Roman" w:hAnsi="Times New Roman"/>
                <w:b/>
                <w:sz w:val="20"/>
                <w:szCs w:val="20"/>
              </w:rPr>
            </w:pPr>
            <w:r w:rsidRPr="00845404">
              <w:rPr>
                <w:rFonts w:ascii="Times New Roman" w:hAnsi="Times New Roman"/>
                <w:b/>
                <w:sz w:val="20"/>
                <w:szCs w:val="20"/>
              </w:rPr>
              <w:t>Housing attributes</w:t>
            </w:r>
          </w:p>
        </w:tc>
        <w:tc>
          <w:tcPr>
            <w:tcW w:w="1350" w:type="dxa"/>
            <w:tcBorders>
              <w:top w:val="single" w:sz="4" w:space="0" w:color="auto"/>
              <w:bottom w:val="single" w:sz="4" w:space="0" w:color="auto"/>
            </w:tcBorders>
            <w:shd w:val="clear" w:color="auto" w:fill="BDD6EE"/>
            <w:hideMark/>
          </w:tcPr>
          <w:p w:rsidR="008851EF" w:rsidRPr="00845404" w:rsidRDefault="008851EF" w:rsidP="00564B4B">
            <w:pPr>
              <w:spacing w:after="0" w:line="240" w:lineRule="auto"/>
              <w:rPr>
                <w:rFonts w:ascii="Times New Roman" w:hAnsi="Times New Roman"/>
                <w:b/>
                <w:sz w:val="20"/>
                <w:szCs w:val="20"/>
              </w:rPr>
            </w:pPr>
            <w:r w:rsidRPr="00845404">
              <w:rPr>
                <w:rFonts w:ascii="Times New Roman" w:hAnsi="Times New Roman"/>
                <w:b/>
                <w:sz w:val="20"/>
                <w:szCs w:val="20"/>
              </w:rPr>
              <w:t>Mean</w:t>
            </w:r>
          </w:p>
        </w:tc>
        <w:tc>
          <w:tcPr>
            <w:tcW w:w="1440" w:type="dxa"/>
            <w:tcBorders>
              <w:top w:val="single" w:sz="4" w:space="0" w:color="auto"/>
              <w:bottom w:val="single" w:sz="4" w:space="0" w:color="auto"/>
            </w:tcBorders>
            <w:shd w:val="clear" w:color="auto" w:fill="BDD6EE"/>
            <w:hideMark/>
          </w:tcPr>
          <w:p w:rsidR="008851EF" w:rsidRPr="00845404" w:rsidRDefault="008851EF" w:rsidP="00564B4B">
            <w:pPr>
              <w:spacing w:after="0" w:line="240" w:lineRule="auto"/>
              <w:rPr>
                <w:rFonts w:ascii="Times New Roman" w:hAnsi="Times New Roman"/>
                <w:b/>
                <w:sz w:val="20"/>
                <w:szCs w:val="20"/>
              </w:rPr>
            </w:pPr>
            <w:r w:rsidRPr="00845404">
              <w:rPr>
                <w:rFonts w:ascii="Times New Roman" w:hAnsi="Times New Roman"/>
                <w:b/>
                <w:sz w:val="20"/>
                <w:szCs w:val="20"/>
              </w:rPr>
              <w:t>SD</w:t>
            </w:r>
          </w:p>
        </w:tc>
        <w:tc>
          <w:tcPr>
            <w:tcW w:w="899" w:type="dxa"/>
            <w:tcBorders>
              <w:top w:val="single" w:sz="4" w:space="0" w:color="auto"/>
              <w:bottom w:val="single" w:sz="4" w:space="0" w:color="auto"/>
            </w:tcBorders>
            <w:shd w:val="clear" w:color="auto" w:fill="BDD6EE"/>
          </w:tcPr>
          <w:p w:rsidR="008851EF" w:rsidRPr="00845404" w:rsidRDefault="008851EF" w:rsidP="00564B4B">
            <w:pPr>
              <w:spacing w:after="0" w:line="240" w:lineRule="auto"/>
              <w:rPr>
                <w:rFonts w:ascii="Times New Roman" w:hAnsi="Times New Roman"/>
                <w:b/>
                <w:sz w:val="20"/>
                <w:szCs w:val="20"/>
              </w:rPr>
            </w:pPr>
            <w:r w:rsidRPr="00845404">
              <w:rPr>
                <w:rFonts w:ascii="Times New Roman" w:hAnsi="Times New Roman"/>
                <w:b/>
                <w:sz w:val="20"/>
                <w:szCs w:val="20"/>
              </w:rPr>
              <w:t>Rank</w:t>
            </w:r>
          </w:p>
        </w:tc>
        <w:tc>
          <w:tcPr>
            <w:tcW w:w="1442" w:type="dxa"/>
            <w:tcBorders>
              <w:top w:val="single" w:sz="4" w:space="0" w:color="auto"/>
              <w:bottom w:val="single" w:sz="4" w:space="0" w:color="auto"/>
            </w:tcBorders>
            <w:shd w:val="clear" w:color="auto" w:fill="BDD6EE"/>
          </w:tcPr>
          <w:p w:rsidR="008851EF" w:rsidRPr="00845404" w:rsidRDefault="008851EF" w:rsidP="00564B4B">
            <w:pPr>
              <w:spacing w:after="0" w:line="240" w:lineRule="auto"/>
              <w:rPr>
                <w:rFonts w:ascii="Times New Roman" w:hAnsi="Times New Roman"/>
                <w:b/>
                <w:sz w:val="20"/>
                <w:szCs w:val="20"/>
              </w:rPr>
            </w:pPr>
            <w:r w:rsidRPr="00845404">
              <w:rPr>
                <w:rFonts w:ascii="Times New Roman" w:hAnsi="Times New Roman"/>
                <w:b/>
                <w:sz w:val="20"/>
                <w:szCs w:val="20"/>
              </w:rPr>
              <w:t>Remark*</w:t>
            </w:r>
          </w:p>
        </w:tc>
      </w:tr>
      <w:tr w:rsidR="008851EF" w:rsidRPr="00845404" w:rsidTr="00845404">
        <w:trPr>
          <w:trHeight w:val="144"/>
        </w:trPr>
        <w:tc>
          <w:tcPr>
            <w:tcW w:w="4338" w:type="dxa"/>
            <w:tcBorders>
              <w:top w:val="single" w:sz="4" w:space="0" w:color="auto"/>
            </w:tcBorders>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Electricity‎/power supply</w:t>
            </w:r>
          </w:p>
        </w:tc>
        <w:tc>
          <w:tcPr>
            <w:tcW w:w="1350" w:type="dxa"/>
            <w:tcBorders>
              <w:top w:val="single" w:sz="4" w:space="0" w:color="auto"/>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3.55</w:t>
            </w:r>
          </w:p>
        </w:tc>
        <w:tc>
          <w:tcPr>
            <w:tcW w:w="1440" w:type="dxa"/>
            <w:tcBorders>
              <w:top w:val="single" w:sz="4" w:space="0" w:color="auto"/>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1.154</w:t>
            </w:r>
          </w:p>
        </w:tc>
        <w:tc>
          <w:tcPr>
            <w:tcW w:w="899" w:type="dxa"/>
            <w:tcBorders>
              <w:top w:val="single" w:sz="4" w:space="0" w:color="auto"/>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w:t>
            </w:r>
          </w:p>
        </w:tc>
        <w:tc>
          <w:tcPr>
            <w:tcW w:w="1442" w:type="dxa"/>
            <w:tcBorders>
              <w:top w:val="single" w:sz="4" w:space="0" w:color="auto"/>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Satisfactory</w:t>
            </w: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Noise levels in house‎ and estate</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3.54</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0.900</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(45%)</w:t>
            </w: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Natural lighting‎ and ventilation</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3.49</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0.997</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3</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Location of your house</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3.41</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1.140</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4</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Level of privacy in your house</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3.38</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1.161</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5</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 xml:space="preserve">Level of crime ‎and anti-social </w:t>
            </w:r>
            <w:proofErr w:type="spellStart"/>
            <w:r w:rsidRPr="00845404">
              <w:rPr>
                <w:rFonts w:ascii="Times New Roman" w:hAnsi="Times New Roman"/>
                <w:sz w:val="20"/>
                <w:szCs w:val="20"/>
              </w:rPr>
              <w:t>behaviour</w:t>
            </w:r>
            <w:proofErr w:type="spellEnd"/>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3.22</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0.976</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6</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9D3CEA">
        <w:trPr>
          <w:trHeight w:val="144"/>
        </w:trPr>
        <w:tc>
          <w:tcPr>
            <w:tcW w:w="4338" w:type="dxa"/>
            <w:tcBorders>
              <w:bottom w:val="nil"/>
            </w:tcBorders>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Level of general cleanliness</w:t>
            </w:r>
          </w:p>
        </w:tc>
        <w:tc>
          <w:tcPr>
            <w:tcW w:w="1350" w:type="dxa"/>
            <w:tcBorders>
              <w:bottom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3.18</w:t>
            </w:r>
          </w:p>
        </w:tc>
        <w:tc>
          <w:tcPr>
            <w:tcW w:w="1440" w:type="dxa"/>
            <w:tcBorders>
              <w:bottom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0.914</w:t>
            </w:r>
          </w:p>
        </w:tc>
        <w:tc>
          <w:tcPr>
            <w:tcW w:w="899" w:type="dxa"/>
            <w:tcBorders>
              <w:bottom w:val="nil"/>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7</w:t>
            </w:r>
          </w:p>
        </w:tc>
        <w:tc>
          <w:tcPr>
            <w:tcW w:w="1442" w:type="dxa"/>
            <w:tcBorders>
              <w:bottom w:val="nil"/>
            </w:tcBorders>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9D3CEA">
        <w:trPr>
          <w:trHeight w:val="144"/>
        </w:trPr>
        <w:tc>
          <w:tcPr>
            <w:tcW w:w="4338" w:type="dxa"/>
            <w:tcBorders>
              <w:top w:val="nil"/>
              <w:bottom w:val="nil"/>
            </w:tcBorders>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Level of security to life‎ and property</w:t>
            </w:r>
          </w:p>
        </w:tc>
        <w:tc>
          <w:tcPr>
            <w:tcW w:w="1350" w:type="dxa"/>
            <w:tcBorders>
              <w:top w:val="nil"/>
              <w:bottom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3.14</w:t>
            </w:r>
          </w:p>
        </w:tc>
        <w:tc>
          <w:tcPr>
            <w:tcW w:w="1440" w:type="dxa"/>
            <w:tcBorders>
              <w:top w:val="nil"/>
              <w:bottom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0.855</w:t>
            </w:r>
          </w:p>
        </w:tc>
        <w:tc>
          <w:tcPr>
            <w:tcW w:w="899" w:type="dxa"/>
            <w:tcBorders>
              <w:top w:val="nil"/>
              <w:bottom w:val="nil"/>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8</w:t>
            </w:r>
          </w:p>
        </w:tc>
        <w:tc>
          <w:tcPr>
            <w:tcW w:w="1442" w:type="dxa"/>
            <w:tcBorders>
              <w:top w:val="nil"/>
              <w:bottom w:val="nil"/>
            </w:tcBorders>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9D3CEA">
        <w:trPr>
          <w:trHeight w:val="144"/>
        </w:trPr>
        <w:tc>
          <w:tcPr>
            <w:tcW w:w="4338" w:type="dxa"/>
            <w:tcBorders>
              <w:top w:val="nil"/>
            </w:tcBorders>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Suitability of location to lifestyle</w:t>
            </w:r>
          </w:p>
        </w:tc>
        <w:tc>
          <w:tcPr>
            <w:tcW w:w="1350" w:type="dxa"/>
            <w:tcBorders>
              <w:top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3.09</w:t>
            </w:r>
          </w:p>
        </w:tc>
        <w:tc>
          <w:tcPr>
            <w:tcW w:w="1440" w:type="dxa"/>
            <w:tcBorders>
              <w:top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0.951</w:t>
            </w:r>
          </w:p>
        </w:tc>
        <w:tc>
          <w:tcPr>
            <w:tcW w:w="899" w:type="dxa"/>
            <w:tcBorders>
              <w:top w:val="nil"/>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9</w:t>
            </w:r>
          </w:p>
        </w:tc>
        <w:tc>
          <w:tcPr>
            <w:tcW w:w="1442" w:type="dxa"/>
            <w:tcBorders>
              <w:top w:val="nil"/>
            </w:tcBorders>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tcBorders>
              <w:bottom w:val="nil"/>
            </w:tcBorders>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External appearance of your house</w:t>
            </w:r>
          </w:p>
        </w:tc>
        <w:tc>
          <w:tcPr>
            <w:tcW w:w="1350" w:type="dxa"/>
            <w:tcBorders>
              <w:bottom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2.98</w:t>
            </w:r>
          </w:p>
        </w:tc>
        <w:tc>
          <w:tcPr>
            <w:tcW w:w="1440" w:type="dxa"/>
            <w:tcBorders>
              <w:bottom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1.012</w:t>
            </w:r>
          </w:p>
        </w:tc>
        <w:tc>
          <w:tcPr>
            <w:tcW w:w="899" w:type="dxa"/>
            <w:tcBorders>
              <w:bottom w:val="nil"/>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10</w:t>
            </w:r>
          </w:p>
        </w:tc>
        <w:tc>
          <w:tcPr>
            <w:tcW w:w="1442" w:type="dxa"/>
            <w:tcBorders>
              <w:bottom w:val="nil"/>
            </w:tcBorders>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tcBorders>
              <w:top w:val="nil"/>
              <w:bottom w:val="nil"/>
            </w:tcBorders>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Proximity to children's school</w:t>
            </w:r>
          </w:p>
        </w:tc>
        <w:tc>
          <w:tcPr>
            <w:tcW w:w="1350" w:type="dxa"/>
            <w:tcBorders>
              <w:top w:val="nil"/>
              <w:bottom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2.98</w:t>
            </w:r>
          </w:p>
        </w:tc>
        <w:tc>
          <w:tcPr>
            <w:tcW w:w="1440" w:type="dxa"/>
            <w:tcBorders>
              <w:top w:val="nil"/>
              <w:bottom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1.050</w:t>
            </w:r>
          </w:p>
        </w:tc>
        <w:tc>
          <w:tcPr>
            <w:tcW w:w="899" w:type="dxa"/>
            <w:tcBorders>
              <w:top w:val="nil"/>
              <w:bottom w:val="nil"/>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10</w:t>
            </w:r>
          </w:p>
        </w:tc>
        <w:tc>
          <w:tcPr>
            <w:tcW w:w="1442" w:type="dxa"/>
            <w:tcBorders>
              <w:top w:val="nil"/>
              <w:bottom w:val="nil"/>
            </w:tcBorders>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tcBorders>
              <w:top w:val="nil"/>
            </w:tcBorders>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Proximity to nearest market</w:t>
            </w:r>
          </w:p>
        </w:tc>
        <w:tc>
          <w:tcPr>
            <w:tcW w:w="1350" w:type="dxa"/>
            <w:tcBorders>
              <w:top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2.93</w:t>
            </w:r>
          </w:p>
        </w:tc>
        <w:tc>
          <w:tcPr>
            <w:tcW w:w="1440" w:type="dxa"/>
            <w:tcBorders>
              <w:top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0.888</w:t>
            </w:r>
          </w:p>
        </w:tc>
        <w:tc>
          <w:tcPr>
            <w:tcW w:w="899" w:type="dxa"/>
            <w:tcBorders>
              <w:top w:val="nil"/>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12</w:t>
            </w:r>
          </w:p>
        </w:tc>
        <w:tc>
          <w:tcPr>
            <w:tcW w:w="1442" w:type="dxa"/>
            <w:tcBorders>
              <w:top w:val="nil"/>
            </w:tcBorders>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Type of house</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2.88</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1.181</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13</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tcBorders>
              <w:bottom w:val="single" w:sz="4" w:space="0" w:color="auto"/>
            </w:tcBorders>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Bath‎ and toilet facilities</w:t>
            </w:r>
          </w:p>
        </w:tc>
        <w:tc>
          <w:tcPr>
            <w:tcW w:w="1350" w:type="dxa"/>
            <w:tcBorders>
              <w:bottom w:val="single" w:sz="4" w:space="0" w:color="auto"/>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2.83</w:t>
            </w:r>
          </w:p>
        </w:tc>
        <w:tc>
          <w:tcPr>
            <w:tcW w:w="1440" w:type="dxa"/>
            <w:tcBorders>
              <w:bottom w:val="single" w:sz="4" w:space="0" w:color="auto"/>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0.946</w:t>
            </w:r>
          </w:p>
        </w:tc>
        <w:tc>
          <w:tcPr>
            <w:tcW w:w="899" w:type="dxa"/>
            <w:tcBorders>
              <w:bottom w:val="single" w:sz="4" w:space="0" w:color="auto"/>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14</w:t>
            </w:r>
          </w:p>
        </w:tc>
        <w:tc>
          <w:tcPr>
            <w:tcW w:w="1442" w:type="dxa"/>
            <w:tcBorders>
              <w:bottom w:val="single" w:sz="4" w:space="0" w:color="auto"/>
            </w:tcBorders>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tcBorders>
              <w:top w:val="single" w:sz="4" w:space="0" w:color="auto"/>
              <w:bottom w:val="nil"/>
            </w:tcBorders>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Proximity to shopping facilities</w:t>
            </w:r>
          </w:p>
        </w:tc>
        <w:tc>
          <w:tcPr>
            <w:tcW w:w="1350" w:type="dxa"/>
            <w:tcBorders>
              <w:top w:val="single" w:sz="4" w:space="0" w:color="auto"/>
              <w:bottom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2.75</w:t>
            </w:r>
          </w:p>
        </w:tc>
        <w:tc>
          <w:tcPr>
            <w:tcW w:w="1440" w:type="dxa"/>
            <w:tcBorders>
              <w:top w:val="single" w:sz="4" w:space="0" w:color="auto"/>
              <w:bottom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0.981</w:t>
            </w:r>
          </w:p>
        </w:tc>
        <w:tc>
          <w:tcPr>
            <w:tcW w:w="899" w:type="dxa"/>
            <w:tcBorders>
              <w:top w:val="single" w:sz="4" w:space="0" w:color="auto"/>
              <w:bottom w:val="nil"/>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15</w:t>
            </w:r>
          </w:p>
        </w:tc>
        <w:tc>
          <w:tcPr>
            <w:tcW w:w="1442" w:type="dxa"/>
            <w:tcBorders>
              <w:top w:val="single" w:sz="4" w:space="0" w:color="auto"/>
              <w:bottom w:val="nil"/>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Dissatisfactory</w:t>
            </w:r>
          </w:p>
        </w:tc>
      </w:tr>
      <w:tr w:rsidR="008851EF" w:rsidRPr="00845404" w:rsidTr="00845404">
        <w:trPr>
          <w:trHeight w:val="144"/>
        </w:trPr>
        <w:tc>
          <w:tcPr>
            <w:tcW w:w="4338" w:type="dxa"/>
            <w:tcBorders>
              <w:top w:val="nil"/>
            </w:tcBorders>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Quality of communal activities</w:t>
            </w:r>
          </w:p>
        </w:tc>
        <w:tc>
          <w:tcPr>
            <w:tcW w:w="1350" w:type="dxa"/>
            <w:tcBorders>
              <w:top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2.74</w:t>
            </w:r>
          </w:p>
        </w:tc>
        <w:tc>
          <w:tcPr>
            <w:tcW w:w="1440" w:type="dxa"/>
            <w:tcBorders>
              <w:top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0.919</w:t>
            </w:r>
          </w:p>
        </w:tc>
        <w:tc>
          <w:tcPr>
            <w:tcW w:w="899" w:type="dxa"/>
            <w:tcBorders>
              <w:top w:val="nil"/>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16</w:t>
            </w:r>
          </w:p>
        </w:tc>
        <w:tc>
          <w:tcPr>
            <w:tcW w:w="1442" w:type="dxa"/>
            <w:tcBorders>
              <w:top w:val="nil"/>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(55%)</w:t>
            </w: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Size of bedrooms</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2.68</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0.820</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17</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Sizes of living and dining spaces</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2.68</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1.095</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17</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Rules‎ and regulations of residency</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2.64</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0.931</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19</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Number of bedrooms</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2.58</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0.874</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20</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Proximity to recreation‎/sports</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2.53</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0.979</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21</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Type of building materials</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2.51</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0.952</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22</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Prices of goods‎ and services</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2.50</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1.013</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23</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Sizes of cooking‎ and storage spaces</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2.49</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0.914</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24</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Rent‎ and cost of acquiring the house</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2.47</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1.033</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25</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Proximity to workplace</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2.46</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1.016</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26</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Proximity to healthcare facilities</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2.40</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0.955</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27</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Proximity to urban infrastructure</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2.38</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0.963</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28</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Facility management‎ and maintenance</w:t>
            </w:r>
          </w:p>
        </w:tc>
        <w:tc>
          <w:tcPr>
            <w:tcW w:w="135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2.24</w:t>
            </w:r>
          </w:p>
        </w:tc>
        <w:tc>
          <w:tcPr>
            <w:tcW w:w="1440" w:type="dxa"/>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0.913</w:t>
            </w:r>
          </w:p>
        </w:tc>
        <w:tc>
          <w:tcPr>
            <w:tcW w:w="899" w:type="dxa"/>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29</w:t>
            </w:r>
          </w:p>
        </w:tc>
        <w:tc>
          <w:tcPr>
            <w:tcW w:w="1442" w:type="dxa"/>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tcBorders>
              <w:bottom w:val="nil"/>
            </w:tcBorders>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Availability of job opportunities</w:t>
            </w:r>
          </w:p>
        </w:tc>
        <w:tc>
          <w:tcPr>
            <w:tcW w:w="1350" w:type="dxa"/>
            <w:tcBorders>
              <w:bottom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2.08</w:t>
            </w:r>
          </w:p>
        </w:tc>
        <w:tc>
          <w:tcPr>
            <w:tcW w:w="1440" w:type="dxa"/>
            <w:tcBorders>
              <w:bottom w:val="nil"/>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0.870</w:t>
            </w:r>
          </w:p>
        </w:tc>
        <w:tc>
          <w:tcPr>
            <w:tcW w:w="899" w:type="dxa"/>
            <w:tcBorders>
              <w:bottom w:val="nil"/>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30</w:t>
            </w:r>
          </w:p>
        </w:tc>
        <w:tc>
          <w:tcPr>
            <w:tcW w:w="1442" w:type="dxa"/>
            <w:tcBorders>
              <w:bottom w:val="nil"/>
            </w:tcBorders>
            <w:shd w:val="clear" w:color="auto" w:fill="auto"/>
          </w:tcPr>
          <w:p w:rsidR="008851EF" w:rsidRPr="00845404" w:rsidRDefault="008851EF" w:rsidP="00564B4B">
            <w:pPr>
              <w:spacing w:after="0" w:line="240" w:lineRule="auto"/>
              <w:rPr>
                <w:rFonts w:ascii="Times New Roman" w:hAnsi="Times New Roman"/>
                <w:sz w:val="20"/>
                <w:szCs w:val="20"/>
              </w:rPr>
            </w:pPr>
          </w:p>
        </w:tc>
      </w:tr>
      <w:tr w:rsidR="008851EF" w:rsidRPr="00845404" w:rsidTr="00845404">
        <w:trPr>
          <w:trHeight w:val="144"/>
        </w:trPr>
        <w:tc>
          <w:tcPr>
            <w:tcW w:w="4338" w:type="dxa"/>
            <w:tcBorders>
              <w:top w:val="nil"/>
              <w:bottom w:val="single" w:sz="4" w:space="0" w:color="auto"/>
            </w:tcBorders>
            <w:shd w:val="clear" w:color="auto" w:fill="auto"/>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Water supply‎</w:t>
            </w:r>
            <w:r w:rsidR="00B3445F">
              <w:rPr>
                <w:rFonts w:ascii="Times New Roman" w:hAnsi="Times New Roman"/>
                <w:sz w:val="20"/>
                <w:szCs w:val="20"/>
              </w:rPr>
              <w:t>/sanitary service</w:t>
            </w:r>
          </w:p>
        </w:tc>
        <w:tc>
          <w:tcPr>
            <w:tcW w:w="1350" w:type="dxa"/>
            <w:tcBorders>
              <w:top w:val="nil"/>
              <w:bottom w:val="single" w:sz="4" w:space="0" w:color="auto"/>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1.93</w:t>
            </w:r>
          </w:p>
        </w:tc>
        <w:tc>
          <w:tcPr>
            <w:tcW w:w="1440" w:type="dxa"/>
            <w:tcBorders>
              <w:top w:val="nil"/>
              <w:bottom w:val="single" w:sz="4" w:space="0" w:color="auto"/>
            </w:tcBorders>
            <w:shd w:val="clear" w:color="auto" w:fill="auto"/>
            <w:noWrap/>
            <w:hideMark/>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0.997</w:t>
            </w:r>
          </w:p>
        </w:tc>
        <w:tc>
          <w:tcPr>
            <w:tcW w:w="899" w:type="dxa"/>
            <w:tcBorders>
              <w:top w:val="nil"/>
              <w:bottom w:val="single" w:sz="4" w:space="0" w:color="auto"/>
            </w:tcBorders>
            <w:shd w:val="clear" w:color="auto" w:fill="auto"/>
          </w:tcPr>
          <w:p w:rsidR="008851EF" w:rsidRPr="00845404" w:rsidRDefault="008851EF" w:rsidP="00564B4B">
            <w:pPr>
              <w:spacing w:after="0" w:line="240" w:lineRule="auto"/>
              <w:rPr>
                <w:rFonts w:ascii="Times New Roman" w:hAnsi="Times New Roman"/>
                <w:sz w:val="20"/>
                <w:szCs w:val="20"/>
              </w:rPr>
            </w:pPr>
            <w:r w:rsidRPr="00845404">
              <w:rPr>
                <w:rFonts w:ascii="Times New Roman" w:hAnsi="Times New Roman"/>
                <w:sz w:val="20"/>
                <w:szCs w:val="20"/>
              </w:rPr>
              <w:t>31</w:t>
            </w:r>
          </w:p>
        </w:tc>
        <w:tc>
          <w:tcPr>
            <w:tcW w:w="1442" w:type="dxa"/>
            <w:tcBorders>
              <w:top w:val="nil"/>
              <w:bottom w:val="single" w:sz="4" w:space="0" w:color="auto"/>
            </w:tcBorders>
            <w:shd w:val="clear" w:color="auto" w:fill="auto"/>
          </w:tcPr>
          <w:p w:rsidR="008851EF" w:rsidRPr="00845404" w:rsidRDefault="008851EF" w:rsidP="00564B4B">
            <w:pPr>
              <w:spacing w:after="0" w:line="240" w:lineRule="auto"/>
              <w:rPr>
                <w:rFonts w:ascii="Times New Roman" w:hAnsi="Times New Roman"/>
                <w:sz w:val="20"/>
                <w:szCs w:val="20"/>
              </w:rPr>
            </w:pPr>
          </w:p>
        </w:tc>
      </w:tr>
    </w:tbl>
    <w:p w:rsidR="008851EF" w:rsidRPr="00C31A96" w:rsidRDefault="008851EF" w:rsidP="00564B4B">
      <w:pPr>
        <w:spacing w:after="0" w:line="240" w:lineRule="auto"/>
        <w:rPr>
          <w:rFonts w:ascii="Times New Roman" w:hAnsi="Times New Roman"/>
          <w:i/>
          <w:sz w:val="20"/>
          <w:szCs w:val="20"/>
        </w:rPr>
      </w:pPr>
      <w:r w:rsidRPr="00C31A96">
        <w:rPr>
          <w:rFonts w:ascii="Times New Roman" w:hAnsi="Times New Roman"/>
          <w:i/>
          <w:sz w:val="20"/>
          <w:szCs w:val="20"/>
        </w:rPr>
        <w:t>*Based on MSS value of 2.79</w:t>
      </w:r>
    </w:p>
    <w:p w:rsidR="00B97F9C" w:rsidRDefault="00B97F9C" w:rsidP="00564B4B">
      <w:pPr>
        <w:spacing w:after="0" w:line="240" w:lineRule="auto"/>
        <w:ind w:firstLine="270"/>
        <w:jc w:val="both"/>
        <w:rPr>
          <w:rFonts w:ascii="Times New Roman" w:hAnsi="Times New Roman"/>
          <w:sz w:val="24"/>
          <w:szCs w:val="24"/>
        </w:rPr>
      </w:pPr>
    </w:p>
    <w:p w:rsidR="00D05776" w:rsidRDefault="00D05776" w:rsidP="00564B4B">
      <w:pPr>
        <w:spacing w:after="0" w:line="240" w:lineRule="auto"/>
        <w:jc w:val="center"/>
        <w:rPr>
          <w:rFonts w:ascii="Times New Roman" w:hAnsi="Times New Roman"/>
          <w:b/>
          <w:sz w:val="20"/>
          <w:szCs w:val="20"/>
        </w:rPr>
      </w:pPr>
    </w:p>
    <w:p w:rsidR="008851EF" w:rsidRDefault="008851EF" w:rsidP="00564B4B">
      <w:pPr>
        <w:spacing w:after="0" w:line="240" w:lineRule="auto"/>
        <w:jc w:val="center"/>
        <w:rPr>
          <w:rFonts w:ascii="Times New Roman" w:hAnsi="Times New Roman"/>
          <w:sz w:val="20"/>
          <w:szCs w:val="20"/>
        </w:rPr>
      </w:pPr>
      <w:r w:rsidRPr="00C31A96">
        <w:rPr>
          <w:rFonts w:ascii="Times New Roman" w:hAnsi="Times New Roman"/>
          <w:b/>
          <w:sz w:val="20"/>
          <w:szCs w:val="20"/>
        </w:rPr>
        <w:t>Table 4</w:t>
      </w:r>
      <w:r w:rsidR="009D3CEA">
        <w:rPr>
          <w:rFonts w:ascii="Times New Roman" w:hAnsi="Times New Roman"/>
          <w:b/>
          <w:sz w:val="20"/>
          <w:szCs w:val="20"/>
        </w:rPr>
        <w:t>.</w:t>
      </w:r>
      <w:r w:rsidRPr="00C31A96">
        <w:rPr>
          <w:rFonts w:ascii="Times New Roman" w:hAnsi="Times New Roman"/>
          <w:sz w:val="20"/>
          <w:szCs w:val="20"/>
        </w:rPr>
        <w:t xml:space="preserve"> Principal Component Analyses of RS with housing environment attributes</w:t>
      </w:r>
    </w:p>
    <w:p w:rsidR="00B97F9C" w:rsidRPr="00B97F9C" w:rsidRDefault="00B97F9C" w:rsidP="00564B4B">
      <w:pPr>
        <w:spacing w:after="0" w:line="240" w:lineRule="auto"/>
        <w:jc w:val="center"/>
        <w:rPr>
          <w:rFonts w:ascii="Times New Roman" w:hAnsi="Times New Roman"/>
          <w:sz w:val="20"/>
          <w:szCs w:val="20"/>
        </w:rPr>
      </w:pPr>
    </w:p>
    <w:tbl>
      <w:tblPr>
        <w:tblW w:w="9518" w:type="dxa"/>
        <w:tblBorders>
          <w:top w:val="single" w:sz="4" w:space="0" w:color="auto"/>
          <w:bottom w:val="single" w:sz="4" w:space="0" w:color="auto"/>
        </w:tblBorders>
        <w:tblLook w:val="04A0" w:firstRow="1" w:lastRow="0" w:firstColumn="1" w:lastColumn="0" w:noHBand="0" w:noVBand="1"/>
      </w:tblPr>
      <w:tblGrid>
        <w:gridCol w:w="4428"/>
        <w:gridCol w:w="1217"/>
        <w:gridCol w:w="850"/>
        <w:gridCol w:w="813"/>
        <w:gridCol w:w="994"/>
        <w:gridCol w:w="1216"/>
      </w:tblGrid>
      <w:tr w:rsidR="00C31A96" w:rsidRPr="00B97F9C" w:rsidTr="00B97F9C">
        <w:trPr>
          <w:trHeight w:val="144"/>
        </w:trPr>
        <w:tc>
          <w:tcPr>
            <w:tcW w:w="4428" w:type="dxa"/>
            <w:tcBorders>
              <w:top w:val="single" w:sz="4" w:space="0" w:color="auto"/>
              <w:bottom w:val="single" w:sz="4" w:space="0" w:color="auto"/>
            </w:tcBorders>
            <w:shd w:val="clear" w:color="auto" w:fill="BDD6EE"/>
            <w:noWrap/>
            <w:hideMark/>
          </w:tcPr>
          <w:p w:rsidR="008851EF" w:rsidRPr="00B97F9C" w:rsidRDefault="008851EF" w:rsidP="00564B4B">
            <w:pPr>
              <w:spacing w:after="0" w:line="240" w:lineRule="auto"/>
              <w:rPr>
                <w:rFonts w:ascii="Times New Roman" w:hAnsi="Times New Roman"/>
                <w:b/>
                <w:sz w:val="20"/>
                <w:szCs w:val="20"/>
              </w:rPr>
            </w:pPr>
            <w:r w:rsidRPr="00B97F9C">
              <w:rPr>
                <w:rFonts w:ascii="Times New Roman" w:hAnsi="Times New Roman"/>
                <w:b/>
                <w:sz w:val="20"/>
                <w:szCs w:val="20"/>
              </w:rPr>
              <w:t>Components</w:t>
            </w:r>
          </w:p>
        </w:tc>
        <w:tc>
          <w:tcPr>
            <w:tcW w:w="1217" w:type="dxa"/>
            <w:tcBorders>
              <w:top w:val="single" w:sz="4" w:space="0" w:color="auto"/>
              <w:bottom w:val="single" w:sz="4" w:space="0" w:color="auto"/>
            </w:tcBorders>
            <w:shd w:val="clear" w:color="auto" w:fill="BDD6EE"/>
          </w:tcPr>
          <w:p w:rsidR="008851EF" w:rsidRPr="00B97F9C" w:rsidRDefault="008851EF" w:rsidP="00564B4B">
            <w:pPr>
              <w:spacing w:after="0" w:line="240" w:lineRule="auto"/>
              <w:jc w:val="center"/>
              <w:rPr>
                <w:rFonts w:ascii="Times New Roman" w:hAnsi="Times New Roman"/>
                <w:b/>
                <w:sz w:val="20"/>
                <w:szCs w:val="20"/>
              </w:rPr>
            </w:pPr>
            <w:r w:rsidRPr="00B97F9C">
              <w:rPr>
                <w:rFonts w:ascii="Times New Roman" w:hAnsi="Times New Roman"/>
                <w:b/>
                <w:sz w:val="20"/>
                <w:szCs w:val="20"/>
              </w:rPr>
              <w:t>Cronbach’s alpha</w:t>
            </w:r>
          </w:p>
        </w:tc>
        <w:tc>
          <w:tcPr>
            <w:tcW w:w="850" w:type="dxa"/>
            <w:tcBorders>
              <w:top w:val="single" w:sz="4" w:space="0" w:color="auto"/>
              <w:bottom w:val="single" w:sz="4" w:space="0" w:color="auto"/>
            </w:tcBorders>
            <w:shd w:val="clear" w:color="auto" w:fill="BDD6EE"/>
            <w:hideMark/>
          </w:tcPr>
          <w:p w:rsidR="008851EF" w:rsidRPr="00B97F9C" w:rsidRDefault="008851EF" w:rsidP="00564B4B">
            <w:pPr>
              <w:spacing w:after="0" w:line="240" w:lineRule="auto"/>
              <w:jc w:val="center"/>
              <w:rPr>
                <w:rFonts w:ascii="Times New Roman" w:hAnsi="Times New Roman"/>
                <w:b/>
                <w:sz w:val="20"/>
                <w:szCs w:val="20"/>
              </w:rPr>
            </w:pPr>
            <w:r w:rsidRPr="00B97F9C">
              <w:rPr>
                <w:rFonts w:ascii="Times New Roman" w:hAnsi="Times New Roman"/>
                <w:b/>
                <w:sz w:val="20"/>
                <w:szCs w:val="20"/>
              </w:rPr>
              <w:t>Factor loading</w:t>
            </w:r>
          </w:p>
        </w:tc>
        <w:tc>
          <w:tcPr>
            <w:tcW w:w="813" w:type="dxa"/>
            <w:tcBorders>
              <w:top w:val="single" w:sz="4" w:space="0" w:color="auto"/>
              <w:bottom w:val="single" w:sz="4" w:space="0" w:color="auto"/>
            </w:tcBorders>
            <w:shd w:val="clear" w:color="auto" w:fill="BDD6EE"/>
            <w:noWrap/>
            <w:hideMark/>
          </w:tcPr>
          <w:p w:rsidR="00C31A96" w:rsidRPr="00B97F9C" w:rsidRDefault="008851EF" w:rsidP="00564B4B">
            <w:pPr>
              <w:spacing w:after="0" w:line="240" w:lineRule="auto"/>
              <w:jc w:val="center"/>
              <w:rPr>
                <w:rFonts w:ascii="Times New Roman" w:hAnsi="Times New Roman"/>
                <w:b/>
                <w:sz w:val="20"/>
                <w:szCs w:val="20"/>
              </w:rPr>
            </w:pPr>
            <w:r w:rsidRPr="00B97F9C">
              <w:rPr>
                <w:rFonts w:ascii="Times New Roman" w:hAnsi="Times New Roman"/>
                <w:b/>
                <w:sz w:val="20"/>
                <w:szCs w:val="20"/>
              </w:rPr>
              <w:t>Eigen</w:t>
            </w:r>
          </w:p>
          <w:p w:rsidR="008851EF" w:rsidRPr="00B97F9C" w:rsidRDefault="008851EF" w:rsidP="00564B4B">
            <w:pPr>
              <w:spacing w:after="0" w:line="240" w:lineRule="auto"/>
              <w:jc w:val="center"/>
              <w:rPr>
                <w:rFonts w:ascii="Times New Roman" w:hAnsi="Times New Roman"/>
                <w:b/>
                <w:sz w:val="20"/>
                <w:szCs w:val="20"/>
              </w:rPr>
            </w:pPr>
            <w:r w:rsidRPr="00B97F9C">
              <w:rPr>
                <w:rFonts w:ascii="Times New Roman" w:hAnsi="Times New Roman"/>
                <w:b/>
                <w:sz w:val="20"/>
                <w:szCs w:val="20"/>
              </w:rPr>
              <w:t>value</w:t>
            </w:r>
          </w:p>
        </w:tc>
        <w:tc>
          <w:tcPr>
            <w:tcW w:w="994" w:type="dxa"/>
            <w:tcBorders>
              <w:top w:val="single" w:sz="4" w:space="0" w:color="auto"/>
              <w:bottom w:val="single" w:sz="4" w:space="0" w:color="auto"/>
            </w:tcBorders>
            <w:shd w:val="clear" w:color="auto" w:fill="BDD6EE"/>
            <w:noWrap/>
            <w:hideMark/>
          </w:tcPr>
          <w:p w:rsidR="008851EF" w:rsidRPr="00B97F9C" w:rsidRDefault="008851EF" w:rsidP="00564B4B">
            <w:pPr>
              <w:spacing w:after="0" w:line="240" w:lineRule="auto"/>
              <w:jc w:val="center"/>
              <w:rPr>
                <w:rFonts w:ascii="Times New Roman" w:hAnsi="Times New Roman"/>
                <w:b/>
                <w:sz w:val="20"/>
                <w:szCs w:val="20"/>
              </w:rPr>
            </w:pPr>
            <w:r w:rsidRPr="00B97F9C">
              <w:rPr>
                <w:rFonts w:ascii="Times New Roman" w:hAnsi="Times New Roman"/>
                <w:b/>
                <w:sz w:val="20"/>
                <w:szCs w:val="20"/>
              </w:rPr>
              <w:t>% Variance</w:t>
            </w:r>
          </w:p>
        </w:tc>
        <w:tc>
          <w:tcPr>
            <w:tcW w:w="1216" w:type="dxa"/>
            <w:tcBorders>
              <w:top w:val="single" w:sz="4" w:space="0" w:color="auto"/>
              <w:bottom w:val="single" w:sz="4" w:space="0" w:color="auto"/>
            </w:tcBorders>
            <w:shd w:val="clear" w:color="auto" w:fill="BDD6EE"/>
            <w:noWrap/>
            <w:hideMark/>
          </w:tcPr>
          <w:p w:rsidR="008851EF" w:rsidRPr="00B97F9C" w:rsidRDefault="008851EF" w:rsidP="00564B4B">
            <w:pPr>
              <w:spacing w:after="0" w:line="240" w:lineRule="auto"/>
              <w:jc w:val="center"/>
              <w:rPr>
                <w:rFonts w:ascii="Times New Roman" w:hAnsi="Times New Roman"/>
                <w:b/>
                <w:sz w:val="20"/>
                <w:szCs w:val="20"/>
              </w:rPr>
            </w:pPr>
            <w:r w:rsidRPr="00B97F9C">
              <w:rPr>
                <w:rFonts w:ascii="Times New Roman" w:hAnsi="Times New Roman"/>
                <w:b/>
                <w:sz w:val="20"/>
                <w:szCs w:val="20"/>
              </w:rPr>
              <w:t>% Cumulative</w:t>
            </w:r>
          </w:p>
        </w:tc>
      </w:tr>
      <w:tr w:rsidR="008851EF" w:rsidRPr="00B97F9C" w:rsidTr="00B97F9C">
        <w:trPr>
          <w:trHeight w:val="144"/>
        </w:trPr>
        <w:tc>
          <w:tcPr>
            <w:tcW w:w="4428" w:type="dxa"/>
            <w:tcBorders>
              <w:top w:val="single" w:sz="4" w:space="0" w:color="auto"/>
            </w:tcBorders>
            <w:shd w:val="clear" w:color="auto" w:fill="auto"/>
            <w:noWrap/>
            <w:hideMark/>
          </w:tcPr>
          <w:p w:rsidR="008851EF" w:rsidRPr="00B97F9C" w:rsidRDefault="008851EF" w:rsidP="00564B4B">
            <w:pPr>
              <w:spacing w:after="0" w:line="240" w:lineRule="auto"/>
              <w:rPr>
                <w:rFonts w:ascii="Times New Roman" w:hAnsi="Times New Roman"/>
                <w:color w:val="FF0000"/>
                <w:sz w:val="20"/>
                <w:szCs w:val="20"/>
              </w:rPr>
            </w:pPr>
            <w:r w:rsidRPr="00B97F9C">
              <w:rPr>
                <w:rFonts w:ascii="Times New Roman" w:hAnsi="Times New Roman"/>
                <w:b/>
                <w:sz w:val="20"/>
                <w:szCs w:val="20"/>
              </w:rPr>
              <w:t xml:space="preserve">#1 Noise, Electricity supply, Privacy, Location of dwelling and level of Crime </w:t>
            </w:r>
          </w:p>
        </w:tc>
        <w:tc>
          <w:tcPr>
            <w:tcW w:w="1217" w:type="dxa"/>
            <w:tcBorders>
              <w:top w:val="single" w:sz="4" w:space="0" w:color="auto"/>
            </w:tcBorders>
            <w:shd w:val="clear" w:color="auto" w:fill="auto"/>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0.848</w:t>
            </w:r>
          </w:p>
        </w:tc>
        <w:tc>
          <w:tcPr>
            <w:tcW w:w="850" w:type="dxa"/>
            <w:tcBorders>
              <w:top w:val="single" w:sz="4" w:space="0" w:color="auto"/>
            </w:tcBorders>
            <w:shd w:val="clear" w:color="auto" w:fill="auto"/>
            <w:hideMark/>
          </w:tcPr>
          <w:p w:rsidR="008851EF" w:rsidRPr="00B97F9C" w:rsidRDefault="008851EF" w:rsidP="00564B4B">
            <w:pPr>
              <w:spacing w:after="0" w:line="240" w:lineRule="auto"/>
              <w:rPr>
                <w:rFonts w:ascii="Times New Roman" w:hAnsi="Times New Roman"/>
                <w:sz w:val="20"/>
                <w:szCs w:val="20"/>
              </w:rPr>
            </w:pPr>
          </w:p>
        </w:tc>
        <w:tc>
          <w:tcPr>
            <w:tcW w:w="813" w:type="dxa"/>
            <w:tcBorders>
              <w:top w:val="single" w:sz="4" w:space="0" w:color="auto"/>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3.68</w:t>
            </w:r>
          </w:p>
        </w:tc>
        <w:tc>
          <w:tcPr>
            <w:tcW w:w="994" w:type="dxa"/>
            <w:tcBorders>
              <w:top w:val="single" w:sz="4" w:space="0" w:color="auto"/>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11.87</w:t>
            </w:r>
          </w:p>
        </w:tc>
        <w:tc>
          <w:tcPr>
            <w:tcW w:w="1216" w:type="dxa"/>
            <w:tcBorders>
              <w:top w:val="single" w:sz="4" w:space="0" w:color="auto"/>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11.87</w:t>
            </w: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Noise levels in house‎/estate</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0.808</w:t>
            </w:r>
          </w:p>
        </w:tc>
        <w:tc>
          <w:tcPr>
            <w:tcW w:w="813" w:type="dxa"/>
            <w:shd w:val="clear" w:color="auto" w:fill="auto"/>
            <w:noWrap/>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Electricity‎/power supply</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0.776</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Level of privacy in your house</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0.768</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Location of your house</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0.57</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 xml:space="preserve">Level of crime‎ and anti-social </w:t>
            </w:r>
            <w:proofErr w:type="spellStart"/>
            <w:r w:rsidRPr="00B97F9C">
              <w:rPr>
                <w:rFonts w:ascii="Times New Roman" w:hAnsi="Times New Roman"/>
                <w:sz w:val="20"/>
                <w:szCs w:val="20"/>
              </w:rPr>
              <w:t>behaviour</w:t>
            </w:r>
            <w:proofErr w:type="spellEnd"/>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0.527</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noWrap/>
            <w:hideMark/>
          </w:tcPr>
          <w:p w:rsidR="008851EF" w:rsidRPr="00B97F9C" w:rsidRDefault="008851EF" w:rsidP="00564B4B">
            <w:pPr>
              <w:spacing w:after="0" w:line="240" w:lineRule="auto"/>
              <w:rPr>
                <w:rFonts w:ascii="Times New Roman" w:hAnsi="Times New Roman"/>
                <w:b/>
                <w:sz w:val="20"/>
                <w:szCs w:val="20"/>
              </w:rPr>
            </w:pPr>
            <w:r w:rsidRPr="00B97F9C">
              <w:rPr>
                <w:rFonts w:ascii="Times New Roman" w:hAnsi="Times New Roman"/>
                <w:b/>
                <w:sz w:val="20"/>
                <w:szCs w:val="20"/>
              </w:rPr>
              <w:t xml:space="preserve">#2 </w:t>
            </w:r>
            <w:proofErr w:type="spellStart"/>
            <w:r w:rsidRPr="00B97F9C">
              <w:rPr>
                <w:rFonts w:ascii="Times New Roman" w:hAnsi="Times New Roman"/>
                <w:b/>
                <w:sz w:val="20"/>
                <w:szCs w:val="20"/>
              </w:rPr>
              <w:t>Neighbourhood</w:t>
            </w:r>
            <w:proofErr w:type="spellEnd"/>
            <w:r w:rsidRPr="00B97F9C">
              <w:rPr>
                <w:rFonts w:ascii="Times New Roman" w:hAnsi="Times New Roman"/>
                <w:b/>
                <w:sz w:val="20"/>
                <w:szCs w:val="20"/>
              </w:rPr>
              <w:t xml:space="preserve"> infrastructure and sense of community</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0.881</w:t>
            </w: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3.68</w:t>
            </w: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11.87</w:t>
            </w: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23.74</w:t>
            </w: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Proximity to urban infrastructure</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0.87</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Proximity to shopping facilities</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0.778</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Rules‎ and regulations of residency</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0.758</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6F3C77">
        <w:trPr>
          <w:trHeight w:val="144"/>
        </w:trPr>
        <w:tc>
          <w:tcPr>
            <w:tcW w:w="4428" w:type="dxa"/>
            <w:tcBorders>
              <w:bottom w:val="nil"/>
            </w:tcBorders>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Proximity to workplace</w:t>
            </w:r>
          </w:p>
        </w:tc>
        <w:tc>
          <w:tcPr>
            <w:tcW w:w="1217" w:type="dxa"/>
            <w:tcBorders>
              <w:bottom w:val="nil"/>
            </w:tcBorders>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tcBorders>
              <w:bottom w:val="nil"/>
            </w:tcBorders>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0.635</w:t>
            </w:r>
          </w:p>
        </w:tc>
        <w:tc>
          <w:tcPr>
            <w:tcW w:w="813" w:type="dxa"/>
            <w:tcBorders>
              <w:bottom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tcBorders>
              <w:bottom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tcBorders>
              <w:bottom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6F3C77">
        <w:trPr>
          <w:trHeight w:val="144"/>
        </w:trPr>
        <w:tc>
          <w:tcPr>
            <w:tcW w:w="4428" w:type="dxa"/>
            <w:tcBorders>
              <w:top w:val="nil"/>
              <w:bottom w:val="nil"/>
            </w:tcBorders>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Quality of communal activities</w:t>
            </w:r>
          </w:p>
        </w:tc>
        <w:tc>
          <w:tcPr>
            <w:tcW w:w="1217" w:type="dxa"/>
            <w:tcBorders>
              <w:top w:val="nil"/>
              <w:bottom w:val="nil"/>
            </w:tcBorders>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tcBorders>
              <w:top w:val="nil"/>
              <w:bottom w:val="nil"/>
            </w:tcBorders>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0.545</w:t>
            </w:r>
          </w:p>
        </w:tc>
        <w:tc>
          <w:tcPr>
            <w:tcW w:w="813" w:type="dxa"/>
            <w:tcBorders>
              <w:top w:val="nil"/>
              <w:bottom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tcBorders>
              <w:top w:val="nil"/>
              <w:bottom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tcBorders>
              <w:top w:val="nil"/>
              <w:bottom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6F3C77">
        <w:trPr>
          <w:trHeight w:val="144"/>
        </w:trPr>
        <w:tc>
          <w:tcPr>
            <w:tcW w:w="4428" w:type="dxa"/>
            <w:tcBorders>
              <w:top w:val="nil"/>
            </w:tcBorders>
            <w:shd w:val="clear" w:color="auto" w:fill="auto"/>
            <w:noWrap/>
            <w:hideMark/>
          </w:tcPr>
          <w:p w:rsidR="008851EF" w:rsidRPr="00B97F9C" w:rsidRDefault="008851EF" w:rsidP="00564B4B">
            <w:pPr>
              <w:spacing w:after="0" w:line="240" w:lineRule="auto"/>
              <w:rPr>
                <w:rFonts w:ascii="Times New Roman" w:hAnsi="Times New Roman"/>
                <w:color w:val="FF0000"/>
                <w:sz w:val="20"/>
                <w:szCs w:val="20"/>
              </w:rPr>
            </w:pPr>
            <w:r w:rsidRPr="00B97F9C">
              <w:rPr>
                <w:rFonts w:ascii="Times New Roman" w:hAnsi="Times New Roman"/>
                <w:b/>
                <w:sz w:val="20"/>
                <w:szCs w:val="20"/>
              </w:rPr>
              <w:lastRenderedPageBreak/>
              <w:t>#</w:t>
            </w:r>
            <w:r w:rsidR="005624BA" w:rsidRPr="00B97F9C">
              <w:rPr>
                <w:rFonts w:ascii="Times New Roman" w:hAnsi="Times New Roman"/>
                <w:b/>
                <w:sz w:val="20"/>
                <w:szCs w:val="20"/>
              </w:rPr>
              <w:t>3 Rent and IEQ of dwelling units</w:t>
            </w:r>
          </w:p>
        </w:tc>
        <w:tc>
          <w:tcPr>
            <w:tcW w:w="1217" w:type="dxa"/>
            <w:tcBorders>
              <w:top w:val="nil"/>
            </w:tcBorders>
            <w:shd w:val="clear" w:color="auto" w:fill="auto"/>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0.777</w:t>
            </w:r>
          </w:p>
        </w:tc>
        <w:tc>
          <w:tcPr>
            <w:tcW w:w="850" w:type="dxa"/>
            <w:tcBorders>
              <w:top w:val="nil"/>
            </w:tcBorders>
            <w:shd w:val="clear" w:color="auto" w:fill="auto"/>
            <w:hideMark/>
          </w:tcPr>
          <w:p w:rsidR="008851EF" w:rsidRPr="00B97F9C" w:rsidRDefault="008851EF" w:rsidP="00564B4B">
            <w:pPr>
              <w:spacing w:after="0" w:line="240" w:lineRule="auto"/>
              <w:rPr>
                <w:rFonts w:ascii="Times New Roman" w:hAnsi="Times New Roman"/>
                <w:sz w:val="20"/>
                <w:szCs w:val="20"/>
              </w:rPr>
            </w:pPr>
          </w:p>
        </w:tc>
        <w:tc>
          <w:tcPr>
            <w:tcW w:w="813" w:type="dxa"/>
            <w:tcBorders>
              <w:top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3.45</w:t>
            </w:r>
          </w:p>
        </w:tc>
        <w:tc>
          <w:tcPr>
            <w:tcW w:w="994" w:type="dxa"/>
            <w:tcBorders>
              <w:top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11.13</w:t>
            </w:r>
          </w:p>
        </w:tc>
        <w:tc>
          <w:tcPr>
            <w:tcW w:w="1216" w:type="dxa"/>
            <w:tcBorders>
              <w:top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34.87</w:t>
            </w: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Rent‎ and cost of acquiring the house</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0.824</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Natural lighting‎ and ventilation</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0.68</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9D3CEA">
        <w:trPr>
          <w:trHeight w:val="144"/>
        </w:trPr>
        <w:tc>
          <w:tcPr>
            <w:tcW w:w="4428" w:type="dxa"/>
            <w:tcBorders>
              <w:bottom w:val="nil"/>
            </w:tcBorders>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Sizes of cooking‎ and storage spaces</w:t>
            </w:r>
          </w:p>
        </w:tc>
        <w:tc>
          <w:tcPr>
            <w:tcW w:w="1217" w:type="dxa"/>
            <w:tcBorders>
              <w:bottom w:val="nil"/>
            </w:tcBorders>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tcBorders>
              <w:bottom w:val="nil"/>
            </w:tcBorders>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0.64</w:t>
            </w:r>
          </w:p>
        </w:tc>
        <w:tc>
          <w:tcPr>
            <w:tcW w:w="813" w:type="dxa"/>
            <w:tcBorders>
              <w:bottom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tcBorders>
              <w:bottom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tcBorders>
              <w:bottom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9D3CEA">
        <w:trPr>
          <w:trHeight w:val="144"/>
        </w:trPr>
        <w:tc>
          <w:tcPr>
            <w:tcW w:w="4428" w:type="dxa"/>
            <w:tcBorders>
              <w:top w:val="nil"/>
              <w:bottom w:val="nil"/>
            </w:tcBorders>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Sizes of living and dining spaces</w:t>
            </w:r>
          </w:p>
        </w:tc>
        <w:tc>
          <w:tcPr>
            <w:tcW w:w="1217" w:type="dxa"/>
            <w:tcBorders>
              <w:top w:val="nil"/>
              <w:bottom w:val="nil"/>
            </w:tcBorders>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tcBorders>
              <w:top w:val="nil"/>
              <w:bottom w:val="nil"/>
            </w:tcBorders>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0.55</w:t>
            </w:r>
          </w:p>
        </w:tc>
        <w:tc>
          <w:tcPr>
            <w:tcW w:w="813" w:type="dxa"/>
            <w:tcBorders>
              <w:top w:val="nil"/>
              <w:bottom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tcBorders>
              <w:top w:val="nil"/>
              <w:bottom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tcBorders>
              <w:top w:val="nil"/>
              <w:bottom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9D3CEA">
        <w:trPr>
          <w:trHeight w:val="144"/>
        </w:trPr>
        <w:tc>
          <w:tcPr>
            <w:tcW w:w="4428" w:type="dxa"/>
            <w:tcBorders>
              <w:top w:val="nil"/>
            </w:tcBorders>
            <w:shd w:val="clear" w:color="auto" w:fill="auto"/>
            <w:noWrap/>
            <w:hideMark/>
          </w:tcPr>
          <w:p w:rsidR="008851EF" w:rsidRPr="00B97F9C" w:rsidRDefault="008851EF" w:rsidP="00564B4B">
            <w:pPr>
              <w:spacing w:after="0" w:line="240" w:lineRule="auto"/>
              <w:rPr>
                <w:rFonts w:ascii="Times New Roman" w:hAnsi="Times New Roman"/>
                <w:b/>
                <w:sz w:val="20"/>
                <w:szCs w:val="20"/>
              </w:rPr>
            </w:pPr>
            <w:r w:rsidRPr="00B97F9C">
              <w:rPr>
                <w:rFonts w:ascii="Times New Roman" w:hAnsi="Times New Roman"/>
                <w:b/>
                <w:sz w:val="20"/>
                <w:szCs w:val="20"/>
              </w:rPr>
              <w:t xml:space="preserve">#4 </w:t>
            </w:r>
            <w:proofErr w:type="spellStart"/>
            <w:r w:rsidRPr="00B97F9C">
              <w:rPr>
                <w:rFonts w:ascii="Times New Roman" w:hAnsi="Times New Roman"/>
                <w:b/>
                <w:sz w:val="20"/>
                <w:szCs w:val="20"/>
              </w:rPr>
              <w:t>Neighbourhood</w:t>
            </w:r>
            <w:proofErr w:type="spellEnd"/>
            <w:r w:rsidRPr="00B97F9C">
              <w:rPr>
                <w:rFonts w:ascii="Times New Roman" w:hAnsi="Times New Roman"/>
                <w:b/>
                <w:sz w:val="20"/>
                <w:szCs w:val="20"/>
              </w:rPr>
              <w:t xml:space="preserve"> and dwelling facilities </w:t>
            </w:r>
          </w:p>
        </w:tc>
        <w:tc>
          <w:tcPr>
            <w:tcW w:w="1217" w:type="dxa"/>
            <w:tcBorders>
              <w:top w:val="nil"/>
            </w:tcBorders>
            <w:shd w:val="clear" w:color="auto" w:fill="auto"/>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0.786</w:t>
            </w:r>
          </w:p>
        </w:tc>
        <w:tc>
          <w:tcPr>
            <w:tcW w:w="850" w:type="dxa"/>
            <w:tcBorders>
              <w:top w:val="nil"/>
            </w:tcBorders>
            <w:shd w:val="clear" w:color="auto" w:fill="auto"/>
            <w:hideMark/>
          </w:tcPr>
          <w:p w:rsidR="008851EF" w:rsidRPr="00B97F9C" w:rsidRDefault="008851EF" w:rsidP="00564B4B">
            <w:pPr>
              <w:spacing w:after="0" w:line="240" w:lineRule="auto"/>
              <w:rPr>
                <w:rFonts w:ascii="Times New Roman" w:hAnsi="Times New Roman"/>
                <w:sz w:val="20"/>
                <w:szCs w:val="20"/>
              </w:rPr>
            </w:pPr>
          </w:p>
        </w:tc>
        <w:tc>
          <w:tcPr>
            <w:tcW w:w="813" w:type="dxa"/>
            <w:tcBorders>
              <w:top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3.3</w:t>
            </w:r>
          </w:p>
        </w:tc>
        <w:tc>
          <w:tcPr>
            <w:tcW w:w="994" w:type="dxa"/>
            <w:tcBorders>
              <w:top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10.66</w:t>
            </w:r>
          </w:p>
        </w:tc>
        <w:tc>
          <w:tcPr>
            <w:tcW w:w="1216" w:type="dxa"/>
            <w:tcBorders>
              <w:top w:val="nil"/>
            </w:tcBorders>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45.53</w:t>
            </w: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Prices of goods‎/services</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0.814</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Proximity to healthcare facilities</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0.789</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Proximity to nearest market</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0.635</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Bath‎ and toilet facilities</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0.461</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noWrap/>
            <w:hideMark/>
          </w:tcPr>
          <w:p w:rsidR="008851EF" w:rsidRPr="00B97F9C" w:rsidRDefault="008851EF" w:rsidP="00564B4B">
            <w:pPr>
              <w:spacing w:after="0" w:line="240" w:lineRule="auto"/>
              <w:rPr>
                <w:rFonts w:ascii="Times New Roman" w:hAnsi="Times New Roman"/>
                <w:color w:val="FF0000"/>
                <w:sz w:val="20"/>
                <w:szCs w:val="20"/>
              </w:rPr>
            </w:pPr>
            <w:r w:rsidRPr="00B97F9C">
              <w:rPr>
                <w:rFonts w:ascii="Times New Roman" w:hAnsi="Times New Roman"/>
                <w:b/>
                <w:sz w:val="20"/>
                <w:szCs w:val="20"/>
              </w:rPr>
              <w:t xml:space="preserve">#5 Lifestyle amenities &amp; water supply </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0.768</w:t>
            </w: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2.55</w:t>
            </w: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8.229</w:t>
            </w: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53.76</w:t>
            </w: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Proximity to recreation‎/sports</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0.776</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Availability of job opportunities</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0.674</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Suitability of location to lifestyle</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0.596</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Water supply‎</w:t>
            </w:r>
            <w:r w:rsidR="00B3445F" w:rsidRPr="00B97F9C">
              <w:rPr>
                <w:rFonts w:ascii="Times New Roman" w:hAnsi="Times New Roman"/>
                <w:sz w:val="20"/>
                <w:szCs w:val="20"/>
              </w:rPr>
              <w:t>/sanitary service</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0.413</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noWrap/>
            <w:hideMark/>
          </w:tcPr>
          <w:p w:rsidR="008851EF" w:rsidRPr="00B97F9C" w:rsidRDefault="008851EF" w:rsidP="00564B4B">
            <w:pPr>
              <w:spacing w:after="0" w:line="240" w:lineRule="auto"/>
              <w:rPr>
                <w:rFonts w:ascii="Times New Roman" w:hAnsi="Times New Roman"/>
                <w:b/>
                <w:sz w:val="20"/>
                <w:szCs w:val="20"/>
              </w:rPr>
            </w:pPr>
            <w:r w:rsidRPr="00B97F9C">
              <w:rPr>
                <w:rFonts w:ascii="Times New Roman" w:hAnsi="Times New Roman"/>
                <w:b/>
                <w:sz w:val="20"/>
                <w:szCs w:val="20"/>
              </w:rPr>
              <w:t xml:space="preserve">#6 Security, cleanliness and number of bedrooms </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0.646</w:t>
            </w: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2.24</w:t>
            </w: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7.23</w:t>
            </w: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60.99</w:t>
            </w: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Level of security to life‎ and property</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0.75</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Number of bedrooms</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0.563</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Level of general cleanliness</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0.548</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b/>
                <w:sz w:val="20"/>
                <w:szCs w:val="20"/>
              </w:rPr>
              <w:t xml:space="preserve">#7 Size of bedrooms &amp; facility management </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0.571</w:t>
            </w: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2.18</w:t>
            </w: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7.03</w:t>
            </w: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68.02</w:t>
            </w: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Size of bedrooms</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0.759</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Facility management‎/maintenance</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0.664</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noWrap/>
            <w:hideMark/>
          </w:tcPr>
          <w:p w:rsidR="008851EF" w:rsidRPr="00B97F9C" w:rsidRDefault="008851EF" w:rsidP="00564B4B">
            <w:pPr>
              <w:spacing w:after="0" w:line="240" w:lineRule="auto"/>
              <w:rPr>
                <w:rFonts w:ascii="Times New Roman" w:hAnsi="Times New Roman"/>
                <w:color w:val="FF0000"/>
                <w:sz w:val="20"/>
                <w:szCs w:val="20"/>
              </w:rPr>
            </w:pPr>
            <w:r w:rsidRPr="00B97F9C">
              <w:rPr>
                <w:rFonts w:ascii="Times New Roman" w:hAnsi="Times New Roman"/>
                <w:b/>
                <w:sz w:val="20"/>
                <w:szCs w:val="20"/>
              </w:rPr>
              <w:t xml:space="preserve">#8 Proximity to Schools, aesthetics &amp; construction </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0.724</w:t>
            </w: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1.87</w:t>
            </w: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6.03</w:t>
            </w: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74.1</w:t>
            </w: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Proximity to children's school</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0.737</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External appearance of your house</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0.591</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r w:rsidR="008851EF" w:rsidRPr="00B97F9C" w:rsidTr="00B97F9C">
        <w:trPr>
          <w:trHeight w:val="144"/>
        </w:trPr>
        <w:tc>
          <w:tcPr>
            <w:tcW w:w="4428"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Type of building materials</w:t>
            </w:r>
          </w:p>
        </w:tc>
        <w:tc>
          <w:tcPr>
            <w:tcW w:w="1217" w:type="dxa"/>
            <w:shd w:val="clear" w:color="auto" w:fill="auto"/>
          </w:tcPr>
          <w:p w:rsidR="008851EF" w:rsidRPr="00B97F9C" w:rsidRDefault="008851EF" w:rsidP="00564B4B">
            <w:pPr>
              <w:spacing w:after="0" w:line="240" w:lineRule="auto"/>
              <w:rPr>
                <w:rFonts w:ascii="Times New Roman" w:hAnsi="Times New Roman"/>
                <w:sz w:val="20"/>
                <w:szCs w:val="20"/>
              </w:rPr>
            </w:pPr>
          </w:p>
        </w:tc>
        <w:tc>
          <w:tcPr>
            <w:tcW w:w="850" w:type="dxa"/>
            <w:shd w:val="clear" w:color="auto" w:fill="auto"/>
            <w:hideMark/>
          </w:tcPr>
          <w:p w:rsidR="008851EF" w:rsidRPr="00B97F9C" w:rsidRDefault="008851EF" w:rsidP="00564B4B">
            <w:pPr>
              <w:spacing w:after="0" w:line="240" w:lineRule="auto"/>
              <w:rPr>
                <w:rFonts w:ascii="Times New Roman" w:hAnsi="Times New Roman"/>
                <w:sz w:val="20"/>
                <w:szCs w:val="20"/>
              </w:rPr>
            </w:pPr>
            <w:r w:rsidRPr="00B97F9C">
              <w:rPr>
                <w:rFonts w:ascii="Times New Roman" w:hAnsi="Times New Roman"/>
                <w:sz w:val="20"/>
                <w:szCs w:val="20"/>
              </w:rPr>
              <w:t>0.583</w:t>
            </w:r>
          </w:p>
        </w:tc>
        <w:tc>
          <w:tcPr>
            <w:tcW w:w="813"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994"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c>
          <w:tcPr>
            <w:tcW w:w="1216" w:type="dxa"/>
            <w:shd w:val="clear" w:color="auto" w:fill="auto"/>
            <w:noWrap/>
            <w:hideMark/>
          </w:tcPr>
          <w:p w:rsidR="008851EF" w:rsidRPr="00B97F9C" w:rsidRDefault="008851EF" w:rsidP="00564B4B">
            <w:pPr>
              <w:spacing w:after="0" w:line="240" w:lineRule="auto"/>
              <w:rPr>
                <w:rFonts w:ascii="Times New Roman" w:hAnsi="Times New Roman"/>
                <w:sz w:val="20"/>
                <w:szCs w:val="20"/>
              </w:rPr>
            </w:pPr>
          </w:p>
        </w:tc>
      </w:tr>
    </w:tbl>
    <w:p w:rsidR="008851EF" w:rsidRPr="00220EF7" w:rsidRDefault="008851EF" w:rsidP="00564B4B">
      <w:pPr>
        <w:spacing w:after="0" w:line="240" w:lineRule="auto"/>
        <w:rPr>
          <w:rFonts w:ascii="Times New Roman" w:hAnsi="Times New Roman"/>
          <w:i/>
          <w:sz w:val="20"/>
          <w:szCs w:val="20"/>
        </w:rPr>
      </w:pPr>
      <w:r w:rsidRPr="00220EF7">
        <w:rPr>
          <w:rFonts w:ascii="Times New Roman" w:hAnsi="Times New Roman"/>
          <w:i/>
          <w:sz w:val="20"/>
          <w:szCs w:val="20"/>
        </w:rPr>
        <w:t>Total variance explained = 74%</w:t>
      </w:r>
    </w:p>
    <w:p w:rsidR="00B97F9C" w:rsidRDefault="00B97F9C" w:rsidP="00564B4B">
      <w:pPr>
        <w:spacing w:after="0" w:line="240" w:lineRule="auto"/>
        <w:ind w:firstLine="270"/>
        <w:jc w:val="both"/>
        <w:rPr>
          <w:rFonts w:ascii="Times New Roman" w:hAnsi="Times New Roman"/>
          <w:sz w:val="24"/>
          <w:szCs w:val="24"/>
        </w:rPr>
      </w:pPr>
    </w:p>
    <w:p w:rsidR="00461050" w:rsidRPr="005D6187" w:rsidRDefault="00461050" w:rsidP="00564B4B">
      <w:pPr>
        <w:spacing w:after="0" w:line="240" w:lineRule="auto"/>
        <w:ind w:firstLine="720"/>
        <w:jc w:val="both"/>
        <w:rPr>
          <w:rFonts w:ascii="Times New Roman" w:hAnsi="Times New Roman"/>
          <w:sz w:val="24"/>
          <w:szCs w:val="24"/>
        </w:rPr>
      </w:pPr>
      <w:r w:rsidRPr="005D6187">
        <w:rPr>
          <w:rFonts w:ascii="Times New Roman" w:hAnsi="Times New Roman"/>
          <w:sz w:val="24"/>
          <w:szCs w:val="24"/>
        </w:rPr>
        <w:t xml:space="preserve">The first component, with </w:t>
      </w:r>
      <w:r>
        <w:rPr>
          <w:rFonts w:ascii="Times New Roman" w:hAnsi="Times New Roman"/>
          <w:sz w:val="24"/>
          <w:szCs w:val="24"/>
        </w:rPr>
        <w:t xml:space="preserve">an </w:t>
      </w:r>
      <w:r w:rsidRPr="005D6187">
        <w:rPr>
          <w:rFonts w:ascii="Times New Roman" w:hAnsi="Times New Roman"/>
          <w:sz w:val="24"/>
          <w:szCs w:val="24"/>
        </w:rPr>
        <w:t xml:space="preserve">eigenvalue of 3.68 comprises </w:t>
      </w:r>
      <w:r>
        <w:rPr>
          <w:rFonts w:ascii="Times New Roman" w:hAnsi="Times New Roman"/>
          <w:sz w:val="24"/>
          <w:szCs w:val="24"/>
        </w:rPr>
        <w:t>n</w:t>
      </w:r>
      <w:r w:rsidRPr="005D6187">
        <w:rPr>
          <w:rFonts w:ascii="Times New Roman" w:hAnsi="Times New Roman"/>
          <w:sz w:val="24"/>
          <w:szCs w:val="24"/>
        </w:rPr>
        <w:t xml:space="preserve">oise, </w:t>
      </w:r>
      <w:r>
        <w:rPr>
          <w:rFonts w:ascii="Times New Roman" w:hAnsi="Times New Roman"/>
          <w:sz w:val="24"/>
          <w:szCs w:val="24"/>
        </w:rPr>
        <w:t>e</w:t>
      </w:r>
      <w:r w:rsidRPr="005D6187">
        <w:rPr>
          <w:rFonts w:ascii="Times New Roman" w:hAnsi="Times New Roman"/>
          <w:sz w:val="24"/>
          <w:szCs w:val="24"/>
        </w:rPr>
        <w:t xml:space="preserve">lectricity supply, </w:t>
      </w:r>
      <w:r>
        <w:rPr>
          <w:rFonts w:ascii="Times New Roman" w:hAnsi="Times New Roman"/>
          <w:sz w:val="24"/>
          <w:szCs w:val="24"/>
        </w:rPr>
        <w:t>p</w:t>
      </w:r>
      <w:r w:rsidRPr="005D6187">
        <w:rPr>
          <w:rFonts w:ascii="Times New Roman" w:hAnsi="Times New Roman"/>
          <w:sz w:val="24"/>
          <w:szCs w:val="24"/>
        </w:rPr>
        <w:t xml:space="preserve">rivacy, </w:t>
      </w:r>
      <w:r>
        <w:rPr>
          <w:rFonts w:ascii="Times New Roman" w:hAnsi="Times New Roman"/>
          <w:sz w:val="24"/>
          <w:szCs w:val="24"/>
        </w:rPr>
        <w:t>d</w:t>
      </w:r>
      <w:r w:rsidRPr="005D6187">
        <w:rPr>
          <w:rFonts w:ascii="Times New Roman" w:hAnsi="Times New Roman"/>
          <w:sz w:val="24"/>
          <w:szCs w:val="24"/>
        </w:rPr>
        <w:t xml:space="preserve">welling location and </w:t>
      </w:r>
      <w:r>
        <w:rPr>
          <w:rFonts w:ascii="Times New Roman" w:hAnsi="Times New Roman"/>
          <w:sz w:val="24"/>
          <w:szCs w:val="24"/>
        </w:rPr>
        <w:t>l</w:t>
      </w:r>
      <w:r w:rsidRPr="005D6187">
        <w:rPr>
          <w:rFonts w:ascii="Times New Roman" w:hAnsi="Times New Roman"/>
          <w:sz w:val="24"/>
          <w:szCs w:val="24"/>
        </w:rPr>
        <w:t xml:space="preserve">evel of crime. It describes the most satisfactory items ranked </w:t>
      </w:r>
      <w:r>
        <w:rPr>
          <w:rFonts w:ascii="Times New Roman" w:hAnsi="Times New Roman"/>
          <w:sz w:val="24"/>
          <w:szCs w:val="24"/>
        </w:rPr>
        <w:t xml:space="preserve">one to </w:t>
      </w:r>
      <w:r w:rsidRPr="005D6187">
        <w:rPr>
          <w:rFonts w:ascii="Times New Roman" w:hAnsi="Times New Roman"/>
          <w:sz w:val="24"/>
          <w:szCs w:val="24"/>
        </w:rPr>
        <w:t>eight</w:t>
      </w:r>
      <w:r>
        <w:rPr>
          <w:rFonts w:ascii="Times New Roman" w:hAnsi="Times New Roman"/>
          <w:sz w:val="24"/>
          <w:szCs w:val="24"/>
        </w:rPr>
        <w:t>h</w:t>
      </w:r>
      <w:r w:rsidRPr="00862D53">
        <w:rPr>
          <w:rFonts w:ascii="Times New Roman" w:hAnsi="Times New Roman"/>
          <w:sz w:val="24"/>
          <w:szCs w:val="24"/>
        </w:rPr>
        <w:t xml:space="preserve"> </w:t>
      </w:r>
      <w:r w:rsidRPr="005D6187">
        <w:rPr>
          <w:rFonts w:ascii="Times New Roman" w:hAnsi="Times New Roman"/>
          <w:sz w:val="24"/>
          <w:szCs w:val="24"/>
        </w:rPr>
        <w:t>in Table 3. The second component describ</w:t>
      </w:r>
      <w:r>
        <w:rPr>
          <w:rFonts w:ascii="Times New Roman" w:hAnsi="Times New Roman"/>
          <w:sz w:val="24"/>
          <w:szCs w:val="24"/>
        </w:rPr>
        <w:t>es</w:t>
      </w:r>
      <w:r w:rsidRPr="005D6187">
        <w:rPr>
          <w:rFonts w:ascii="Times New Roman" w:hAnsi="Times New Roman"/>
          <w:sz w:val="24"/>
          <w:szCs w:val="24"/>
        </w:rPr>
        <w:t xml:space="preserve"> </w:t>
      </w:r>
      <w:proofErr w:type="spellStart"/>
      <w:r>
        <w:rPr>
          <w:rFonts w:ascii="Times New Roman" w:hAnsi="Times New Roman"/>
          <w:sz w:val="24"/>
          <w:szCs w:val="24"/>
        </w:rPr>
        <w:t>n</w:t>
      </w:r>
      <w:r w:rsidRPr="005D6187">
        <w:rPr>
          <w:rFonts w:ascii="Times New Roman" w:hAnsi="Times New Roman"/>
          <w:sz w:val="24"/>
          <w:szCs w:val="24"/>
        </w:rPr>
        <w:t>eighbourhood</w:t>
      </w:r>
      <w:proofErr w:type="spellEnd"/>
      <w:r w:rsidRPr="005D6187">
        <w:rPr>
          <w:rFonts w:ascii="Times New Roman" w:hAnsi="Times New Roman"/>
          <w:sz w:val="24"/>
          <w:szCs w:val="24"/>
        </w:rPr>
        <w:t xml:space="preserve"> infrastructure and sense of community</w:t>
      </w:r>
      <w:r>
        <w:rPr>
          <w:rFonts w:ascii="Times New Roman" w:hAnsi="Times New Roman"/>
          <w:sz w:val="24"/>
          <w:szCs w:val="24"/>
        </w:rPr>
        <w:t xml:space="preserve"> and</w:t>
      </w:r>
      <w:r w:rsidRPr="005D6187">
        <w:rPr>
          <w:rFonts w:ascii="Times New Roman" w:hAnsi="Times New Roman"/>
          <w:sz w:val="24"/>
          <w:szCs w:val="24"/>
        </w:rPr>
        <w:t xml:space="preserve"> contains variables rated dissatisfactory by residents, suggesting critically important but inadequate variables going by the high eigenvalue and variance</w:t>
      </w:r>
      <w:r>
        <w:rPr>
          <w:rFonts w:ascii="Times New Roman" w:hAnsi="Times New Roman"/>
          <w:sz w:val="24"/>
          <w:szCs w:val="24"/>
        </w:rPr>
        <w:t xml:space="preserve"> of the component in Table 4</w:t>
      </w:r>
      <w:r w:rsidRPr="005D6187">
        <w:rPr>
          <w:rFonts w:ascii="Times New Roman" w:hAnsi="Times New Roman"/>
          <w:sz w:val="24"/>
          <w:szCs w:val="24"/>
        </w:rPr>
        <w:t>.</w:t>
      </w:r>
      <w:r w:rsidRPr="00EA5B14">
        <w:rPr>
          <w:rFonts w:ascii="Times New Roman" w:hAnsi="Times New Roman"/>
          <w:sz w:val="24"/>
          <w:szCs w:val="24"/>
        </w:rPr>
        <w:t xml:space="preserve"> </w:t>
      </w:r>
      <w:r w:rsidRPr="005D6187">
        <w:rPr>
          <w:rFonts w:ascii="Times New Roman" w:hAnsi="Times New Roman"/>
          <w:sz w:val="24"/>
          <w:szCs w:val="24"/>
        </w:rPr>
        <w:t xml:space="preserve">Component three, </w:t>
      </w:r>
      <w:r>
        <w:rPr>
          <w:rFonts w:ascii="Times New Roman" w:hAnsi="Times New Roman"/>
          <w:sz w:val="24"/>
          <w:szCs w:val="24"/>
        </w:rPr>
        <w:t>r</w:t>
      </w:r>
      <w:r w:rsidRPr="005D6187">
        <w:rPr>
          <w:rFonts w:ascii="Times New Roman" w:hAnsi="Times New Roman"/>
          <w:sz w:val="24"/>
          <w:szCs w:val="24"/>
        </w:rPr>
        <w:t xml:space="preserve">ent, </w:t>
      </w:r>
      <w:r>
        <w:rPr>
          <w:rFonts w:ascii="Times New Roman" w:hAnsi="Times New Roman"/>
          <w:sz w:val="24"/>
          <w:szCs w:val="24"/>
        </w:rPr>
        <w:t>c</w:t>
      </w:r>
      <w:r w:rsidRPr="005D6187">
        <w:rPr>
          <w:rFonts w:ascii="Times New Roman" w:hAnsi="Times New Roman"/>
          <w:sz w:val="24"/>
          <w:szCs w:val="24"/>
        </w:rPr>
        <w:t xml:space="preserve">ost and IEQ of dwellings describes </w:t>
      </w:r>
      <w:r>
        <w:rPr>
          <w:rFonts w:ascii="Times New Roman" w:hAnsi="Times New Roman"/>
          <w:sz w:val="24"/>
          <w:szCs w:val="24"/>
        </w:rPr>
        <w:t xml:space="preserve">the </w:t>
      </w:r>
      <w:r w:rsidRPr="005D6187">
        <w:rPr>
          <w:rFonts w:ascii="Times New Roman" w:hAnsi="Times New Roman"/>
          <w:sz w:val="24"/>
          <w:szCs w:val="24"/>
        </w:rPr>
        <w:t>economic value placed on housing as well as importance of spaces employed for cooking and living activities. This likely refer</w:t>
      </w:r>
      <w:r>
        <w:rPr>
          <w:rFonts w:ascii="Times New Roman" w:hAnsi="Times New Roman"/>
          <w:sz w:val="24"/>
          <w:szCs w:val="24"/>
        </w:rPr>
        <w:t>s</w:t>
      </w:r>
      <w:r w:rsidRPr="005D6187">
        <w:rPr>
          <w:rFonts w:ascii="Times New Roman" w:hAnsi="Times New Roman"/>
          <w:sz w:val="24"/>
          <w:szCs w:val="24"/>
        </w:rPr>
        <w:t xml:space="preserve"> to traditional house-form</w:t>
      </w:r>
      <w:r>
        <w:rPr>
          <w:rFonts w:ascii="Times New Roman" w:hAnsi="Times New Roman"/>
          <w:sz w:val="24"/>
          <w:szCs w:val="24"/>
        </w:rPr>
        <w:t>s</w:t>
      </w:r>
      <w:r w:rsidRPr="005D6187">
        <w:rPr>
          <w:rFonts w:ascii="Times New Roman" w:hAnsi="Times New Roman"/>
          <w:sz w:val="24"/>
          <w:szCs w:val="24"/>
        </w:rPr>
        <w:t xml:space="preserve"> in the area where activities </w:t>
      </w:r>
      <w:r>
        <w:rPr>
          <w:rFonts w:ascii="Times New Roman" w:hAnsi="Times New Roman"/>
          <w:sz w:val="24"/>
          <w:szCs w:val="24"/>
        </w:rPr>
        <w:t>occur</w:t>
      </w:r>
      <w:r w:rsidRPr="005D6187">
        <w:rPr>
          <w:rFonts w:ascii="Times New Roman" w:hAnsi="Times New Roman"/>
          <w:sz w:val="24"/>
          <w:szCs w:val="24"/>
        </w:rPr>
        <w:t xml:space="preserve"> within open courtyards</w:t>
      </w:r>
      <w:r>
        <w:rPr>
          <w:rFonts w:ascii="Times New Roman" w:hAnsi="Times New Roman"/>
          <w:sz w:val="24"/>
          <w:szCs w:val="24"/>
        </w:rPr>
        <w:t xml:space="preserve"> described in the methodology</w:t>
      </w:r>
      <w:r w:rsidRPr="005D6187">
        <w:rPr>
          <w:rFonts w:ascii="Times New Roman" w:hAnsi="Times New Roman"/>
          <w:sz w:val="24"/>
          <w:szCs w:val="24"/>
        </w:rPr>
        <w:t xml:space="preserve">. </w:t>
      </w:r>
      <w:proofErr w:type="spellStart"/>
      <w:r w:rsidRPr="005D6187">
        <w:rPr>
          <w:rFonts w:ascii="Times New Roman" w:hAnsi="Times New Roman"/>
          <w:sz w:val="24"/>
          <w:szCs w:val="24"/>
        </w:rPr>
        <w:t>Neighbouring</w:t>
      </w:r>
      <w:proofErr w:type="spellEnd"/>
      <w:r w:rsidRPr="005D6187">
        <w:rPr>
          <w:rFonts w:ascii="Times New Roman" w:hAnsi="Times New Roman"/>
          <w:sz w:val="24"/>
          <w:szCs w:val="24"/>
        </w:rPr>
        <w:t xml:space="preserve"> and dwelling facilities, the fourth component describes essential services while component five, </w:t>
      </w:r>
      <w:r>
        <w:rPr>
          <w:rFonts w:ascii="Times New Roman" w:hAnsi="Times New Roman"/>
          <w:sz w:val="24"/>
          <w:szCs w:val="24"/>
        </w:rPr>
        <w:t>l</w:t>
      </w:r>
      <w:r w:rsidRPr="005D6187">
        <w:rPr>
          <w:rFonts w:ascii="Times New Roman" w:hAnsi="Times New Roman"/>
          <w:sz w:val="24"/>
          <w:szCs w:val="24"/>
        </w:rPr>
        <w:t xml:space="preserve">ifestyle amenities and </w:t>
      </w:r>
      <w:r>
        <w:rPr>
          <w:rFonts w:ascii="Times New Roman" w:hAnsi="Times New Roman"/>
          <w:sz w:val="24"/>
          <w:szCs w:val="24"/>
        </w:rPr>
        <w:t>w</w:t>
      </w:r>
      <w:r w:rsidRPr="005D6187">
        <w:rPr>
          <w:rFonts w:ascii="Times New Roman" w:hAnsi="Times New Roman"/>
          <w:sz w:val="24"/>
          <w:szCs w:val="24"/>
        </w:rPr>
        <w:t>ater supply, describe</w:t>
      </w:r>
      <w:r>
        <w:rPr>
          <w:rFonts w:ascii="Times New Roman" w:hAnsi="Times New Roman"/>
          <w:sz w:val="24"/>
          <w:szCs w:val="24"/>
        </w:rPr>
        <w:t>s</w:t>
      </w:r>
      <w:r w:rsidRPr="005D6187">
        <w:rPr>
          <w:rFonts w:ascii="Times New Roman" w:hAnsi="Times New Roman"/>
          <w:sz w:val="24"/>
          <w:szCs w:val="24"/>
        </w:rPr>
        <w:t xml:space="preserve"> benefits and enhancers to</w:t>
      </w:r>
      <w:r>
        <w:rPr>
          <w:rFonts w:ascii="Times New Roman" w:hAnsi="Times New Roman"/>
          <w:sz w:val="24"/>
          <w:szCs w:val="24"/>
        </w:rPr>
        <w:t xml:space="preserve"> comfortable living conditions. T</w:t>
      </w:r>
      <w:r w:rsidRPr="005D6187">
        <w:rPr>
          <w:rFonts w:ascii="Times New Roman" w:hAnsi="Times New Roman"/>
          <w:sz w:val="24"/>
          <w:szCs w:val="24"/>
        </w:rPr>
        <w:t>hese are not always readily available to residents in the study area</w:t>
      </w:r>
      <w:r>
        <w:rPr>
          <w:rFonts w:ascii="Times New Roman" w:hAnsi="Times New Roman"/>
          <w:sz w:val="24"/>
          <w:szCs w:val="24"/>
        </w:rPr>
        <w:t xml:space="preserve"> as evidenced by RS ratings in Table 3</w:t>
      </w:r>
      <w:r w:rsidRPr="005D6187">
        <w:rPr>
          <w:rFonts w:ascii="Times New Roman" w:hAnsi="Times New Roman"/>
          <w:sz w:val="24"/>
          <w:szCs w:val="24"/>
        </w:rPr>
        <w:t>.</w:t>
      </w:r>
    </w:p>
    <w:p w:rsidR="008851EF" w:rsidRPr="005D6187" w:rsidRDefault="008851EF" w:rsidP="00564B4B">
      <w:pPr>
        <w:spacing w:after="0" w:line="240" w:lineRule="auto"/>
        <w:ind w:firstLine="720"/>
        <w:jc w:val="both"/>
        <w:rPr>
          <w:rFonts w:ascii="Times New Roman" w:hAnsi="Times New Roman"/>
          <w:sz w:val="24"/>
          <w:szCs w:val="24"/>
        </w:rPr>
      </w:pPr>
      <w:r w:rsidRPr="005D6187">
        <w:rPr>
          <w:rFonts w:ascii="Times New Roman" w:hAnsi="Times New Roman"/>
          <w:sz w:val="24"/>
          <w:szCs w:val="24"/>
        </w:rPr>
        <w:t xml:space="preserve">The sixth component, </w:t>
      </w:r>
      <w:r>
        <w:rPr>
          <w:rFonts w:ascii="Times New Roman" w:hAnsi="Times New Roman"/>
          <w:sz w:val="24"/>
          <w:szCs w:val="24"/>
        </w:rPr>
        <w:t>s</w:t>
      </w:r>
      <w:r w:rsidRPr="005D6187">
        <w:rPr>
          <w:rFonts w:ascii="Times New Roman" w:hAnsi="Times New Roman"/>
          <w:sz w:val="24"/>
          <w:szCs w:val="24"/>
        </w:rPr>
        <w:t>ecurity,</w:t>
      </w:r>
      <w:r>
        <w:rPr>
          <w:rFonts w:ascii="Times New Roman" w:hAnsi="Times New Roman"/>
          <w:sz w:val="24"/>
          <w:szCs w:val="24"/>
        </w:rPr>
        <w:t xml:space="preserve"> c</w:t>
      </w:r>
      <w:r w:rsidRPr="005D6187">
        <w:rPr>
          <w:rFonts w:ascii="Times New Roman" w:hAnsi="Times New Roman"/>
          <w:sz w:val="24"/>
          <w:szCs w:val="24"/>
        </w:rPr>
        <w:t xml:space="preserve">leanliness and </w:t>
      </w:r>
      <w:r>
        <w:rPr>
          <w:rFonts w:ascii="Times New Roman" w:hAnsi="Times New Roman"/>
          <w:sz w:val="24"/>
          <w:szCs w:val="24"/>
        </w:rPr>
        <w:t>n</w:t>
      </w:r>
      <w:r w:rsidRPr="005D6187">
        <w:rPr>
          <w:rFonts w:ascii="Times New Roman" w:hAnsi="Times New Roman"/>
          <w:sz w:val="24"/>
          <w:szCs w:val="24"/>
        </w:rPr>
        <w:t xml:space="preserve">umber of bedrooms describe housing environment features that are likely constant and perceived as given within the estate. Component seven, </w:t>
      </w:r>
      <w:r>
        <w:rPr>
          <w:rFonts w:ascii="Times New Roman" w:hAnsi="Times New Roman"/>
          <w:sz w:val="24"/>
          <w:szCs w:val="24"/>
        </w:rPr>
        <w:t>s</w:t>
      </w:r>
      <w:r w:rsidRPr="005D6187">
        <w:rPr>
          <w:rFonts w:ascii="Times New Roman" w:hAnsi="Times New Roman"/>
          <w:sz w:val="24"/>
          <w:szCs w:val="24"/>
        </w:rPr>
        <w:t xml:space="preserve">izes of bedrooms and </w:t>
      </w:r>
      <w:r>
        <w:rPr>
          <w:rFonts w:ascii="Times New Roman" w:hAnsi="Times New Roman"/>
          <w:sz w:val="24"/>
          <w:szCs w:val="24"/>
        </w:rPr>
        <w:t>f</w:t>
      </w:r>
      <w:r w:rsidRPr="005D6187">
        <w:rPr>
          <w:rFonts w:ascii="Times New Roman" w:hAnsi="Times New Roman"/>
          <w:sz w:val="24"/>
          <w:szCs w:val="24"/>
        </w:rPr>
        <w:t xml:space="preserve">acility </w:t>
      </w:r>
      <w:r>
        <w:rPr>
          <w:rFonts w:ascii="Times New Roman" w:hAnsi="Times New Roman"/>
          <w:sz w:val="24"/>
          <w:szCs w:val="24"/>
        </w:rPr>
        <w:t>m</w:t>
      </w:r>
      <w:r w:rsidRPr="005D6187">
        <w:rPr>
          <w:rFonts w:ascii="Times New Roman" w:hAnsi="Times New Roman"/>
          <w:sz w:val="24"/>
          <w:szCs w:val="24"/>
        </w:rPr>
        <w:t xml:space="preserve">anagement, describes commonly employed terms </w:t>
      </w:r>
      <w:r>
        <w:rPr>
          <w:rFonts w:ascii="Times New Roman" w:hAnsi="Times New Roman"/>
          <w:sz w:val="24"/>
          <w:szCs w:val="24"/>
        </w:rPr>
        <w:t xml:space="preserve">for describing dwellings in the study area. This is </w:t>
      </w:r>
      <w:r w:rsidRPr="005D6187">
        <w:rPr>
          <w:rFonts w:ascii="Times New Roman" w:hAnsi="Times New Roman"/>
          <w:sz w:val="24"/>
          <w:szCs w:val="24"/>
        </w:rPr>
        <w:t xml:space="preserve">usually based on </w:t>
      </w:r>
      <w:r>
        <w:rPr>
          <w:rFonts w:ascii="Times New Roman" w:hAnsi="Times New Roman"/>
          <w:sz w:val="24"/>
          <w:szCs w:val="24"/>
        </w:rPr>
        <w:t xml:space="preserve">the </w:t>
      </w:r>
      <w:r w:rsidRPr="005D6187">
        <w:rPr>
          <w:rFonts w:ascii="Times New Roman" w:hAnsi="Times New Roman"/>
          <w:sz w:val="24"/>
          <w:szCs w:val="24"/>
        </w:rPr>
        <w:t>number of bedroom</w:t>
      </w:r>
      <w:r>
        <w:rPr>
          <w:rFonts w:ascii="Times New Roman" w:hAnsi="Times New Roman"/>
          <w:sz w:val="24"/>
          <w:szCs w:val="24"/>
        </w:rPr>
        <w:t>s and</w:t>
      </w:r>
      <w:r w:rsidRPr="005D6187">
        <w:rPr>
          <w:rFonts w:ascii="Times New Roman" w:hAnsi="Times New Roman"/>
          <w:sz w:val="24"/>
          <w:szCs w:val="24"/>
        </w:rPr>
        <w:t xml:space="preserve"> may expl</w:t>
      </w:r>
      <w:r w:rsidR="002F4E77">
        <w:rPr>
          <w:rFonts w:ascii="Times New Roman" w:hAnsi="Times New Roman"/>
          <w:sz w:val="24"/>
          <w:szCs w:val="24"/>
        </w:rPr>
        <w:t>ain why residents</w:t>
      </w:r>
      <w:r>
        <w:rPr>
          <w:rFonts w:ascii="Times New Roman" w:hAnsi="Times New Roman"/>
          <w:sz w:val="24"/>
          <w:szCs w:val="24"/>
        </w:rPr>
        <w:t xml:space="preserve"> link</w:t>
      </w:r>
      <w:r w:rsidR="002F4E77">
        <w:rPr>
          <w:rFonts w:ascii="Times New Roman" w:hAnsi="Times New Roman"/>
          <w:sz w:val="24"/>
          <w:szCs w:val="24"/>
        </w:rPr>
        <w:t>ed</w:t>
      </w:r>
      <w:r>
        <w:rPr>
          <w:rFonts w:ascii="Times New Roman" w:hAnsi="Times New Roman"/>
          <w:sz w:val="24"/>
          <w:szCs w:val="24"/>
        </w:rPr>
        <w:t xml:space="preserve"> it to FM. The</w:t>
      </w:r>
      <w:r w:rsidRPr="005D6187">
        <w:rPr>
          <w:rFonts w:ascii="Times New Roman" w:hAnsi="Times New Roman"/>
          <w:sz w:val="24"/>
          <w:szCs w:val="24"/>
        </w:rPr>
        <w:t xml:space="preserve"> low Cronbach’s alpha </w:t>
      </w:r>
      <w:r>
        <w:rPr>
          <w:rFonts w:ascii="Times New Roman" w:hAnsi="Times New Roman"/>
          <w:sz w:val="24"/>
          <w:szCs w:val="24"/>
        </w:rPr>
        <w:t xml:space="preserve">of this component </w:t>
      </w:r>
      <w:r w:rsidRPr="005D6187">
        <w:rPr>
          <w:rFonts w:ascii="Times New Roman" w:hAnsi="Times New Roman"/>
          <w:sz w:val="24"/>
          <w:szCs w:val="24"/>
        </w:rPr>
        <w:t>(0.571)</w:t>
      </w:r>
      <w:r>
        <w:rPr>
          <w:rFonts w:ascii="Times New Roman" w:hAnsi="Times New Roman"/>
          <w:sz w:val="24"/>
          <w:szCs w:val="24"/>
        </w:rPr>
        <w:t xml:space="preserve"> is however indicative of </w:t>
      </w:r>
      <w:r w:rsidRPr="005D6187">
        <w:rPr>
          <w:rFonts w:ascii="Times New Roman" w:hAnsi="Times New Roman"/>
          <w:sz w:val="24"/>
          <w:szCs w:val="24"/>
        </w:rPr>
        <w:t>ambivalen</w:t>
      </w:r>
      <w:r>
        <w:rPr>
          <w:rFonts w:ascii="Times New Roman" w:hAnsi="Times New Roman"/>
          <w:sz w:val="24"/>
          <w:szCs w:val="24"/>
        </w:rPr>
        <w:t>ce among respondents</w:t>
      </w:r>
      <w:r w:rsidRPr="005D6187">
        <w:rPr>
          <w:rFonts w:ascii="Times New Roman" w:hAnsi="Times New Roman"/>
          <w:sz w:val="24"/>
          <w:szCs w:val="24"/>
        </w:rPr>
        <w:t xml:space="preserve">. Future studies are required to confirm this </w:t>
      </w:r>
      <w:r>
        <w:rPr>
          <w:rFonts w:ascii="Times New Roman" w:hAnsi="Times New Roman"/>
          <w:sz w:val="24"/>
          <w:szCs w:val="24"/>
        </w:rPr>
        <w:t>observation</w:t>
      </w:r>
      <w:r w:rsidRPr="005D6187">
        <w:rPr>
          <w:rFonts w:ascii="Times New Roman" w:hAnsi="Times New Roman"/>
          <w:sz w:val="24"/>
          <w:szCs w:val="24"/>
        </w:rPr>
        <w:t xml:space="preserve">. The last component, </w:t>
      </w:r>
      <w:r>
        <w:rPr>
          <w:rFonts w:ascii="Times New Roman" w:hAnsi="Times New Roman"/>
          <w:sz w:val="24"/>
          <w:szCs w:val="24"/>
        </w:rPr>
        <w:t>p</w:t>
      </w:r>
      <w:r w:rsidRPr="005D6187">
        <w:rPr>
          <w:rFonts w:ascii="Times New Roman" w:hAnsi="Times New Roman"/>
          <w:sz w:val="24"/>
          <w:szCs w:val="24"/>
        </w:rPr>
        <w:t xml:space="preserve">roximity to </w:t>
      </w:r>
      <w:r>
        <w:rPr>
          <w:rFonts w:ascii="Times New Roman" w:hAnsi="Times New Roman"/>
          <w:sz w:val="24"/>
          <w:szCs w:val="24"/>
        </w:rPr>
        <w:t>s</w:t>
      </w:r>
      <w:r w:rsidRPr="005D6187">
        <w:rPr>
          <w:rFonts w:ascii="Times New Roman" w:hAnsi="Times New Roman"/>
          <w:sz w:val="24"/>
          <w:szCs w:val="24"/>
        </w:rPr>
        <w:t xml:space="preserve">chools, </w:t>
      </w:r>
      <w:r>
        <w:rPr>
          <w:rFonts w:ascii="Times New Roman" w:hAnsi="Times New Roman"/>
          <w:sz w:val="24"/>
          <w:szCs w:val="24"/>
        </w:rPr>
        <w:t>a</w:t>
      </w:r>
      <w:r w:rsidRPr="005D6187">
        <w:rPr>
          <w:rFonts w:ascii="Times New Roman" w:hAnsi="Times New Roman"/>
          <w:sz w:val="24"/>
          <w:szCs w:val="24"/>
        </w:rPr>
        <w:t>esthetics and</w:t>
      </w:r>
      <w:r>
        <w:rPr>
          <w:rFonts w:ascii="Times New Roman" w:hAnsi="Times New Roman"/>
          <w:sz w:val="24"/>
          <w:szCs w:val="24"/>
        </w:rPr>
        <w:t xml:space="preserve"> q</w:t>
      </w:r>
      <w:r w:rsidRPr="005D6187">
        <w:rPr>
          <w:rFonts w:ascii="Times New Roman" w:hAnsi="Times New Roman"/>
          <w:sz w:val="24"/>
          <w:szCs w:val="24"/>
        </w:rPr>
        <w:t xml:space="preserve">uality of </w:t>
      </w:r>
      <w:r>
        <w:rPr>
          <w:rFonts w:ascii="Times New Roman" w:hAnsi="Times New Roman"/>
          <w:sz w:val="24"/>
          <w:szCs w:val="24"/>
        </w:rPr>
        <w:t>c</w:t>
      </w:r>
      <w:r w:rsidRPr="005D6187">
        <w:rPr>
          <w:rFonts w:ascii="Times New Roman" w:hAnsi="Times New Roman"/>
          <w:sz w:val="24"/>
          <w:szCs w:val="24"/>
        </w:rPr>
        <w:t>onstruction describes variables associated with social cla</w:t>
      </w:r>
      <w:r>
        <w:rPr>
          <w:rFonts w:ascii="Times New Roman" w:hAnsi="Times New Roman"/>
          <w:sz w:val="24"/>
          <w:szCs w:val="24"/>
        </w:rPr>
        <w:t>ss and local image of residents. It</w:t>
      </w:r>
      <w:r w:rsidRPr="005D6187">
        <w:rPr>
          <w:rFonts w:ascii="Times New Roman" w:hAnsi="Times New Roman"/>
          <w:sz w:val="24"/>
          <w:szCs w:val="24"/>
        </w:rPr>
        <w:t xml:space="preserve"> reflect</w:t>
      </w:r>
      <w:r>
        <w:rPr>
          <w:rFonts w:ascii="Times New Roman" w:hAnsi="Times New Roman"/>
          <w:sz w:val="24"/>
          <w:szCs w:val="24"/>
        </w:rPr>
        <w:t>s</w:t>
      </w:r>
      <w:r w:rsidRPr="005D6187">
        <w:rPr>
          <w:rFonts w:ascii="Times New Roman" w:hAnsi="Times New Roman"/>
          <w:sz w:val="24"/>
          <w:szCs w:val="24"/>
        </w:rPr>
        <w:t xml:space="preserve"> status </w:t>
      </w:r>
      <w:r>
        <w:rPr>
          <w:rFonts w:ascii="Times New Roman" w:hAnsi="Times New Roman"/>
          <w:sz w:val="24"/>
          <w:szCs w:val="24"/>
        </w:rPr>
        <w:t>related issues as i</w:t>
      </w:r>
      <w:r w:rsidRPr="005D6187">
        <w:rPr>
          <w:rFonts w:ascii="Times New Roman" w:hAnsi="Times New Roman"/>
          <w:sz w:val="24"/>
          <w:szCs w:val="24"/>
        </w:rPr>
        <w:t xml:space="preserve">nformal interviews with residents revealed </w:t>
      </w:r>
      <w:r>
        <w:rPr>
          <w:rFonts w:ascii="Times New Roman" w:hAnsi="Times New Roman"/>
          <w:sz w:val="24"/>
          <w:szCs w:val="24"/>
        </w:rPr>
        <w:t xml:space="preserve">that </w:t>
      </w:r>
      <w:r w:rsidRPr="005D6187">
        <w:rPr>
          <w:rFonts w:ascii="Times New Roman" w:hAnsi="Times New Roman"/>
          <w:sz w:val="24"/>
          <w:szCs w:val="24"/>
        </w:rPr>
        <w:t xml:space="preserve">education is highly </w:t>
      </w:r>
      <w:r w:rsidR="005624BA">
        <w:rPr>
          <w:rFonts w:ascii="Times New Roman" w:hAnsi="Times New Roman"/>
          <w:sz w:val="24"/>
          <w:szCs w:val="24"/>
        </w:rPr>
        <w:t>valu</w:t>
      </w:r>
      <w:r w:rsidRPr="005D6187">
        <w:rPr>
          <w:rFonts w:ascii="Times New Roman" w:hAnsi="Times New Roman"/>
          <w:sz w:val="24"/>
          <w:szCs w:val="24"/>
        </w:rPr>
        <w:t xml:space="preserve">ed in the study area. </w:t>
      </w:r>
      <w:r>
        <w:rPr>
          <w:rFonts w:ascii="Times New Roman" w:hAnsi="Times New Roman"/>
          <w:sz w:val="24"/>
          <w:szCs w:val="24"/>
        </w:rPr>
        <w:t xml:space="preserve">The </w:t>
      </w:r>
      <w:proofErr w:type="spellStart"/>
      <w:r>
        <w:rPr>
          <w:rFonts w:ascii="Times New Roman" w:hAnsi="Times New Roman"/>
          <w:sz w:val="24"/>
          <w:szCs w:val="24"/>
        </w:rPr>
        <w:t>c</w:t>
      </w:r>
      <w:r w:rsidRPr="005D6187">
        <w:rPr>
          <w:rFonts w:ascii="Times New Roman" w:hAnsi="Times New Roman"/>
          <w:sz w:val="24"/>
          <w:szCs w:val="24"/>
        </w:rPr>
        <w:t>alibre</w:t>
      </w:r>
      <w:proofErr w:type="spellEnd"/>
      <w:r w:rsidRPr="005D6187">
        <w:rPr>
          <w:rFonts w:ascii="Times New Roman" w:hAnsi="Times New Roman"/>
          <w:sz w:val="24"/>
          <w:szCs w:val="24"/>
        </w:rPr>
        <w:t xml:space="preserve"> of schools children attend reflects </w:t>
      </w:r>
      <w:r>
        <w:rPr>
          <w:rFonts w:ascii="Times New Roman" w:hAnsi="Times New Roman"/>
          <w:sz w:val="24"/>
          <w:szCs w:val="24"/>
        </w:rPr>
        <w:t xml:space="preserve">the </w:t>
      </w:r>
      <w:r w:rsidRPr="005D6187">
        <w:rPr>
          <w:rFonts w:ascii="Times New Roman" w:hAnsi="Times New Roman"/>
          <w:sz w:val="24"/>
          <w:szCs w:val="24"/>
        </w:rPr>
        <w:t xml:space="preserve">social standing of a family </w:t>
      </w:r>
      <w:r>
        <w:rPr>
          <w:rFonts w:ascii="Times New Roman" w:hAnsi="Times New Roman"/>
          <w:sz w:val="24"/>
          <w:szCs w:val="24"/>
        </w:rPr>
        <w:t>with</w:t>
      </w:r>
      <w:r w:rsidRPr="005D6187">
        <w:rPr>
          <w:rFonts w:ascii="Times New Roman" w:hAnsi="Times New Roman"/>
          <w:sz w:val="24"/>
          <w:szCs w:val="24"/>
        </w:rPr>
        <w:t xml:space="preserve">in </w:t>
      </w:r>
      <w:r w:rsidRPr="005D6187">
        <w:rPr>
          <w:rFonts w:ascii="Times New Roman" w:hAnsi="Times New Roman"/>
          <w:sz w:val="24"/>
          <w:szCs w:val="24"/>
        </w:rPr>
        <w:lastRenderedPageBreak/>
        <w:t>society</w:t>
      </w:r>
      <w:r>
        <w:rPr>
          <w:rFonts w:ascii="Times New Roman" w:hAnsi="Times New Roman"/>
          <w:sz w:val="24"/>
          <w:szCs w:val="24"/>
        </w:rPr>
        <w:t xml:space="preserve"> in </w:t>
      </w:r>
      <w:proofErr w:type="spellStart"/>
      <w:r>
        <w:rPr>
          <w:rFonts w:ascii="Times New Roman" w:hAnsi="Times New Roman"/>
          <w:sz w:val="24"/>
          <w:szCs w:val="24"/>
        </w:rPr>
        <w:t>Gombe</w:t>
      </w:r>
      <w:proofErr w:type="spellEnd"/>
      <w:r w:rsidRPr="005D6187">
        <w:rPr>
          <w:rFonts w:ascii="Times New Roman" w:hAnsi="Times New Roman"/>
          <w:sz w:val="24"/>
          <w:szCs w:val="24"/>
        </w:rPr>
        <w:t xml:space="preserve">. This observation also applies to </w:t>
      </w:r>
      <w:r>
        <w:rPr>
          <w:rFonts w:ascii="Times New Roman" w:hAnsi="Times New Roman"/>
          <w:sz w:val="24"/>
          <w:szCs w:val="24"/>
        </w:rPr>
        <w:t xml:space="preserve">the </w:t>
      </w:r>
      <w:r w:rsidRPr="005D6187">
        <w:rPr>
          <w:rFonts w:ascii="Times New Roman" w:hAnsi="Times New Roman"/>
          <w:sz w:val="24"/>
          <w:szCs w:val="24"/>
        </w:rPr>
        <w:t xml:space="preserve">external appearance of a person’s house, which in part is dependent on </w:t>
      </w:r>
      <w:r>
        <w:rPr>
          <w:rFonts w:ascii="Times New Roman" w:hAnsi="Times New Roman"/>
          <w:sz w:val="24"/>
          <w:szCs w:val="24"/>
        </w:rPr>
        <w:t xml:space="preserve">the </w:t>
      </w:r>
      <w:r w:rsidRPr="005D6187">
        <w:rPr>
          <w:rFonts w:ascii="Times New Roman" w:hAnsi="Times New Roman"/>
          <w:sz w:val="24"/>
          <w:szCs w:val="24"/>
        </w:rPr>
        <w:t>quality of building materials employed</w:t>
      </w:r>
      <w:r>
        <w:rPr>
          <w:rFonts w:ascii="Times New Roman" w:hAnsi="Times New Roman"/>
          <w:sz w:val="24"/>
          <w:szCs w:val="24"/>
        </w:rPr>
        <w:t xml:space="preserve"> in construction</w:t>
      </w:r>
      <w:r w:rsidRPr="005D6187">
        <w:rPr>
          <w:rFonts w:ascii="Times New Roman" w:hAnsi="Times New Roman"/>
          <w:sz w:val="24"/>
          <w:szCs w:val="24"/>
        </w:rPr>
        <w:t xml:space="preserve">. </w:t>
      </w:r>
    </w:p>
    <w:p w:rsidR="008851EF" w:rsidRDefault="008851EF" w:rsidP="00564B4B">
      <w:pPr>
        <w:spacing w:after="0" w:line="240" w:lineRule="auto"/>
        <w:ind w:firstLine="720"/>
        <w:jc w:val="both"/>
        <w:rPr>
          <w:rFonts w:ascii="Times New Roman" w:hAnsi="Times New Roman"/>
          <w:sz w:val="24"/>
          <w:szCs w:val="24"/>
        </w:rPr>
      </w:pPr>
      <w:r w:rsidRPr="005D6187">
        <w:rPr>
          <w:rFonts w:ascii="Times New Roman" w:hAnsi="Times New Roman"/>
          <w:sz w:val="24"/>
          <w:szCs w:val="24"/>
        </w:rPr>
        <w:t xml:space="preserve">Overall, although all variables loaded above the minimum value of 0.4, lowest factor loadings were recorded </w:t>
      </w:r>
      <w:r w:rsidR="005624BA">
        <w:rPr>
          <w:rFonts w:ascii="Times New Roman" w:hAnsi="Times New Roman"/>
          <w:sz w:val="24"/>
          <w:szCs w:val="24"/>
        </w:rPr>
        <w:t>for</w:t>
      </w:r>
      <w:r w:rsidRPr="005D6187">
        <w:rPr>
          <w:rFonts w:ascii="Times New Roman" w:hAnsi="Times New Roman"/>
          <w:sz w:val="24"/>
          <w:szCs w:val="24"/>
        </w:rPr>
        <w:t xml:space="preserve"> water supply related variables (bath/toilet facilities, </w:t>
      </w:r>
      <w:r>
        <w:rPr>
          <w:rFonts w:ascii="Times New Roman" w:hAnsi="Times New Roman"/>
          <w:sz w:val="24"/>
          <w:szCs w:val="24"/>
        </w:rPr>
        <w:t>w</w:t>
      </w:r>
      <w:r w:rsidRPr="005D6187">
        <w:rPr>
          <w:rFonts w:ascii="Times New Roman" w:hAnsi="Times New Roman"/>
          <w:sz w:val="24"/>
          <w:szCs w:val="24"/>
        </w:rPr>
        <w:t>ater supply), underscoring the issue of water shortages in the study area. Residents often depend on water tankers</w:t>
      </w:r>
      <w:r w:rsidR="00F17057">
        <w:rPr>
          <w:rFonts w:ascii="Times New Roman" w:hAnsi="Times New Roman"/>
          <w:sz w:val="24"/>
          <w:szCs w:val="24"/>
        </w:rPr>
        <w:t xml:space="preserve"> and vendors</w:t>
      </w:r>
      <w:r w:rsidRPr="005D6187">
        <w:rPr>
          <w:rFonts w:ascii="Times New Roman" w:hAnsi="Times New Roman"/>
          <w:sz w:val="24"/>
          <w:szCs w:val="24"/>
        </w:rPr>
        <w:t xml:space="preserve"> to supply individual houses. This observation supports findings by </w:t>
      </w:r>
      <w:proofErr w:type="spellStart"/>
      <w:r w:rsidRPr="005D6187">
        <w:rPr>
          <w:rFonts w:ascii="Times New Roman" w:hAnsi="Times New Roman"/>
          <w:sz w:val="24"/>
          <w:szCs w:val="24"/>
        </w:rPr>
        <w:t>Ishiyaku</w:t>
      </w:r>
      <w:proofErr w:type="spellEnd"/>
      <w:r w:rsidRPr="005D6187">
        <w:rPr>
          <w:rFonts w:ascii="Times New Roman" w:hAnsi="Times New Roman"/>
          <w:sz w:val="24"/>
          <w:szCs w:val="24"/>
        </w:rPr>
        <w:t xml:space="preserve"> et al., (2017) regarding poor water supply and urban amenities negatively influencing RS in </w:t>
      </w:r>
      <w:proofErr w:type="spellStart"/>
      <w:r w:rsidRPr="005D6187">
        <w:rPr>
          <w:rFonts w:ascii="Times New Roman" w:hAnsi="Times New Roman"/>
          <w:sz w:val="24"/>
          <w:szCs w:val="24"/>
        </w:rPr>
        <w:t>Gombe</w:t>
      </w:r>
      <w:proofErr w:type="spellEnd"/>
      <w:r w:rsidRPr="005D6187">
        <w:rPr>
          <w:rFonts w:ascii="Times New Roman" w:hAnsi="Times New Roman"/>
          <w:sz w:val="24"/>
          <w:szCs w:val="24"/>
        </w:rPr>
        <w:t>.</w:t>
      </w:r>
    </w:p>
    <w:p w:rsidR="00B97F9C" w:rsidRPr="005D6187" w:rsidRDefault="00B97F9C" w:rsidP="00564B4B">
      <w:pPr>
        <w:spacing w:after="0" w:line="240" w:lineRule="auto"/>
        <w:ind w:firstLine="720"/>
        <w:jc w:val="both"/>
        <w:rPr>
          <w:rFonts w:ascii="Times New Roman" w:hAnsi="Times New Roman"/>
          <w:sz w:val="24"/>
          <w:szCs w:val="24"/>
        </w:rPr>
      </w:pPr>
    </w:p>
    <w:p w:rsidR="00EA5B14" w:rsidRPr="006F3C77" w:rsidRDefault="00EA5B14" w:rsidP="00564B4B">
      <w:pPr>
        <w:spacing w:after="0" w:line="240" w:lineRule="auto"/>
        <w:jc w:val="both"/>
        <w:rPr>
          <w:rFonts w:ascii="Times New Roman" w:hAnsi="Times New Roman"/>
          <w:i/>
          <w:iCs/>
          <w:sz w:val="24"/>
          <w:szCs w:val="24"/>
        </w:rPr>
      </w:pPr>
      <w:r w:rsidRPr="006F3C77">
        <w:rPr>
          <w:rFonts w:ascii="Times New Roman" w:hAnsi="Times New Roman"/>
          <w:i/>
          <w:iCs/>
          <w:sz w:val="24"/>
          <w:szCs w:val="24"/>
        </w:rPr>
        <w:t xml:space="preserve">Discussion </w:t>
      </w:r>
    </w:p>
    <w:p w:rsidR="00B97F9C" w:rsidRDefault="00B97F9C" w:rsidP="00564B4B">
      <w:pPr>
        <w:spacing w:after="0" w:line="240" w:lineRule="auto"/>
        <w:jc w:val="both"/>
        <w:rPr>
          <w:rFonts w:ascii="Times New Roman" w:hAnsi="Times New Roman"/>
          <w:sz w:val="24"/>
          <w:szCs w:val="24"/>
        </w:rPr>
      </w:pPr>
    </w:p>
    <w:p w:rsidR="008851EF" w:rsidRPr="005D6187" w:rsidRDefault="008851EF" w:rsidP="00564B4B">
      <w:pPr>
        <w:spacing w:after="0" w:line="240" w:lineRule="auto"/>
        <w:jc w:val="both"/>
        <w:rPr>
          <w:rFonts w:ascii="Times New Roman" w:hAnsi="Times New Roman"/>
          <w:sz w:val="24"/>
          <w:szCs w:val="24"/>
        </w:rPr>
      </w:pPr>
      <w:r w:rsidRPr="005D6187">
        <w:rPr>
          <w:rFonts w:ascii="Times New Roman" w:hAnsi="Times New Roman"/>
          <w:sz w:val="24"/>
          <w:szCs w:val="24"/>
        </w:rPr>
        <w:t xml:space="preserve">Results from residents’ assessment suggest overall dissatisfaction with the housing environment (M 2.79) </w:t>
      </w:r>
      <w:r>
        <w:rPr>
          <w:rFonts w:ascii="Times New Roman" w:hAnsi="Times New Roman"/>
          <w:sz w:val="24"/>
          <w:szCs w:val="24"/>
        </w:rPr>
        <w:t>in the study area</w:t>
      </w:r>
      <w:r w:rsidRPr="005D6187">
        <w:rPr>
          <w:rFonts w:ascii="Times New Roman" w:hAnsi="Times New Roman"/>
          <w:sz w:val="24"/>
          <w:szCs w:val="24"/>
        </w:rPr>
        <w:t xml:space="preserve"> based on </w:t>
      </w:r>
      <w:r>
        <w:rPr>
          <w:rFonts w:ascii="Times New Roman" w:hAnsi="Times New Roman"/>
          <w:sz w:val="24"/>
          <w:szCs w:val="24"/>
        </w:rPr>
        <w:t xml:space="preserve">a </w:t>
      </w:r>
      <w:r w:rsidRPr="005D6187">
        <w:rPr>
          <w:rFonts w:ascii="Times New Roman" w:hAnsi="Times New Roman"/>
          <w:sz w:val="24"/>
          <w:szCs w:val="24"/>
        </w:rPr>
        <w:t xml:space="preserve">minimum value of 3.0 out of 5 points. This finding supports results from several other studies in other parts of Nigeria where residents in public housing were generally dissatisfied with their housing environment. </w:t>
      </w:r>
      <w:proofErr w:type="spellStart"/>
      <w:r w:rsidRPr="005D6187">
        <w:rPr>
          <w:rFonts w:ascii="Times New Roman" w:hAnsi="Times New Roman"/>
          <w:sz w:val="24"/>
          <w:szCs w:val="24"/>
        </w:rPr>
        <w:t>Ibem</w:t>
      </w:r>
      <w:proofErr w:type="spellEnd"/>
      <w:r w:rsidRPr="005D6187">
        <w:rPr>
          <w:rFonts w:ascii="Times New Roman" w:hAnsi="Times New Roman"/>
          <w:sz w:val="24"/>
          <w:szCs w:val="24"/>
        </w:rPr>
        <w:t xml:space="preserve"> et al. (2018), </w:t>
      </w:r>
      <w:proofErr w:type="spellStart"/>
      <w:r w:rsidRPr="005D6187">
        <w:rPr>
          <w:rFonts w:ascii="Times New Roman" w:hAnsi="Times New Roman"/>
          <w:sz w:val="24"/>
          <w:szCs w:val="24"/>
        </w:rPr>
        <w:t>Ibem</w:t>
      </w:r>
      <w:proofErr w:type="spellEnd"/>
      <w:r w:rsidRPr="005D6187">
        <w:rPr>
          <w:rFonts w:ascii="Times New Roman" w:hAnsi="Times New Roman"/>
          <w:sz w:val="24"/>
          <w:szCs w:val="24"/>
        </w:rPr>
        <w:t xml:space="preserve"> and </w:t>
      </w:r>
      <w:proofErr w:type="spellStart"/>
      <w:r w:rsidRPr="005D6187">
        <w:rPr>
          <w:rFonts w:ascii="Times New Roman" w:hAnsi="Times New Roman"/>
          <w:sz w:val="24"/>
          <w:szCs w:val="24"/>
        </w:rPr>
        <w:t>Azuh</w:t>
      </w:r>
      <w:proofErr w:type="spellEnd"/>
      <w:r w:rsidRPr="005D6187">
        <w:rPr>
          <w:rFonts w:ascii="Times New Roman" w:hAnsi="Times New Roman"/>
          <w:sz w:val="24"/>
          <w:szCs w:val="24"/>
        </w:rPr>
        <w:t xml:space="preserve"> (2014), </w:t>
      </w:r>
      <w:proofErr w:type="spellStart"/>
      <w:r w:rsidRPr="005D6187">
        <w:rPr>
          <w:rFonts w:ascii="Times New Roman" w:hAnsi="Times New Roman"/>
          <w:sz w:val="24"/>
          <w:szCs w:val="24"/>
        </w:rPr>
        <w:t>Ibem</w:t>
      </w:r>
      <w:proofErr w:type="spellEnd"/>
      <w:r w:rsidRPr="005D6187">
        <w:rPr>
          <w:rFonts w:ascii="Times New Roman" w:hAnsi="Times New Roman"/>
          <w:sz w:val="24"/>
          <w:szCs w:val="24"/>
        </w:rPr>
        <w:t xml:space="preserve"> et al. (2015) as well as </w:t>
      </w:r>
      <w:proofErr w:type="spellStart"/>
      <w:r w:rsidRPr="005D6187">
        <w:rPr>
          <w:rFonts w:ascii="Times New Roman" w:hAnsi="Times New Roman"/>
          <w:sz w:val="24"/>
          <w:szCs w:val="24"/>
        </w:rPr>
        <w:t>Ukoha</w:t>
      </w:r>
      <w:proofErr w:type="spellEnd"/>
      <w:r w:rsidRPr="005D6187">
        <w:rPr>
          <w:rFonts w:ascii="Times New Roman" w:hAnsi="Times New Roman"/>
          <w:sz w:val="24"/>
          <w:szCs w:val="24"/>
        </w:rPr>
        <w:t xml:space="preserve"> and Beamish (1997) report general dissatisfaction with overall housing environments. Such findings lend credence to the observation </w:t>
      </w:r>
      <w:r>
        <w:rPr>
          <w:rFonts w:ascii="Times New Roman" w:hAnsi="Times New Roman"/>
          <w:sz w:val="24"/>
          <w:szCs w:val="24"/>
        </w:rPr>
        <w:t xml:space="preserve">that </w:t>
      </w:r>
      <w:r w:rsidRPr="005D6187">
        <w:rPr>
          <w:rFonts w:ascii="Times New Roman" w:hAnsi="Times New Roman"/>
          <w:sz w:val="24"/>
          <w:szCs w:val="24"/>
        </w:rPr>
        <w:t>occupants may not always approve what technocrats approve (</w:t>
      </w:r>
      <w:proofErr w:type="spellStart"/>
      <w:r w:rsidRPr="005D6187">
        <w:rPr>
          <w:rFonts w:ascii="Times New Roman" w:hAnsi="Times New Roman"/>
          <w:sz w:val="24"/>
          <w:szCs w:val="24"/>
        </w:rPr>
        <w:t>Muoghalu</w:t>
      </w:r>
      <w:proofErr w:type="spellEnd"/>
      <w:r w:rsidRPr="005D6187">
        <w:rPr>
          <w:rFonts w:ascii="Times New Roman" w:hAnsi="Times New Roman"/>
          <w:sz w:val="24"/>
          <w:szCs w:val="24"/>
        </w:rPr>
        <w:t xml:space="preserve">, 1984). Providing dwelling units may not always translate to satisfaction, linked to </w:t>
      </w:r>
      <w:r w:rsidR="00995EC1">
        <w:rPr>
          <w:rFonts w:ascii="Times New Roman" w:hAnsi="Times New Roman"/>
          <w:sz w:val="24"/>
          <w:szCs w:val="24"/>
        </w:rPr>
        <w:t>overall</w:t>
      </w:r>
      <w:r w:rsidRPr="005D6187">
        <w:rPr>
          <w:rFonts w:ascii="Times New Roman" w:hAnsi="Times New Roman"/>
          <w:sz w:val="24"/>
          <w:szCs w:val="24"/>
        </w:rPr>
        <w:t xml:space="preserve"> quality of life. While government efforts in housing provision has benefitted many residents, quality of the housing environment is critical in meeting basic housing needs of occupants. This usually includes attention to other aspects of the environment notably </w:t>
      </w:r>
      <w:r w:rsidR="005624BA">
        <w:rPr>
          <w:rFonts w:ascii="Times New Roman" w:hAnsi="Times New Roman"/>
          <w:sz w:val="24"/>
          <w:szCs w:val="24"/>
        </w:rPr>
        <w:t xml:space="preserve">services, </w:t>
      </w:r>
      <w:proofErr w:type="spellStart"/>
      <w:r w:rsidRPr="005D6187">
        <w:rPr>
          <w:rFonts w:ascii="Times New Roman" w:hAnsi="Times New Roman"/>
          <w:sz w:val="24"/>
          <w:szCs w:val="24"/>
        </w:rPr>
        <w:t>neighbourhood</w:t>
      </w:r>
      <w:proofErr w:type="spellEnd"/>
      <w:r w:rsidRPr="005D6187">
        <w:rPr>
          <w:rFonts w:ascii="Times New Roman" w:hAnsi="Times New Roman"/>
          <w:sz w:val="24"/>
          <w:szCs w:val="24"/>
        </w:rPr>
        <w:t xml:space="preserve"> features and management.</w:t>
      </w:r>
    </w:p>
    <w:p w:rsidR="008851EF" w:rsidRPr="005D6187" w:rsidRDefault="008851EF" w:rsidP="00564B4B">
      <w:pPr>
        <w:spacing w:after="0" w:line="240" w:lineRule="auto"/>
        <w:ind w:firstLine="450"/>
        <w:jc w:val="both"/>
        <w:rPr>
          <w:rFonts w:ascii="Times New Roman" w:hAnsi="Times New Roman"/>
          <w:sz w:val="24"/>
          <w:szCs w:val="24"/>
        </w:rPr>
      </w:pPr>
      <w:r w:rsidRPr="005D6187">
        <w:rPr>
          <w:rFonts w:ascii="Times New Roman" w:hAnsi="Times New Roman"/>
          <w:sz w:val="24"/>
          <w:szCs w:val="24"/>
        </w:rPr>
        <w:t xml:space="preserve">In line with the third characteristic of RS studies using the Habitability framework, dwelling and </w:t>
      </w:r>
      <w:proofErr w:type="spellStart"/>
      <w:r w:rsidRPr="005D6187">
        <w:rPr>
          <w:rFonts w:ascii="Times New Roman" w:hAnsi="Times New Roman"/>
          <w:sz w:val="24"/>
          <w:szCs w:val="24"/>
        </w:rPr>
        <w:t>neighbourhood</w:t>
      </w:r>
      <w:proofErr w:type="spellEnd"/>
      <w:r w:rsidRPr="005D6187">
        <w:rPr>
          <w:rFonts w:ascii="Times New Roman" w:hAnsi="Times New Roman"/>
          <w:sz w:val="24"/>
          <w:szCs w:val="24"/>
        </w:rPr>
        <w:t xml:space="preserve"> environment variables were more satisfactory than management features. This finding supports advocates of </w:t>
      </w:r>
      <w:r>
        <w:rPr>
          <w:rFonts w:ascii="Times New Roman" w:hAnsi="Times New Roman"/>
          <w:sz w:val="24"/>
          <w:szCs w:val="24"/>
        </w:rPr>
        <w:t xml:space="preserve">the assertion that </w:t>
      </w:r>
      <w:r w:rsidRPr="005D6187">
        <w:rPr>
          <w:rFonts w:ascii="Times New Roman" w:hAnsi="Times New Roman"/>
          <w:sz w:val="24"/>
          <w:szCs w:val="24"/>
        </w:rPr>
        <w:t xml:space="preserve">dwelling and </w:t>
      </w:r>
      <w:proofErr w:type="spellStart"/>
      <w:r w:rsidRPr="005D6187">
        <w:rPr>
          <w:rFonts w:ascii="Times New Roman" w:hAnsi="Times New Roman"/>
          <w:sz w:val="24"/>
          <w:szCs w:val="24"/>
        </w:rPr>
        <w:t>neighbourhood</w:t>
      </w:r>
      <w:proofErr w:type="spellEnd"/>
      <w:r w:rsidRPr="005D6187">
        <w:rPr>
          <w:rFonts w:ascii="Times New Roman" w:hAnsi="Times New Roman"/>
          <w:sz w:val="24"/>
          <w:szCs w:val="24"/>
        </w:rPr>
        <w:t xml:space="preserve"> features most influenc</w:t>
      </w:r>
      <w:r>
        <w:rPr>
          <w:rFonts w:ascii="Times New Roman" w:hAnsi="Times New Roman"/>
          <w:sz w:val="24"/>
          <w:szCs w:val="24"/>
        </w:rPr>
        <w:t>e</w:t>
      </w:r>
      <w:r w:rsidRPr="005D6187">
        <w:rPr>
          <w:rFonts w:ascii="Times New Roman" w:hAnsi="Times New Roman"/>
          <w:sz w:val="24"/>
          <w:szCs w:val="24"/>
        </w:rPr>
        <w:t xml:space="preserve"> RS (</w:t>
      </w:r>
      <w:proofErr w:type="spellStart"/>
      <w:r w:rsidRPr="005D6187">
        <w:rPr>
          <w:rFonts w:ascii="Times New Roman" w:hAnsi="Times New Roman"/>
          <w:sz w:val="24"/>
          <w:szCs w:val="24"/>
        </w:rPr>
        <w:t>Maina</w:t>
      </w:r>
      <w:proofErr w:type="spellEnd"/>
      <w:r w:rsidRPr="005D6187">
        <w:rPr>
          <w:rFonts w:ascii="Times New Roman" w:hAnsi="Times New Roman"/>
          <w:sz w:val="24"/>
          <w:szCs w:val="24"/>
        </w:rPr>
        <w:t xml:space="preserve"> et al., 2018; </w:t>
      </w:r>
      <w:proofErr w:type="spellStart"/>
      <w:r w:rsidRPr="005D6187">
        <w:rPr>
          <w:rFonts w:ascii="Times New Roman" w:hAnsi="Times New Roman"/>
          <w:sz w:val="24"/>
          <w:szCs w:val="24"/>
        </w:rPr>
        <w:t>Jiboye</w:t>
      </w:r>
      <w:proofErr w:type="spellEnd"/>
      <w:r w:rsidRPr="005D6187">
        <w:rPr>
          <w:rFonts w:ascii="Times New Roman" w:hAnsi="Times New Roman"/>
          <w:sz w:val="24"/>
          <w:szCs w:val="24"/>
        </w:rPr>
        <w:t>, 2012) and satisfaction with life (</w:t>
      </w:r>
      <w:proofErr w:type="spellStart"/>
      <w:r w:rsidRPr="005D6187">
        <w:rPr>
          <w:rFonts w:ascii="Times New Roman" w:hAnsi="Times New Roman"/>
          <w:sz w:val="24"/>
          <w:szCs w:val="24"/>
        </w:rPr>
        <w:t>Ibem</w:t>
      </w:r>
      <w:proofErr w:type="spellEnd"/>
      <w:r w:rsidRPr="005D6187">
        <w:rPr>
          <w:rFonts w:ascii="Times New Roman" w:hAnsi="Times New Roman"/>
          <w:sz w:val="24"/>
          <w:szCs w:val="24"/>
        </w:rPr>
        <w:t xml:space="preserve"> et al., 2016). Dissatisfactory dwelling features related to </w:t>
      </w:r>
      <w:r>
        <w:rPr>
          <w:rFonts w:ascii="Times New Roman" w:hAnsi="Times New Roman"/>
          <w:sz w:val="24"/>
          <w:szCs w:val="24"/>
        </w:rPr>
        <w:t xml:space="preserve">the </w:t>
      </w:r>
      <w:r w:rsidRPr="005D6187">
        <w:rPr>
          <w:rFonts w:ascii="Times New Roman" w:hAnsi="Times New Roman"/>
          <w:sz w:val="24"/>
          <w:szCs w:val="24"/>
        </w:rPr>
        <w:t>number and sizes of main living spaces such as bedrooms, living and dining rooms as well as cooking areas are consistent with trends in literature (</w:t>
      </w:r>
      <w:proofErr w:type="spellStart"/>
      <w:r w:rsidRPr="005D6187">
        <w:rPr>
          <w:rFonts w:ascii="Times New Roman" w:hAnsi="Times New Roman"/>
          <w:noProof/>
          <w:sz w:val="24"/>
          <w:szCs w:val="24"/>
        </w:rPr>
        <w:t>Lekjep</w:t>
      </w:r>
      <w:proofErr w:type="spellEnd"/>
      <w:r w:rsidRPr="005D6187">
        <w:rPr>
          <w:rFonts w:ascii="Times New Roman" w:hAnsi="Times New Roman"/>
          <w:noProof/>
          <w:sz w:val="24"/>
          <w:szCs w:val="24"/>
        </w:rPr>
        <w:t xml:space="preserve">, 2017; Ukoha &amp; Beamish, 1997). Muoghalu (1984) </w:t>
      </w:r>
      <w:r>
        <w:rPr>
          <w:rFonts w:ascii="Times New Roman" w:hAnsi="Times New Roman"/>
          <w:noProof/>
          <w:sz w:val="24"/>
          <w:szCs w:val="24"/>
        </w:rPr>
        <w:t>asserts that</w:t>
      </w:r>
      <w:r w:rsidRPr="005D6187">
        <w:rPr>
          <w:rFonts w:ascii="Times New Roman" w:hAnsi="Times New Roman"/>
          <w:noProof/>
          <w:sz w:val="24"/>
          <w:szCs w:val="24"/>
        </w:rPr>
        <w:t xml:space="preserve"> dissatisfaction is often a result of </w:t>
      </w:r>
      <w:r>
        <w:rPr>
          <w:rFonts w:ascii="Times New Roman" w:hAnsi="Times New Roman"/>
          <w:noProof/>
          <w:sz w:val="24"/>
          <w:szCs w:val="24"/>
        </w:rPr>
        <w:t xml:space="preserve">the </w:t>
      </w:r>
      <w:r w:rsidRPr="005D6187">
        <w:rPr>
          <w:rFonts w:ascii="Times New Roman" w:hAnsi="Times New Roman"/>
          <w:noProof/>
          <w:sz w:val="24"/>
          <w:szCs w:val="24"/>
        </w:rPr>
        <w:t xml:space="preserve">failure of planners to </w:t>
      </w:r>
      <w:r>
        <w:rPr>
          <w:rFonts w:ascii="Times New Roman" w:hAnsi="Times New Roman"/>
          <w:noProof/>
          <w:sz w:val="24"/>
          <w:szCs w:val="24"/>
        </w:rPr>
        <w:t xml:space="preserve">inadequately </w:t>
      </w:r>
      <w:r w:rsidRPr="005D6187">
        <w:rPr>
          <w:rFonts w:ascii="Times New Roman" w:hAnsi="Times New Roman"/>
          <w:noProof/>
          <w:sz w:val="24"/>
          <w:szCs w:val="24"/>
        </w:rPr>
        <w:t xml:space="preserve">consider </w:t>
      </w:r>
      <w:r>
        <w:rPr>
          <w:rFonts w:ascii="Times New Roman" w:hAnsi="Times New Roman"/>
          <w:noProof/>
          <w:sz w:val="24"/>
          <w:szCs w:val="24"/>
        </w:rPr>
        <w:t xml:space="preserve">the </w:t>
      </w:r>
      <w:r w:rsidRPr="005D6187">
        <w:rPr>
          <w:rFonts w:ascii="Times New Roman" w:hAnsi="Times New Roman"/>
          <w:noProof/>
          <w:sz w:val="24"/>
          <w:szCs w:val="24"/>
        </w:rPr>
        <w:t xml:space="preserve">effect of time on </w:t>
      </w:r>
      <w:r>
        <w:rPr>
          <w:rFonts w:ascii="Times New Roman" w:hAnsi="Times New Roman"/>
          <w:noProof/>
          <w:sz w:val="24"/>
          <w:szCs w:val="24"/>
        </w:rPr>
        <w:t>changing needs of users. This calls for</w:t>
      </w:r>
      <w:r w:rsidRPr="005D6187">
        <w:rPr>
          <w:rFonts w:ascii="Times New Roman" w:hAnsi="Times New Roman"/>
          <w:noProof/>
          <w:sz w:val="24"/>
          <w:szCs w:val="24"/>
        </w:rPr>
        <w:t xml:space="preserve"> flexib</w:t>
      </w:r>
      <w:r w:rsidR="00995EC1">
        <w:rPr>
          <w:rFonts w:ascii="Times New Roman" w:hAnsi="Times New Roman"/>
          <w:noProof/>
          <w:sz w:val="24"/>
          <w:szCs w:val="24"/>
        </w:rPr>
        <w:t>le</w:t>
      </w:r>
      <w:r w:rsidRPr="005D6187">
        <w:rPr>
          <w:rFonts w:ascii="Times New Roman" w:hAnsi="Times New Roman"/>
          <w:noProof/>
          <w:sz w:val="24"/>
          <w:szCs w:val="24"/>
        </w:rPr>
        <w:t xml:space="preserve"> design</w:t>
      </w:r>
      <w:r w:rsidR="00995EC1">
        <w:rPr>
          <w:rFonts w:ascii="Times New Roman" w:hAnsi="Times New Roman"/>
          <w:noProof/>
          <w:sz w:val="24"/>
          <w:szCs w:val="24"/>
        </w:rPr>
        <w:t>s</w:t>
      </w:r>
      <w:r w:rsidRPr="005D6187">
        <w:rPr>
          <w:rFonts w:ascii="Times New Roman" w:hAnsi="Times New Roman"/>
          <w:noProof/>
          <w:sz w:val="24"/>
          <w:szCs w:val="24"/>
        </w:rPr>
        <w:t xml:space="preserve"> </w:t>
      </w:r>
      <w:r w:rsidR="00995EC1">
        <w:rPr>
          <w:rFonts w:ascii="Times New Roman" w:hAnsi="Times New Roman"/>
          <w:noProof/>
          <w:sz w:val="24"/>
          <w:szCs w:val="24"/>
        </w:rPr>
        <w:t>in</w:t>
      </w:r>
      <w:r w:rsidRPr="005D6187">
        <w:rPr>
          <w:rFonts w:ascii="Times New Roman" w:hAnsi="Times New Roman"/>
          <w:noProof/>
          <w:sz w:val="24"/>
          <w:szCs w:val="24"/>
        </w:rPr>
        <w:t xml:space="preserve"> public housing</w:t>
      </w:r>
      <w:r w:rsidR="00995EC1">
        <w:rPr>
          <w:rFonts w:ascii="Times New Roman" w:hAnsi="Times New Roman"/>
          <w:noProof/>
          <w:sz w:val="24"/>
          <w:szCs w:val="24"/>
        </w:rPr>
        <w:t xml:space="preserve"> and </w:t>
      </w:r>
      <w:r w:rsidRPr="005D6187">
        <w:rPr>
          <w:rFonts w:ascii="Times New Roman" w:hAnsi="Times New Roman"/>
          <w:noProof/>
          <w:sz w:val="24"/>
          <w:szCs w:val="24"/>
        </w:rPr>
        <w:t xml:space="preserve">neccessitate </w:t>
      </w:r>
      <w:r>
        <w:rPr>
          <w:rFonts w:ascii="Times New Roman" w:hAnsi="Times New Roman"/>
          <w:noProof/>
          <w:sz w:val="24"/>
          <w:szCs w:val="24"/>
        </w:rPr>
        <w:t xml:space="preserve">frequent </w:t>
      </w:r>
      <w:r w:rsidRPr="005D6187">
        <w:rPr>
          <w:rFonts w:ascii="Times New Roman" w:hAnsi="Times New Roman"/>
          <w:noProof/>
          <w:sz w:val="24"/>
          <w:szCs w:val="24"/>
        </w:rPr>
        <w:t>evaluation</w:t>
      </w:r>
      <w:r>
        <w:rPr>
          <w:rFonts w:ascii="Times New Roman" w:hAnsi="Times New Roman"/>
          <w:noProof/>
          <w:sz w:val="24"/>
          <w:szCs w:val="24"/>
        </w:rPr>
        <w:t>s</w:t>
      </w:r>
      <w:r w:rsidRPr="005D6187">
        <w:rPr>
          <w:rFonts w:ascii="Times New Roman" w:hAnsi="Times New Roman"/>
          <w:noProof/>
          <w:sz w:val="24"/>
          <w:szCs w:val="24"/>
        </w:rPr>
        <w:t xml:space="preserve"> and feedback from current residents to correct notable design and planning lapses in future projects. </w:t>
      </w:r>
    </w:p>
    <w:p w:rsidR="008851EF" w:rsidRPr="005D6187" w:rsidRDefault="008851EF" w:rsidP="00564B4B">
      <w:pPr>
        <w:spacing w:after="0" w:line="240" w:lineRule="auto"/>
        <w:ind w:firstLine="720"/>
        <w:jc w:val="both"/>
        <w:rPr>
          <w:rFonts w:ascii="Times New Roman" w:hAnsi="Times New Roman"/>
          <w:sz w:val="24"/>
          <w:szCs w:val="24"/>
        </w:rPr>
      </w:pPr>
      <w:r w:rsidRPr="005D6187">
        <w:rPr>
          <w:rFonts w:ascii="Times New Roman" w:hAnsi="Times New Roman"/>
          <w:sz w:val="24"/>
          <w:szCs w:val="24"/>
        </w:rPr>
        <w:t>Components extracted from residents’ ratings revealed remarkable congruence with existing housing conditions in the study area, in line</w:t>
      </w:r>
      <w:r w:rsidR="00995EC1">
        <w:rPr>
          <w:rFonts w:ascii="Times New Roman" w:hAnsi="Times New Roman"/>
          <w:sz w:val="24"/>
          <w:szCs w:val="24"/>
        </w:rPr>
        <w:t xml:space="preserve"> with the fourth characteristic</w:t>
      </w:r>
      <w:r w:rsidRPr="005D6187">
        <w:rPr>
          <w:rFonts w:ascii="Times New Roman" w:hAnsi="Times New Roman"/>
          <w:sz w:val="24"/>
          <w:szCs w:val="24"/>
        </w:rPr>
        <w:t xml:space="preserve"> of RS studie</w:t>
      </w:r>
      <w:r w:rsidR="00995EC1">
        <w:rPr>
          <w:rFonts w:ascii="Times New Roman" w:hAnsi="Times New Roman"/>
          <w:sz w:val="24"/>
          <w:szCs w:val="24"/>
        </w:rPr>
        <w:t xml:space="preserve">s based on </w:t>
      </w:r>
      <w:proofErr w:type="spellStart"/>
      <w:r w:rsidR="00995EC1">
        <w:rPr>
          <w:rFonts w:ascii="Times New Roman" w:hAnsi="Times New Roman"/>
          <w:sz w:val="24"/>
          <w:szCs w:val="24"/>
        </w:rPr>
        <w:t>Onibokun’s</w:t>
      </w:r>
      <w:proofErr w:type="spellEnd"/>
      <w:r w:rsidR="00995EC1">
        <w:rPr>
          <w:rFonts w:ascii="Times New Roman" w:hAnsi="Times New Roman"/>
          <w:sz w:val="24"/>
          <w:szCs w:val="24"/>
        </w:rPr>
        <w:t xml:space="preserve"> framework. This provides</w:t>
      </w:r>
      <w:r w:rsidRPr="005D6187">
        <w:rPr>
          <w:rFonts w:ascii="Times New Roman" w:hAnsi="Times New Roman"/>
          <w:sz w:val="24"/>
          <w:szCs w:val="24"/>
        </w:rPr>
        <w:t xml:space="preserve"> further proof that RS measures housing conditions and adequacy. </w:t>
      </w:r>
      <w:proofErr w:type="spellStart"/>
      <w:r w:rsidR="00995EC1">
        <w:rPr>
          <w:rFonts w:ascii="Times New Roman" w:hAnsi="Times New Roman"/>
          <w:sz w:val="24"/>
          <w:szCs w:val="24"/>
        </w:rPr>
        <w:t>All together</w:t>
      </w:r>
      <w:proofErr w:type="spellEnd"/>
      <w:r>
        <w:rPr>
          <w:rFonts w:ascii="Times New Roman" w:hAnsi="Times New Roman"/>
          <w:sz w:val="24"/>
          <w:szCs w:val="24"/>
        </w:rPr>
        <w:t xml:space="preserve">, results from the present study suggest that employing the Housing Habitability framework to measure housing environments produces consistent findings </w:t>
      </w:r>
      <w:r w:rsidR="00995EC1">
        <w:rPr>
          <w:rFonts w:ascii="Times New Roman" w:hAnsi="Times New Roman"/>
          <w:sz w:val="24"/>
          <w:szCs w:val="24"/>
        </w:rPr>
        <w:t>across</w:t>
      </w:r>
      <w:r>
        <w:rPr>
          <w:rFonts w:ascii="Times New Roman" w:hAnsi="Times New Roman"/>
          <w:sz w:val="24"/>
          <w:szCs w:val="24"/>
        </w:rPr>
        <w:t xml:space="preserve"> large and small s</w:t>
      </w:r>
      <w:r w:rsidR="00995EC1">
        <w:rPr>
          <w:rFonts w:ascii="Times New Roman" w:hAnsi="Times New Roman"/>
          <w:sz w:val="24"/>
          <w:szCs w:val="24"/>
        </w:rPr>
        <w:t>amples</w:t>
      </w:r>
      <w:r>
        <w:rPr>
          <w:rFonts w:ascii="Times New Roman" w:hAnsi="Times New Roman"/>
          <w:sz w:val="24"/>
          <w:szCs w:val="24"/>
        </w:rPr>
        <w:t>.</w:t>
      </w:r>
    </w:p>
    <w:p w:rsidR="00B97F9C" w:rsidRDefault="00B97F9C" w:rsidP="00564B4B">
      <w:pPr>
        <w:spacing w:after="0" w:line="240" w:lineRule="auto"/>
        <w:rPr>
          <w:rFonts w:ascii="Times New Roman" w:hAnsi="Times New Roman"/>
          <w:b/>
          <w:bCs/>
          <w:sz w:val="24"/>
          <w:szCs w:val="24"/>
        </w:rPr>
      </w:pPr>
    </w:p>
    <w:p w:rsidR="006F3C77" w:rsidRDefault="006F3C77" w:rsidP="00564B4B">
      <w:pPr>
        <w:spacing w:after="0" w:line="240" w:lineRule="auto"/>
        <w:rPr>
          <w:rFonts w:ascii="Times New Roman" w:hAnsi="Times New Roman"/>
          <w:b/>
          <w:bCs/>
          <w:sz w:val="24"/>
          <w:szCs w:val="24"/>
        </w:rPr>
      </w:pPr>
    </w:p>
    <w:p w:rsidR="00D9735B" w:rsidRPr="00F43E83" w:rsidRDefault="005E3B9E" w:rsidP="00564B4B">
      <w:pPr>
        <w:spacing w:after="0" w:line="240" w:lineRule="auto"/>
        <w:rPr>
          <w:rFonts w:ascii="Times New Roman" w:hAnsi="Times New Roman"/>
          <w:sz w:val="24"/>
          <w:szCs w:val="24"/>
        </w:rPr>
      </w:pPr>
      <w:r>
        <w:rPr>
          <w:rFonts w:ascii="Times New Roman" w:hAnsi="Times New Roman"/>
          <w:b/>
          <w:bCs/>
          <w:sz w:val="24"/>
          <w:szCs w:val="24"/>
        </w:rPr>
        <w:t>Conclusion</w:t>
      </w:r>
    </w:p>
    <w:p w:rsidR="00D503E3" w:rsidRDefault="00D503E3" w:rsidP="00564B4B">
      <w:pPr>
        <w:spacing w:after="0" w:line="240" w:lineRule="auto"/>
        <w:jc w:val="both"/>
        <w:rPr>
          <w:rFonts w:ascii="Times New Roman" w:hAnsi="Times New Roman"/>
          <w:sz w:val="24"/>
          <w:szCs w:val="24"/>
        </w:rPr>
      </w:pPr>
    </w:p>
    <w:p w:rsidR="00461050" w:rsidRPr="005D6187" w:rsidRDefault="00461050" w:rsidP="00564B4B">
      <w:pPr>
        <w:spacing w:after="0" w:line="240" w:lineRule="auto"/>
        <w:jc w:val="both"/>
        <w:rPr>
          <w:rFonts w:ascii="Times New Roman" w:hAnsi="Times New Roman"/>
          <w:sz w:val="24"/>
          <w:szCs w:val="24"/>
        </w:rPr>
      </w:pPr>
      <w:r w:rsidRPr="005D6187">
        <w:rPr>
          <w:rFonts w:ascii="Times New Roman" w:hAnsi="Times New Roman"/>
          <w:sz w:val="24"/>
          <w:szCs w:val="24"/>
        </w:rPr>
        <w:t xml:space="preserve">This study investigated RS based on </w:t>
      </w:r>
      <w:proofErr w:type="spellStart"/>
      <w:r w:rsidRPr="005D6187">
        <w:rPr>
          <w:rFonts w:ascii="Times New Roman" w:hAnsi="Times New Roman"/>
          <w:sz w:val="24"/>
          <w:szCs w:val="24"/>
        </w:rPr>
        <w:t>Onibokun’s</w:t>
      </w:r>
      <w:proofErr w:type="spellEnd"/>
      <w:r w:rsidRPr="005D6187">
        <w:rPr>
          <w:rFonts w:ascii="Times New Roman" w:hAnsi="Times New Roman"/>
          <w:sz w:val="24"/>
          <w:szCs w:val="24"/>
        </w:rPr>
        <w:t xml:space="preserve"> Housing Habitability System as a framework for measuring </w:t>
      </w:r>
      <w:r w:rsidR="00813A7B">
        <w:rPr>
          <w:rFonts w:ascii="Times New Roman" w:hAnsi="Times New Roman"/>
          <w:sz w:val="24"/>
          <w:szCs w:val="24"/>
        </w:rPr>
        <w:t xml:space="preserve">housing environments in </w:t>
      </w:r>
      <w:proofErr w:type="spellStart"/>
      <w:r w:rsidR="00813A7B">
        <w:rPr>
          <w:rFonts w:ascii="Times New Roman" w:hAnsi="Times New Roman"/>
          <w:sz w:val="24"/>
          <w:szCs w:val="24"/>
        </w:rPr>
        <w:t>Gombe</w:t>
      </w:r>
      <w:proofErr w:type="spellEnd"/>
      <w:r w:rsidR="00813A7B">
        <w:rPr>
          <w:rFonts w:ascii="Times New Roman" w:hAnsi="Times New Roman"/>
          <w:sz w:val="24"/>
          <w:szCs w:val="24"/>
        </w:rPr>
        <w:t>, N</w:t>
      </w:r>
      <w:r w:rsidRPr="005D6187">
        <w:rPr>
          <w:rFonts w:ascii="Times New Roman" w:hAnsi="Times New Roman"/>
          <w:sz w:val="24"/>
          <w:szCs w:val="24"/>
        </w:rPr>
        <w:t xml:space="preserve">ortheast Nigeria. Residents were generally dissatisfied with their housing environment, although dwelling unit and </w:t>
      </w:r>
      <w:proofErr w:type="spellStart"/>
      <w:r w:rsidRPr="005D6187">
        <w:rPr>
          <w:rFonts w:ascii="Times New Roman" w:hAnsi="Times New Roman"/>
          <w:sz w:val="24"/>
          <w:szCs w:val="24"/>
        </w:rPr>
        <w:t>neighbourhood</w:t>
      </w:r>
      <w:proofErr w:type="spellEnd"/>
      <w:r w:rsidRPr="005D6187">
        <w:rPr>
          <w:rFonts w:ascii="Times New Roman" w:hAnsi="Times New Roman"/>
          <w:sz w:val="24"/>
          <w:szCs w:val="24"/>
        </w:rPr>
        <w:t xml:space="preserve"> features recorded higher means compared to management variables. Components also reflect conditions </w:t>
      </w:r>
      <w:r w:rsidRPr="005D6187">
        <w:rPr>
          <w:rFonts w:ascii="Times New Roman" w:hAnsi="Times New Roman"/>
          <w:sz w:val="24"/>
          <w:szCs w:val="24"/>
        </w:rPr>
        <w:lastRenderedPageBreak/>
        <w:t xml:space="preserve">and adequacy of the housing environment consistent with characteristics of findings from similar studies employing facets of the framework in public housing across Nigeria. The study concludes </w:t>
      </w:r>
      <w:r>
        <w:rPr>
          <w:rFonts w:ascii="Times New Roman" w:hAnsi="Times New Roman"/>
          <w:sz w:val="24"/>
          <w:szCs w:val="24"/>
        </w:rPr>
        <w:t xml:space="preserve">that </w:t>
      </w:r>
      <w:r w:rsidRPr="005D6187">
        <w:rPr>
          <w:rFonts w:ascii="Times New Roman" w:hAnsi="Times New Roman"/>
          <w:sz w:val="24"/>
          <w:szCs w:val="24"/>
        </w:rPr>
        <w:t xml:space="preserve">the framework is reliable for measuring housing environments related to RS and provides </w:t>
      </w:r>
      <w:r w:rsidR="00C7270E">
        <w:rPr>
          <w:rFonts w:ascii="Times New Roman" w:hAnsi="Times New Roman"/>
          <w:sz w:val="24"/>
          <w:szCs w:val="24"/>
        </w:rPr>
        <w:t xml:space="preserve">a </w:t>
      </w:r>
      <w:r w:rsidRPr="005D6187">
        <w:rPr>
          <w:rFonts w:ascii="Times New Roman" w:hAnsi="Times New Roman"/>
          <w:sz w:val="24"/>
          <w:szCs w:val="24"/>
        </w:rPr>
        <w:t>stable basis for comparison with similar studies even with small samples. This is important to aid policy formulat</w:t>
      </w:r>
      <w:r w:rsidR="00C7270E">
        <w:rPr>
          <w:rFonts w:ascii="Times New Roman" w:hAnsi="Times New Roman"/>
          <w:sz w:val="24"/>
          <w:szCs w:val="24"/>
        </w:rPr>
        <w:t>ion across national, regional, s</w:t>
      </w:r>
      <w:r w:rsidRPr="005D6187">
        <w:rPr>
          <w:rFonts w:ascii="Times New Roman" w:hAnsi="Times New Roman"/>
          <w:sz w:val="24"/>
          <w:szCs w:val="24"/>
        </w:rPr>
        <w:t xml:space="preserve">tate and estate levels. </w:t>
      </w:r>
    </w:p>
    <w:p w:rsidR="00461050" w:rsidRPr="005D6187" w:rsidRDefault="00461050" w:rsidP="00564B4B">
      <w:pPr>
        <w:spacing w:after="0" w:line="240" w:lineRule="auto"/>
        <w:ind w:firstLine="720"/>
        <w:jc w:val="both"/>
        <w:rPr>
          <w:rFonts w:ascii="Times New Roman" w:hAnsi="Times New Roman"/>
          <w:sz w:val="24"/>
          <w:szCs w:val="24"/>
        </w:rPr>
      </w:pPr>
      <w:r w:rsidRPr="005D6187">
        <w:rPr>
          <w:rFonts w:ascii="Times New Roman" w:hAnsi="Times New Roman"/>
          <w:sz w:val="24"/>
          <w:szCs w:val="24"/>
        </w:rPr>
        <w:t xml:space="preserve">Recommendations from the study target research as well as policy makers. First, employing the framework </w:t>
      </w:r>
      <w:r w:rsidR="00C7270E">
        <w:rPr>
          <w:rFonts w:ascii="Times New Roman" w:hAnsi="Times New Roman"/>
          <w:sz w:val="24"/>
          <w:szCs w:val="24"/>
        </w:rPr>
        <w:t>addresses</w:t>
      </w:r>
      <w:r w:rsidRPr="005D6187">
        <w:rPr>
          <w:rFonts w:ascii="Times New Roman" w:hAnsi="Times New Roman"/>
          <w:sz w:val="24"/>
          <w:szCs w:val="24"/>
        </w:rPr>
        <w:t xml:space="preserve"> </w:t>
      </w:r>
      <w:r w:rsidR="00C7270E">
        <w:rPr>
          <w:rFonts w:ascii="Times New Roman" w:hAnsi="Times New Roman"/>
          <w:sz w:val="24"/>
          <w:szCs w:val="24"/>
        </w:rPr>
        <w:t>problems</w:t>
      </w:r>
      <w:r w:rsidRPr="005D6187">
        <w:rPr>
          <w:rFonts w:ascii="Times New Roman" w:hAnsi="Times New Roman"/>
          <w:sz w:val="24"/>
          <w:szCs w:val="24"/>
        </w:rPr>
        <w:t xml:space="preserve"> of inconsi</w:t>
      </w:r>
      <w:r w:rsidR="00C7270E">
        <w:rPr>
          <w:rFonts w:ascii="Times New Roman" w:hAnsi="Times New Roman"/>
          <w:sz w:val="24"/>
          <w:szCs w:val="24"/>
        </w:rPr>
        <w:t>stent measurements, thus reducing</w:t>
      </w:r>
      <w:r w:rsidRPr="005D6187">
        <w:rPr>
          <w:rFonts w:ascii="Times New Roman" w:hAnsi="Times New Roman"/>
          <w:sz w:val="24"/>
          <w:szCs w:val="24"/>
        </w:rPr>
        <w:t xml:space="preserve"> issues of reliability and quality in research output. Further testing of the fram</w:t>
      </w:r>
      <w:r w:rsidR="00C7270E">
        <w:rPr>
          <w:rFonts w:ascii="Times New Roman" w:hAnsi="Times New Roman"/>
          <w:sz w:val="24"/>
          <w:szCs w:val="24"/>
        </w:rPr>
        <w:t>ework in other areas across of N</w:t>
      </w:r>
      <w:r w:rsidRPr="005D6187">
        <w:rPr>
          <w:rFonts w:ascii="Times New Roman" w:hAnsi="Times New Roman"/>
          <w:sz w:val="24"/>
          <w:szCs w:val="24"/>
        </w:rPr>
        <w:t xml:space="preserve">orthern Nigeria will provide more support towards </w:t>
      </w:r>
      <w:proofErr w:type="spellStart"/>
      <w:r w:rsidRPr="005D6187">
        <w:rPr>
          <w:rFonts w:ascii="Times New Roman" w:hAnsi="Times New Roman"/>
          <w:sz w:val="24"/>
          <w:szCs w:val="24"/>
        </w:rPr>
        <w:t>generalising</w:t>
      </w:r>
      <w:proofErr w:type="spellEnd"/>
      <w:r w:rsidRPr="005D6187">
        <w:rPr>
          <w:rFonts w:ascii="Times New Roman" w:hAnsi="Times New Roman"/>
          <w:sz w:val="24"/>
          <w:szCs w:val="24"/>
        </w:rPr>
        <w:t xml:space="preserve"> findings from the present study. Secondly, more RS research is required to meet current needs of users bearing in mind FG’s intention to construct more housing units in the near future. Areas of particular interest include</w:t>
      </w:r>
      <w:r w:rsidR="00C7270E">
        <w:rPr>
          <w:rFonts w:ascii="Times New Roman" w:hAnsi="Times New Roman"/>
          <w:sz w:val="24"/>
          <w:szCs w:val="24"/>
        </w:rPr>
        <w:t xml:space="preserve"> the</w:t>
      </w:r>
      <w:r w:rsidRPr="005D6187">
        <w:rPr>
          <w:rFonts w:ascii="Times New Roman" w:hAnsi="Times New Roman"/>
          <w:sz w:val="24"/>
          <w:szCs w:val="24"/>
        </w:rPr>
        <w:t xml:space="preserve"> fit of socio-cultural needs of users to urban housing typologies as well as flexibility strategies in design to address continued dissatisfaction with sizes and number of main living areas notably bedrooms, living and dining sp</w:t>
      </w:r>
      <w:r w:rsidR="00C7270E">
        <w:rPr>
          <w:rFonts w:ascii="Times New Roman" w:hAnsi="Times New Roman"/>
          <w:sz w:val="24"/>
          <w:szCs w:val="24"/>
        </w:rPr>
        <w:t xml:space="preserve">aces as well as storage </w:t>
      </w:r>
      <w:r w:rsidRPr="005D6187">
        <w:rPr>
          <w:rFonts w:ascii="Times New Roman" w:hAnsi="Times New Roman"/>
          <w:sz w:val="24"/>
          <w:szCs w:val="24"/>
        </w:rPr>
        <w:t>s</w:t>
      </w:r>
      <w:r w:rsidR="00C7270E">
        <w:rPr>
          <w:rFonts w:ascii="Times New Roman" w:hAnsi="Times New Roman"/>
          <w:sz w:val="24"/>
          <w:szCs w:val="24"/>
        </w:rPr>
        <w:t>paces</w:t>
      </w:r>
      <w:r w:rsidRPr="005D6187">
        <w:rPr>
          <w:rFonts w:ascii="Times New Roman" w:hAnsi="Times New Roman"/>
          <w:sz w:val="24"/>
          <w:szCs w:val="24"/>
        </w:rPr>
        <w:t xml:space="preserve">. Thirdly, </w:t>
      </w:r>
      <w:r w:rsidR="00C7270E">
        <w:rPr>
          <w:rFonts w:ascii="Times New Roman" w:hAnsi="Times New Roman"/>
          <w:sz w:val="24"/>
          <w:szCs w:val="24"/>
        </w:rPr>
        <w:t xml:space="preserve">the </w:t>
      </w:r>
      <w:r w:rsidRPr="005D6187">
        <w:rPr>
          <w:rFonts w:ascii="Times New Roman" w:hAnsi="Times New Roman"/>
          <w:sz w:val="24"/>
          <w:szCs w:val="24"/>
        </w:rPr>
        <w:t>policy of constructing low number of bedrooms, particularly 1 and 2 bedrooms requires revision as this is an area of contention across the country (</w:t>
      </w:r>
      <w:proofErr w:type="spellStart"/>
      <w:r w:rsidRPr="005D6187">
        <w:rPr>
          <w:rFonts w:ascii="Times New Roman" w:hAnsi="Times New Roman"/>
          <w:sz w:val="24"/>
          <w:szCs w:val="24"/>
        </w:rPr>
        <w:t>Ukoha</w:t>
      </w:r>
      <w:proofErr w:type="spellEnd"/>
      <w:r w:rsidRPr="005D6187">
        <w:rPr>
          <w:rFonts w:ascii="Times New Roman" w:hAnsi="Times New Roman"/>
          <w:sz w:val="24"/>
          <w:szCs w:val="24"/>
        </w:rPr>
        <w:t xml:space="preserve"> &amp; Beamish, 1997, </w:t>
      </w:r>
      <w:proofErr w:type="spellStart"/>
      <w:r w:rsidRPr="005D6187">
        <w:rPr>
          <w:rFonts w:ascii="Times New Roman" w:hAnsi="Times New Roman"/>
          <w:sz w:val="24"/>
          <w:szCs w:val="24"/>
        </w:rPr>
        <w:t>Muoghalu</w:t>
      </w:r>
      <w:proofErr w:type="spellEnd"/>
      <w:r w:rsidRPr="005D6187">
        <w:rPr>
          <w:rFonts w:ascii="Times New Roman" w:hAnsi="Times New Roman"/>
          <w:sz w:val="24"/>
          <w:szCs w:val="24"/>
        </w:rPr>
        <w:t xml:space="preserve">, 1984). Fourthly, </w:t>
      </w:r>
      <w:r>
        <w:rPr>
          <w:rFonts w:ascii="Times New Roman" w:hAnsi="Times New Roman"/>
          <w:sz w:val="24"/>
          <w:szCs w:val="24"/>
        </w:rPr>
        <w:t xml:space="preserve">a </w:t>
      </w:r>
      <w:r w:rsidRPr="005D6187">
        <w:rPr>
          <w:rFonts w:ascii="Times New Roman" w:hAnsi="Times New Roman"/>
          <w:sz w:val="24"/>
          <w:szCs w:val="24"/>
        </w:rPr>
        <w:t xml:space="preserve">focus on provision of basic amenities, not only on the dwelling, is critical as urban infrastructure and </w:t>
      </w:r>
      <w:proofErr w:type="spellStart"/>
      <w:r w:rsidRPr="005D6187">
        <w:rPr>
          <w:rFonts w:ascii="Times New Roman" w:hAnsi="Times New Roman"/>
          <w:sz w:val="24"/>
          <w:szCs w:val="24"/>
        </w:rPr>
        <w:t>neighbourhood</w:t>
      </w:r>
      <w:proofErr w:type="spellEnd"/>
      <w:r w:rsidRPr="005D6187">
        <w:rPr>
          <w:rFonts w:ascii="Times New Roman" w:hAnsi="Times New Roman"/>
          <w:sz w:val="24"/>
          <w:szCs w:val="24"/>
        </w:rPr>
        <w:t xml:space="preserve"> facilities have consistently influenced RS. In the case of </w:t>
      </w:r>
      <w:proofErr w:type="spellStart"/>
      <w:r w:rsidRPr="005D6187">
        <w:rPr>
          <w:rFonts w:ascii="Times New Roman" w:hAnsi="Times New Roman"/>
          <w:sz w:val="24"/>
          <w:szCs w:val="24"/>
        </w:rPr>
        <w:t>Gombe</w:t>
      </w:r>
      <w:proofErr w:type="spellEnd"/>
      <w:r>
        <w:rPr>
          <w:rFonts w:ascii="Times New Roman" w:hAnsi="Times New Roman"/>
          <w:sz w:val="24"/>
          <w:szCs w:val="24"/>
        </w:rPr>
        <w:t xml:space="preserve"> the study area</w:t>
      </w:r>
      <w:r w:rsidRPr="005D6187">
        <w:rPr>
          <w:rFonts w:ascii="Times New Roman" w:hAnsi="Times New Roman"/>
          <w:sz w:val="24"/>
          <w:szCs w:val="24"/>
        </w:rPr>
        <w:t>, government effort in water supply is commendable</w:t>
      </w:r>
      <w:r w:rsidR="00C7270E">
        <w:rPr>
          <w:rFonts w:ascii="Times New Roman" w:hAnsi="Times New Roman"/>
          <w:sz w:val="24"/>
          <w:szCs w:val="24"/>
        </w:rPr>
        <w:t xml:space="preserve"> but</w:t>
      </w:r>
      <w:r>
        <w:rPr>
          <w:rFonts w:ascii="Times New Roman" w:hAnsi="Times New Roman"/>
          <w:sz w:val="24"/>
          <w:szCs w:val="24"/>
        </w:rPr>
        <w:t xml:space="preserve"> requires active sustenance and </w:t>
      </w:r>
      <w:r w:rsidR="00C7270E">
        <w:rPr>
          <w:rFonts w:ascii="Times New Roman" w:hAnsi="Times New Roman"/>
          <w:sz w:val="24"/>
          <w:szCs w:val="24"/>
        </w:rPr>
        <w:t>commit</w:t>
      </w:r>
      <w:r>
        <w:rPr>
          <w:rFonts w:ascii="Times New Roman" w:hAnsi="Times New Roman"/>
          <w:sz w:val="24"/>
          <w:szCs w:val="24"/>
        </w:rPr>
        <w:t xml:space="preserve">ment. </w:t>
      </w:r>
      <w:r w:rsidRPr="005D6187">
        <w:rPr>
          <w:rFonts w:ascii="Times New Roman" w:hAnsi="Times New Roman"/>
          <w:sz w:val="24"/>
          <w:szCs w:val="24"/>
        </w:rPr>
        <w:t xml:space="preserve">Fifthly, management features, though the least in terms of number </w:t>
      </w:r>
      <w:r>
        <w:rPr>
          <w:rFonts w:ascii="Times New Roman" w:hAnsi="Times New Roman"/>
          <w:sz w:val="24"/>
          <w:szCs w:val="24"/>
        </w:rPr>
        <w:t xml:space="preserve">of </w:t>
      </w:r>
      <w:r w:rsidR="0029173C">
        <w:rPr>
          <w:rFonts w:ascii="Times New Roman" w:hAnsi="Times New Roman"/>
          <w:sz w:val="24"/>
          <w:szCs w:val="24"/>
        </w:rPr>
        <w:t>variables</w:t>
      </w:r>
      <w:r w:rsidRPr="005D6187">
        <w:rPr>
          <w:rFonts w:ascii="Times New Roman" w:hAnsi="Times New Roman"/>
          <w:sz w:val="24"/>
          <w:szCs w:val="24"/>
        </w:rPr>
        <w:t xml:space="preserve"> is particularly an issue</w:t>
      </w:r>
      <w:r w:rsidR="0029173C">
        <w:rPr>
          <w:rFonts w:ascii="Times New Roman" w:hAnsi="Times New Roman"/>
          <w:sz w:val="24"/>
          <w:szCs w:val="24"/>
        </w:rPr>
        <w:t xml:space="preserve"> for</w:t>
      </w:r>
      <w:r w:rsidRPr="005D6187">
        <w:rPr>
          <w:rFonts w:ascii="Times New Roman" w:hAnsi="Times New Roman"/>
          <w:sz w:val="24"/>
          <w:szCs w:val="24"/>
        </w:rPr>
        <w:t xml:space="preserve"> local authorities to investigate</w:t>
      </w:r>
      <w:r w:rsidR="0029173C">
        <w:rPr>
          <w:rFonts w:ascii="Times New Roman" w:hAnsi="Times New Roman"/>
          <w:sz w:val="24"/>
          <w:szCs w:val="24"/>
        </w:rPr>
        <w:t xml:space="preserve"> and improve</w:t>
      </w:r>
      <w:r w:rsidR="00C7270E">
        <w:rPr>
          <w:rFonts w:ascii="Times New Roman" w:hAnsi="Times New Roman"/>
          <w:sz w:val="24"/>
          <w:szCs w:val="24"/>
        </w:rPr>
        <w:t xml:space="preserve"> upon</w:t>
      </w:r>
      <w:r w:rsidRPr="005D6187">
        <w:rPr>
          <w:rFonts w:ascii="Times New Roman" w:hAnsi="Times New Roman"/>
          <w:sz w:val="24"/>
          <w:szCs w:val="24"/>
        </w:rPr>
        <w:t>. This is an area beyond the scope of the current study and presents avenues for future research across the country.</w:t>
      </w:r>
    </w:p>
    <w:p w:rsidR="00B97F9C" w:rsidRDefault="00B97F9C" w:rsidP="00564B4B">
      <w:pPr>
        <w:spacing w:after="0" w:line="240" w:lineRule="auto"/>
        <w:rPr>
          <w:rFonts w:ascii="Times New Roman" w:hAnsi="Times New Roman"/>
          <w:b/>
          <w:bCs/>
          <w:sz w:val="24"/>
          <w:szCs w:val="24"/>
        </w:rPr>
      </w:pPr>
    </w:p>
    <w:p w:rsidR="00B97F9C" w:rsidRDefault="00B97F9C" w:rsidP="00564B4B">
      <w:pPr>
        <w:spacing w:after="0" w:line="240" w:lineRule="auto"/>
        <w:rPr>
          <w:rFonts w:ascii="Times New Roman" w:hAnsi="Times New Roman"/>
          <w:b/>
          <w:bCs/>
          <w:sz w:val="24"/>
          <w:szCs w:val="24"/>
        </w:rPr>
      </w:pPr>
    </w:p>
    <w:p w:rsidR="00D9735B" w:rsidRPr="00F43E83" w:rsidRDefault="00D9735B" w:rsidP="00564B4B">
      <w:pPr>
        <w:spacing w:after="0" w:line="240" w:lineRule="auto"/>
        <w:rPr>
          <w:rFonts w:ascii="Times New Roman" w:hAnsi="Times New Roman"/>
          <w:b/>
          <w:bCs/>
          <w:sz w:val="24"/>
          <w:szCs w:val="24"/>
        </w:rPr>
      </w:pPr>
      <w:r w:rsidRPr="00F43E83">
        <w:rPr>
          <w:rFonts w:ascii="Times New Roman" w:hAnsi="Times New Roman"/>
          <w:b/>
          <w:bCs/>
          <w:sz w:val="24"/>
          <w:szCs w:val="24"/>
        </w:rPr>
        <w:t>A</w:t>
      </w:r>
      <w:r w:rsidR="005E3B9E">
        <w:rPr>
          <w:rFonts w:ascii="Times New Roman" w:hAnsi="Times New Roman"/>
          <w:b/>
          <w:bCs/>
          <w:sz w:val="24"/>
          <w:szCs w:val="24"/>
        </w:rPr>
        <w:t>cknowledgement</w:t>
      </w:r>
    </w:p>
    <w:p w:rsidR="00B97F9C" w:rsidRDefault="00B97F9C" w:rsidP="00564B4B">
      <w:pPr>
        <w:spacing w:after="0" w:line="240" w:lineRule="auto"/>
        <w:jc w:val="both"/>
        <w:rPr>
          <w:rFonts w:ascii="Times New Roman" w:hAnsi="Times New Roman"/>
          <w:sz w:val="24"/>
          <w:szCs w:val="24"/>
        </w:rPr>
      </w:pPr>
    </w:p>
    <w:p w:rsidR="00461050" w:rsidRPr="005D6187" w:rsidRDefault="00461050" w:rsidP="00564B4B">
      <w:pPr>
        <w:spacing w:after="0" w:line="240" w:lineRule="auto"/>
        <w:jc w:val="both"/>
        <w:rPr>
          <w:rFonts w:ascii="Times New Roman" w:hAnsi="Times New Roman"/>
          <w:sz w:val="24"/>
          <w:szCs w:val="24"/>
        </w:rPr>
      </w:pPr>
      <w:r>
        <w:rPr>
          <w:rFonts w:ascii="Times New Roman" w:hAnsi="Times New Roman"/>
          <w:sz w:val="24"/>
          <w:szCs w:val="24"/>
        </w:rPr>
        <w:t>The author</w:t>
      </w:r>
      <w:r w:rsidRPr="005D6187">
        <w:rPr>
          <w:rFonts w:ascii="Times New Roman" w:hAnsi="Times New Roman"/>
          <w:sz w:val="24"/>
          <w:szCs w:val="24"/>
        </w:rPr>
        <w:t xml:space="preserve"> acknowledge</w:t>
      </w:r>
      <w:r>
        <w:rPr>
          <w:rFonts w:ascii="Times New Roman" w:hAnsi="Times New Roman"/>
          <w:sz w:val="24"/>
          <w:szCs w:val="24"/>
        </w:rPr>
        <w:t>s</w:t>
      </w:r>
      <w:r w:rsidRPr="005D6187">
        <w:rPr>
          <w:rFonts w:ascii="Times New Roman" w:hAnsi="Times New Roman"/>
          <w:sz w:val="24"/>
          <w:szCs w:val="24"/>
        </w:rPr>
        <w:t xml:space="preserve"> residents who graciously participated in the study as well as Isa Mohammed Isa for help in data collection.</w:t>
      </w:r>
    </w:p>
    <w:p w:rsidR="00D9735B" w:rsidRPr="00F43E83" w:rsidRDefault="00D9735B" w:rsidP="00564B4B">
      <w:pPr>
        <w:spacing w:after="0" w:line="240" w:lineRule="auto"/>
        <w:rPr>
          <w:rFonts w:ascii="Times New Roman" w:hAnsi="Times New Roman"/>
          <w:sz w:val="24"/>
          <w:szCs w:val="24"/>
        </w:rPr>
      </w:pPr>
    </w:p>
    <w:p w:rsidR="005624BA" w:rsidRDefault="005624BA" w:rsidP="00564B4B">
      <w:pPr>
        <w:spacing w:after="0" w:line="240" w:lineRule="auto"/>
        <w:rPr>
          <w:rFonts w:ascii="Times New Roman" w:hAnsi="Times New Roman"/>
          <w:b/>
          <w:bCs/>
          <w:sz w:val="24"/>
          <w:szCs w:val="24"/>
        </w:rPr>
      </w:pPr>
    </w:p>
    <w:p w:rsidR="00D9735B" w:rsidRDefault="005E3B9E" w:rsidP="00564B4B">
      <w:pPr>
        <w:spacing w:after="0" w:line="240" w:lineRule="auto"/>
        <w:rPr>
          <w:rFonts w:ascii="Times New Roman" w:hAnsi="Times New Roman"/>
          <w:b/>
          <w:bCs/>
          <w:sz w:val="24"/>
          <w:szCs w:val="24"/>
        </w:rPr>
      </w:pPr>
      <w:r>
        <w:rPr>
          <w:rFonts w:ascii="Times New Roman" w:hAnsi="Times New Roman"/>
          <w:b/>
          <w:bCs/>
          <w:sz w:val="24"/>
          <w:szCs w:val="24"/>
        </w:rPr>
        <w:t>References</w:t>
      </w:r>
    </w:p>
    <w:p w:rsidR="00B97F9C" w:rsidRPr="00F43E83" w:rsidRDefault="00B97F9C" w:rsidP="008851EF">
      <w:pPr>
        <w:spacing w:after="0" w:line="240" w:lineRule="auto"/>
        <w:rPr>
          <w:rFonts w:ascii="Times New Roman" w:hAnsi="Times New Roman"/>
          <w:b/>
          <w:bCs/>
          <w:sz w:val="24"/>
          <w:szCs w:val="24"/>
        </w:rPr>
      </w:pPr>
    </w:p>
    <w:p w:rsidR="00220EF7" w:rsidRDefault="00461050" w:rsidP="00B97F9C">
      <w:pPr>
        <w:spacing w:after="0" w:line="240" w:lineRule="auto"/>
        <w:ind w:left="360" w:hanging="360"/>
        <w:jc w:val="both"/>
        <w:rPr>
          <w:rFonts w:ascii="Times New Roman" w:hAnsi="Times New Roman"/>
          <w:sz w:val="24"/>
          <w:szCs w:val="24"/>
          <w:lang w:val="en-GB"/>
        </w:rPr>
      </w:pPr>
      <w:r w:rsidRPr="00461050">
        <w:rPr>
          <w:rFonts w:ascii="Times New Roman" w:hAnsi="Times New Roman"/>
          <w:sz w:val="24"/>
          <w:szCs w:val="24"/>
          <w:lang w:val="en-GB"/>
        </w:rPr>
        <w:t>Abdu, A.</w:t>
      </w:r>
      <w:r w:rsidR="00C910E4">
        <w:rPr>
          <w:rFonts w:ascii="Times New Roman" w:hAnsi="Times New Roman"/>
          <w:sz w:val="24"/>
          <w:szCs w:val="24"/>
          <w:lang w:val="en-GB"/>
        </w:rPr>
        <w:t>,</w:t>
      </w:r>
      <w:r w:rsidRPr="00461050">
        <w:rPr>
          <w:rFonts w:ascii="Times New Roman" w:hAnsi="Times New Roman"/>
          <w:sz w:val="24"/>
          <w:szCs w:val="24"/>
          <w:lang w:val="en-GB"/>
        </w:rPr>
        <w:t xml:space="preserve"> &amp; </w:t>
      </w:r>
      <w:proofErr w:type="spellStart"/>
      <w:r w:rsidRPr="00461050">
        <w:rPr>
          <w:rFonts w:ascii="Times New Roman" w:hAnsi="Times New Roman"/>
          <w:sz w:val="24"/>
          <w:szCs w:val="24"/>
          <w:lang w:val="en-GB"/>
        </w:rPr>
        <w:t>Hashim</w:t>
      </w:r>
      <w:proofErr w:type="spellEnd"/>
      <w:r w:rsidRPr="00461050">
        <w:rPr>
          <w:rFonts w:ascii="Times New Roman" w:hAnsi="Times New Roman"/>
          <w:sz w:val="24"/>
          <w:szCs w:val="24"/>
          <w:lang w:val="en-GB"/>
        </w:rPr>
        <w:t xml:space="preserve">, A. H. (2015). Comparison of </w:t>
      </w:r>
      <w:r w:rsidR="006F3C77" w:rsidRPr="00461050">
        <w:rPr>
          <w:rFonts w:ascii="Times New Roman" w:hAnsi="Times New Roman"/>
          <w:sz w:val="24"/>
          <w:szCs w:val="24"/>
          <w:lang w:val="en-GB"/>
        </w:rPr>
        <w:t xml:space="preserve">residential satisfaction among young households in three unplanned neighbourhoods </w:t>
      </w:r>
      <w:r w:rsidRPr="00461050">
        <w:rPr>
          <w:rFonts w:ascii="Times New Roman" w:hAnsi="Times New Roman"/>
          <w:sz w:val="24"/>
          <w:szCs w:val="24"/>
          <w:lang w:val="en-GB"/>
        </w:rPr>
        <w:t xml:space="preserve">in Kano Metropolis, Nigeria. </w:t>
      </w:r>
      <w:r w:rsidRPr="00461050">
        <w:rPr>
          <w:rFonts w:ascii="Times New Roman" w:hAnsi="Times New Roman"/>
          <w:i/>
          <w:sz w:val="24"/>
          <w:szCs w:val="24"/>
          <w:lang w:val="en-GB"/>
        </w:rPr>
        <w:t>IOSR Journal of Humanities and Social Science, 20</w:t>
      </w:r>
      <w:r w:rsidRPr="00461050">
        <w:rPr>
          <w:rFonts w:ascii="Times New Roman" w:hAnsi="Times New Roman"/>
          <w:sz w:val="24"/>
          <w:szCs w:val="24"/>
          <w:lang w:val="en-GB"/>
        </w:rPr>
        <w:t xml:space="preserve">(3), 42-53. </w:t>
      </w:r>
      <w:r w:rsidR="00220EF7" w:rsidRPr="00FE568B">
        <w:rPr>
          <w:rFonts w:ascii="Times New Roman" w:hAnsi="Times New Roman"/>
          <w:sz w:val="24"/>
          <w:szCs w:val="24"/>
          <w:lang w:val="en-GB"/>
        </w:rPr>
        <w:t>http://dx.doi.org/10.9790/0837-20344253</w:t>
      </w:r>
    </w:p>
    <w:p w:rsidR="006F3C77" w:rsidRDefault="00461050" w:rsidP="006F3C77">
      <w:pPr>
        <w:widowControl w:val="0"/>
        <w:spacing w:after="0" w:line="240" w:lineRule="auto"/>
        <w:ind w:left="357" w:hanging="357"/>
        <w:jc w:val="both"/>
        <w:rPr>
          <w:rFonts w:ascii="Times New Roman" w:hAnsi="Times New Roman"/>
          <w:sz w:val="24"/>
          <w:szCs w:val="24"/>
          <w:lang w:val="en-GB"/>
        </w:rPr>
      </w:pPr>
      <w:proofErr w:type="spellStart"/>
      <w:r w:rsidRPr="00461050">
        <w:rPr>
          <w:rFonts w:ascii="Times New Roman" w:hAnsi="Times New Roman"/>
          <w:sz w:val="24"/>
          <w:szCs w:val="24"/>
          <w:lang w:val="en-GB"/>
        </w:rPr>
        <w:t>Adewale</w:t>
      </w:r>
      <w:proofErr w:type="spellEnd"/>
      <w:r w:rsidRPr="00461050">
        <w:rPr>
          <w:rFonts w:ascii="Times New Roman" w:hAnsi="Times New Roman"/>
          <w:sz w:val="24"/>
          <w:szCs w:val="24"/>
          <w:lang w:val="en-GB"/>
        </w:rPr>
        <w:t xml:space="preserve">, B. A., </w:t>
      </w:r>
      <w:proofErr w:type="spellStart"/>
      <w:r w:rsidRPr="00461050">
        <w:rPr>
          <w:rFonts w:ascii="Times New Roman" w:hAnsi="Times New Roman"/>
          <w:sz w:val="24"/>
          <w:szCs w:val="24"/>
          <w:lang w:val="en-GB"/>
        </w:rPr>
        <w:t>Ibem</w:t>
      </w:r>
      <w:proofErr w:type="spellEnd"/>
      <w:r w:rsidRPr="00461050">
        <w:rPr>
          <w:rFonts w:ascii="Times New Roman" w:hAnsi="Times New Roman"/>
          <w:sz w:val="24"/>
          <w:szCs w:val="24"/>
          <w:lang w:val="en-GB"/>
        </w:rPr>
        <w:t>, E. O., Amole, B.</w:t>
      </w:r>
      <w:r w:rsidR="00C910E4">
        <w:rPr>
          <w:rFonts w:ascii="Times New Roman" w:hAnsi="Times New Roman"/>
          <w:sz w:val="24"/>
          <w:szCs w:val="24"/>
          <w:lang w:val="en-GB"/>
        </w:rPr>
        <w:t>,</w:t>
      </w:r>
      <w:r w:rsidRPr="00461050">
        <w:rPr>
          <w:rFonts w:ascii="Times New Roman" w:hAnsi="Times New Roman"/>
          <w:sz w:val="24"/>
          <w:szCs w:val="24"/>
          <w:lang w:val="en-GB"/>
        </w:rPr>
        <w:t xml:space="preserve"> &amp; </w:t>
      </w:r>
      <w:proofErr w:type="spellStart"/>
      <w:r w:rsidRPr="00461050">
        <w:rPr>
          <w:rFonts w:ascii="Times New Roman" w:hAnsi="Times New Roman"/>
          <w:sz w:val="24"/>
          <w:szCs w:val="24"/>
          <w:lang w:val="en-GB"/>
        </w:rPr>
        <w:t>Adeboye</w:t>
      </w:r>
      <w:proofErr w:type="spellEnd"/>
      <w:r w:rsidRPr="00461050">
        <w:rPr>
          <w:rFonts w:ascii="Times New Roman" w:hAnsi="Times New Roman"/>
          <w:sz w:val="24"/>
          <w:szCs w:val="24"/>
          <w:lang w:val="en-GB"/>
        </w:rPr>
        <w:t xml:space="preserve">, A. B. (2018). Assessment of residential satisfaction in the core area of Ibadan Metropolis, Nigeria. </w:t>
      </w:r>
      <w:r w:rsidRPr="00461050">
        <w:rPr>
          <w:rFonts w:ascii="Times New Roman" w:hAnsi="Times New Roman"/>
          <w:i/>
          <w:sz w:val="24"/>
          <w:szCs w:val="24"/>
          <w:lang w:val="en-GB"/>
        </w:rPr>
        <w:t xml:space="preserve">Journal of Human </w:t>
      </w:r>
      <w:proofErr w:type="spellStart"/>
      <w:r w:rsidRPr="00461050">
        <w:rPr>
          <w:rFonts w:ascii="Times New Roman" w:hAnsi="Times New Roman"/>
          <w:i/>
          <w:sz w:val="24"/>
          <w:szCs w:val="24"/>
          <w:lang w:val="en-GB"/>
        </w:rPr>
        <w:t>Behavior</w:t>
      </w:r>
      <w:proofErr w:type="spellEnd"/>
      <w:r w:rsidRPr="00461050">
        <w:rPr>
          <w:rFonts w:ascii="Times New Roman" w:hAnsi="Times New Roman"/>
          <w:i/>
          <w:sz w:val="24"/>
          <w:szCs w:val="24"/>
          <w:lang w:val="en-GB"/>
        </w:rPr>
        <w:t xml:space="preserve"> in the Social Environment,</w:t>
      </w:r>
      <w:r w:rsidRPr="00461050">
        <w:rPr>
          <w:rFonts w:ascii="Times New Roman" w:hAnsi="Times New Roman"/>
          <w:sz w:val="24"/>
          <w:szCs w:val="24"/>
          <w:lang w:val="en-GB"/>
        </w:rPr>
        <w:t xml:space="preserve"> 1-28. </w:t>
      </w:r>
      <w:r w:rsidR="00220EF7" w:rsidRPr="00FE568B">
        <w:rPr>
          <w:rFonts w:ascii="Times New Roman" w:hAnsi="Times New Roman"/>
          <w:sz w:val="24"/>
          <w:szCs w:val="24"/>
          <w:lang w:val="en-GB"/>
        </w:rPr>
        <w:t>http://dx.doi.org/10.1080/10911359.2018.1502116</w:t>
      </w:r>
    </w:p>
    <w:p w:rsidR="00461050" w:rsidRPr="00461050" w:rsidRDefault="00461050" w:rsidP="006F3C77">
      <w:pPr>
        <w:widowControl w:val="0"/>
        <w:spacing w:after="0" w:line="240" w:lineRule="auto"/>
        <w:ind w:left="357" w:hanging="357"/>
        <w:jc w:val="both"/>
        <w:rPr>
          <w:rFonts w:ascii="Times New Roman" w:hAnsi="Times New Roman"/>
          <w:sz w:val="24"/>
          <w:szCs w:val="24"/>
          <w:lang w:val="en-GB"/>
        </w:rPr>
      </w:pPr>
      <w:proofErr w:type="spellStart"/>
      <w:r w:rsidRPr="00461050">
        <w:rPr>
          <w:rFonts w:ascii="Times New Roman" w:hAnsi="Times New Roman"/>
          <w:sz w:val="24"/>
          <w:szCs w:val="24"/>
          <w:lang w:val="en-GB"/>
        </w:rPr>
        <w:t>Etminani-Ghasrodashti</w:t>
      </w:r>
      <w:proofErr w:type="spellEnd"/>
      <w:r w:rsidRPr="00461050">
        <w:rPr>
          <w:rFonts w:ascii="Times New Roman" w:hAnsi="Times New Roman"/>
          <w:sz w:val="24"/>
          <w:szCs w:val="24"/>
          <w:lang w:val="en-GB"/>
        </w:rPr>
        <w:t xml:space="preserve">, R., </w:t>
      </w:r>
      <w:proofErr w:type="spellStart"/>
      <w:r w:rsidRPr="00461050">
        <w:rPr>
          <w:rFonts w:ascii="Times New Roman" w:hAnsi="Times New Roman"/>
          <w:sz w:val="24"/>
          <w:szCs w:val="24"/>
          <w:lang w:val="en-GB"/>
        </w:rPr>
        <w:t>Majedi</w:t>
      </w:r>
      <w:proofErr w:type="spellEnd"/>
      <w:r w:rsidRPr="00461050">
        <w:rPr>
          <w:rFonts w:ascii="Times New Roman" w:hAnsi="Times New Roman"/>
          <w:sz w:val="24"/>
          <w:szCs w:val="24"/>
          <w:lang w:val="en-GB"/>
        </w:rPr>
        <w:t>, H.</w:t>
      </w:r>
      <w:r w:rsidR="00C910E4">
        <w:rPr>
          <w:rFonts w:ascii="Times New Roman" w:hAnsi="Times New Roman"/>
          <w:sz w:val="24"/>
          <w:szCs w:val="24"/>
          <w:lang w:val="en-GB"/>
        </w:rPr>
        <w:t>,</w:t>
      </w:r>
      <w:r w:rsidRPr="00461050">
        <w:rPr>
          <w:rFonts w:ascii="Times New Roman" w:hAnsi="Times New Roman"/>
          <w:sz w:val="24"/>
          <w:szCs w:val="24"/>
          <w:lang w:val="en-GB"/>
        </w:rPr>
        <w:t xml:space="preserve"> &amp; </w:t>
      </w:r>
      <w:proofErr w:type="spellStart"/>
      <w:r w:rsidRPr="00461050">
        <w:rPr>
          <w:rFonts w:ascii="Times New Roman" w:hAnsi="Times New Roman"/>
          <w:sz w:val="24"/>
          <w:szCs w:val="24"/>
          <w:lang w:val="en-GB"/>
        </w:rPr>
        <w:t>Paydar</w:t>
      </w:r>
      <w:proofErr w:type="spellEnd"/>
      <w:r w:rsidRPr="00461050">
        <w:rPr>
          <w:rFonts w:ascii="Times New Roman" w:hAnsi="Times New Roman"/>
          <w:sz w:val="24"/>
          <w:szCs w:val="24"/>
          <w:lang w:val="en-GB"/>
        </w:rPr>
        <w:t xml:space="preserve">, M. (2017). Assessment of </w:t>
      </w:r>
      <w:r w:rsidR="006F3C77" w:rsidRPr="00461050">
        <w:rPr>
          <w:rFonts w:ascii="Times New Roman" w:hAnsi="Times New Roman"/>
          <w:sz w:val="24"/>
          <w:szCs w:val="24"/>
          <w:lang w:val="en-GB"/>
        </w:rPr>
        <w:t xml:space="preserve">residential satisfaction in </w:t>
      </w:r>
      <w:proofErr w:type="spellStart"/>
      <w:r w:rsidRPr="00461050">
        <w:rPr>
          <w:rFonts w:ascii="Times New Roman" w:hAnsi="Times New Roman"/>
          <w:sz w:val="24"/>
          <w:szCs w:val="24"/>
          <w:lang w:val="en-GB"/>
        </w:rPr>
        <w:t>Mehr</w:t>
      </w:r>
      <w:proofErr w:type="spellEnd"/>
      <w:r w:rsidRPr="00461050">
        <w:rPr>
          <w:rFonts w:ascii="Times New Roman" w:hAnsi="Times New Roman"/>
          <w:sz w:val="24"/>
          <w:szCs w:val="24"/>
          <w:lang w:val="en-GB"/>
        </w:rPr>
        <w:t xml:space="preserve"> Housing Scheme: A </w:t>
      </w:r>
      <w:r w:rsidR="006F3C77" w:rsidRPr="00461050">
        <w:rPr>
          <w:rFonts w:ascii="Times New Roman" w:hAnsi="Times New Roman"/>
          <w:sz w:val="24"/>
          <w:szCs w:val="24"/>
          <w:lang w:val="en-GB"/>
        </w:rPr>
        <w:t xml:space="preserve">case study of </w:t>
      </w:r>
      <w:proofErr w:type="spellStart"/>
      <w:r w:rsidRPr="00461050">
        <w:rPr>
          <w:rFonts w:ascii="Times New Roman" w:hAnsi="Times New Roman"/>
          <w:sz w:val="24"/>
          <w:szCs w:val="24"/>
          <w:lang w:val="en-GB"/>
        </w:rPr>
        <w:t>Sadra</w:t>
      </w:r>
      <w:proofErr w:type="spellEnd"/>
      <w:r w:rsidRPr="00461050">
        <w:rPr>
          <w:rFonts w:ascii="Times New Roman" w:hAnsi="Times New Roman"/>
          <w:sz w:val="24"/>
          <w:szCs w:val="24"/>
          <w:lang w:val="en-GB"/>
        </w:rPr>
        <w:t xml:space="preserve"> New Town, Iran. </w:t>
      </w:r>
      <w:r w:rsidRPr="00461050">
        <w:rPr>
          <w:rFonts w:ascii="Times New Roman" w:hAnsi="Times New Roman"/>
          <w:i/>
          <w:sz w:val="24"/>
          <w:szCs w:val="24"/>
          <w:lang w:val="en-GB"/>
        </w:rPr>
        <w:t xml:space="preserve">Housing, Theory and Society, </w:t>
      </w:r>
      <w:r w:rsidRPr="00461050">
        <w:rPr>
          <w:rFonts w:ascii="Times New Roman" w:hAnsi="Times New Roman"/>
          <w:sz w:val="24"/>
          <w:szCs w:val="24"/>
          <w:lang w:val="en-GB"/>
        </w:rPr>
        <w:t xml:space="preserve">1-20. </w:t>
      </w:r>
      <w:r w:rsidR="00220EF7" w:rsidRPr="00FE568B">
        <w:rPr>
          <w:rFonts w:ascii="Times New Roman" w:hAnsi="Times New Roman"/>
          <w:sz w:val="24"/>
          <w:szCs w:val="24"/>
          <w:lang w:val="en-GB"/>
        </w:rPr>
        <w:t>http://dx.doi.org/10.1080/14036096.2017.1298536</w:t>
      </w:r>
    </w:p>
    <w:p w:rsidR="00461050" w:rsidRPr="00461050" w:rsidRDefault="00461050" w:rsidP="00B97F9C">
      <w:pPr>
        <w:spacing w:after="0" w:line="240" w:lineRule="auto"/>
        <w:ind w:left="360" w:hanging="360"/>
        <w:jc w:val="both"/>
        <w:rPr>
          <w:rFonts w:ascii="Times New Roman" w:hAnsi="Times New Roman"/>
          <w:sz w:val="24"/>
          <w:szCs w:val="24"/>
          <w:lang w:val="en-GB"/>
        </w:rPr>
      </w:pPr>
      <w:r w:rsidRPr="00461050">
        <w:rPr>
          <w:rFonts w:ascii="Times New Roman" w:hAnsi="Times New Roman"/>
          <w:sz w:val="24"/>
          <w:szCs w:val="24"/>
          <w:lang w:val="en-GB"/>
        </w:rPr>
        <w:t xml:space="preserve">FGN (2020). </w:t>
      </w:r>
      <w:r w:rsidRPr="00461050">
        <w:rPr>
          <w:rFonts w:ascii="Times New Roman" w:hAnsi="Times New Roman"/>
          <w:i/>
          <w:sz w:val="24"/>
          <w:szCs w:val="24"/>
          <w:lang w:val="en-GB"/>
        </w:rPr>
        <w:t xml:space="preserve">Bouncing back: Nigeria </w:t>
      </w:r>
      <w:r w:rsidR="00D503E3" w:rsidRPr="00461050">
        <w:rPr>
          <w:rFonts w:ascii="Times New Roman" w:hAnsi="Times New Roman"/>
          <w:i/>
          <w:sz w:val="24"/>
          <w:szCs w:val="24"/>
          <w:lang w:val="en-GB"/>
        </w:rPr>
        <w:t>economic sustainability plan</w:t>
      </w:r>
      <w:r w:rsidRPr="00461050">
        <w:rPr>
          <w:rFonts w:ascii="Times New Roman" w:hAnsi="Times New Roman"/>
          <w:i/>
          <w:sz w:val="24"/>
          <w:szCs w:val="24"/>
          <w:lang w:val="en-GB"/>
        </w:rPr>
        <w:t>.</w:t>
      </w:r>
      <w:r w:rsidRPr="00461050">
        <w:rPr>
          <w:rFonts w:ascii="Times New Roman" w:hAnsi="Times New Roman"/>
          <w:sz w:val="24"/>
          <w:szCs w:val="24"/>
          <w:lang w:val="en-GB"/>
        </w:rPr>
        <w:t xml:space="preserve"> Abuja: Economic Sustainability Committee.</w:t>
      </w:r>
    </w:p>
    <w:p w:rsidR="00461050" w:rsidRPr="00461050" w:rsidRDefault="00461050" w:rsidP="00B97F9C">
      <w:pPr>
        <w:spacing w:after="0" w:line="240" w:lineRule="auto"/>
        <w:ind w:left="360" w:hanging="360"/>
        <w:jc w:val="both"/>
        <w:rPr>
          <w:rFonts w:ascii="Times New Roman" w:hAnsi="Times New Roman"/>
          <w:sz w:val="24"/>
          <w:szCs w:val="24"/>
          <w:lang w:val="en-GB"/>
        </w:rPr>
      </w:pPr>
      <w:r w:rsidRPr="00461050">
        <w:rPr>
          <w:rFonts w:ascii="Times New Roman" w:hAnsi="Times New Roman"/>
          <w:sz w:val="24"/>
          <w:szCs w:val="24"/>
          <w:lang w:val="en-GB"/>
        </w:rPr>
        <w:t xml:space="preserve">Field, A. (2013). </w:t>
      </w:r>
      <w:r w:rsidRPr="00461050">
        <w:rPr>
          <w:rFonts w:ascii="Times New Roman" w:hAnsi="Times New Roman"/>
          <w:i/>
          <w:sz w:val="24"/>
          <w:szCs w:val="24"/>
          <w:lang w:val="en-GB"/>
        </w:rPr>
        <w:t xml:space="preserve">Discovering Statistics using IBM SPSS Statistics </w:t>
      </w:r>
      <w:r w:rsidRPr="00461050">
        <w:rPr>
          <w:rFonts w:ascii="Times New Roman" w:hAnsi="Times New Roman"/>
          <w:sz w:val="24"/>
          <w:szCs w:val="24"/>
          <w:lang w:val="en-GB"/>
        </w:rPr>
        <w:t>(4</w:t>
      </w:r>
      <w:r w:rsidRPr="00461050">
        <w:rPr>
          <w:rFonts w:ascii="Times New Roman" w:hAnsi="Times New Roman"/>
          <w:sz w:val="24"/>
          <w:szCs w:val="24"/>
          <w:vertAlign w:val="superscript"/>
          <w:lang w:val="en-GB"/>
        </w:rPr>
        <w:t>th</w:t>
      </w:r>
      <w:r w:rsidRPr="00461050">
        <w:rPr>
          <w:rFonts w:ascii="Times New Roman" w:hAnsi="Times New Roman"/>
          <w:sz w:val="24"/>
          <w:szCs w:val="24"/>
          <w:lang w:val="en-GB"/>
        </w:rPr>
        <w:t xml:space="preserve"> Ed). London: SAGE.</w:t>
      </w:r>
    </w:p>
    <w:p w:rsidR="00220EF7"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Galster</w:t>
      </w:r>
      <w:proofErr w:type="spellEnd"/>
      <w:r w:rsidRPr="00461050">
        <w:rPr>
          <w:rFonts w:ascii="Times New Roman" w:hAnsi="Times New Roman"/>
          <w:sz w:val="24"/>
          <w:szCs w:val="24"/>
          <w:lang w:val="en-GB"/>
        </w:rPr>
        <w:t xml:space="preserve">, G. (1987). Identifying the </w:t>
      </w:r>
      <w:r w:rsidR="006F3C77" w:rsidRPr="00461050">
        <w:rPr>
          <w:rFonts w:ascii="Times New Roman" w:hAnsi="Times New Roman"/>
          <w:sz w:val="24"/>
          <w:szCs w:val="24"/>
          <w:lang w:val="en-GB"/>
        </w:rPr>
        <w:t>correlates of dwelling satisfaction</w:t>
      </w:r>
      <w:r w:rsidRPr="00461050">
        <w:rPr>
          <w:rFonts w:ascii="Times New Roman" w:hAnsi="Times New Roman"/>
          <w:sz w:val="24"/>
          <w:szCs w:val="24"/>
          <w:lang w:val="en-GB"/>
        </w:rPr>
        <w:t xml:space="preserve">: An </w:t>
      </w:r>
      <w:r w:rsidR="006F3C77" w:rsidRPr="00461050">
        <w:rPr>
          <w:rFonts w:ascii="Times New Roman" w:hAnsi="Times New Roman"/>
          <w:sz w:val="24"/>
          <w:szCs w:val="24"/>
          <w:lang w:val="en-GB"/>
        </w:rPr>
        <w:t>empirical critique</w:t>
      </w:r>
      <w:r w:rsidRPr="00461050">
        <w:rPr>
          <w:rFonts w:ascii="Times New Roman" w:hAnsi="Times New Roman"/>
          <w:sz w:val="24"/>
          <w:szCs w:val="24"/>
          <w:lang w:val="en-GB"/>
        </w:rPr>
        <w:t xml:space="preserve">. </w:t>
      </w:r>
      <w:r w:rsidRPr="00461050">
        <w:rPr>
          <w:rFonts w:ascii="Times New Roman" w:hAnsi="Times New Roman"/>
          <w:i/>
          <w:sz w:val="24"/>
          <w:szCs w:val="24"/>
          <w:lang w:val="en-GB"/>
        </w:rPr>
        <w:t>Environment and Behaviour</w:t>
      </w:r>
      <w:r w:rsidRPr="006F3C77">
        <w:rPr>
          <w:rFonts w:ascii="Times New Roman" w:hAnsi="Times New Roman"/>
          <w:sz w:val="24"/>
          <w:szCs w:val="24"/>
          <w:lang w:val="en-GB"/>
        </w:rPr>
        <w:t>,</w:t>
      </w:r>
      <w:r w:rsidRPr="00461050">
        <w:rPr>
          <w:rFonts w:ascii="Times New Roman" w:hAnsi="Times New Roman"/>
          <w:i/>
          <w:sz w:val="24"/>
          <w:szCs w:val="24"/>
          <w:lang w:val="en-GB"/>
        </w:rPr>
        <w:t xml:space="preserve"> 19</w:t>
      </w:r>
      <w:r w:rsidRPr="00461050">
        <w:rPr>
          <w:rFonts w:ascii="Times New Roman" w:hAnsi="Times New Roman"/>
          <w:sz w:val="24"/>
          <w:szCs w:val="24"/>
          <w:lang w:val="en-GB"/>
        </w:rPr>
        <w:t xml:space="preserve">(5), 539-568. </w:t>
      </w:r>
      <w:r w:rsidR="00220EF7" w:rsidRPr="00FE568B">
        <w:rPr>
          <w:rFonts w:ascii="Times New Roman" w:hAnsi="Times New Roman"/>
          <w:sz w:val="24"/>
          <w:szCs w:val="24"/>
          <w:lang w:val="en-GB"/>
        </w:rPr>
        <w:t>http://dx.doi.org/10.1177/0013916587195001</w:t>
      </w:r>
    </w:p>
    <w:p w:rsidR="00461050" w:rsidRDefault="00461050" w:rsidP="00B97F9C">
      <w:pPr>
        <w:spacing w:after="0" w:line="240" w:lineRule="auto"/>
        <w:ind w:left="450" w:hanging="450"/>
        <w:jc w:val="both"/>
        <w:rPr>
          <w:rFonts w:ascii="Times New Roman" w:hAnsi="Times New Roman"/>
          <w:sz w:val="24"/>
          <w:szCs w:val="24"/>
          <w:lang w:val="en-GB"/>
        </w:rPr>
      </w:pPr>
      <w:proofErr w:type="spellStart"/>
      <w:r w:rsidRPr="00461050">
        <w:rPr>
          <w:rFonts w:ascii="Times New Roman" w:hAnsi="Times New Roman"/>
          <w:sz w:val="24"/>
          <w:szCs w:val="24"/>
          <w:lang w:val="en-GB"/>
        </w:rPr>
        <w:lastRenderedPageBreak/>
        <w:t>Gombe</w:t>
      </w:r>
      <w:proofErr w:type="spellEnd"/>
      <w:r w:rsidRPr="00461050">
        <w:rPr>
          <w:rFonts w:ascii="Times New Roman" w:hAnsi="Times New Roman"/>
          <w:sz w:val="24"/>
          <w:szCs w:val="24"/>
          <w:lang w:val="en-GB"/>
        </w:rPr>
        <w:t xml:space="preserve"> State </w:t>
      </w:r>
      <w:proofErr w:type="spellStart"/>
      <w:r w:rsidRPr="00461050">
        <w:rPr>
          <w:rFonts w:ascii="Times New Roman" w:hAnsi="Times New Roman"/>
          <w:sz w:val="24"/>
          <w:szCs w:val="24"/>
          <w:lang w:val="en-GB"/>
        </w:rPr>
        <w:t>Govt</w:t>
      </w:r>
      <w:proofErr w:type="spellEnd"/>
      <w:r w:rsidRPr="00461050">
        <w:rPr>
          <w:rFonts w:ascii="Times New Roman" w:hAnsi="Times New Roman"/>
          <w:sz w:val="24"/>
          <w:szCs w:val="24"/>
          <w:lang w:val="en-GB"/>
        </w:rPr>
        <w:t xml:space="preserve"> (2019). </w:t>
      </w:r>
      <w:r w:rsidRPr="00461050">
        <w:rPr>
          <w:rFonts w:ascii="Times New Roman" w:hAnsi="Times New Roman"/>
          <w:i/>
          <w:sz w:val="24"/>
          <w:szCs w:val="24"/>
          <w:lang w:val="en-GB"/>
        </w:rPr>
        <w:t xml:space="preserve">Governor </w:t>
      </w:r>
      <w:proofErr w:type="spellStart"/>
      <w:r w:rsidRPr="00461050">
        <w:rPr>
          <w:rFonts w:ascii="Times New Roman" w:hAnsi="Times New Roman"/>
          <w:i/>
          <w:sz w:val="24"/>
          <w:szCs w:val="24"/>
          <w:lang w:val="en-GB"/>
        </w:rPr>
        <w:t>Inuwa</w:t>
      </w:r>
      <w:proofErr w:type="spellEnd"/>
      <w:r w:rsidRPr="00461050">
        <w:rPr>
          <w:rFonts w:ascii="Times New Roman" w:hAnsi="Times New Roman"/>
          <w:i/>
          <w:sz w:val="24"/>
          <w:szCs w:val="24"/>
          <w:lang w:val="en-GB"/>
        </w:rPr>
        <w:t xml:space="preserve"> </w:t>
      </w:r>
      <w:proofErr w:type="spellStart"/>
      <w:r w:rsidRPr="00461050">
        <w:rPr>
          <w:rFonts w:ascii="Times New Roman" w:hAnsi="Times New Roman"/>
          <w:i/>
          <w:sz w:val="24"/>
          <w:szCs w:val="24"/>
          <w:lang w:val="en-GB"/>
        </w:rPr>
        <w:t>Yahaya</w:t>
      </w:r>
      <w:proofErr w:type="spellEnd"/>
      <w:r w:rsidRPr="00461050">
        <w:rPr>
          <w:rFonts w:ascii="Times New Roman" w:hAnsi="Times New Roman"/>
          <w:i/>
          <w:sz w:val="24"/>
          <w:szCs w:val="24"/>
          <w:lang w:val="en-GB"/>
        </w:rPr>
        <w:t xml:space="preserve"> releases 110 million Naira to address water supply problems.</w:t>
      </w:r>
      <w:r w:rsidRPr="00461050">
        <w:rPr>
          <w:rFonts w:ascii="Times New Roman" w:hAnsi="Times New Roman"/>
          <w:sz w:val="24"/>
          <w:szCs w:val="24"/>
          <w:lang w:val="en-GB"/>
        </w:rPr>
        <w:t xml:space="preserve"> Retrieved July 07, 2020, from </w:t>
      </w:r>
      <w:r w:rsidR="00220EF7" w:rsidRPr="00FE568B">
        <w:rPr>
          <w:rFonts w:ascii="Times New Roman" w:hAnsi="Times New Roman"/>
          <w:sz w:val="24"/>
          <w:szCs w:val="24"/>
          <w:lang w:val="en-GB"/>
        </w:rPr>
        <w:t>https://gombestate.gov.ng/governor-inuwa-yahaya-releases-110-million-naira-to-address-water-supply-problems/</w:t>
      </w:r>
    </w:p>
    <w:p w:rsidR="00461050" w:rsidRDefault="00461050" w:rsidP="00B97F9C">
      <w:pPr>
        <w:spacing w:after="0" w:line="240" w:lineRule="auto"/>
        <w:ind w:left="360" w:hanging="360"/>
        <w:jc w:val="both"/>
        <w:rPr>
          <w:rFonts w:ascii="Times New Roman" w:hAnsi="Times New Roman"/>
          <w:sz w:val="24"/>
          <w:szCs w:val="24"/>
          <w:lang w:val="en-GB"/>
        </w:rPr>
      </w:pPr>
      <w:r w:rsidRPr="00461050">
        <w:rPr>
          <w:rFonts w:ascii="Times New Roman" w:hAnsi="Times New Roman"/>
          <w:sz w:val="24"/>
          <w:szCs w:val="24"/>
          <w:lang w:val="en-GB"/>
        </w:rPr>
        <w:t xml:space="preserve">Hassan, S. Z., </w:t>
      </w:r>
      <w:proofErr w:type="spellStart"/>
      <w:r w:rsidRPr="00461050">
        <w:rPr>
          <w:rFonts w:ascii="Times New Roman" w:hAnsi="Times New Roman"/>
          <w:sz w:val="24"/>
          <w:szCs w:val="24"/>
          <w:lang w:val="en-GB"/>
        </w:rPr>
        <w:t>Naeem</w:t>
      </w:r>
      <w:proofErr w:type="spellEnd"/>
      <w:r w:rsidRPr="00461050">
        <w:rPr>
          <w:rFonts w:ascii="Times New Roman" w:hAnsi="Times New Roman"/>
          <w:sz w:val="24"/>
          <w:szCs w:val="24"/>
          <w:lang w:val="en-GB"/>
        </w:rPr>
        <w:t xml:space="preserve">, M. A., </w:t>
      </w:r>
      <w:proofErr w:type="spellStart"/>
      <w:r w:rsidRPr="00461050">
        <w:rPr>
          <w:rFonts w:ascii="Times New Roman" w:hAnsi="Times New Roman"/>
          <w:sz w:val="24"/>
          <w:szCs w:val="24"/>
          <w:lang w:val="en-GB"/>
        </w:rPr>
        <w:t>Waheed</w:t>
      </w:r>
      <w:proofErr w:type="spellEnd"/>
      <w:r w:rsidRPr="00461050">
        <w:rPr>
          <w:rFonts w:ascii="Times New Roman" w:hAnsi="Times New Roman"/>
          <w:sz w:val="24"/>
          <w:szCs w:val="24"/>
          <w:lang w:val="en-GB"/>
        </w:rPr>
        <w:t>, A.</w:t>
      </w:r>
      <w:r w:rsidR="00C910E4">
        <w:rPr>
          <w:rFonts w:ascii="Times New Roman" w:hAnsi="Times New Roman"/>
          <w:sz w:val="24"/>
          <w:szCs w:val="24"/>
          <w:lang w:val="en-GB"/>
        </w:rPr>
        <w:t>,</w:t>
      </w:r>
      <w:r w:rsidRPr="00461050">
        <w:rPr>
          <w:rFonts w:ascii="Times New Roman" w:hAnsi="Times New Roman"/>
          <w:sz w:val="24"/>
          <w:szCs w:val="24"/>
          <w:lang w:val="en-GB"/>
        </w:rPr>
        <w:t xml:space="preserve"> &amp; </w:t>
      </w:r>
      <w:proofErr w:type="spellStart"/>
      <w:r w:rsidRPr="00461050">
        <w:rPr>
          <w:rFonts w:ascii="Times New Roman" w:hAnsi="Times New Roman"/>
          <w:sz w:val="24"/>
          <w:szCs w:val="24"/>
          <w:lang w:val="en-GB"/>
        </w:rPr>
        <w:t>Thaheem</w:t>
      </w:r>
      <w:proofErr w:type="spellEnd"/>
      <w:r w:rsidRPr="00461050">
        <w:rPr>
          <w:rFonts w:ascii="Times New Roman" w:hAnsi="Times New Roman"/>
          <w:sz w:val="24"/>
          <w:szCs w:val="24"/>
          <w:lang w:val="en-GB"/>
        </w:rPr>
        <w:t xml:space="preserve">, M. J. (2019). Assessment of </w:t>
      </w:r>
      <w:r w:rsidR="006F3C77">
        <w:rPr>
          <w:rFonts w:ascii="Times New Roman" w:hAnsi="Times New Roman"/>
          <w:sz w:val="24"/>
          <w:szCs w:val="24"/>
          <w:lang w:val="en-GB"/>
        </w:rPr>
        <w:t>s</w:t>
      </w:r>
      <w:r w:rsidRPr="00461050">
        <w:rPr>
          <w:rFonts w:ascii="Times New Roman" w:hAnsi="Times New Roman"/>
          <w:sz w:val="24"/>
          <w:szCs w:val="24"/>
          <w:lang w:val="en-GB"/>
        </w:rPr>
        <w:t xml:space="preserve">ocio-economic profile and residents' satisfaction living in apartments and single unit houses in Islamabad, Pakistan. </w:t>
      </w:r>
      <w:r w:rsidRPr="00461050">
        <w:rPr>
          <w:rFonts w:ascii="Times New Roman" w:hAnsi="Times New Roman"/>
          <w:i/>
          <w:sz w:val="24"/>
          <w:szCs w:val="24"/>
          <w:lang w:val="en-GB"/>
        </w:rPr>
        <w:t>International Journal of Strategic Property Management</w:t>
      </w:r>
      <w:r w:rsidRPr="006F3C77">
        <w:rPr>
          <w:rFonts w:ascii="Times New Roman" w:hAnsi="Times New Roman"/>
          <w:sz w:val="24"/>
          <w:szCs w:val="24"/>
          <w:lang w:val="en-GB"/>
        </w:rPr>
        <w:t>,</w:t>
      </w:r>
      <w:r w:rsidRPr="00461050">
        <w:rPr>
          <w:rFonts w:ascii="Times New Roman" w:hAnsi="Times New Roman"/>
          <w:i/>
          <w:sz w:val="24"/>
          <w:szCs w:val="24"/>
          <w:lang w:val="en-GB"/>
        </w:rPr>
        <w:t xml:space="preserve"> 23</w:t>
      </w:r>
      <w:r w:rsidRPr="00461050">
        <w:rPr>
          <w:rFonts w:ascii="Times New Roman" w:hAnsi="Times New Roman"/>
          <w:sz w:val="24"/>
          <w:szCs w:val="24"/>
          <w:lang w:val="en-GB"/>
        </w:rPr>
        <w:t xml:space="preserve">(5), 284-297. </w:t>
      </w:r>
      <w:r w:rsidR="00220EF7" w:rsidRPr="00FE568B">
        <w:rPr>
          <w:rFonts w:ascii="Times New Roman" w:hAnsi="Times New Roman"/>
          <w:sz w:val="24"/>
          <w:szCs w:val="24"/>
          <w:lang w:val="en-GB"/>
        </w:rPr>
        <w:t>http://dx.doi.org/10.3846/ijspm.2019.8067</w:t>
      </w:r>
    </w:p>
    <w:p w:rsid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Ibem</w:t>
      </w:r>
      <w:proofErr w:type="spellEnd"/>
      <w:r w:rsidRPr="00461050">
        <w:rPr>
          <w:rFonts w:ascii="Times New Roman" w:hAnsi="Times New Roman"/>
          <w:sz w:val="24"/>
          <w:szCs w:val="24"/>
          <w:lang w:val="en-GB"/>
        </w:rPr>
        <w:t xml:space="preserve">, E. O. &amp; </w:t>
      </w:r>
      <w:proofErr w:type="spellStart"/>
      <w:r w:rsidRPr="00461050">
        <w:rPr>
          <w:rFonts w:ascii="Times New Roman" w:hAnsi="Times New Roman"/>
          <w:sz w:val="24"/>
          <w:szCs w:val="24"/>
          <w:lang w:val="en-GB"/>
        </w:rPr>
        <w:t>Aduwo</w:t>
      </w:r>
      <w:proofErr w:type="spellEnd"/>
      <w:r w:rsidRPr="00461050">
        <w:rPr>
          <w:rFonts w:ascii="Times New Roman" w:hAnsi="Times New Roman"/>
          <w:sz w:val="24"/>
          <w:szCs w:val="24"/>
          <w:lang w:val="en-GB"/>
        </w:rPr>
        <w:t xml:space="preserve">, E. B. (2013). Assessment of residential satisfaction in public housing in Ogun State, Nigeria. </w:t>
      </w:r>
      <w:r w:rsidRPr="00461050">
        <w:rPr>
          <w:rFonts w:ascii="Times New Roman" w:hAnsi="Times New Roman"/>
          <w:i/>
          <w:sz w:val="24"/>
          <w:szCs w:val="24"/>
          <w:lang w:val="en-GB"/>
        </w:rPr>
        <w:t>Habitat International</w:t>
      </w:r>
      <w:r w:rsidRPr="006F3C77">
        <w:rPr>
          <w:rFonts w:ascii="Times New Roman" w:hAnsi="Times New Roman"/>
          <w:sz w:val="24"/>
          <w:szCs w:val="24"/>
          <w:lang w:val="en-GB"/>
        </w:rPr>
        <w:t>,</w:t>
      </w:r>
      <w:r w:rsidRPr="00461050">
        <w:rPr>
          <w:rFonts w:ascii="Times New Roman" w:hAnsi="Times New Roman"/>
          <w:i/>
          <w:sz w:val="24"/>
          <w:szCs w:val="24"/>
          <w:lang w:val="en-GB"/>
        </w:rPr>
        <w:t xml:space="preserve"> 40</w:t>
      </w:r>
      <w:r w:rsidRPr="00461050">
        <w:rPr>
          <w:rFonts w:ascii="Times New Roman" w:hAnsi="Times New Roman"/>
          <w:sz w:val="24"/>
          <w:szCs w:val="24"/>
          <w:lang w:val="en-GB"/>
        </w:rPr>
        <w:t xml:space="preserve">(2013), 163-175. </w:t>
      </w:r>
      <w:r w:rsidR="00220EF7" w:rsidRPr="00FE568B">
        <w:rPr>
          <w:rFonts w:ascii="Times New Roman" w:hAnsi="Times New Roman"/>
          <w:sz w:val="24"/>
          <w:szCs w:val="24"/>
          <w:lang w:val="en-GB"/>
        </w:rPr>
        <w:t>http://dx.doi.org/10.1016/j.habitatint.2013.04.001</w:t>
      </w:r>
    </w:p>
    <w:p w:rsid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Ibem</w:t>
      </w:r>
      <w:proofErr w:type="spellEnd"/>
      <w:r w:rsidRPr="00461050">
        <w:rPr>
          <w:rFonts w:ascii="Times New Roman" w:hAnsi="Times New Roman"/>
          <w:sz w:val="24"/>
          <w:szCs w:val="24"/>
          <w:lang w:val="en-GB"/>
        </w:rPr>
        <w:t>, E. O.</w:t>
      </w:r>
      <w:r w:rsidR="00C910E4">
        <w:rPr>
          <w:rFonts w:ascii="Times New Roman" w:hAnsi="Times New Roman"/>
          <w:sz w:val="24"/>
          <w:szCs w:val="24"/>
          <w:lang w:val="en-GB"/>
        </w:rPr>
        <w:t>,</w:t>
      </w:r>
      <w:r w:rsidRPr="00461050">
        <w:rPr>
          <w:rFonts w:ascii="Times New Roman" w:hAnsi="Times New Roman"/>
          <w:sz w:val="24"/>
          <w:szCs w:val="24"/>
          <w:lang w:val="en-GB"/>
        </w:rPr>
        <w:t xml:space="preserve"> &amp; </w:t>
      </w:r>
      <w:proofErr w:type="spellStart"/>
      <w:r w:rsidRPr="00461050">
        <w:rPr>
          <w:rFonts w:ascii="Times New Roman" w:hAnsi="Times New Roman"/>
          <w:sz w:val="24"/>
          <w:szCs w:val="24"/>
          <w:lang w:val="en-GB"/>
        </w:rPr>
        <w:t>Alagbe</w:t>
      </w:r>
      <w:proofErr w:type="spellEnd"/>
      <w:r w:rsidRPr="00461050">
        <w:rPr>
          <w:rFonts w:ascii="Times New Roman" w:hAnsi="Times New Roman"/>
          <w:sz w:val="24"/>
          <w:szCs w:val="24"/>
          <w:lang w:val="en-GB"/>
        </w:rPr>
        <w:t xml:space="preserve">, O. A. (2015). Investigating dimensions of housing adequacy evaluation by residents in public housing: Factor analysis approach. </w:t>
      </w:r>
      <w:r w:rsidRPr="00461050">
        <w:rPr>
          <w:rFonts w:ascii="Times New Roman" w:hAnsi="Times New Roman"/>
          <w:i/>
          <w:sz w:val="24"/>
          <w:szCs w:val="24"/>
          <w:lang w:val="en-GB"/>
        </w:rPr>
        <w:t>Facilities</w:t>
      </w:r>
      <w:r w:rsidRPr="006F3C77">
        <w:rPr>
          <w:rFonts w:ascii="Times New Roman" w:hAnsi="Times New Roman"/>
          <w:sz w:val="24"/>
          <w:szCs w:val="24"/>
          <w:lang w:val="en-GB"/>
        </w:rPr>
        <w:t>,</w:t>
      </w:r>
      <w:r w:rsidRPr="00461050">
        <w:rPr>
          <w:rFonts w:ascii="Times New Roman" w:hAnsi="Times New Roman"/>
          <w:i/>
          <w:sz w:val="24"/>
          <w:szCs w:val="24"/>
          <w:lang w:val="en-GB"/>
        </w:rPr>
        <w:t xml:space="preserve"> 33</w:t>
      </w:r>
      <w:r w:rsidRPr="00461050">
        <w:rPr>
          <w:rFonts w:ascii="Times New Roman" w:hAnsi="Times New Roman"/>
          <w:sz w:val="24"/>
          <w:szCs w:val="24"/>
          <w:lang w:val="en-GB"/>
        </w:rPr>
        <w:t xml:space="preserve">(7/8), 465-484. </w:t>
      </w:r>
      <w:r w:rsidR="00220EF7" w:rsidRPr="00FE568B">
        <w:rPr>
          <w:rFonts w:ascii="Times New Roman" w:hAnsi="Times New Roman"/>
          <w:sz w:val="24"/>
          <w:szCs w:val="24"/>
          <w:lang w:val="en-GB"/>
        </w:rPr>
        <w:t>http://dx.doi.org/10.1108/F-02-2014-0017</w:t>
      </w:r>
    </w:p>
    <w:p w:rsidR="00461050" w:rsidRP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Ibem</w:t>
      </w:r>
      <w:proofErr w:type="spellEnd"/>
      <w:r w:rsidRPr="00461050">
        <w:rPr>
          <w:rFonts w:ascii="Times New Roman" w:hAnsi="Times New Roman"/>
          <w:sz w:val="24"/>
          <w:szCs w:val="24"/>
          <w:lang w:val="en-GB"/>
        </w:rPr>
        <w:t>, E. O.</w:t>
      </w:r>
      <w:r w:rsidR="00C910E4">
        <w:rPr>
          <w:rFonts w:ascii="Times New Roman" w:hAnsi="Times New Roman"/>
          <w:sz w:val="24"/>
          <w:szCs w:val="24"/>
          <w:lang w:val="en-GB"/>
        </w:rPr>
        <w:t>,</w:t>
      </w:r>
      <w:r w:rsidRPr="00461050">
        <w:rPr>
          <w:rFonts w:ascii="Times New Roman" w:hAnsi="Times New Roman"/>
          <w:sz w:val="24"/>
          <w:szCs w:val="24"/>
          <w:lang w:val="en-GB"/>
        </w:rPr>
        <w:t xml:space="preserve"> &amp; Amole, D. (2012). Residential satisfaction in </w:t>
      </w:r>
      <w:r w:rsidR="00D503E3" w:rsidRPr="00461050">
        <w:rPr>
          <w:rFonts w:ascii="Times New Roman" w:hAnsi="Times New Roman"/>
          <w:sz w:val="24"/>
          <w:szCs w:val="24"/>
          <w:lang w:val="en-GB"/>
        </w:rPr>
        <w:t xml:space="preserve">public core housing </w:t>
      </w:r>
      <w:r w:rsidRPr="00461050">
        <w:rPr>
          <w:rFonts w:ascii="Times New Roman" w:hAnsi="Times New Roman"/>
          <w:sz w:val="24"/>
          <w:szCs w:val="24"/>
          <w:lang w:val="en-GB"/>
        </w:rPr>
        <w:t xml:space="preserve">in Abeokuta, Ogun State, Nigeria. </w:t>
      </w:r>
      <w:r w:rsidRPr="00461050">
        <w:rPr>
          <w:rFonts w:ascii="Times New Roman" w:hAnsi="Times New Roman"/>
          <w:i/>
          <w:sz w:val="24"/>
          <w:szCs w:val="24"/>
          <w:lang w:val="en-GB"/>
        </w:rPr>
        <w:t>Social Indicators Research, 113</w:t>
      </w:r>
      <w:r w:rsidRPr="00461050">
        <w:rPr>
          <w:rFonts w:ascii="Times New Roman" w:hAnsi="Times New Roman"/>
          <w:sz w:val="24"/>
          <w:szCs w:val="24"/>
          <w:lang w:val="en-GB"/>
        </w:rPr>
        <w:t>(1), 563-581.</w:t>
      </w:r>
    </w:p>
    <w:p w:rsidR="00461050" w:rsidRP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Ibem</w:t>
      </w:r>
      <w:proofErr w:type="spellEnd"/>
      <w:r w:rsidRPr="00461050">
        <w:rPr>
          <w:rFonts w:ascii="Times New Roman" w:hAnsi="Times New Roman"/>
          <w:sz w:val="24"/>
          <w:szCs w:val="24"/>
          <w:lang w:val="en-GB"/>
        </w:rPr>
        <w:t>, E. O.</w:t>
      </w:r>
      <w:r w:rsidR="00C910E4">
        <w:rPr>
          <w:rFonts w:ascii="Times New Roman" w:hAnsi="Times New Roman"/>
          <w:sz w:val="24"/>
          <w:szCs w:val="24"/>
          <w:lang w:val="en-GB"/>
        </w:rPr>
        <w:t>,</w:t>
      </w:r>
      <w:r w:rsidRPr="00461050">
        <w:rPr>
          <w:rFonts w:ascii="Times New Roman" w:hAnsi="Times New Roman"/>
          <w:sz w:val="24"/>
          <w:szCs w:val="24"/>
          <w:lang w:val="en-GB"/>
        </w:rPr>
        <w:t xml:space="preserve"> &amp; </w:t>
      </w:r>
      <w:proofErr w:type="spellStart"/>
      <w:r w:rsidRPr="00461050">
        <w:rPr>
          <w:rFonts w:ascii="Times New Roman" w:hAnsi="Times New Roman"/>
          <w:sz w:val="24"/>
          <w:szCs w:val="24"/>
          <w:lang w:val="en-GB"/>
        </w:rPr>
        <w:t>Azuh</w:t>
      </w:r>
      <w:proofErr w:type="spellEnd"/>
      <w:r w:rsidRPr="00461050">
        <w:rPr>
          <w:rFonts w:ascii="Times New Roman" w:hAnsi="Times New Roman"/>
          <w:sz w:val="24"/>
          <w:szCs w:val="24"/>
          <w:lang w:val="en-GB"/>
        </w:rPr>
        <w:t xml:space="preserve">, D. E. (2014). Satisfaction with public housing among urban women in Ogun State, Nigeria. </w:t>
      </w:r>
      <w:r w:rsidRPr="00461050">
        <w:rPr>
          <w:rFonts w:ascii="Times New Roman" w:hAnsi="Times New Roman"/>
          <w:i/>
          <w:sz w:val="24"/>
          <w:szCs w:val="24"/>
          <w:lang w:val="en-GB"/>
        </w:rPr>
        <w:t>Covenant Journal of Research in the Built Environment, 1</w:t>
      </w:r>
      <w:r w:rsidRPr="00461050">
        <w:rPr>
          <w:rFonts w:ascii="Times New Roman" w:hAnsi="Times New Roman"/>
          <w:sz w:val="24"/>
          <w:szCs w:val="24"/>
          <w:lang w:val="en-GB"/>
        </w:rPr>
        <w:t>(2), 67-90.</w:t>
      </w:r>
    </w:p>
    <w:p w:rsidR="00461050" w:rsidRP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Ibem</w:t>
      </w:r>
      <w:proofErr w:type="spellEnd"/>
      <w:r w:rsidRPr="00461050">
        <w:rPr>
          <w:rFonts w:ascii="Times New Roman" w:hAnsi="Times New Roman"/>
          <w:sz w:val="24"/>
          <w:szCs w:val="24"/>
          <w:lang w:val="en-GB"/>
        </w:rPr>
        <w:t xml:space="preserve">, E. O., </w:t>
      </w:r>
      <w:proofErr w:type="spellStart"/>
      <w:r w:rsidRPr="00461050">
        <w:rPr>
          <w:rFonts w:ascii="Times New Roman" w:hAnsi="Times New Roman"/>
          <w:sz w:val="24"/>
          <w:szCs w:val="24"/>
          <w:lang w:val="en-GB"/>
        </w:rPr>
        <w:t>Adeboye</w:t>
      </w:r>
      <w:proofErr w:type="spellEnd"/>
      <w:r w:rsidRPr="00461050">
        <w:rPr>
          <w:rFonts w:ascii="Times New Roman" w:hAnsi="Times New Roman"/>
          <w:sz w:val="24"/>
          <w:szCs w:val="24"/>
          <w:lang w:val="en-GB"/>
        </w:rPr>
        <w:t xml:space="preserve">, A. B., &amp; </w:t>
      </w:r>
      <w:proofErr w:type="spellStart"/>
      <w:r w:rsidRPr="00461050">
        <w:rPr>
          <w:rFonts w:ascii="Times New Roman" w:hAnsi="Times New Roman"/>
          <w:sz w:val="24"/>
          <w:szCs w:val="24"/>
          <w:lang w:val="en-GB"/>
        </w:rPr>
        <w:t>Alagbe</w:t>
      </w:r>
      <w:proofErr w:type="spellEnd"/>
      <w:r w:rsidRPr="00461050">
        <w:rPr>
          <w:rFonts w:ascii="Times New Roman" w:hAnsi="Times New Roman"/>
          <w:sz w:val="24"/>
          <w:szCs w:val="24"/>
          <w:lang w:val="en-GB"/>
        </w:rPr>
        <w:t xml:space="preserve">, O. A. (2015). Similarities and differences in Residents' Perception of Housing Adequacy and Residential Satisfaction. </w:t>
      </w:r>
      <w:r w:rsidRPr="00461050">
        <w:rPr>
          <w:rFonts w:ascii="Times New Roman" w:hAnsi="Times New Roman"/>
          <w:i/>
          <w:sz w:val="24"/>
          <w:szCs w:val="24"/>
          <w:lang w:val="en-GB"/>
        </w:rPr>
        <w:t>Journal of Building Performance, 6</w:t>
      </w:r>
      <w:r w:rsidRPr="00461050">
        <w:rPr>
          <w:rFonts w:ascii="Times New Roman" w:hAnsi="Times New Roman"/>
          <w:sz w:val="24"/>
          <w:szCs w:val="24"/>
          <w:lang w:val="en-GB"/>
        </w:rPr>
        <w:t>(1), 1-15.</w:t>
      </w:r>
    </w:p>
    <w:p w:rsid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Ibem</w:t>
      </w:r>
      <w:proofErr w:type="spellEnd"/>
      <w:r w:rsidRPr="00461050">
        <w:rPr>
          <w:rFonts w:ascii="Times New Roman" w:hAnsi="Times New Roman"/>
          <w:sz w:val="24"/>
          <w:szCs w:val="24"/>
          <w:lang w:val="en-GB"/>
        </w:rPr>
        <w:t xml:space="preserve">, E. O., Ayo-Vaughan, E. A., </w:t>
      </w:r>
      <w:proofErr w:type="spellStart"/>
      <w:r w:rsidRPr="00461050">
        <w:rPr>
          <w:rFonts w:ascii="Times New Roman" w:hAnsi="Times New Roman"/>
          <w:sz w:val="24"/>
          <w:szCs w:val="24"/>
          <w:lang w:val="en-GB"/>
        </w:rPr>
        <w:t>Oluwunmi</w:t>
      </w:r>
      <w:proofErr w:type="spellEnd"/>
      <w:r w:rsidRPr="00461050">
        <w:rPr>
          <w:rFonts w:ascii="Times New Roman" w:hAnsi="Times New Roman"/>
          <w:sz w:val="24"/>
          <w:szCs w:val="24"/>
          <w:lang w:val="en-GB"/>
        </w:rPr>
        <w:t xml:space="preserve">, A. O., &amp; </w:t>
      </w:r>
      <w:proofErr w:type="spellStart"/>
      <w:r w:rsidRPr="00461050">
        <w:rPr>
          <w:rFonts w:ascii="Times New Roman" w:hAnsi="Times New Roman"/>
          <w:sz w:val="24"/>
          <w:szCs w:val="24"/>
          <w:lang w:val="en-GB"/>
        </w:rPr>
        <w:t>Alagbe</w:t>
      </w:r>
      <w:proofErr w:type="spellEnd"/>
      <w:r w:rsidRPr="00461050">
        <w:rPr>
          <w:rFonts w:ascii="Times New Roman" w:hAnsi="Times New Roman"/>
          <w:sz w:val="24"/>
          <w:szCs w:val="24"/>
          <w:lang w:val="en-GB"/>
        </w:rPr>
        <w:t xml:space="preserve">, O. A. (2018). Residential </w:t>
      </w:r>
      <w:r w:rsidR="00C910E4" w:rsidRPr="00461050">
        <w:rPr>
          <w:rFonts w:ascii="Times New Roman" w:hAnsi="Times New Roman"/>
          <w:sz w:val="24"/>
          <w:szCs w:val="24"/>
          <w:lang w:val="en-GB"/>
        </w:rPr>
        <w:t xml:space="preserve">satisfaction </w:t>
      </w:r>
      <w:r w:rsidR="00C910E4">
        <w:rPr>
          <w:rFonts w:ascii="Times New Roman" w:hAnsi="Times New Roman"/>
          <w:sz w:val="24"/>
          <w:szCs w:val="24"/>
          <w:lang w:val="en-GB"/>
        </w:rPr>
        <w:t>a</w:t>
      </w:r>
      <w:r w:rsidR="00C910E4" w:rsidRPr="00461050">
        <w:rPr>
          <w:rFonts w:ascii="Times New Roman" w:hAnsi="Times New Roman"/>
          <w:sz w:val="24"/>
          <w:szCs w:val="24"/>
          <w:lang w:val="en-GB"/>
        </w:rPr>
        <w:t xml:space="preserve">mong low-income earners in government-subsidized housing estates </w:t>
      </w:r>
      <w:r w:rsidRPr="00461050">
        <w:rPr>
          <w:rFonts w:ascii="Times New Roman" w:hAnsi="Times New Roman"/>
          <w:sz w:val="24"/>
          <w:szCs w:val="24"/>
          <w:lang w:val="en-GB"/>
        </w:rPr>
        <w:t xml:space="preserve">in Ogun State, Nigeria. </w:t>
      </w:r>
      <w:r w:rsidRPr="00461050">
        <w:rPr>
          <w:rFonts w:ascii="Times New Roman" w:hAnsi="Times New Roman"/>
          <w:i/>
          <w:sz w:val="24"/>
          <w:szCs w:val="24"/>
          <w:lang w:val="en-GB"/>
        </w:rPr>
        <w:t>Urban Forum,</w:t>
      </w:r>
      <w:r w:rsidRPr="00461050">
        <w:rPr>
          <w:rFonts w:ascii="Times New Roman" w:hAnsi="Times New Roman"/>
          <w:sz w:val="24"/>
          <w:szCs w:val="24"/>
          <w:lang w:val="en-GB"/>
        </w:rPr>
        <w:t xml:space="preserve"> </w:t>
      </w:r>
      <w:r w:rsidR="00220EF7" w:rsidRPr="00FE568B">
        <w:rPr>
          <w:rFonts w:ascii="Times New Roman" w:hAnsi="Times New Roman"/>
          <w:sz w:val="24"/>
          <w:szCs w:val="24"/>
          <w:lang w:val="en-GB"/>
        </w:rPr>
        <w:t>http://dx.doi.org/10.1007/s12132-018-9337-4</w:t>
      </w:r>
    </w:p>
    <w:p w:rsid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Ibem</w:t>
      </w:r>
      <w:proofErr w:type="spellEnd"/>
      <w:r w:rsidRPr="00461050">
        <w:rPr>
          <w:rFonts w:ascii="Times New Roman" w:hAnsi="Times New Roman"/>
          <w:sz w:val="24"/>
          <w:szCs w:val="24"/>
          <w:lang w:val="en-GB"/>
        </w:rPr>
        <w:t xml:space="preserve">, E. O., </w:t>
      </w:r>
      <w:proofErr w:type="spellStart"/>
      <w:r w:rsidRPr="00461050">
        <w:rPr>
          <w:rFonts w:ascii="Times New Roman" w:hAnsi="Times New Roman"/>
          <w:sz w:val="24"/>
          <w:szCs w:val="24"/>
          <w:lang w:val="en-GB"/>
        </w:rPr>
        <w:t>Opoko</w:t>
      </w:r>
      <w:proofErr w:type="spellEnd"/>
      <w:r w:rsidRPr="00461050">
        <w:rPr>
          <w:rFonts w:ascii="Times New Roman" w:hAnsi="Times New Roman"/>
          <w:sz w:val="24"/>
          <w:szCs w:val="24"/>
          <w:lang w:val="en-GB"/>
        </w:rPr>
        <w:t xml:space="preserve">, A. P., &amp; </w:t>
      </w:r>
      <w:proofErr w:type="spellStart"/>
      <w:r w:rsidRPr="00461050">
        <w:rPr>
          <w:rFonts w:ascii="Times New Roman" w:hAnsi="Times New Roman"/>
          <w:sz w:val="24"/>
          <w:szCs w:val="24"/>
          <w:lang w:val="en-GB"/>
        </w:rPr>
        <w:t>Aduwo</w:t>
      </w:r>
      <w:proofErr w:type="spellEnd"/>
      <w:r w:rsidRPr="00461050">
        <w:rPr>
          <w:rFonts w:ascii="Times New Roman" w:hAnsi="Times New Roman"/>
          <w:sz w:val="24"/>
          <w:szCs w:val="24"/>
          <w:lang w:val="en-GB"/>
        </w:rPr>
        <w:t xml:space="preserve">, E. B. (2016). Exploring the impact of urban neighbourhood environment on satisfaction with life in public housing in Nigeria. </w:t>
      </w:r>
      <w:r w:rsidRPr="00461050">
        <w:rPr>
          <w:rFonts w:ascii="Times New Roman" w:hAnsi="Times New Roman"/>
          <w:i/>
          <w:sz w:val="24"/>
          <w:szCs w:val="24"/>
          <w:lang w:val="en-GB"/>
        </w:rPr>
        <w:t>Urban Design International,</w:t>
      </w:r>
      <w:r w:rsidRPr="00461050">
        <w:rPr>
          <w:rFonts w:ascii="Times New Roman" w:hAnsi="Times New Roman"/>
          <w:sz w:val="24"/>
          <w:szCs w:val="24"/>
          <w:lang w:val="en-GB"/>
        </w:rPr>
        <w:t xml:space="preserve"> 1-15. </w:t>
      </w:r>
      <w:r w:rsidR="00220EF7" w:rsidRPr="00FE568B">
        <w:rPr>
          <w:rFonts w:ascii="Times New Roman" w:hAnsi="Times New Roman"/>
          <w:sz w:val="24"/>
          <w:szCs w:val="24"/>
          <w:lang w:val="en-GB"/>
        </w:rPr>
        <w:t>http://dx.doi.org/10.1057/udi.2016.13</w:t>
      </w:r>
    </w:p>
    <w:p w:rsid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Ibem</w:t>
      </w:r>
      <w:proofErr w:type="spellEnd"/>
      <w:r w:rsidRPr="00461050">
        <w:rPr>
          <w:rFonts w:ascii="Times New Roman" w:hAnsi="Times New Roman"/>
          <w:sz w:val="24"/>
          <w:szCs w:val="24"/>
          <w:lang w:val="en-GB"/>
        </w:rPr>
        <w:t xml:space="preserve">, E. O., </w:t>
      </w:r>
      <w:proofErr w:type="spellStart"/>
      <w:r w:rsidRPr="00461050">
        <w:rPr>
          <w:rFonts w:ascii="Times New Roman" w:hAnsi="Times New Roman"/>
          <w:sz w:val="24"/>
          <w:szCs w:val="24"/>
          <w:lang w:val="en-GB"/>
        </w:rPr>
        <w:t>Opoko</w:t>
      </w:r>
      <w:proofErr w:type="spellEnd"/>
      <w:r w:rsidRPr="00461050">
        <w:rPr>
          <w:rFonts w:ascii="Times New Roman" w:hAnsi="Times New Roman"/>
          <w:sz w:val="24"/>
          <w:szCs w:val="24"/>
          <w:lang w:val="en-GB"/>
        </w:rPr>
        <w:t>, P. A.</w:t>
      </w:r>
      <w:r w:rsidR="00C910E4">
        <w:rPr>
          <w:rFonts w:ascii="Times New Roman" w:hAnsi="Times New Roman"/>
          <w:sz w:val="24"/>
          <w:szCs w:val="24"/>
          <w:lang w:val="en-GB"/>
        </w:rPr>
        <w:t>,</w:t>
      </w:r>
      <w:r w:rsidRPr="00461050">
        <w:rPr>
          <w:rFonts w:ascii="Times New Roman" w:hAnsi="Times New Roman"/>
          <w:sz w:val="24"/>
          <w:szCs w:val="24"/>
          <w:lang w:val="en-GB"/>
        </w:rPr>
        <w:t xml:space="preserve"> &amp; </w:t>
      </w:r>
      <w:proofErr w:type="spellStart"/>
      <w:r w:rsidRPr="00461050">
        <w:rPr>
          <w:rFonts w:ascii="Times New Roman" w:hAnsi="Times New Roman"/>
          <w:sz w:val="24"/>
          <w:szCs w:val="24"/>
          <w:lang w:val="en-GB"/>
        </w:rPr>
        <w:t>Aduwo</w:t>
      </w:r>
      <w:proofErr w:type="spellEnd"/>
      <w:r w:rsidRPr="00461050">
        <w:rPr>
          <w:rFonts w:ascii="Times New Roman" w:hAnsi="Times New Roman"/>
          <w:sz w:val="24"/>
          <w:szCs w:val="24"/>
          <w:lang w:val="en-GB"/>
        </w:rPr>
        <w:t xml:space="preserve">, E. B. (2015). Satisfaction with </w:t>
      </w:r>
      <w:r w:rsidR="00D503E3" w:rsidRPr="00461050">
        <w:rPr>
          <w:rFonts w:ascii="Times New Roman" w:hAnsi="Times New Roman"/>
          <w:sz w:val="24"/>
          <w:szCs w:val="24"/>
          <w:lang w:val="en-GB"/>
        </w:rPr>
        <w:t>neighbourhood environments in public housing</w:t>
      </w:r>
      <w:r w:rsidRPr="00461050">
        <w:rPr>
          <w:rFonts w:ascii="Times New Roman" w:hAnsi="Times New Roman"/>
          <w:sz w:val="24"/>
          <w:szCs w:val="24"/>
          <w:lang w:val="en-GB"/>
        </w:rPr>
        <w:t xml:space="preserve">: Evidence from Ogun State, Nigeria. </w:t>
      </w:r>
      <w:r w:rsidRPr="00461050">
        <w:rPr>
          <w:rFonts w:ascii="Times New Roman" w:hAnsi="Times New Roman"/>
          <w:i/>
          <w:sz w:val="24"/>
          <w:szCs w:val="24"/>
          <w:lang w:val="en-GB"/>
        </w:rPr>
        <w:t>Social Indicators Research,</w:t>
      </w:r>
      <w:r w:rsidRPr="00461050">
        <w:rPr>
          <w:rFonts w:ascii="Times New Roman" w:hAnsi="Times New Roman"/>
          <w:sz w:val="24"/>
          <w:szCs w:val="24"/>
          <w:lang w:val="en-GB"/>
        </w:rPr>
        <w:t xml:space="preserve"> 1-25. </w:t>
      </w:r>
      <w:r w:rsidR="00220EF7" w:rsidRPr="00FE568B">
        <w:rPr>
          <w:rFonts w:ascii="Times New Roman" w:hAnsi="Times New Roman"/>
          <w:sz w:val="24"/>
          <w:szCs w:val="24"/>
          <w:lang w:val="en-GB"/>
        </w:rPr>
        <w:t>http://dx.doi.org/10.1007/s11205-015-1188-y</w:t>
      </w:r>
    </w:p>
    <w:p w:rsid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Ishiyaku</w:t>
      </w:r>
      <w:proofErr w:type="spellEnd"/>
      <w:r w:rsidRPr="00461050">
        <w:rPr>
          <w:rFonts w:ascii="Times New Roman" w:hAnsi="Times New Roman"/>
          <w:sz w:val="24"/>
          <w:szCs w:val="24"/>
          <w:lang w:val="en-GB"/>
        </w:rPr>
        <w:t xml:space="preserve">, B., </w:t>
      </w:r>
      <w:proofErr w:type="spellStart"/>
      <w:r w:rsidRPr="00461050">
        <w:rPr>
          <w:rFonts w:ascii="Times New Roman" w:hAnsi="Times New Roman"/>
          <w:sz w:val="24"/>
          <w:szCs w:val="24"/>
          <w:lang w:val="en-GB"/>
        </w:rPr>
        <w:t>Kasim</w:t>
      </w:r>
      <w:proofErr w:type="spellEnd"/>
      <w:r w:rsidRPr="00461050">
        <w:rPr>
          <w:rFonts w:ascii="Times New Roman" w:hAnsi="Times New Roman"/>
          <w:sz w:val="24"/>
          <w:szCs w:val="24"/>
          <w:lang w:val="en-GB"/>
        </w:rPr>
        <w:t>, R.</w:t>
      </w:r>
      <w:r w:rsidR="00C910E4">
        <w:rPr>
          <w:rFonts w:ascii="Times New Roman" w:hAnsi="Times New Roman"/>
          <w:sz w:val="24"/>
          <w:szCs w:val="24"/>
          <w:lang w:val="en-GB"/>
        </w:rPr>
        <w:t>,</w:t>
      </w:r>
      <w:r w:rsidRPr="00461050">
        <w:rPr>
          <w:rFonts w:ascii="Times New Roman" w:hAnsi="Times New Roman"/>
          <w:sz w:val="24"/>
          <w:szCs w:val="24"/>
          <w:lang w:val="en-GB"/>
        </w:rPr>
        <w:t xml:space="preserve"> &amp; </w:t>
      </w:r>
      <w:proofErr w:type="spellStart"/>
      <w:r w:rsidRPr="00461050">
        <w:rPr>
          <w:rFonts w:ascii="Times New Roman" w:hAnsi="Times New Roman"/>
          <w:sz w:val="24"/>
          <w:szCs w:val="24"/>
          <w:lang w:val="en-GB"/>
        </w:rPr>
        <w:t>Harir</w:t>
      </w:r>
      <w:proofErr w:type="spellEnd"/>
      <w:r w:rsidRPr="00461050">
        <w:rPr>
          <w:rFonts w:ascii="Times New Roman" w:hAnsi="Times New Roman"/>
          <w:sz w:val="24"/>
          <w:szCs w:val="24"/>
          <w:lang w:val="en-GB"/>
        </w:rPr>
        <w:t xml:space="preserve">, A. I. (2017). Confirmatory </w:t>
      </w:r>
      <w:proofErr w:type="spellStart"/>
      <w:r w:rsidRPr="00461050">
        <w:rPr>
          <w:rFonts w:ascii="Times New Roman" w:hAnsi="Times New Roman"/>
          <w:sz w:val="24"/>
          <w:szCs w:val="24"/>
          <w:lang w:val="en-GB"/>
        </w:rPr>
        <w:t>factoral</w:t>
      </w:r>
      <w:proofErr w:type="spellEnd"/>
      <w:r w:rsidRPr="00461050">
        <w:rPr>
          <w:rFonts w:ascii="Times New Roman" w:hAnsi="Times New Roman"/>
          <w:sz w:val="24"/>
          <w:szCs w:val="24"/>
          <w:lang w:val="en-GB"/>
        </w:rPr>
        <w:t xml:space="preserve"> validity of public housing satisfaction constructs. </w:t>
      </w:r>
      <w:r w:rsidRPr="00461050">
        <w:rPr>
          <w:rFonts w:ascii="Times New Roman" w:hAnsi="Times New Roman"/>
          <w:i/>
          <w:sz w:val="24"/>
          <w:szCs w:val="24"/>
          <w:lang w:val="en-GB"/>
        </w:rPr>
        <w:t>Cogent Business &amp; Management, 4</w:t>
      </w:r>
      <w:r w:rsidRPr="00461050">
        <w:rPr>
          <w:rFonts w:ascii="Times New Roman" w:hAnsi="Times New Roman"/>
          <w:sz w:val="24"/>
          <w:szCs w:val="24"/>
          <w:lang w:val="en-GB"/>
        </w:rPr>
        <w:t xml:space="preserve">(1359458), 1-17. </w:t>
      </w:r>
      <w:r w:rsidR="00220EF7" w:rsidRPr="00FE568B">
        <w:rPr>
          <w:rFonts w:ascii="Times New Roman" w:hAnsi="Times New Roman"/>
          <w:sz w:val="24"/>
          <w:szCs w:val="24"/>
          <w:lang w:val="en-GB"/>
        </w:rPr>
        <w:t>http://dx.doi.org/10.1080/23311975.2017.1359458</w:t>
      </w:r>
    </w:p>
    <w:p w:rsidR="00461050" w:rsidRP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Jiboye</w:t>
      </w:r>
      <w:proofErr w:type="spellEnd"/>
      <w:r w:rsidRPr="00461050">
        <w:rPr>
          <w:rFonts w:ascii="Times New Roman" w:hAnsi="Times New Roman"/>
          <w:sz w:val="24"/>
          <w:szCs w:val="24"/>
          <w:lang w:val="en-GB"/>
        </w:rPr>
        <w:t xml:space="preserve">, A. D. (2009). Evaluating </w:t>
      </w:r>
      <w:r w:rsidR="00D503E3" w:rsidRPr="00461050">
        <w:rPr>
          <w:rFonts w:ascii="Times New Roman" w:hAnsi="Times New Roman"/>
          <w:sz w:val="24"/>
          <w:szCs w:val="24"/>
          <w:lang w:val="en-GB"/>
        </w:rPr>
        <w:t xml:space="preserve">tenants' satisfaction with public housing </w:t>
      </w:r>
      <w:r w:rsidRPr="00461050">
        <w:rPr>
          <w:rFonts w:ascii="Times New Roman" w:hAnsi="Times New Roman"/>
          <w:sz w:val="24"/>
          <w:szCs w:val="24"/>
          <w:lang w:val="en-GB"/>
        </w:rPr>
        <w:t xml:space="preserve">in Lagos, Nigeria. </w:t>
      </w:r>
      <w:r w:rsidRPr="00461050">
        <w:rPr>
          <w:rFonts w:ascii="Times New Roman" w:hAnsi="Times New Roman"/>
          <w:i/>
          <w:sz w:val="24"/>
          <w:szCs w:val="24"/>
          <w:lang w:val="en-GB"/>
        </w:rPr>
        <w:t>Town Planning and Architecture, 33</w:t>
      </w:r>
      <w:r w:rsidRPr="00461050">
        <w:rPr>
          <w:rFonts w:ascii="Times New Roman" w:hAnsi="Times New Roman"/>
          <w:sz w:val="24"/>
          <w:szCs w:val="24"/>
          <w:lang w:val="en-GB"/>
        </w:rPr>
        <w:t>(4), 239-247. DOI: 10.3846/13921630.2009.33.239-247.</w:t>
      </w:r>
    </w:p>
    <w:p w:rsidR="006F3C77" w:rsidRDefault="00461050" w:rsidP="006F3C77">
      <w:pPr>
        <w:widowControl w:val="0"/>
        <w:spacing w:after="0" w:line="240" w:lineRule="auto"/>
        <w:ind w:left="357" w:hanging="357"/>
        <w:jc w:val="both"/>
        <w:rPr>
          <w:rFonts w:ascii="Times New Roman" w:hAnsi="Times New Roman"/>
          <w:sz w:val="24"/>
          <w:szCs w:val="24"/>
          <w:lang w:val="en-GB"/>
        </w:rPr>
      </w:pPr>
      <w:proofErr w:type="spellStart"/>
      <w:r w:rsidRPr="00461050">
        <w:rPr>
          <w:rFonts w:ascii="Times New Roman" w:hAnsi="Times New Roman"/>
          <w:sz w:val="24"/>
          <w:szCs w:val="24"/>
          <w:lang w:val="en-GB"/>
        </w:rPr>
        <w:t>Jiboye</w:t>
      </w:r>
      <w:proofErr w:type="spellEnd"/>
      <w:r w:rsidRPr="00461050">
        <w:rPr>
          <w:rFonts w:ascii="Times New Roman" w:hAnsi="Times New Roman"/>
          <w:sz w:val="24"/>
          <w:szCs w:val="24"/>
          <w:lang w:val="en-GB"/>
        </w:rPr>
        <w:t xml:space="preserve">, A. D. (2010). The correlates of public housing satisfaction in Lagos, Nigeria. </w:t>
      </w:r>
      <w:r w:rsidRPr="00461050">
        <w:rPr>
          <w:rFonts w:ascii="Times New Roman" w:hAnsi="Times New Roman"/>
          <w:i/>
          <w:sz w:val="24"/>
          <w:szCs w:val="24"/>
          <w:lang w:val="en-GB"/>
        </w:rPr>
        <w:t>Journal of Geography and Regional Planning, 3</w:t>
      </w:r>
      <w:r w:rsidRPr="00461050">
        <w:rPr>
          <w:rFonts w:ascii="Times New Roman" w:hAnsi="Times New Roman"/>
          <w:sz w:val="24"/>
          <w:szCs w:val="24"/>
          <w:lang w:val="en-GB"/>
        </w:rPr>
        <w:t>(2), 017-028.</w:t>
      </w:r>
    </w:p>
    <w:p w:rsidR="00461050" w:rsidRDefault="00461050" w:rsidP="006F3C77">
      <w:pPr>
        <w:widowControl w:val="0"/>
        <w:spacing w:after="0" w:line="240" w:lineRule="auto"/>
        <w:ind w:left="357" w:hanging="357"/>
        <w:jc w:val="both"/>
        <w:rPr>
          <w:rFonts w:ascii="Times New Roman" w:hAnsi="Times New Roman"/>
          <w:sz w:val="24"/>
          <w:szCs w:val="24"/>
          <w:lang w:val="en-GB"/>
        </w:rPr>
      </w:pPr>
      <w:proofErr w:type="spellStart"/>
      <w:r w:rsidRPr="00461050">
        <w:rPr>
          <w:rFonts w:ascii="Times New Roman" w:hAnsi="Times New Roman"/>
          <w:sz w:val="24"/>
          <w:szCs w:val="24"/>
          <w:lang w:val="en-GB"/>
        </w:rPr>
        <w:t>Jiboye</w:t>
      </w:r>
      <w:proofErr w:type="spellEnd"/>
      <w:r w:rsidRPr="00461050">
        <w:rPr>
          <w:rFonts w:ascii="Times New Roman" w:hAnsi="Times New Roman"/>
          <w:sz w:val="24"/>
          <w:szCs w:val="24"/>
          <w:lang w:val="en-GB"/>
        </w:rPr>
        <w:t xml:space="preserve">, A. D. (2012). Post-occupancy evaluation of residential satisfaction in Lagos, Nigeria: Feedback for residential improvement. </w:t>
      </w:r>
      <w:r w:rsidRPr="00461050">
        <w:rPr>
          <w:rFonts w:ascii="Times New Roman" w:hAnsi="Times New Roman"/>
          <w:i/>
          <w:sz w:val="24"/>
          <w:szCs w:val="24"/>
          <w:lang w:val="en-GB"/>
        </w:rPr>
        <w:t>Frontiers of Architectural Research, 1</w:t>
      </w:r>
      <w:r w:rsidRPr="00461050">
        <w:rPr>
          <w:rFonts w:ascii="Times New Roman" w:hAnsi="Times New Roman"/>
          <w:sz w:val="24"/>
          <w:szCs w:val="24"/>
          <w:lang w:val="en-GB"/>
        </w:rPr>
        <w:t xml:space="preserve">, 236-243. </w:t>
      </w:r>
      <w:r w:rsidR="00220EF7" w:rsidRPr="00FE568B">
        <w:rPr>
          <w:rFonts w:ascii="Times New Roman" w:hAnsi="Times New Roman"/>
          <w:sz w:val="24"/>
          <w:szCs w:val="24"/>
          <w:lang w:val="en-GB"/>
        </w:rPr>
        <w:t>http://dx.doi.org/10.1016/j.foar.2012.08.001</w:t>
      </w:r>
    </w:p>
    <w:p w:rsidR="00461050" w:rsidRP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Jiboye</w:t>
      </w:r>
      <w:proofErr w:type="spellEnd"/>
      <w:r w:rsidRPr="00461050">
        <w:rPr>
          <w:rFonts w:ascii="Times New Roman" w:hAnsi="Times New Roman"/>
          <w:sz w:val="24"/>
          <w:szCs w:val="24"/>
          <w:lang w:val="en-GB"/>
        </w:rPr>
        <w:t xml:space="preserve">, A. D. (2014). Socioeconomic Characteristics and </w:t>
      </w:r>
      <w:r w:rsidR="00D503E3" w:rsidRPr="00461050">
        <w:rPr>
          <w:rFonts w:ascii="Times New Roman" w:hAnsi="Times New Roman"/>
          <w:sz w:val="24"/>
          <w:szCs w:val="24"/>
          <w:lang w:val="en-GB"/>
        </w:rPr>
        <w:t xml:space="preserve">satisfaction of tenants in public housing </w:t>
      </w:r>
      <w:r w:rsidRPr="00461050">
        <w:rPr>
          <w:rFonts w:ascii="Times New Roman" w:hAnsi="Times New Roman"/>
          <w:sz w:val="24"/>
          <w:szCs w:val="24"/>
          <w:lang w:val="en-GB"/>
        </w:rPr>
        <w:t xml:space="preserve">in Lagos, Nigeria. </w:t>
      </w:r>
      <w:r w:rsidRPr="00461050">
        <w:rPr>
          <w:rFonts w:ascii="Times New Roman" w:hAnsi="Times New Roman"/>
          <w:i/>
          <w:sz w:val="24"/>
          <w:szCs w:val="24"/>
          <w:lang w:val="en-GB"/>
        </w:rPr>
        <w:t>Africa Development, XXXIX</w:t>
      </w:r>
      <w:r w:rsidRPr="00461050">
        <w:rPr>
          <w:rFonts w:ascii="Times New Roman" w:hAnsi="Times New Roman"/>
          <w:sz w:val="24"/>
          <w:szCs w:val="24"/>
          <w:lang w:val="en-GB"/>
        </w:rPr>
        <w:t>(3), 31-50.</w:t>
      </w:r>
    </w:p>
    <w:p w:rsidR="00461050" w:rsidRP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Lekjep</w:t>
      </w:r>
      <w:proofErr w:type="spellEnd"/>
      <w:r w:rsidRPr="00461050">
        <w:rPr>
          <w:rFonts w:ascii="Times New Roman" w:hAnsi="Times New Roman"/>
          <w:sz w:val="24"/>
          <w:szCs w:val="24"/>
          <w:lang w:val="en-GB"/>
        </w:rPr>
        <w:t xml:space="preserve">, R. S. (2017). </w:t>
      </w:r>
      <w:r w:rsidRPr="00461050">
        <w:rPr>
          <w:rFonts w:ascii="Times New Roman" w:hAnsi="Times New Roman"/>
          <w:i/>
          <w:sz w:val="24"/>
          <w:szCs w:val="24"/>
          <w:lang w:val="en-GB"/>
        </w:rPr>
        <w:t xml:space="preserve">User </w:t>
      </w:r>
      <w:r w:rsidR="00D503E3" w:rsidRPr="00461050">
        <w:rPr>
          <w:rFonts w:ascii="Times New Roman" w:hAnsi="Times New Roman"/>
          <w:i/>
          <w:sz w:val="24"/>
          <w:szCs w:val="24"/>
          <w:lang w:val="en-GB"/>
        </w:rPr>
        <w:t xml:space="preserve">satisfaction with architectural design of spaces in residential </w:t>
      </w:r>
      <w:r w:rsidRPr="00461050">
        <w:rPr>
          <w:rFonts w:ascii="Times New Roman" w:hAnsi="Times New Roman"/>
          <w:i/>
          <w:sz w:val="24"/>
          <w:szCs w:val="24"/>
          <w:lang w:val="en-GB"/>
        </w:rPr>
        <w:t xml:space="preserve">buildings: Insights from </w:t>
      </w:r>
      <w:r w:rsidR="00D503E3" w:rsidRPr="00461050">
        <w:rPr>
          <w:rFonts w:ascii="Times New Roman" w:hAnsi="Times New Roman"/>
          <w:i/>
          <w:sz w:val="24"/>
          <w:szCs w:val="24"/>
          <w:lang w:val="en-GB"/>
        </w:rPr>
        <w:t xml:space="preserve">low-cost housing in </w:t>
      </w:r>
      <w:r w:rsidRPr="00461050">
        <w:rPr>
          <w:rFonts w:ascii="Times New Roman" w:hAnsi="Times New Roman"/>
          <w:i/>
          <w:sz w:val="24"/>
          <w:szCs w:val="24"/>
          <w:lang w:val="en-GB"/>
        </w:rPr>
        <w:t>Plateau State, Nigeria</w:t>
      </w:r>
      <w:r w:rsidRPr="00461050">
        <w:rPr>
          <w:rFonts w:ascii="Times New Roman" w:hAnsi="Times New Roman"/>
          <w:sz w:val="24"/>
          <w:szCs w:val="24"/>
          <w:lang w:val="en-GB"/>
        </w:rPr>
        <w:t>. Unpublished Thesis (PhD), Department of Architecture. Jos: University of Jos.</w:t>
      </w:r>
    </w:p>
    <w:p w:rsid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lastRenderedPageBreak/>
        <w:t>Maina</w:t>
      </w:r>
      <w:proofErr w:type="spellEnd"/>
      <w:r w:rsidRPr="00461050">
        <w:rPr>
          <w:rFonts w:ascii="Times New Roman" w:hAnsi="Times New Roman"/>
          <w:sz w:val="24"/>
          <w:szCs w:val="24"/>
          <w:lang w:val="en-GB"/>
        </w:rPr>
        <w:t xml:space="preserve">, J. J. (2013). Uncomfortable Prototypes: Rethinking socio-cultural factors for the design of public housing in </w:t>
      </w:r>
      <w:proofErr w:type="spellStart"/>
      <w:r w:rsidRPr="00461050">
        <w:rPr>
          <w:rFonts w:ascii="Times New Roman" w:hAnsi="Times New Roman"/>
          <w:sz w:val="24"/>
          <w:szCs w:val="24"/>
          <w:lang w:val="en-GB"/>
        </w:rPr>
        <w:t>Billiri</w:t>
      </w:r>
      <w:proofErr w:type="spellEnd"/>
      <w:r w:rsidRPr="00461050">
        <w:rPr>
          <w:rFonts w:ascii="Times New Roman" w:hAnsi="Times New Roman"/>
          <w:sz w:val="24"/>
          <w:szCs w:val="24"/>
          <w:lang w:val="en-GB"/>
        </w:rPr>
        <w:t xml:space="preserve">, North East Nigeria. </w:t>
      </w:r>
      <w:r w:rsidRPr="00461050">
        <w:rPr>
          <w:rFonts w:ascii="Times New Roman" w:hAnsi="Times New Roman"/>
          <w:i/>
          <w:sz w:val="24"/>
          <w:szCs w:val="24"/>
          <w:lang w:val="en-GB"/>
        </w:rPr>
        <w:t>Frontiers of Architectural Research, 2</w:t>
      </w:r>
      <w:r w:rsidRPr="00461050">
        <w:rPr>
          <w:rFonts w:ascii="Times New Roman" w:hAnsi="Times New Roman"/>
          <w:sz w:val="24"/>
          <w:szCs w:val="24"/>
          <w:lang w:val="en-GB"/>
        </w:rPr>
        <w:t>, 310-321.</w:t>
      </w:r>
      <w:r w:rsidR="00220EF7" w:rsidRPr="00220EF7">
        <w:rPr>
          <w:lang w:val="en-GB"/>
        </w:rPr>
        <w:t xml:space="preserve"> </w:t>
      </w:r>
      <w:r w:rsidR="00220EF7" w:rsidRPr="00FE568B">
        <w:rPr>
          <w:rFonts w:ascii="Times New Roman" w:hAnsi="Times New Roman"/>
          <w:sz w:val="24"/>
          <w:szCs w:val="24"/>
          <w:lang w:val="en-GB"/>
        </w:rPr>
        <w:t>http://dx.doi.org/10.1016/j.foar.2013.04.004</w:t>
      </w:r>
    </w:p>
    <w:p w:rsidR="00461050" w:rsidRP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Maina</w:t>
      </w:r>
      <w:proofErr w:type="spellEnd"/>
      <w:r w:rsidRPr="00461050">
        <w:rPr>
          <w:rFonts w:ascii="Times New Roman" w:hAnsi="Times New Roman"/>
          <w:sz w:val="24"/>
          <w:szCs w:val="24"/>
          <w:lang w:val="en-GB"/>
        </w:rPr>
        <w:t xml:space="preserve">, J. J., </w:t>
      </w:r>
      <w:proofErr w:type="spellStart"/>
      <w:r w:rsidRPr="00461050">
        <w:rPr>
          <w:rFonts w:ascii="Times New Roman" w:hAnsi="Times New Roman"/>
          <w:sz w:val="24"/>
          <w:szCs w:val="24"/>
          <w:lang w:val="en-GB"/>
        </w:rPr>
        <w:t>Zarafi</w:t>
      </w:r>
      <w:proofErr w:type="spellEnd"/>
      <w:r w:rsidRPr="00461050">
        <w:rPr>
          <w:rFonts w:ascii="Times New Roman" w:hAnsi="Times New Roman"/>
          <w:sz w:val="24"/>
          <w:szCs w:val="24"/>
          <w:lang w:val="en-GB"/>
        </w:rPr>
        <w:t>, I. G.</w:t>
      </w:r>
      <w:r w:rsidR="00C910E4">
        <w:rPr>
          <w:rFonts w:ascii="Times New Roman" w:hAnsi="Times New Roman"/>
          <w:sz w:val="24"/>
          <w:szCs w:val="24"/>
          <w:lang w:val="en-GB"/>
        </w:rPr>
        <w:t>,</w:t>
      </w:r>
      <w:r w:rsidRPr="00461050">
        <w:rPr>
          <w:rFonts w:ascii="Times New Roman" w:hAnsi="Times New Roman"/>
          <w:sz w:val="24"/>
          <w:szCs w:val="24"/>
          <w:lang w:val="en-GB"/>
        </w:rPr>
        <w:t xml:space="preserve"> &amp; Stanley, A. M. (2018). Unsatisfactory </w:t>
      </w:r>
      <w:r w:rsidR="00C910E4">
        <w:rPr>
          <w:rFonts w:ascii="Times New Roman" w:hAnsi="Times New Roman"/>
          <w:sz w:val="24"/>
          <w:szCs w:val="24"/>
          <w:lang w:val="en-GB"/>
        </w:rPr>
        <w:t>a</w:t>
      </w:r>
      <w:r w:rsidRPr="00461050">
        <w:rPr>
          <w:rFonts w:ascii="Times New Roman" w:hAnsi="Times New Roman"/>
          <w:sz w:val="24"/>
          <w:szCs w:val="24"/>
          <w:lang w:val="en-GB"/>
        </w:rPr>
        <w:t xml:space="preserve">menities: Rethinking </w:t>
      </w:r>
      <w:r w:rsidR="00C910E4">
        <w:rPr>
          <w:rFonts w:ascii="Times New Roman" w:hAnsi="Times New Roman"/>
          <w:sz w:val="24"/>
          <w:szCs w:val="24"/>
          <w:lang w:val="en-GB"/>
        </w:rPr>
        <w:t>m</w:t>
      </w:r>
      <w:r w:rsidRPr="00461050">
        <w:rPr>
          <w:rFonts w:ascii="Times New Roman" w:hAnsi="Times New Roman"/>
          <w:sz w:val="24"/>
          <w:szCs w:val="24"/>
          <w:lang w:val="en-GB"/>
        </w:rPr>
        <w:t xml:space="preserve">anagement of University Staff Housing of </w:t>
      </w:r>
      <w:r w:rsidR="00C910E4" w:rsidRPr="00461050">
        <w:rPr>
          <w:rFonts w:ascii="Times New Roman" w:hAnsi="Times New Roman"/>
          <w:sz w:val="24"/>
          <w:szCs w:val="24"/>
          <w:lang w:val="en-GB"/>
        </w:rPr>
        <w:t xml:space="preserve">public universities </w:t>
      </w:r>
      <w:r w:rsidRPr="00461050">
        <w:rPr>
          <w:rFonts w:ascii="Times New Roman" w:hAnsi="Times New Roman"/>
          <w:sz w:val="24"/>
          <w:szCs w:val="24"/>
          <w:lang w:val="en-GB"/>
        </w:rPr>
        <w:t xml:space="preserve">in Nigeria. </w:t>
      </w:r>
      <w:proofErr w:type="spellStart"/>
      <w:r w:rsidRPr="00461050">
        <w:rPr>
          <w:rFonts w:ascii="Times New Roman" w:hAnsi="Times New Roman"/>
          <w:i/>
          <w:sz w:val="24"/>
          <w:szCs w:val="24"/>
          <w:lang w:val="en-GB"/>
        </w:rPr>
        <w:t>Savanna</w:t>
      </w:r>
      <w:proofErr w:type="spellEnd"/>
      <w:r w:rsidRPr="00461050">
        <w:rPr>
          <w:rFonts w:ascii="Times New Roman" w:hAnsi="Times New Roman"/>
          <w:i/>
          <w:sz w:val="24"/>
          <w:szCs w:val="24"/>
          <w:lang w:val="en-GB"/>
        </w:rPr>
        <w:t>, 24</w:t>
      </w:r>
      <w:r w:rsidRPr="00461050">
        <w:rPr>
          <w:rFonts w:ascii="Times New Roman" w:hAnsi="Times New Roman"/>
          <w:sz w:val="24"/>
          <w:szCs w:val="24"/>
          <w:lang w:val="en-GB"/>
        </w:rPr>
        <w:t>(3), 62-71.</w:t>
      </w:r>
      <w:r w:rsidR="00F961DD">
        <w:rPr>
          <w:rFonts w:ascii="Times New Roman" w:hAnsi="Times New Roman"/>
          <w:sz w:val="24"/>
          <w:szCs w:val="24"/>
          <w:lang w:val="en-GB"/>
        </w:rPr>
        <w:t xml:space="preserve"> </w:t>
      </w:r>
      <w:r w:rsidR="00F961DD" w:rsidRPr="00FE568B">
        <w:rPr>
          <w:rFonts w:ascii="Times New Roman" w:hAnsi="Times New Roman"/>
          <w:sz w:val="24"/>
          <w:szCs w:val="24"/>
        </w:rPr>
        <w:t>https://journal.abu.edu.ng/savannah/index.php/sav/article/view/90/88</w:t>
      </w:r>
    </w:p>
    <w:p w:rsid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Makinde</w:t>
      </w:r>
      <w:proofErr w:type="spellEnd"/>
      <w:r w:rsidRPr="00461050">
        <w:rPr>
          <w:rFonts w:ascii="Times New Roman" w:hAnsi="Times New Roman"/>
          <w:sz w:val="24"/>
          <w:szCs w:val="24"/>
          <w:lang w:val="en-GB"/>
        </w:rPr>
        <w:t xml:space="preserve">, O. O. (2015). Influences of Socio-cultural experiences on residents' satisfaction in </w:t>
      </w:r>
      <w:proofErr w:type="spellStart"/>
      <w:r w:rsidRPr="00461050">
        <w:rPr>
          <w:rFonts w:ascii="Times New Roman" w:hAnsi="Times New Roman"/>
          <w:sz w:val="24"/>
          <w:szCs w:val="24"/>
          <w:lang w:val="en-GB"/>
        </w:rPr>
        <w:t>Ikorodu</w:t>
      </w:r>
      <w:proofErr w:type="spellEnd"/>
      <w:r w:rsidRPr="00461050">
        <w:rPr>
          <w:rFonts w:ascii="Times New Roman" w:hAnsi="Times New Roman"/>
          <w:sz w:val="24"/>
          <w:szCs w:val="24"/>
          <w:lang w:val="en-GB"/>
        </w:rPr>
        <w:t xml:space="preserve"> low-cost housing estate, Lagos State. </w:t>
      </w:r>
      <w:r w:rsidRPr="00461050">
        <w:rPr>
          <w:rFonts w:ascii="Times New Roman" w:hAnsi="Times New Roman"/>
          <w:i/>
          <w:sz w:val="24"/>
          <w:szCs w:val="24"/>
          <w:lang w:val="en-GB"/>
        </w:rPr>
        <w:t>Environ. Dev. Sustain, 2015</w:t>
      </w:r>
      <w:r w:rsidRPr="00461050">
        <w:rPr>
          <w:rFonts w:ascii="Times New Roman" w:hAnsi="Times New Roman"/>
          <w:sz w:val="24"/>
          <w:szCs w:val="24"/>
          <w:lang w:val="en-GB"/>
        </w:rPr>
        <w:t>(7), 173-198</w:t>
      </w:r>
      <w:r w:rsidR="005624BA">
        <w:rPr>
          <w:rFonts w:ascii="Times New Roman" w:hAnsi="Times New Roman"/>
          <w:sz w:val="24"/>
          <w:szCs w:val="24"/>
          <w:lang w:val="en-GB"/>
        </w:rPr>
        <w:t>.</w:t>
      </w:r>
      <w:r w:rsidRPr="00461050">
        <w:rPr>
          <w:rFonts w:ascii="Times New Roman" w:hAnsi="Times New Roman"/>
          <w:sz w:val="24"/>
          <w:szCs w:val="24"/>
          <w:lang w:val="en-GB"/>
        </w:rPr>
        <w:t xml:space="preserve"> </w:t>
      </w:r>
      <w:r w:rsidR="00220EF7" w:rsidRPr="00FE568B">
        <w:rPr>
          <w:rFonts w:ascii="Times New Roman" w:hAnsi="Times New Roman"/>
          <w:sz w:val="24"/>
          <w:szCs w:val="24"/>
          <w:lang w:val="en-GB"/>
        </w:rPr>
        <w:t>http://dx.doi.org/10.1007/s10668-014-9545-6</w:t>
      </w:r>
    </w:p>
    <w:p w:rsid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Mohit</w:t>
      </w:r>
      <w:proofErr w:type="spellEnd"/>
      <w:r w:rsidRPr="00461050">
        <w:rPr>
          <w:rFonts w:ascii="Times New Roman" w:hAnsi="Times New Roman"/>
          <w:sz w:val="24"/>
          <w:szCs w:val="24"/>
          <w:lang w:val="en-GB"/>
        </w:rPr>
        <w:t>, M. A.</w:t>
      </w:r>
      <w:r w:rsidR="00C910E4">
        <w:rPr>
          <w:rFonts w:ascii="Times New Roman" w:hAnsi="Times New Roman"/>
          <w:sz w:val="24"/>
          <w:szCs w:val="24"/>
          <w:lang w:val="en-GB"/>
        </w:rPr>
        <w:t>,</w:t>
      </w:r>
      <w:r w:rsidRPr="00461050">
        <w:rPr>
          <w:rFonts w:ascii="Times New Roman" w:hAnsi="Times New Roman"/>
          <w:sz w:val="24"/>
          <w:szCs w:val="24"/>
          <w:lang w:val="en-GB"/>
        </w:rPr>
        <w:t xml:space="preserve"> &amp; Azim, M. (2012). Assessment of Residential Satisfaction with Public Housing in </w:t>
      </w:r>
      <w:proofErr w:type="spellStart"/>
      <w:r w:rsidRPr="00461050">
        <w:rPr>
          <w:rFonts w:ascii="Times New Roman" w:hAnsi="Times New Roman"/>
          <w:sz w:val="24"/>
          <w:szCs w:val="24"/>
          <w:lang w:val="en-GB"/>
        </w:rPr>
        <w:t>Hulhumale</w:t>
      </w:r>
      <w:proofErr w:type="spellEnd"/>
      <w:r w:rsidRPr="00461050">
        <w:rPr>
          <w:rFonts w:ascii="Times New Roman" w:hAnsi="Times New Roman"/>
          <w:sz w:val="24"/>
          <w:szCs w:val="24"/>
          <w:lang w:val="en-GB"/>
        </w:rPr>
        <w:t xml:space="preserve">', Maldives. </w:t>
      </w:r>
      <w:r w:rsidRPr="00461050">
        <w:rPr>
          <w:rFonts w:ascii="Times New Roman" w:hAnsi="Times New Roman"/>
          <w:i/>
          <w:sz w:val="24"/>
          <w:szCs w:val="24"/>
          <w:lang w:val="en-GB"/>
        </w:rPr>
        <w:t xml:space="preserve">Procedia Social and </w:t>
      </w:r>
      <w:proofErr w:type="spellStart"/>
      <w:r w:rsidRPr="00461050">
        <w:rPr>
          <w:rFonts w:ascii="Times New Roman" w:hAnsi="Times New Roman"/>
          <w:i/>
          <w:sz w:val="24"/>
          <w:szCs w:val="24"/>
          <w:lang w:val="en-GB"/>
        </w:rPr>
        <w:t>Behavioral</w:t>
      </w:r>
      <w:proofErr w:type="spellEnd"/>
      <w:r w:rsidRPr="00461050">
        <w:rPr>
          <w:rFonts w:ascii="Times New Roman" w:hAnsi="Times New Roman"/>
          <w:i/>
          <w:sz w:val="24"/>
          <w:szCs w:val="24"/>
          <w:lang w:val="en-GB"/>
        </w:rPr>
        <w:t xml:space="preserve"> Sciences, 50</w:t>
      </w:r>
      <w:r w:rsidRPr="00461050">
        <w:rPr>
          <w:rFonts w:ascii="Times New Roman" w:hAnsi="Times New Roman"/>
          <w:sz w:val="24"/>
          <w:szCs w:val="24"/>
          <w:lang w:val="en-GB"/>
        </w:rPr>
        <w:t xml:space="preserve">(2012), 756-770. </w:t>
      </w:r>
      <w:r w:rsidR="00220EF7" w:rsidRPr="00FE568B">
        <w:rPr>
          <w:rFonts w:ascii="Times New Roman" w:hAnsi="Times New Roman"/>
          <w:sz w:val="24"/>
          <w:szCs w:val="24"/>
          <w:lang w:val="en-GB"/>
        </w:rPr>
        <w:t>http://dx.doi.org/10.1016/j.sbspro.2012.08.078</w:t>
      </w:r>
    </w:p>
    <w:p w:rsid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Mohit</w:t>
      </w:r>
      <w:proofErr w:type="spellEnd"/>
      <w:r w:rsidRPr="00461050">
        <w:rPr>
          <w:rFonts w:ascii="Times New Roman" w:hAnsi="Times New Roman"/>
          <w:sz w:val="24"/>
          <w:szCs w:val="24"/>
          <w:lang w:val="en-GB"/>
        </w:rPr>
        <w:t>, M. A., Ibrahim, M.</w:t>
      </w:r>
      <w:r w:rsidR="00C910E4">
        <w:rPr>
          <w:rFonts w:ascii="Times New Roman" w:hAnsi="Times New Roman"/>
          <w:sz w:val="24"/>
          <w:szCs w:val="24"/>
          <w:lang w:val="en-GB"/>
        </w:rPr>
        <w:t>,</w:t>
      </w:r>
      <w:r w:rsidRPr="00461050">
        <w:rPr>
          <w:rFonts w:ascii="Times New Roman" w:hAnsi="Times New Roman"/>
          <w:sz w:val="24"/>
          <w:szCs w:val="24"/>
          <w:lang w:val="en-GB"/>
        </w:rPr>
        <w:t xml:space="preserve"> &amp; Rashid, Y. R. (2010). Assessment of residential satisfaction in newly designed public low-cost housing in Kuala Lumpur, Malaysia. </w:t>
      </w:r>
      <w:r w:rsidRPr="00461050">
        <w:rPr>
          <w:rFonts w:ascii="Times New Roman" w:hAnsi="Times New Roman"/>
          <w:i/>
          <w:sz w:val="24"/>
          <w:szCs w:val="24"/>
          <w:lang w:val="en-GB"/>
        </w:rPr>
        <w:t>Habitat International, 34</w:t>
      </w:r>
      <w:r w:rsidRPr="00461050">
        <w:rPr>
          <w:rFonts w:ascii="Times New Roman" w:hAnsi="Times New Roman"/>
          <w:sz w:val="24"/>
          <w:szCs w:val="24"/>
          <w:lang w:val="en-GB"/>
        </w:rPr>
        <w:t xml:space="preserve">, 18-27. </w:t>
      </w:r>
      <w:r w:rsidR="00220EF7" w:rsidRPr="00FE568B">
        <w:rPr>
          <w:rFonts w:ascii="Times New Roman" w:hAnsi="Times New Roman"/>
          <w:sz w:val="24"/>
          <w:szCs w:val="24"/>
          <w:lang w:val="en-GB"/>
        </w:rPr>
        <w:t>http://dx.doi.org/10.1016/j.habitatint.2009.04.002</w:t>
      </w:r>
    </w:p>
    <w:p w:rsidR="00461050" w:rsidRP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Morakinyo</w:t>
      </w:r>
      <w:proofErr w:type="spellEnd"/>
      <w:r w:rsidRPr="00461050">
        <w:rPr>
          <w:rFonts w:ascii="Times New Roman" w:hAnsi="Times New Roman"/>
          <w:sz w:val="24"/>
          <w:szCs w:val="24"/>
          <w:lang w:val="en-GB"/>
        </w:rPr>
        <w:t xml:space="preserve">, K. O., </w:t>
      </w:r>
      <w:proofErr w:type="spellStart"/>
      <w:r w:rsidRPr="00461050">
        <w:rPr>
          <w:rFonts w:ascii="Times New Roman" w:hAnsi="Times New Roman"/>
          <w:sz w:val="24"/>
          <w:szCs w:val="24"/>
          <w:lang w:val="en-GB"/>
        </w:rPr>
        <w:t>Ilesanmi</w:t>
      </w:r>
      <w:proofErr w:type="spellEnd"/>
      <w:r w:rsidRPr="00461050">
        <w:rPr>
          <w:rFonts w:ascii="Times New Roman" w:hAnsi="Times New Roman"/>
          <w:sz w:val="24"/>
          <w:szCs w:val="24"/>
          <w:lang w:val="en-GB"/>
        </w:rPr>
        <w:t>, A. O.</w:t>
      </w:r>
      <w:r w:rsidR="00C910E4">
        <w:rPr>
          <w:rFonts w:ascii="Times New Roman" w:hAnsi="Times New Roman"/>
          <w:sz w:val="24"/>
          <w:szCs w:val="24"/>
          <w:lang w:val="en-GB"/>
        </w:rPr>
        <w:t>,</w:t>
      </w:r>
      <w:r w:rsidRPr="00461050">
        <w:rPr>
          <w:rFonts w:ascii="Times New Roman" w:hAnsi="Times New Roman"/>
          <w:sz w:val="24"/>
          <w:szCs w:val="24"/>
          <w:lang w:val="en-GB"/>
        </w:rPr>
        <w:t xml:space="preserve"> &amp; </w:t>
      </w:r>
      <w:proofErr w:type="spellStart"/>
      <w:r w:rsidRPr="00461050">
        <w:rPr>
          <w:rFonts w:ascii="Times New Roman" w:hAnsi="Times New Roman"/>
          <w:sz w:val="24"/>
          <w:szCs w:val="24"/>
          <w:lang w:val="en-GB"/>
        </w:rPr>
        <w:t>Asa</w:t>
      </w:r>
      <w:proofErr w:type="spellEnd"/>
      <w:r w:rsidRPr="00461050">
        <w:rPr>
          <w:rFonts w:ascii="Times New Roman" w:hAnsi="Times New Roman"/>
          <w:sz w:val="24"/>
          <w:szCs w:val="24"/>
          <w:lang w:val="en-GB"/>
        </w:rPr>
        <w:t xml:space="preserve">, O. A. (2018). Patterns of </w:t>
      </w:r>
      <w:r w:rsidR="006F3C77" w:rsidRPr="00461050">
        <w:rPr>
          <w:rFonts w:ascii="Times New Roman" w:hAnsi="Times New Roman"/>
          <w:sz w:val="24"/>
          <w:szCs w:val="24"/>
          <w:lang w:val="en-GB"/>
        </w:rPr>
        <w:t xml:space="preserve">user-initiated transformations of dwelling units in selected public housing estates </w:t>
      </w:r>
      <w:r w:rsidRPr="00461050">
        <w:rPr>
          <w:rFonts w:ascii="Times New Roman" w:hAnsi="Times New Roman"/>
          <w:sz w:val="24"/>
          <w:szCs w:val="24"/>
          <w:lang w:val="en-GB"/>
        </w:rPr>
        <w:t xml:space="preserve">in Lagos, Nigeria. </w:t>
      </w:r>
      <w:r w:rsidRPr="00461050">
        <w:rPr>
          <w:rFonts w:ascii="Times New Roman" w:hAnsi="Times New Roman"/>
          <w:i/>
          <w:sz w:val="24"/>
          <w:szCs w:val="24"/>
          <w:lang w:val="en-GB"/>
        </w:rPr>
        <w:t>Civil and Environmental Research</w:t>
      </w:r>
      <w:r w:rsidRPr="006F3C77">
        <w:rPr>
          <w:rFonts w:ascii="Times New Roman" w:hAnsi="Times New Roman"/>
          <w:sz w:val="24"/>
          <w:szCs w:val="24"/>
          <w:lang w:val="en-GB"/>
        </w:rPr>
        <w:t>,</w:t>
      </w:r>
      <w:r w:rsidRPr="00461050">
        <w:rPr>
          <w:rFonts w:ascii="Times New Roman" w:hAnsi="Times New Roman"/>
          <w:i/>
          <w:sz w:val="24"/>
          <w:szCs w:val="24"/>
          <w:lang w:val="en-GB"/>
        </w:rPr>
        <w:t xml:space="preserve"> 10</w:t>
      </w:r>
      <w:r w:rsidRPr="00461050">
        <w:rPr>
          <w:rFonts w:ascii="Times New Roman" w:hAnsi="Times New Roman"/>
          <w:sz w:val="24"/>
          <w:szCs w:val="24"/>
          <w:lang w:val="en-GB"/>
        </w:rPr>
        <w:t>(6), 132-141.</w:t>
      </w:r>
    </w:p>
    <w:p w:rsidR="00461050" w:rsidRPr="00461050" w:rsidRDefault="00461050" w:rsidP="00B97F9C">
      <w:pPr>
        <w:spacing w:after="0" w:line="240" w:lineRule="auto"/>
        <w:ind w:left="360" w:hanging="360"/>
        <w:jc w:val="both"/>
        <w:rPr>
          <w:rFonts w:ascii="Times New Roman" w:hAnsi="Times New Roman"/>
          <w:sz w:val="24"/>
          <w:szCs w:val="24"/>
          <w:lang w:val="en-GB"/>
        </w:rPr>
      </w:pPr>
      <w:r w:rsidRPr="00461050">
        <w:rPr>
          <w:rFonts w:ascii="Times New Roman" w:hAnsi="Times New Roman"/>
          <w:sz w:val="24"/>
          <w:szCs w:val="24"/>
          <w:lang w:val="en-GB"/>
        </w:rPr>
        <w:t>Morris, E. W.</w:t>
      </w:r>
      <w:r w:rsidR="00C910E4">
        <w:rPr>
          <w:rFonts w:ascii="Times New Roman" w:hAnsi="Times New Roman"/>
          <w:sz w:val="24"/>
          <w:szCs w:val="24"/>
          <w:lang w:val="en-GB"/>
        </w:rPr>
        <w:t>,</w:t>
      </w:r>
      <w:r w:rsidRPr="00461050">
        <w:rPr>
          <w:rFonts w:ascii="Times New Roman" w:hAnsi="Times New Roman"/>
          <w:sz w:val="24"/>
          <w:szCs w:val="24"/>
          <w:lang w:val="en-GB"/>
        </w:rPr>
        <w:t xml:space="preserve"> &amp; Winter, M. (1975). A Theory of Family Housing Adjustment.</w:t>
      </w:r>
      <w:r w:rsidRPr="00461050">
        <w:rPr>
          <w:rFonts w:ascii="Times New Roman" w:hAnsi="Times New Roman"/>
          <w:i/>
          <w:sz w:val="24"/>
          <w:szCs w:val="24"/>
          <w:lang w:val="en-GB"/>
        </w:rPr>
        <w:t xml:space="preserve"> Journal of Marriage and Family, 37</w:t>
      </w:r>
      <w:r w:rsidRPr="00461050">
        <w:rPr>
          <w:rFonts w:ascii="Times New Roman" w:hAnsi="Times New Roman"/>
          <w:sz w:val="24"/>
          <w:szCs w:val="24"/>
          <w:lang w:val="en-GB"/>
        </w:rPr>
        <w:t>(1), 79-88.</w:t>
      </w:r>
    </w:p>
    <w:p w:rsid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Muoghalu</w:t>
      </w:r>
      <w:proofErr w:type="spellEnd"/>
      <w:r w:rsidRPr="00461050">
        <w:rPr>
          <w:rFonts w:ascii="Times New Roman" w:hAnsi="Times New Roman"/>
          <w:sz w:val="24"/>
          <w:szCs w:val="24"/>
          <w:lang w:val="en-GB"/>
        </w:rPr>
        <w:t xml:space="preserve">, L. N. (1984). Subjective </w:t>
      </w:r>
      <w:r w:rsidR="006F3C77" w:rsidRPr="00461050">
        <w:rPr>
          <w:rFonts w:ascii="Times New Roman" w:hAnsi="Times New Roman"/>
          <w:sz w:val="24"/>
          <w:szCs w:val="24"/>
          <w:lang w:val="en-GB"/>
        </w:rPr>
        <w:t>indices of housing satisfaction as social indicators for planning public housing in</w:t>
      </w:r>
      <w:r w:rsidRPr="00461050">
        <w:rPr>
          <w:rFonts w:ascii="Times New Roman" w:hAnsi="Times New Roman"/>
          <w:sz w:val="24"/>
          <w:szCs w:val="24"/>
          <w:lang w:val="en-GB"/>
        </w:rPr>
        <w:t xml:space="preserve"> Nigeria. </w:t>
      </w:r>
      <w:r w:rsidRPr="00461050">
        <w:rPr>
          <w:rFonts w:ascii="Times New Roman" w:hAnsi="Times New Roman"/>
          <w:i/>
          <w:sz w:val="24"/>
          <w:szCs w:val="24"/>
          <w:lang w:val="en-GB"/>
        </w:rPr>
        <w:t>Social Indicators Research</w:t>
      </w:r>
      <w:r w:rsidRPr="006F3C77">
        <w:rPr>
          <w:rFonts w:ascii="Times New Roman" w:hAnsi="Times New Roman"/>
          <w:sz w:val="24"/>
          <w:szCs w:val="24"/>
          <w:lang w:val="en-GB"/>
        </w:rPr>
        <w:t>,</w:t>
      </w:r>
      <w:r w:rsidRPr="00461050">
        <w:rPr>
          <w:rFonts w:ascii="Times New Roman" w:hAnsi="Times New Roman"/>
          <w:i/>
          <w:sz w:val="24"/>
          <w:szCs w:val="24"/>
          <w:lang w:val="en-GB"/>
        </w:rPr>
        <w:t xml:space="preserve"> 15</w:t>
      </w:r>
      <w:r w:rsidRPr="00461050">
        <w:rPr>
          <w:rFonts w:ascii="Times New Roman" w:hAnsi="Times New Roman"/>
          <w:sz w:val="24"/>
          <w:szCs w:val="24"/>
          <w:lang w:val="en-GB"/>
        </w:rPr>
        <w:t xml:space="preserve">(1984), 145-164. </w:t>
      </w:r>
      <w:r w:rsidR="0046274A" w:rsidRPr="00FE568B">
        <w:rPr>
          <w:rFonts w:ascii="Times New Roman" w:hAnsi="Times New Roman"/>
          <w:sz w:val="24"/>
          <w:szCs w:val="24"/>
          <w:lang w:val="en-GB"/>
        </w:rPr>
        <w:t>http://dx.doi.org/10.1007/BF00426285</w:t>
      </w:r>
    </w:p>
    <w:p w:rsidR="00461050" w:rsidRP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Ochepa</w:t>
      </w:r>
      <w:proofErr w:type="spellEnd"/>
      <w:r w:rsidRPr="00461050">
        <w:rPr>
          <w:rFonts w:ascii="Times New Roman" w:hAnsi="Times New Roman"/>
          <w:sz w:val="24"/>
          <w:szCs w:val="24"/>
          <w:lang w:val="en-GB"/>
        </w:rPr>
        <w:t xml:space="preserve">, Y. S. (2018). Assessment of User Satisfaction as a basis for </w:t>
      </w:r>
      <w:r w:rsidR="006F3C77" w:rsidRPr="00461050">
        <w:rPr>
          <w:rFonts w:ascii="Times New Roman" w:hAnsi="Times New Roman"/>
          <w:sz w:val="24"/>
          <w:szCs w:val="24"/>
          <w:lang w:val="en-GB"/>
        </w:rPr>
        <w:t>sustainable housing provision</w:t>
      </w:r>
      <w:r w:rsidRPr="00461050">
        <w:rPr>
          <w:rFonts w:ascii="Times New Roman" w:hAnsi="Times New Roman"/>
          <w:sz w:val="24"/>
          <w:szCs w:val="24"/>
          <w:lang w:val="en-GB"/>
        </w:rPr>
        <w:t xml:space="preserve"> in Nigeria. In A. M. </w:t>
      </w:r>
      <w:proofErr w:type="spellStart"/>
      <w:r w:rsidRPr="00461050">
        <w:rPr>
          <w:rFonts w:ascii="Times New Roman" w:hAnsi="Times New Roman"/>
          <w:sz w:val="24"/>
          <w:szCs w:val="24"/>
          <w:lang w:val="en-GB"/>
        </w:rPr>
        <w:t>Junaid</w:t>
      </w:r>
      <w:proofErr w:type="spellEnd"/>
      <w:r w:rsidRPr="00461050">
        <w:rPr>
          <w:rFonts w:ascii="Times New Roman" w:hAnsi="Times New Roman"/>
          <w:sz w:val="24"/>
          <w:szCs w:val="24"/>
          <w:lang w:val="en-GB"/>
        </w:rPr>
        <w:t xml:space="preserve">, O. F. </w:t>
      </w:r>
      <w:proofErr w:type="spellStart"/>
      <w:r w:rsidRPr="00461050">
        <w:rPr>
          <w:rFonts w:ascii="Times New Roman" w:hAnsi="Times New Roman"/>
          <w:sz w:val="24"/>
          <w:szCs w:val="24"/>
          <w:lang w:val="en-GB"/>
        </w:rPr>
        <w:t>Adedayo</w:t>
      </w:r>
      <w:proofErr w:type="spellEnd"/>
      <w:r w:rsidRPr="00461050">
        <w:rPr>
          <w:rFonts w:ascii="Times New Roman" w:hAnsi="Times New Roman"/>
          <w:sz w:val="24"/>
          <w:szCs w:val="24"/>
          <w:lang w:val="en-GB"/>
        </w:rPr>
        <w:t xml:space="preserve">, R. A. </w:t>
      </w:r>
      <w:proofErr w:type="spellStart"/>
      <w:r w:rsidRPr="00461050">
        <w:rPr>
          <w:rFonts w:ascii="Times New Roman" w:hAnsi="Times New Roman"/>
          <w:sz w:val="24"/>
          <w:szCs w:val="24"/>
          <w:lang w:val="en-GB"/>
        </w:rPr>
        <w:t>Jimoh</w:t>
      </w:r>
      <w:proofErr w:type="spellEnd"/>
      <w:r w:rsidRPr="00461050">
        <w:rPr>
          <w:rFonts w:ascii="Times New Roman" w:hAnsi="Times New Roman"/>
          <w:sz w:val="24"/>
          <w:szCs w:val="24"/>
          <w:lang w:val="en-GB"/>
        </w:rPr>
        <w:t xml:space="preserve">, &amp; L. O. </w:t>
      </w:r>
      <w:proofErr w:type="spellStart"/>
      <w:r w:rsidRPr="00461050">
        <w:rPr>
          <w:rFonts w:ascii="Times New Roman" w:hAnsi="Times New Roman"/>
          <w:sz w:val="24"/>
          <w:szCs w:val="24"/>
          <w:lang w:val="en-GB"/>
        </w:rPr>
        <w:t>Oyewobi</w:t>
      </w:r>
      <w:proofErr w:type="spellEnd"/>
      <w:r w:rsidRPr="00461050">
        <w:rPr>
          <w:rFonts w:ascii="Times New Roman" w:hAnsi="Times New Roman"/>
          <w:sz w:val="24"/>
          <w:szCs w:val="24"/>
          <w:lang w:val="en-GB"/>
        </w:rPr>
        <w:t xml:space="preserve"> (Ed.), </w:t>
      </w:r>
      <w:proofErr w:type="spellStart"/>
      <w:r w:rsidRPr="00461050">
        <w:rPr>
          <w:rFonts w:ascii="Times New Roman" w:hAnsi="Times New Roman"/>
          <w:i/>
          <w:sz w:val="24"/>
          <w:szCs w:val="24"/>
          <w:lang w:val="en-GB"/>
        </w:rPr>
        <w:t>Procs</w:t>
      </w:r>
      <w:proofErr w:type="spellEnd"/>
      <w:r w:rsidRPr="00461050">
        <w:rPr>
          <w:rFonts w:ascii="Times New Roman" w:hAnsi="Times New Roman"/>
          <w:i/>
          <w:sz w:val="24"/>
          <w:szCs w:val="24"/>
          <w:lang w:val="en-GB"/>
        </w:rPr>
        <w:t>, School of Environmental Technology International Conference SETIC 2018,</w:t>
      </w:r>
      <w:r w:rsidRPr="00461050">
        <w:rPr>
          <w:rFonts w:ascii="Times New Roman" w:hAnsi="Times New Roman"/>
          <w:sz w:val="24"/>
          <w:szCs w:val="24"/>
          <w:lang w:val="en-GB"/>
        </w:rPr>
        <w:t xml:space="preserve"> </w:t>
      </w:r>
      <w:r w:rsidRPr="00461050">
        <w:rPr>
          <w:rFonts w:ascii="Times New Roman" w:hAnsi="Times New Roman"/>
          <w:i/>
          <w:sz w:val="24"/>
          <w:szCs w:val="24"/>
          <w:lang w:val="en-GB"/>
        </w:rPr>
        <w:t>10-12 April. 1,</w:t>
      </w:r>
      <w:r w:rsidRPr="00461050">
        <w:rPr>
          <w:rFonts w:ascii="Times New Roman" w:hAnsi="Times New Roman"/>
          <w:sz w:val="24"/>
          <w:szCs w:val="24"/>
          <w:lang w:val="en-GB"/>
        </w:rPr>
        <w:t xml:space="preserve"> pp. 475-481. </w:t>
      </w:r>
      <w:proofErr w:type="spellStart"/>
      <w:r w:rsidRPr="00461050">
        <w:rPr>
          <w:rFonts w:ascii="Times New Roman" w:hAnsi="Times New Roman"/>
          <w:sz w:val="24"/>
          <w:szCs w:val="24"/>
          <w:lang w:val="en-GB"/>
        </w:rPr>
        <w:t>Minna</w:t>
      </w:r>
      <w:proofErr w:type="spellEnd"/>
      <w:r w:rsidRPr="00461050">
        <w:rPr>
          <w:rFonts w:ascii="Times New Roman" w:hAnsi="Times New Roman"/>
          <w:sz w:val="24"/>
          <w:szCs w:val="24"/>
          <w:lang w:val="en-GB"/>
        </w:rPr>
        <w:t xml:space="preserve">: Federal University of Technology </w:t>
      </w:r>
      <w:proofErr w:type="spellStart"/>
      <w:r w:rsidRPr="00461050">
        <w:rPr>
          <w:rFonts w:ascii="Times New Roman" w:hAnsi="Times New Roman"/>
          <w:sz w:val="24"/>
          <w:szCs w:val="24"/>
          <w:lang w:val="en-GB"/>
        </w:rPr>
        <w:t>Minna</w:t>
      </w:r>
      <w:proofErr w:type="spellEnd"/>
      <w:r w:rsidRPr="00461050">
        <w:rPr>
          <w:rFonts w:ascii="Times New Roman" w:hAnsi="Times New Roman"/>
          <w:sz w:val="24"/>
          <w:szCs w:val="24"/>
          <w:lang w:val="en-GB"/>
        </w:rPr>
        <w:t>.</w:t>
      </w:r>
    </w:p>
    <w:p w:rsidR="00461050" w:rsidRP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Okoye</w:t>
      </w:r>
      <w:proofErr w:type="spellEnd"/>
      <w:r w:rsidRPr="00461050">
        <w:rPr>
          <w:rFonts w:ascii="Times New Roman" w:hAnsi="Times New Roman"/>
          <w:sz w:val="24"/>
          <w:szCs w:val="24"/>
          <w:lang w:val="en-GB"/>
        </w:rPr>
        <w:t xml:space="preserve">, V. U. &amp; </w:t>
      </w:r>
      <w:proofErr w:type="spellStart"/>
      <w:r w:rsidRPr="00461050">
        <w:rPr>
          <w:rFonts w:ascii="Times New Roman" w:hAnsi="Times New Roman"/>
          <w:sz w:val="24"/>
          <w:szCs w:val="24"/>
          <w:lang w:val="en-GB"/>
        </w:rPr>
        <w:t>Chigbu</w:t>
      </w:r>
      <w:proofErr w:type="spellEnd"/>
      <w:r w:rsidRPr="00461050">
        <w:rPr>
          <w:rFonts w:ascii="Times New Roman" w:hAnsi="Times New Roman"/>
          <w:sz w:val="24"/>
          <w:szCs w:val="24"/>
          <w:lang w:val="en-GB"/>
        </w:rPr>
        <w:t xml:space="preserve">, N. (2017). Determinants of </w:t>
      </w:r>
      <w:r w:rsidR="006F3C77" w:rsidRPr="00461050">
        <w:rPr>
          <w:rFonts w:ascii="Times New Roman" w:hAnsi="Times New Roman"/>
          <w:sz w:val="24"/>
          <w:szCs w:val="24"/>
          <w:lang w:val="en-GB"/>
        </w:rPr>
        <w:t xml:space="preserve">public housing satisfaction </w:t>
      </w:r>
      <w:r w:rsidRPr="00461050">
        <w:rPr>
          <w:rFonts w:ascii="Times New Roman" w:hAnsi="Times New Roman"/>
          <w:sz w:val="24"/>
          <w:szCs w:val="24"/>
          <w:lang w:val="en-GB"/>
        </w:rPr>
        <w:t>in Enugu Urban, Nigeria.</w:t>
      </w:r>
      <w:r w:rsidRPr="00461050">
        <w:rPr>
          <w:rFonts w:ascii="Times New Roman" w:hAnsi="Times New Roman"/>
          <w:i/>
          <w:sz w:val="24"/>
          <w:szCs w:val="24"/>
          <w:lang w:val="en-GB"/>
        </w:rPr>
        <w:t xml:space="preserve"> International Invention Journal of Engineering Science and Technology, 3</w:t>
      </w:r>
      <w:r w:rsidRPr="00461050">
        <w:rPr>
          <w:rFonts w:ascii="Times New Roman" w:hAnsi="Times New Roman"/>
          <w:sz w:val="24"/>
          <w:szCs w:val="24"/>
          <w:lang w:val="en-GB"/>
        </w:rPr>
        <w:t>(1), 9-14.</w:t>
      </w:r>
    </w:p>
    <w:p w:rsidR="00461050"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Onibokun</w:t>
      </w:r>
      <w:proofErr w:type="spellEnd"/>
      <w:r w:rsidRPr="00461050">
        <w:rPr>
          <w:rFonts w:ascii="Times New Roman" w:hAnsi="Times New Roman"/>
          <w:sz w:val="24"/>
          <w:szCs w:val="24"/>
          <w:lang w:val="en-GB"/>
        </w:rPr>
        <w:t xml:space="preserve">, A. G. (1974). Evaluating Consumers' Satisfaction with Housing: An Application of a Systems Approach. </w:t>
      </w:r>
      <w:r w:rsidRPr="00461050">
        <w:rPr>
          <w:rFonts w:ascii="Times New Roman" w:hAnsi="Times New Roman"/>
          <w:i/>
          <w:sz w:val="24"/>
          <w:szCs w:val="24"/>
          <w:lang w:val="en-GB"/>
        </w:rPr>
        <w:t>Journal of the American Institute of Planners</w:t>
      </w:r>
      <w:r w:rsidRPr="006F3C77">
        <w:rPr>
          <w:rFonts w:ascii="Times New Roman" w:hAnsi="Times New Roman"/>
          <w:sz w:val="24"/>
          <w:szCs w:val="24"/>
          <w:lang w:val="en-GB"/>
        </w:rPr>
        <w:t>,</w:t>
      </w:r>
      <w:r w:rsidRPr="00461050">
        <w:rPr>
          <w:rFonts w:ascii="Times New Roman" w:hAnsi="Times New Roman"/>
          <w:i/>
          <w:sz w:val="24"/>
          <w:szCs w:val="24"/>
          <w:lang w:val="en-GB"/>
        </w:rPr>
        <w:t xml:space="preserve"> 40</w:t>
      </w:r>
      <w:r w:rsidRPr="00461050">
        <w:rPr>
          <w:rFonts w:ascii="Times New Roman" w:hAnsi="Times New Roman"/>
          <w:sz w:val="24"/>
          <w:szCs w:val="24"/>
          <w:lang w:val="en-GB"/>
        </w:rPr>
        <w:t xml:space="preserve">(3), 189-200. </w:t>
      </w:r>
      <w:r w:rsidR="0046274A" w:rsidRPr="00FE568B">
        <w:rPr>
          <w:rFonts w:ascii="Times New Roman" w:hAnsi="Times New Roman"/>
          <w:sz w:val="24"/>
          <w:szCs w:val="24"/>
          <w:lang w:val="en-GB"/>
        </w:rPr>
        <w:t>http://dx.doi.org/10.1080/01944367408977468</w:t>
      </w:r>
    </w:p>
    <w:p w:rsidR="006F3C77" w:rsidRDefault="00461050" w:rsidP="006F3C77">
      <w:pPr>
        <w:widowControl w:val="0"/>
        <w:spacing w:after="0" w:line="240" w:lineRule="auto"/>
        <w:ind w:left="357" w:hanging="357"/>
        <w:jc w:val="both"/>
        <w:rPr>
          <w:rFonts w:ascii="Times New Roman" w:hAnsi="Times New Roman"/>
          <w:sz w:val="24"/>
          <w:szCs w:val="24"/>
          <w:lang w:val="en-GB"/>
        </w:rPr>
      </w:pPr>
      <w:proofErr w:type="spellStart"/>
      <w:r w:rsidRPr="00461050">
        <w:rPr>
          <w:rFonts w:ascii="Times New Roman" w:hAnsi="Times New Roman"/>
          <w:sz w:val="24"/>
          <w:szCs w:val="24"/>
          <w:lang w:val="en-GB"/>
        </w:rPr>
        <w:t>Saad</w:t>
      </w:r>
      <w:proofErr w:type="spellEnd"/>
      <w:r w:rsidRPr="00461050">
        <w:rPr>
          <w:rFonts w:ascii="Times New Roman" w:hAnsi="Times New Roman"/>
          <w:sz w:val="24"/>
          <w:szCs w:val="24"/>
          <w:lang w:val="en-GB"/>
        </w:rPr>
        <w:t>, H. T.</w:t>
      </w:r>
      <w:r w:rsidR="00C910E4">
        <w:rPr>
          <w:rFonts w:ascii="Times New Roman" w:hAnsi="Times New Roman"/>
          <w:sz w:val="24"/>
          <w:szCs w:val="24"/>
          <w:lang w:val="en-GB"/>
        </w:rPr>
        <w:t>,</w:t>
      </w:r>
      <w:r w:rsidRPr="00461050">
        <w:rPr>
          <w:rFonts w:ascii="Times New Roman" w:hAnsi="Times New Roman"/>
          <w:sz w:val="24"/>
          <w:szCs w:val="24"/>
          <w:lang w:val="en-GB"/>
        </w:rPr>
        <w:t xml:space="preserve"> &amp; </w:t>
      </w:r>
      <w:proofErr w:type="spellStart"/>
      <w:r w:rsidRPr="00461050">
        <w:rPr>
          <w:rFonts w:ascii="Times New Roman" w:hAnsi="Times New Roman"/>
          <w:sz w:val="24"/>
          <w:szCs w:val="24"/>
          <w:lang w:val="en-GB"/>
        </w:rPr>
        <w:t>Ogunsusi</w:t>
      </w:r>
      <w:proofErr w:type="spellEnd"/>
      <w:r w:rsidRPr="00461050">
        <w:rPr>
          <w:rFonts w:ascii="Times New Roman" w:hAnsi="Times New Roman"/>
          <w:sz w:val="24"/>
          <w:szCs w:val="24"/>
          <w:lang w:val="en-GB"/>
        </w:rPr>
        <w:t xml:space="preserve">, V. (1996). The </w:t>
      </w:r>
      <w:r w:rsidR="00D503E3" w:rsidRPr="00461050">
        <w:rPr>
          <w:rFonts w:ascii="Times New Roman" w:hAnsi="Times New Roman"/>
          <w:sz w:val="24"/>
          <w:szCs w:val="24"/>
          <w:lang w:val="en-GB"/>
        </w:rPr>
        <w:t xml:space="preserve">traditional architecture </w:t>
      </w:r>
      <w:r w:rsidRPr="00461050">
        <w:rPr>
          <w:rFonts w:ascii="Times New Roman" w:hAnsi="Times New Roman"/>
          <w:sz w:val="24"/>
          <w:szCs w:val="24"/>
          <w:lang w:val="en-GB"/>
        </w:rPr>
        <w:t xml:space="preserve">of Nigeria. </w:t>
      </w:r>
      <w:r w:rsidRPr="00461050">
        <w:rPr>
          <w:rFonts w:ascii="Times New Roman" w:hAnsi="Times New Roman"/>
          <w:i/>
          <w:sz w:val="24"/>
          <w:szCs w:val="24"/>
          <w:lang w:val="en-GB"/>
        </w:rPr>
        <w:t>2nd UN Conference on Human Settlements (HABITAT II), Istanbul, Turkey, 3-14 June,</w:t>
      </w:r>
      <w:r w:rsidRPr="00461050">
        <w:rPr>
          <w:rFonts w:ascii="Times New Roman" w:hAnsi="Times New Roman"/>
          <w:sz w:val="24"/>
          <w:szCs w:val="24"/>
          <w:lang w:val="en-GB"/>
        </w:rPr>
        <w:t xml:space="preserve"> (pp. 1-21). Lagos: Federal Ministry of Works and Housing &amp; National Commission for Museums and Monuments.</w:t>
      </w:r>
    </w:p>
    <w:p w:rsidR="00461050" w:rsidRDefault="00461050" w:rsidP="006F3C77">
      <w:pPr>
        <w:widowControl w:val="0"/>
        <w:spacing w:after="0" w:line="240" w:lineRule="auto"/>
        <w:ind w:left="357" w:hanging="357"/>
        <w:jc w:val="both"/>
        <w:rPr>
          <w:rFonts w:ascii="Times New Roman" w:hAnsi="Times New Roman"/>
          <w:sz w:val="24"/>
          <w:szCs w:val="24"/>
          <w:lang w:val="en-GB"/>
        </w:rPr>
      </w:pPr>
      <w:proofErr w:type="spellStart"/>
      <w:r w:rsidRPr="00461050">
        <w:rPr>
          <w:rFonts w:ascii="Times New Roman" w:hAnsi="Times New Roman"/>
          <w:sz w:val="24"/>
          <w:szCs w:val="24"/>
          <w:lang w:val="en-GB"/>
        </w:rPr>
        <w:t>Smrke</w:t>
      </w:r>
      <w:proofErr w:type="spellEnd"/>
      <w:r w:rsidRPr="00461050">
        <w:rPr>
          <w:rFonts w:ascii="Times New Roman" w:hAnsi="Times New Roman"/>
          <w:sz w:val="24"/>
          <w:szCs w:val="24"/>
          <w:lang w:val="en-GB"/>
        </w:rPr>
        <w:t xml:space="preserve">, U., </w:t>
      </w:r>
      <w:proofErr w:type="spellStart"/>
      <w:r w:rsidRPr="00461050">
        <w:rPr>
          <w:rFonts w:ascii="Times New Roman" w:hAnsi="Times New Roman"/>
          <w:sz w:val="24"/>
          <w:szCs w:val="24"/>
          <w:lang w:val="en-GB"/>
        </w:rPr>
        <w:t>Blenkus</w:t>
      </w:r>
      <w:proofErr w:type="spellEnd"/>
      <w:r w:rsidRPr="00461050">
        <w:rPr>
          <w:rFonts w:ascii="Times New Roman" w:hAnsi="Times New Roman"/>
          <w:sz w:val="24"/>
          <w:szCs w:val="24"/>
          <w:lang w:val="en-GB"/>
        </w:rPr>
        <w:t>, M.</w:t>
      </w:r>
      <w:r w:rsidR="00C910E4">
        <w:rPr>
          <w:rFonts w:ascii="Times New Roman" w:hAnsi="Times New Roman"/>
          <w:sz w:val="24"/>
          <w:szCs w:val="24"/>
          <w:lang w:val="en-GB"/>
        </w:rPr>
        <w:t>,</w:t>
      </w:r>
      <w:r w:rsidRPr="00461050">
        <w:rPr>
          <w:rFonts w:ascii="Times New Roman" w:hAnsi="Times New Roman"/>
          <w:sz w:val="24"/>
          <w:szCs w:val="24"/>
          <w:lang w:val="en-GB"/>
        </w:rPr>
        <w:t xml:space="preserve"> &amp; </w:t>
      </w:r>
      <w:proofErr w:type="spellStart"/>
      <w:r w:rsidRPr="00461050">
        <w:rPr>
          <w:rFonts w:ascii="Times New Roman" w:hAnsi="Times New Roman"/>
          <w:sz w:val="24"/>
          <w:szCs w:val="24"/>
          <w:lang w:val="en-GB"/>
        </w:rPr>
        <w:t>Socan</w:t>
      </w:r>
      <w:proofErr w:type="spellEnd"/>
      <w:r w:rsidRPr="00461050">
        <w:rPr>
          <w:rFonts w:ascii="Times New Roman" w:hAnsi="Times New Roman"/>
          <w:sz w:val="24"/>
          <w:szCs w:val="24"/>
          <w:lang w:val="en-GB"/>
        </w:rPr>
        <w:t xml:space="preserve">, G. (2018). Residential satisfaction questionnaires: A systematic review. </w:t>
      </w:r>
      <w:proofErr w:type="spellStart"/>
      <w:r w:rsidRPr="00461050">
        <w:rPr>
          <w:rFonts w:ascii="Times New Roman" w:hAnsi="Times New Roman"/>
          <w:i/>
          <w:sz w:val="24"/>
          <w:szCs w:val="24"/>
          <w:lang w:val="en-GB"/>
        </w:rPr>
        <w:t>Urbani</w:t>
      </w:r>
      <w:proofErr w:type="spellEnd"/>
      <w:r w:rsidRPr="00461050">
        <w:rPr>
          <w:rFonts w:ascii="Times New Roman" w:hAnsi="Times New Roman"/>
          <w:i/>
          <w:sz w:val="24"/>
          <w:szCs w:val="24"/>
          <w:lang w:val="en-GB"/>
        </w:rPr>
        <w:t xml:space="preserve"> </w:t>
      </w:r>
      <w:proofErr w:type="spellStart"/>
      <w:r w:rsidRPr="00461050">
        <w:rPr>
          <w:rFonts w:ascii="Times New Roman" w:hAnsi="Times New Roman"/>
          <w:i/>
          <w:sz w:val="24"/>
          <w:szCs w:val="24"/>
          <w:lang w:val="en-GB"/>
        </w:rPr>
        <w:t>izziv</w:t>
      </w:r>
      <w:proofErr w:type="spellEnd"/>
      <w:r w:rsidRPr="006F3C77">
        <w:rPr>
          <w:rFonts w:ascii="Times New Roman" w:hAnsi="Times New Roman"/>
          <w:sz w:val="24"/>
          <w:szCs w:val="24"/>
          <w:lang w:val="en-GB"/>
        </w:rPr>
        <w:t>,</w:t>
      </w:r>
      <w:r w:rsidRPr="00461050">
        <w:rPr>
          <w:rFonts w:ascii="Times New Roman" w:hAnsi="Times New Roman"/>
          <w:i/>
          <w:sz w:val="24"/>
          <w:szCs w:val="24"/>
          <w:lang w:val="en-GB"/>
        </w:rPr>
        <w:t xml:space="preserve"> 28</w:t>
      </w:r>
      <w:r w:rsidRPr="00461050">
        <w:rPr>
          <w:rFonts w:ascii="Times New Roman" w:hAnsi="Times New Roman"/>
          <w:sz w:val="24"/>
          <w:szCs w:val="24"/>
          <w:lang w:val="en-GB"/>
        </w:rPr>
        <w:t xml:space="preserve">(2), 67-82. </w:t>
      </w:r>
      <w:r w:rsidR="0046274A" w:rsidRPr="00FE568B">
        <w:rPr>
          <w:rFonts w:ascii="Times New Roman" w:hAnsi="Times New Roman"/>
          <w:sz w:val="24"/>
          <w:szCs w:val="24"/>
          <w:lang w:val="en-GB"/>
        </w:rPr>
        <w:t>http://dx.doi.org/10.5379/urbani-izziv-en-2018-29-02-001</w:t>
      </w:r>
    </w:p>
    <w:p w:rsidR="0046274A" w:rsidRDefault="00461050" w:rsidP="00B97F9C">
      <w:pPr>
        <w:spacing w:after="0" w:line="240" w:lineRule="auto"/>
        <w:ind w:left="360" w:hanging="360"/>
        <w:jc w:val="both"/>
        <w:rPr>
          <w:rFonts w:ascii="Times New Roman" w:hAnsi="Times New Roman"/>
          <w:sz w:val="24"/>
          <w:szCs w:val="24"/>
          <w:lang w:val="en-GB"/>
        </w:rPr>
      </w:pPr>
      <w:proofErr w:type="spellStart"/>
      <w:r w:rsidRPr="00461050">
        <w:rPr>
          <w:rFonts w:ascii="Times New Roman" w:hAnsi="Times New Roman"/>
          <w:sz w:val="24"/>
          <w:szCs w:val="24"/>
          <w:lang w:val="en-GB"/>
        </w:rPr>
        <w:t>Ukoha</w:t>
      </w:r>
      <w:proofErr w:type="spellEnd"/>
      <w:r w:rsidRPr="00461050">
        <w:rPr>
          <w:rFonts w:ascii="Times New Roman" w:hAnsi="Times New Roman"/>
          <w:sz w:val="24"/>
          <w:szCs w:val="24"/>
          <w:lang w:val="en-GB"/>
        </w:rPr>
        <w:t>, O. M.</w:t>
      </w:r>
      <w:r w:rsidR="00C910E4">
        <w:rPr>
          <w:rFonts w:ascii="Times New Roman" w:hAnsi="Times New Roman"/>
          <w:sz w:val="24"/>
          <w:szCs w:val="24"/>
          <w:lang w:val="en-GB"/>
        </w:rPr>
        <w:t>,</w:t>
      </w:r>
      <w:r w:rsidRPr="00461050">
        <w:rPr>
          <w:rFonts w:ascii="Times New Roman" w:hAnsi="Times New Roman"/>
          <w:sz w:val="24"/>
          <w:szCs w:val="24"/>
          <w:lang w:val="en-GB"/>
        </w:rPr>
        <w:t xml:space="preserve"> &amp; Beamish, J. O. (1997). Assessment of residents' satisfaction with public housing in Abuja, Nigeria. </w:t>
      </w:r>
      <w:r w:rsidR="00115740">
        <w:rPr>
          <w:rFonts w:ascii="Times New Roman" w:hAnsi="Times New Roman"/>
          <w:i/>
          <w:sz w:val="24"/>
          <w:szCs w:val="24"/>
          <w:lang w:val="en-GB"/>
        </w:rPr>
        <w:t>Habitat International</w:t>
      </w:r>
      <w:r w:rsidR="00115740" w:rsidRPr="006F3C77">
        <w:rPr>
          <w:rFonts w:ascii="Times New Roman" w:hAnsi="Times New Roman"/>
          <w:sz w:val="24"/>
          <w:szCs w:val="24"/>
          <w:lang w:val="en-GB"/>
        </w:rPr>
        <w:t>,</w:t>
      </w:r>
      <w:r w:rsidR="00115740">
        <w:rPr>
          <w:rFonts w:ascii="Times New Roman" w:hAnsi="Times New Roman"/>
          <w:i/>
          <w:sz w:val="24"/>
          <w:szCs w:val="24"/>
          <w:lang w:val="en-GB"/>
        </w:rPr>
        <w:t xml:space="preserve"> 21</w:t>
      </w:r>
      <w:r w:rsidR="0046274A">
        <w:rPr>
          <w:rFonts w:ascii="Times New Roman" w:hAnsi="Times New Roman"/>
          <w:sz w:val="24"/>
          <w:szCs w:val="24"/>
          <w:lang w:val="en-GB"/>
        </w:rPr>
        <w:t xml:space="preserve">(4), 445-460. </w:t>
      </w:r>
      <w:r w:rsidR="0046274A" w:rsidRPr="00FE568B">
        <w:rPr>
          <w:rFonts w:ascii="Times New Roman" w:hAnsi="Times New Roman"/>
          <w:sz w:val="24"/>
          <w:szCs w:val="24"/>
          <w:lang w:val="en-GB"/>
        </w:rPr>
        <w:t>http://dx.doi.org/10.1016/S0197-3975(97)00017-9</w:t>
      </w:r>
    </w:p>
    <w:p w:rsidR="00C41FD1" w:rsidRPr="0046274A" w:rsidRDefault="00461050" w:rsidP="00B97F9C">
      <w:pPr>
        <w:spacing w:after="0" w:line="240" w:lineRule="auto"/>
        <w:ind w:left="360" w:hanging="360"/>
        <w:jc w:val="both"/>
        <w:rPr>
          <w:rFonts w:ascii="Times New Roman" w:hAnsi="Times New Roman"/>
          <w:sz w:val="24"/>
          <w:szCs w:val="24"/>
          <w:lang w:val="en-GB"/>
        </w:rPr>
      </w:pPr>
      <w:r w:rsidRPr="00461050">
        <w:rPr>
          <w:rFonts w:ascii="Times New Roman" w:hAnsi="Times New Roman"/>
          <w:sz w:val="24"/>
          <w:szCs w:val="24"/>
          <w:lang w:val="en-GB"/>
        </w:rPr>
        <w:t xml:space="preserve">Waziri, A. G., </w:t>
      </w:r>
      <w:proofErr w:type="spellStart"/>
      <w:r w:rsidRPr="00461050">
        <w:rPr>
          <w:rFonts w:ascii="Times New Roman" w:hAnsi="Times New Roman"/>
          <w:sz w:val="24"/>
          <w:szCs w:val="24"/>
          <w:lang w:val="en-GB"/>
        </w:rPr>
        <w:t>Yusof</w:t>
      </w:r>
      <w:proofErr w:type="spellEnd"/>
      <w:r w:rsidRPr="00461050">
        <w:rPr>
          <w:rFonts w:ascii="Times New Roman" w:hAnsi="Times New Roman"/>
          <w:sz w:val="24"/>
          <w:szCs w:val="24"/>
          <w:lang w:val="en-GB"/>
        </w:rPr>
        <w:t>, N.</w:t>
      </w:r>
      <w:r w:rsidR="00C910E4">
        <w:rPr>
          <w:rFonts w:ascii="Times New Roman" w:hAnsi="Times New Roman"/>
          <w:sz w:val="24"/>
          <w:szCs w:val="24"/>
          <w:lang w:val="en-GB"/>
        </w:rPr>
        <w:t>,</w:t>
      </w:r>
      <w:r w:rsidRPr="00461050">
        <w:rPr>
          <w:rFonts w:ascii="Times New Roman" w:hAnsi="Times New Roman"/>
          <w:sz w:val="24"/>
          <w:szCs w:val="24"/>
          <w:lang w:val="en-GB"/>
        </w:rPr>
        <w:t xml:space="preserve"> &amp; Rahim, N. M. (2014). Occupants housing satisfaction: does age really matter? </w:t>
      </w:r>
      <w:r w:rsidRPr="00461050">
        <w:rPr>
          <w:rFonts w:ascii="Times New Roman" w:hAnsi="Times New Roman"/>
          <w:i/>
          <w:sz w:val="24"/>
          <w:szCs w:val="24"/>
          <w:lang w:val="en-GB"/>
        </w:rPr>
        <w:t>Urban, Planning and Transport Research</w:t>
      </w:r>
      <w:r w:rsidRPr="006F3C77">
        <w:rPr>
          <w:rFonts w:ascii="Times New Roman" w:hAnsi="Times New Roman"/>
          <w:sz w:val="24"/>
          <w:szCs w:val="24"/>
          <w:lang w:val="en-GB"/>
        </w:rPr>
        <w:t>,</w:t>
      </w:r>
      <w:r w:rsidRPr="00461050">
        <w:rPr>
          <w:rFonts w:ascii="Times New Roman" w:hAnsi="Times New Roman"/>
          <w:i/>
          <w:sz w:val="24"/>
          <w:szCs w:val="24"/>
          <w:lang w:val="en-GB"/>
        </w:rPr>
        <w:t xml:space="preserve"> 2</w:t>
      </w:r>
      <w:r w:rsidRPr="00461050">
        <w:rPr>
          <w:rFonts w:ascii="Times New Roman" w:hAnsi="Times New Roman"/>
          <w:sz w:val="24"/>
          <w:szCs w:val="24"/>
          <w:lang w:val="en-GB"/>
        </w:rPr>
        <w:t xml:space="preserve">(1), 341-343. </w:t>
      </w:r>
      <w:r w:rsidR="0046274A" w:rsidRPr="00FE568B">
        <w:rPr>
          <w:rFonts w:ascii="Times New Roman" w:hAnsi="Times New Roman"/>
          <w:sz w:val="24"/>
          <w:szCs w:val="24"/>
          <w:lang w:val="en-GB"/>
        </w:rPr>
        <w:t>http://dx.doi.org/10.1080/21650020.2014.935467</w:t>
      </w:r>
    </w:p>
    <w:sectPr w:rsidR="00C41FD1" w:rsidRPr="0046274A" w:rsidSect="003339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29"/>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BE4" w:rsidRDefault="00856BE4">
      <w:pPr>
        <w:spacing w:after="0" w:line="240" w:lineRule="auto"/>
      </w:pPr>
      <w:r>
        <w:separator/>
      </w:r>
    </w:p>
  </w:endnote>
  <w:endnote w:type="continuationSeparator" w:id="0">
    <w:p w:rsidR="00856BE4" w:rsidRDefault="0085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76" w:rsidRDefault="00D057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76" w:rsidRDefault="00D0577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76" w:rsidRDefault="00D057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BE4" w:rsidRDefault="00856BE4">
      <w:pPr>
        <w:spacing w:after="0" w:line="240" w:lineRule="auto"/>
      </w:pPr>
      <w:r>
        <w:separator/>
      </w:r>
    </w:p>
  </w:footnote>
  <w:footnote w:type="continuationSeparator" w:id="0">
    <w:p w:rsidR="00856BE4" w:rsidRDefault="00856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76" w:rsidRDefault="00D057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94A" w:rsidRPr="0033394A" w:rsidRDefault="0033394A" w:rsidP="0033394A">
    <w:pPr>
      <w:tabs>
        <w:tab w:val="left" w:pos="720"/>
        <w:tab w:val="center" w:pos="4680"/>
        <w:tab w:val="right" w:pos="9360"/>
      </w:tabs>
      <w:spacing w:after="0" w:line="240" w:lineRule="auto"/>
      <w:ind w:hanging="2"/>
      <w:rPr>
        <w:rFonts w:ascii="Times New Roman" w:hAnsi="Times New Roman"/>
        <w:sz w:val="18"/>
        <w:szCs w:val="18"/>
        <w:lang w:eastAsia="en-MY"/>
      </w:rPr>
    </w:pPr>
    <w:r w:rsidRPr="0033394A">
      <w:rPr>
        <w:rFonts w:ascii="Times New Roman" w:hAnsi="Times New Roman"/>
        <w:sz w:val="18"/>
        <w:szCs w:val="18"/>
        <w:lang w:eastAsia="en-MY"/>
      </w:rPr>
      <w:t xml:space="preserve">GEOGRAFIA </w:t>
    </w:r>
    <w:proofErr w:type="spellStart"/>
    <w:r w:rsidRPr="0033394A">
      <w:rPr>
        <w:rFonts w:ascii="Times New Roman" w:hAnsi="Times New Roman"/>
        <w:sz w:val="18"/>
        <w:szCs w:val="18"/>
        <w:lang w:eastAsia="en-MY"/>
      </w:rPr>
      <w:t>Online</w:t>
    </w:r>
    <w:r w:rsidRPr="0033394A">
      <w:rPr>
        <w:rFonts w:ascii="Times New Roman" w:hAnsi="Times New Roman"/>
        <w:sz w:val="18"/>
        <w:szCs w:val="18"/>
        <w:vertAlign w:val="superscript"/>
        <w:lang w:eastAsia="en-MY"/>
      </w:rPr>
      <w:t>TM</w:t>
    </w:r>
    <w:proofErr w:type="spellEnd"/>
    <w:r w:rsidRPr="0033394A">
      <w:rPr>
        <w:rFonts w:ascii="Times New Roman" w:hAnsi="Times New Roman"/>
        <w:sz w:val="18"/>
        <w:szCs w:val="18"/>
        <w:lang w:eastAsia="en-MY"/>
      </w:rPr>
      <w:t xml:space="preserve"> Malaysian Journal of Society and Space 17 issue 2 (</w:t>
    </w:r>
    <w:r w:rsidR="00D05776">
      <w:rPr>
        <w:rFonts w:ascii="Times New Roman" w:hAnsi="Times New Roman"/>
        <w:sz w:val="18"/>
        <w:szCs w:val="18"/>
        <w:lang w:eastAsia="en-MY"/>
      </w:rPr>
      <w:t>129-142</w:t>
    </w:r>
    <w:r w:rsidRPr="0033394A">
      <w:rPr>
        <w:rFonts w:ascii="Times New Roman" w:hAnsi="Times New Roman"/>
        <w:sz w:val="18"/>
        <w:szCs w:val="18"/>
        <w:lang w:eastAsia="en-MY"/>
      </w:rPr>
      <w:t>)</w:t>
    </w:r>
    <w:r w:rsidRPr="0033394A">
      <w:rPr>
        <w:rFonts w:ascii="Times New Roman" w:hAnsi="Times New Roman"/>
        <w:sz w:val="18"/>
        <w:szCs w:val="18"/>
        <w:lang w:eastAsia="en-MY"/>
      </w:rPr>
      <w:tab/>
    </w:r>
  </w:p>
  <w:p w:rsidR="0033394A" w:rsidRPr="0033394A" w:rsidRDefault="0033394A" w:rsidP="0033394A">
    <w:pPr>
      <w:pStyle w:val="Header"/>
      <w:tabs>
        <w:tab w:val="clear" w:pos="9026"/>
        <w:tab w:val="right" w:pos="9356"/>
      </w:tabs>
      <w:rPr>
        <w:rFonts w:ascii="Times New Roman" w:hAnsi="Times New Roman"/>
        <w:sz w:val="18"/>
        <w:szCs w:val="18"/>
      </w:rPr>
    </w:pPr>
    <w:r w:rsidRPr="0033394A">
      <w:rPr>
        <w:rFonts w:ascii="Times New Roman" w:hAnsi="Times New Roman"/>
        <w:sz w:val="18"/>
        <w:szCs w:val="18"/>
        <w:lang w:eastAsia="en-MY"/>
      </w:rPr>
      <w:t xml:space="preserve">© 2021, e-ISSN 2682-7727   </w:t>
    </w:r>
    <w:bookmarkStart w:id="0" w:name="_GoBack"/>
    <w:r w:rsidR="00D05776" w:rsidRPr="00D05776">
      <w:rPr>
        <w:rFonts w:ascii="Times New Roman" w:hAnsi="Times New Roman"/>
        <w:sz w:val="18"/>
        <w:szCs w:val="18"/>
        <w:lang w:eastAsia="en-MY"/>
      </w:rPr>
      <w:fldChar w:fldCharType="begin"/>
    </w:r>
    <w:r w:rsidR="00D05776" w:rsidRPr="00D05776">
      <w:rPr>
        <w:rFonts w:ascii="Times New Roman" w:hAnsi="Times New Roman"/>
        <w:sz w:val="18"/>
        <w:szCs w:val="18"/>
        <w:lang w:eastAsia="en-MY"/>
      </w:rPr>
      <w:instrText xml:space="preserve"> HYPERLINK "https://doi.org/10.17576/geo-2021-1702-11" </w:instrText>
    </w:r>
    <w:r w:rsidR="00D05776" w:rsidRPr="00D05776">
      <w:rPr>
        <w:rFonts w:ascii="Times New Roman" w:hAnsi="Times New Roman"/>
        <w:sz w:val="18"/>
        <w:szCs w:val="18"/>
        <w:lang w:eastAsia="en-MY"/>
      </w:rPr>
    </w:r>
    <w:r w:rsidR="00D05776" w:rsidRPr="00D05776">
      <w:rPr>
        <w:rFonts w:ascii="Times New Roman" w:hAnsi="Times New Roman"/>
        <w:sz w:val="18"/>
        <w:szCs w:val="18"/>
        <w:lang w:eastAsia="en-MY"/>
      </w:rPr>
      <w:fldChar w:fldCharType="separate"/>
    </w:r>
    <w:r w:rsidRPr="00D05776">
      <w:rPr>
        <w:rStyle w:val="Hyperlink"/>
        <w:rFonts w:ascii="Times New Roman" w:hAnsi="Times New Roman"/>
        <w:color w:val="auto"/>
        <w:sz w:val="18"/>
        <w:szCs w:val="18"/>
        <w:u w:val="none"/>
        <w:lang w:eastAsia="en-MY"/>
      </w:rPr>
      <w:t>https://doi.org/10.17576/geo-2021-1702-11</w:t>
    </w:r>
    <w:r w:rsidR="00D05776" w:rsidRPr="00D05776">
      <w:rPr>
        <w:rFonts w:ascii="Times New Roman" w:hAnsi="Times New Roman"/>
        <w:sz w:val="18"/>
        <w:szCs w:val="18"/>
        <w:lang w:eastAsia="en-MY"/>
      </w:rPr>
      <w:fldChar w:fldCharType="end"/>
    </w:r>
    <w:bookmarkEnd w:id="0"/>
    <w:sdt>
      <w:sdtPr>
        <w:rPr>
          <w:rFonts w:ascii="Times New Roman" w:hAnsi="Times New Roman"/>
          <w:sz w:val="18"/>
          <w:szCs w:val="18"/>
        </w:rPr>
        <w:id w:val="-1173330007"/>
        <w:docPartObj>
          <w:docPartGallery w:val="Page Numbers (Top of Page)"/>
          <w:docPartUnique/>
        </w:docPartObj>
      </w:sdtPr>
      <w:sdtEndPr>
        <w:rPr>
          <w:noProof/>
        </w:rPr>
      </w:sdtEndPr>
      <w:sdtContent>
        <w:r>
          <w:rPr>
            <w:rFonts w:ascii="Times New Roman" w:hAnsi="Times New Roman"/>
            <w:sz w:val="18"/>
            <w:szCs w:val="18"/>
          </w:rPr>
          <w:tab/>
          <w:t xml:space="preserve">   </w:t>
        </w:r>
        <w:r w:rsidRPr="0033394A">
          <w:rPr>
            <w:rFonts w:ascii="Times New Roman" w:hAnsi="Times New Roman"/>
            <w:sz w:val="18"/>
            <w:szCs w:val="18"/>
          </w:rPr>
          <w:fldChar w:fldCharType="begin"/>
        </w:r>
        <w:r w:rsidRPr="0033394A">
          <w:rPr>
            <w:rFonts w:ascii="Times New Roman" w:hAnsi="Times New Roman"/>
            <w:sz w:val="18"/>
            <w:szCs w:val="18"/>
          </w:rPr>
          <w:instrText xml:space="preserve"> PAGE   \* MERGEFORMAT </w:instrText>
        </w:r>
        <w:r w:rsidRPr="0033394A">
          <w:rPr>
            <w:rFonts w:ascii="Times New Roman" w:hAnsi="Times New Roman"/>
            <w:sz w:val="18"/>
            <w:szCs w:val="18"/>
          </w:rPr>
          <w:fldChar w:fldCharType="separate"/>
        </w:r>
        <w:r w:rsidR="00D05776">
          <w:rPr>
            <w:rFonts w:ascii="Times New Roman" w:hAnsi="Times New Roman"/>
            <w:noProof/>
            <w:sz w:val="18"/>
            <w:szCs w:val="18"/>
          </w:rPr>
          <w:t>142</w:t>
        </w:r>
        <w:r w:rsidRPr="0033394A">
          <w:rPr>
            <w:rFonts w:ascii="Times New Roman" w:hAnsi="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76" w:rsidRDefault="00D057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496B05"/>
    <w:multiLevelType w:val="hybridMultilevel"/>
    <w:tmpl w:val="9BC8DC88"/>
    <w:lvl w:ilvl="0" w:tplc="863E6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6"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7"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0"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1" w15:restartNumberingAfterBreak="0">
    <w:nsid w:val="771E7BC6"/>
    <w:multiLevelType w:val="hybridMultilevel"/>
    <w:tmpl w:val="ED184F20"/>
    <w:lvl w:ilvl="0" w:tplc="5D6C8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5"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9"/>
  </w:num>
  <w:num w:numId="2">
    <w:abstractNumId w:val="23"/>
  </w:num>
  <w:num w:numId="3">
    <w:abstractNumId w:val="27"/>
  </w:num>
  <w:num w:numId="4">
    <w:abstractNumId w:val="30"/>
  </w:num>
  <w:num w:numId="5">
    <w:abstractNumId w:val="3"/>
  </w:num>
  <w:num w:numId="6">
    <w:abstractNumId w:val="11"/>
  </w:num>
  <w:num w:numId="7">
    <w:abstractNumId w:val="33"/>
  </w:num>
  <w:num w:numId="8">
    <w:abstractNumId w:val="17"/>
  </w:num>
  <w:num w:numId="9">
    <w:abstractNumId w:val="28"/>
  </w:num>
  <w:num w:numId="10">
    <w:abstractNumId w:val="1"/>
  </w:num>
  <w:num w:numId="11">
    <w:abstractNumId w:val="35"/>
  </w:num>
  <w:num w:numId="12">
    <w:abstractNumId w:val="20"/>
  </w:num>
  <w:num w:numId="13">
    <w:abstractNumId w:val="9"/>
  </w:num>
  <w:num w:numId="14">
    <w:abstractNumId w:val="22"/>
  </w:num>
  <w:num w:numId="15">
    <w:abstractNumId w:val="6"/>
  </w:num>
  <w:num w:numId="16">
    <w:abstractNumId w:val="16"/>
  </w:num>
  <w:num w:numId="17">
    <w:abstractNumId w:val="21"/>
  </w:num>
  <w:num w:numId="18">
    <w:abstractNumId w:val="5"/>
  </w:num>
  <w:num w:numId="19">
    <w:abstractNumId w:val="2"/>
  </w:num>
  <w:num w:numId="20">
    <w:abstractNumId w:val="26"/>
  </w:num>
  <w:num w:numId="21">
    <w:abstractNumId w:val="13"/>
  </w:num>
  <w:num w:numId="22">
    <w:abstractNumId w:val="4"/>
  </w:num>
  <w:num w:numId="23">
    <w:abstractNumId w:val="8"/>
  </w:num>
  <w:num w:numId="24">
    <w:abstractNumId w:val="7"/>
  </w:num>
  <w:num w:numId="25">
    <w:abstractNumId w:val="24"/>
  </w:num>
  <w:num w:numId="26">
    <w:abstractNumId w:val="10"/>
  </w:num>
  <w:num w:numId="27">
    <w:abstractNumId w:val="32"/>
  </w:num>
  <w:num w:numId="28">
    <w:abstractNumId w:val="25"/>
  </w:num>
  <w:num w:numId="29">
    <w:abstractNumId w:val="29"/>
  </w:num>
  <w:num w:numId="30">
    <w:abstractNumId w:val="18"/>
  </w:num>
  <w:num w:numId="31">
    <w:abstractNumId w:val="36"/>
  </w:num>
  <w:num w:numId="32">
    <w:abstractNumId w:val="0"/>
  </w:num>
  <w:num w:numId="33">
    <w:abstractNumId w:val="15"/>
  </w:num>
  <w:num w:numId="34">
    <w:abstractNumId w:val="34"/>
  </w:num>
  <w:num w:numId="35">
    <w:abstractNumId w:val="14"/>
  </w:num>
  <w:num w:numId="36">
    <w:abstractNumId w:val="1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07B3C"/>
    <w:rsid w:val="00010016"/>
    <w:rsid w:val="0004531B"/>
    <w:rsid w:val="00047206"/>
    <w:rsid w:val="00053265"/>
    <w:rsid w:val="00064D91"/>
    <w:rsid w:val="00072AF9"/>
    <w:rsid w:val="00074EDF"/>
    <w:rsid w:val="00080D84"/>
    <w:rsid w:val="00091447"/>
    <w:rsid w:val="000919B8"/>
    <w:rsid w:val="000A0C0A"/>
    <w:rsid w:val="000A26C0"/>
    <w:rsid w:val="000B58CF"/>
    <w:rsid w:val="000B6E26"/>
    <w:rsid w:val="000C781D"/>
    <w:rsid w:val="000D1639"/>
    <w:rsid w:val="000D5C62"/>
    <w:rsid w:val="000F1434"/>
    <w:rsid w:val="00100046"/>
    <w:rsid w:val="00102CAF"/>
    <w:rsid w:val="001063AE"/>
    <w:rsid w:val="00111D03"/>
    <w:rsid w:val="00115740"/>
    <w:rsid w:val="00116E9D"/>
    <w:rsid w:val="001254EE"/>
    <w:rsid w:val="00131F91"/>
    <w:rsid w:val="0014319B"/>
    <w:rsid w:val="00150E14"/>
    <w:rsid w:val="0015739C"/>
    <w:rsid w:val="00160C06"/>
    <w:rsid w:val="001868FD"/>
    <w:rsid w:val="001A510D"/>
    <w:rsid w:val="001D1962"/>
    <w:rsid w:val="001E2410"/>
    <w:rsid w:val="001F6127"/>
    <w:rsid w:val="002049FB"/>
    <w:rsid w:val="00211E15"/>
    <w:rsid w:val="00213D93"/>
    <w:rsid w:val="00220EF7"/>
    <w:rsid w:val="00226C20"/>
    <w:rsid w:val="002326D5"/>
    <w:rsid w:val="00246AAC"/>
    <w:rsid w:val="00250D14"/>
    <w:rsid w:val="00252B50"/>
    <w:rsid w:val="002616CA"/>
    <w:rsid w:val="00262CD8"/>
    <w:rsid w:val="00265C24"/>
    <w:rsid w:val="0027045E"/>
    <w:rsid w:val="00276419"/>
    <w:rsid w:val="002771E5"/>
    <w:rsid w:val="002801A8"/>
    <w:rsid w:val="0029173C"/>
    <w:rsid w:val="00294BF3"/>
    <w:rsid w:val="002A6DB5"/>
    <w:rsid w:val="002C6652"/>
    <w:rsid w:val="002D5BD1"/>
    <w:rsid w:val="002D6494"/>
    <w:rsid w:val="002D6B89"/>
    <w:rsid w:val="002F4E77"/>
    <w:rsid w:val="00302B00"/>
    <w:rsid w:val="00312AD7"/>
    <w:rsid w:val="00323099"/>
    <w:rsid w:val="003242E3"/>
    <w:rsid w:val="0033394A"/>
    <w:rsid w:val="00343362"/>
    <w:rsid w:val="00356880"/>
    <w:rsid w:val="00356CD4"/>
    <w:rsid w:val="00357CC4"/>
    <w:rsid w:val="0036371D"/>
    <w:rsid w:val="0038480A"/>
    <w:rsid w:val="003849B2"/>
    <w:rsid w:val="00386506"/>
    <w:rsid w:val="003A618E"/>
    <w:rsid w:val="003C45C5"/>
    <w:rsid w:val="003D054A"/>
    <w:rsid w:val="003D41F4"/>
    <w:rsid w:val="003D6404"/>
    <w:rsid w:val="003E5092"/>
    <w:rsid w:val="003E6486"/>
    <w:rsid w:val="003F54F0"/>
    <w:rsid w:val="004050F0"/>
    <w:rsid w:val="0042403C"/>
    <w:rsid w:val="004243A7"/>
    <w:rsid w:val="00424D2B"/>
    <w:rsid w:val="004522B2"/>
    <w:rsid w:val="00461050"/>
    <w:rsid w:val="004623B7"/>
    <w:rsid w:val="0046274A"/>
    <w:rsid w:val="00463A7F"/>
    <w:rsid w:val="00464CDD"/>
    <w:rsid w:val="004732DE"/>
    <w:rsid w:val="004748F1"/>
    <w:rsid w:val="00486E70"/>
    <w:rsid w:val="004907F8"/>
    <w:rsid w:val="00492336"/>
    <w:rsid w:val="00492551"/>
    <w:rsid w:val="004A6204"/>
    <w:rsid w:val="004C44DD"/>
    <w:rsid w:val="004D1C0A"/>
    <w:rsid w:val="004D7F68"/>
    <w:rsid w:val="004E010C"/>
    <w:rsid w:val="004E1B1A"/>
    <w:rsid w:val="004F2C18"/>
    <w:rsid w:val="00531BC3"/>
    <w:rsid w:val="005379A1"/>
    <w:rsid w:val="0056207D"/>
    <w:rsid w:val="005624BA"/>
    <w:rsid w:val="00564B4B"/>
    <w:rsid w:val="00585660"/>
    <w:rsid w:val="00590DFB"/>
    <w:rsid w:val="0059559E"/>
    <w:rsid w:val="005C6252"/>
    <w:rsid w:val="005E3B9E"/>
    <w:rsid w:val="005E6785"/>
    <w:rsid w:val="00600CC4"/>
    <w:rsid w:val="00604E2A"/>
    <w:rsid w:val="0060550B"/>
    <w:rsid w:val="0061517A"/>
    <w:rsid w:val="00621D34"/>
    <w:rsid w:val="006245F2"/>
    <w:rsid w:val="0062577F"/>
    <w:rsid w:val="0063017B"/>
    <w:rsid w:val="006343D5"/>
    <w:rsid w:val="00643B5E"/>
    <w:rsid w:val="006445ED"/>
    <w:rsid w:val="00651814"/>
    <w:rsid w:val="00652110"/>
    <w:rsid w:val="0065755E"/>
    <w:rsid w:val="00663D4B"/>
    <w:rsid w:val="00665D83"/>
    <w:rsid w:val="006902D1"/>
    <w:rsid w:val="00690B87"/>
    <w:rsid w:val="00691A0C"/>
    <w:rsid w:val="006926EE"/>
    <w:rsid w:val="006A2998"/>
    <w:rsid w:val="006B0E21"/>
    <w:rsid w:val="006B1C2A"/>
    <w:rsid w:val="006B4E94"/>
    <w:rsid w:val="006D553C"/>
    <w:rsid w:val="006E197E"/>
    <w:rsid w:val="006E75DB"/>
    <w:rsid w:val="006F3C77"/>
    <w:rsid w:val="006F432D"/>
    <w:rsid w:val="0071083C"/>
    <w:rsid w:val="007121D4"/>
    <w:rsid w:val="007144ED"/>
    <w:rsid w:val="007370F7"/>
    <w:rsid w:val="0074147E"/>
    <w:rsid w:val="00741A16"/>
    <w:rsid w:val="00757AC7"/>
    <w:rsid w:val="007616DD"/>
    <w:rsid w:val="0077237D"/>
    <w:rsid w:val="00773291"/>
    <w:rsid w:val="00781600"/>
    <w:rsid w:val="00792FA5"/>
    <w:rsid w:val="00795492"/>
    <w:rsid w:val="007B4BF8"/>
    <w:rsid w:val="007C5467"/>
    <w:rsid w:val="007C7232"/>
    <w:rsid w:val="007D69FB"/>
    <w:rsid w:val="007E3800"/>
    <w:rsid w:val="007E691B"/>
    <w:rsid w:val="007F0B08"/>
    <w:rsid w:val="007F6A91"/>
    <w:rsid w:val="0081075F"/>
    <w:rsid w:val="00813A7B"/>
    <w:rsid w:val="00831087"/>
    <w:rsid w:val="008350E6"/>
    <w:rsid w:val="00836FEE"/>
    <w:rsid w:val="008433EE"/>
    <w:rsid w:val="00845404"/>
    <w:rsid w:val="00856BE4"/>
    <w:rsid w:val="008622B4"/>
    <w:rsid w:val="00863F94"/>
    <w:rsid w:val="008706D1"/>
    <w:rsid w:val="008721CD"/>
    <w:rsid w:val="0088128F"/>
    <w:rsid w:val="0088264B"/>
    <w:rsid w:val="008851EF"/>
    <w:rsid w:val="00885F26"/>
    <w:rsid w:val="008B12F1"/>
    <w:rsid w:val="008B7AD1"/>
    <w:rsid w:val="008E764D"/>
    <w:rsid w:val="008F43A1"/>
    <w:rsid w:val="008F68EE"/>
    <w:rsid w:val="008F69D4"/>
    <w:rsid w:val="00900AAC"/>
    <w:rsid w:val="0090489C"/>
    <w:rsid w:val="009052F1"/>
    <w:rsid w:val="009074DD"/>
    <w:rsid w:val="00911213"/>
    <w:rsid w:val="00922398"/>
    <w:rsid w:val="0092626C"/>
    <w:rsid w:val="00927BDC"/>
    <w:rsid w:val="00942762"/>
    <w:rsid w:val="00945EA1"/>
    <w:rsid w:val="0095217A"/>
    <w:rsid w:val="00952415"/>
    <w:rsid w:val="0096019F"/>
    <w:rsid w:val="0096630A"/>
    <w:rsid w:val="00973BFA"/>
    <w:rsid w:val="009776EF"/>
    <w:rsid w:val="009831E8"/>
    <w:rsid w:val="00991629"/>
    <w:rsid w:val="0099296A"/>
    <w:rsid w:val="00995EC1"/>
    <w:rsid w:val="009972E8"/>
    <w:rsid w:val="009A025B"/>
    <w:rsid w:val="009A04C6"/>
    <w:rsid w:val="009A1094"/>
    <w:rsid w:val="009B0427"/>
    <w:rsid w:val="009B333C"/>
    <w:rsid w:val="009B72E4"/>
    <w:rsid w:val="009C2774"/>
    <w:rsid w:val="009D3CEA"/>
    <w:rsid w:val="009E16B7"/>
    <w:rsid w:val="009E5FB7"/>
    <w:rsid w:val="009E62D5"/>
    <w:rsid w:val="009F5860"/>
    <w:rsid w:val="009F6808"/>
    <w:rsid w:val="00A002C0"/>
    <w:rsid w:val="00A31FC8"/>
    <w:rsid w:val="00A37DAD"/>
    <w:rsid w:val="00A4064D"/>
    <w:rsid w:val="00A51839"/>
    <w:rsid w:val="00A52883"/>
    <w:rsid w:val="00A610B5"/>
    <w:rsid w:val="00A61C11"/>
    <w:rsid w:val="00A7528E"/>
    <w:rsid w:val="00A8201F"/>
    <w:rsid w:val="00A8639D"/>
    <w:rsid w:val="00A927F3"/>
    <w:rsid w:val="00A960AC"/>
    <w:rsid w:val="00AA5525"/>
    <w:rsid w:val="00AB0F04"/>
    <w:rsid w:val="00AC38CE"/>
    <w:rsid w:val="00AC6E9F"/>
    <w:rsid w:val="00AD073D"/>
    <w:rsid w:val="00AD5D98"/>
    <w:rsid w:val="00AE4668"/>
    <w:rsid w:val="00AF1E18"/>
    <w:rsid w:val="00AF5BD3"/>
    <w:rsid w:val="00AF6AF0"/>
    <w:rsid w:val="00AF79DE"/>
    <w:rsid w:val="00B06D72"/>
    <w:rsid w:val="00B11877"/>
    <w:rsid w:val="00B12402"/>
    <w:rsid w:val="00B14726"/>
    <w:rsid w:val="00B31F93"/>
    <w:rsid w:val="00B32C0A"/>
    <w:rsid w:val="00B3445F"/>
    <w:rsid w:val="00B35CF3"/>
    <w:rsid w:val="00B37A83"/>
    <w:rsid w:val="00B40439"/>
    <w:rsid w:val="00B45F36"/>
    <w:rsid w:val="00B62CB2"/>
    <w:rsid w:val="00B6609F"/>
    <w:rsid w:val="00B70E47"/>
    <w:rsid w:val="00B747A6"/>
    <w:rsid w:val="00B768AF"/>
    <w:rsid w:val="00B80D0D"/>
    <w:rsid w:val="00B8704E"/>
    <w:rsid w:val="00B97F9C"/>
    <w:rsid w:val="00BB55BA"/>
    <w:rsid w:val="00BC0C24"/>
    <w:rsid w:val="00BC27B3"/>
    <w:rsid w:val="00BD30E2"/>
    <w:rsid w:val="00BD3951"/>
    <w:rsid w:val="00BD3D10"/>
    <w:rsid w:val="00BD7DB1"/>
    <w:rsid w:val="00BE29EC"/>
    <w:rsid w:val="00C23013"/>
    <w:rsid w:val="00C31A96"/>
    <w:rsid w:val="00C40200"/>
    <w:rsid w:val="00C41FD1"/>
    <w:rsid w:val="00C561EB"/>
    <w:rsid w:val="00C57B35"/>
    <w:rsid w:val="00C64754"/>
    <w:rsid w:val="00C7270E"/>
    <w:rsid w:val="00C87F5D"/>
    <w:rsid w:val="00C910E4"/>
    <w:rsid w:val="00C97B81"/>
    <w:rsid w:val="00CA0E4F"/>
    <w:rsid w:val="00CB3B72"/>
    <w:rsid w:val="00CD4DCD"/>
    <w:rsid w:val="00CE7840"/>
    <w:rsid w:val="00D05776"/>
    <w:rsid w:val="00D06BB4"/>
    <w:rsid w:val="00D06E22"/>
    <w:rsid w:val="00D10850"/>
    <w:rsid w:val="00D12AB7"/>
    <w:rsid w:val="00D24E1B"/>
    <w:rsid w:val="00D41D74"/>
    <w:rsid w:val="00D42E6E"/>
    <w:rsid w:val="00D44E52"/>
    <w:rsid w:val="00D503E3"/>
    <w:rsid w:val="00D515C9"/>
    <w:rsid w:val="00D5792C"/>
    <w:rsid w:val="00D6367E"/>
    <w:rsid w:val="00D706F2"/>
    <w:rsid w:val="00D74632"/>
    <w:rsid w:val="00D80A34"/>
    <w:rsid w:val="00D94E44"/>
    <w:rsid w:val="00D9735B"/>
    <w:rsid w:val="00DA6893"/>
    <w:rsid w:val="00DB1D4E"/>
    <w:rsid w:val="00DB318A"/>
    <w:rsid w:val="00DC0163"/>
    <w:rsid w:val="00DD489A"/>
    <w:rsid w:val="00DF1D98"/>
    <w:rsid w:val="00E05546"/>
    <w:rsid w:val="00E13A09"/>
    <w:rsid w:val="00E149E8"/>
    <w:rsid w:val="00E20DF5"/>
    <w:rsid w:val="00E3088C"/>
    <w:rsid w:val="00E43CA7"/>
    <w:rsid w:val="00E45550"/>
    <w:rsid w:val="00E557E3"/>
    <w:rsid w:val="00E7056F"/>
    <w:rsid w:val="00E70CF7"/>
    <w:rsid w:val="00E745C3"/>
    <w:rsid w:val="00E75292"/>
    <w:rsid w:val="00E81388"/>
    <w:rsid w:val="00E83F8B"/>
    <w:rsid w:val="00E8584B"/>
    <w:rsid w:val="00E93BA3"/>
    <w:rsid w:val="00E94A1A"/>
    <w:rsid w:val="00EA52DA"/>
    <w:rsid w:val="00EA5B14"/>
    <w:rsid w:val="00ED3152"/>
    <w:rsid w:val="00EE0A66"/>
    <w:rsid w:val="00EE330A"/>
    <w:rsid w:val="00EE50A0"/>
    <w:rsid w:val="00EE67A6"/>
    <w:rsid w:val="00EE7449"/>
    <w:rsid w:val="00EF65B8"/>
    <w:rsid w:val="00F16C82"/>
    <w:rsid w:val="00F17057"/>
    <w:rsid w:val="00F17D0F"/>
    <w:rsid w:val="00F2014E"/>
    <w:rsid w:val="00F207E6"/>
    <w:rsid w:val="00F252C3"/>
    <w:rsid w:val="00F43E83"/>
    <w:rsid w:val="00F50C5B"/>
    <w:rsid w:val="00F53569"/>
    <w:rsid w:val="00F53948"/>
    <w:rsid w:val="00F62836"/>
    <w:rsid w:val="00F62E17"/>
    <w:rsid w:val="00F647FA"/>
    <w:rsid w:val="00F64C8A"/>
    <w:rsid w:val="00F92362"/>
    <w:rsid w:val="00F95FD7"/>
    <w:rsid w:val="00F961DD"/>
    <w:rsid w:val="00FA0435"/>
    <w:rsid w:val="00FA0517"/>
    <w:rsid w:val="00FA1C4A"/>
    <w:rsid w:val="00FA4E29"/>
    <w:rsid w:val="00FB4837"/>
    <w:rsid w:val="00FD039F"/>
    <w:rsid w:val="00FE568B"/>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A32D5"/>
  <w15:docId w15:val="{BEDDB35C-9409-4D88-98C8-A35DC480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8706D1"/>
    <w:pPr>
      <w:keepNext/>
      <w:spacing w:before="240" w:after="60"/>
      <w:outlineLvl w:val="1"/>
    </w:pPr>
    <w:rPr>
      <w:rFonts w:ascii="Calibri Light" w:eastAsia="SimSun" w:hAnsi="Calibri Light"/>
      <w:b/>
      <w:bCs/>
      <w:i/>
      <w:iCs/>
      <w:sz w:val="28"/>
      <w:szCs w:val="28"/>
    </w:rPr>
  </w:style>
  <w:style w:type="paragraph" w:styleId="Heading3">
    <w:name w:val="heading 3"/>
    <w:basedOn w:val="Normal"/>
    <w:next w:val="Normal"/>
    <w:link w:val="Heading3Char"/>
    <w:uiPriority w:val="9"/>
    <w:semiHidden/>
    <w:unhideWhenUsed/>
    <w:qFormat/>
    <w:rsid w:val="008706D1"/>
    <w:pPr>
      <w:keepNext/>
      <w:spacing w:before="240" w:after="60"/>
      <w:outlineLvl w:val="2"/>
    </w:pPr>
    <w:rPr>
      <w:rFonts w:ascii="Calibri Light" w:eastAsia="SimSun" w:hAnsi="Calibri Light"/>
      <w:b/>
      <w:bCs/>
      <w:sz w:val="26"/>
      <w:szCs w:val="26"/>
    </w:rPr>
  </w:style>
  <w:style w:type="paragraph" w:styleId="Heading4">
    <w:name w:val="heading 4"/>
    <w:basedOn w:val="Normal"/>
    <w:next w:val="Normal"/>
    <w:link w:val="Heading4Char"/>
    <w:uiPriority w:val="9"/>
    <w:semiHidden/>
    <w:unhideWhenUsed/>
    <w:qFormat/>
    <w:rsid w:val="008706D1"/>
    <w:pPr>
      <w:keepNext/>
      <w:spacing w:before="240" w:after="60"/>
      <w:outlineLvl w:val="3"/>
    </w:pPr>
    <w:rPr>
      <w:rFonts w:eastAsia="SimSu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lang w:val="en-US" w:eastAsia="en-US"/>
    </w:rPr>
  </w:style>
  <w:style w:type="table" w:styleId="TableGrid">
    <w:name w:val="Table Grid"/>
    <w:basedOn w:val="TableNormal"/>
    <w:uiPriority w:val="3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rPr>
  </w:style>
  <w:style w:type="character" w:customStyle="1" w:styleId="UnresolvedMention">
    <w:name w:val="Unresolved Mention"/>
    <w:uiPriority w:val="99"/>
    <w:semiHidden/>
    <w:unhideWhenUsed/>
    <w:rsid w:val="00102CAF"/>
    <w:rPr>
      <w:color w:val="808080"/>
      <w:shd w:val="clear" w:color="auto" w:fill="E6E6E6"/>
    </w:rPr>
  </w:style>
  <w:style w:type="character" w:customStyle="1" w:styleId="Heading2Char">
    <w:name w:val="Heading 2 Char"/>
    <w:link w:val="Heading2"/>
    <w:uiPriority w:val="9"/>
    <w:semiHidden/>
    <w:rsid w:val="008706D1"/>
    <w:rPr>
      <w:rFonts w:ascii="Calibri Light" w:eastAsia="SimSun" w:hAnsi="Calibri Light" w:cs="Times New Roman"/>
      <w:b/>
      <w:bCs/>
      <w:i/>
      <w:iCs/>
      <w:sz w:val="28"/>
      <w:szCs w:val="28"/>
      <w:lang w:val="en-US" w:eastAsia="en-US"/>
    </w:rPr>
  </w:style>
  <w:style w:type="character" w:customStyle="1" w:styleId="Heading3Char">
    <w:name w:val="Heading 3 Char"/>
    <w:link w:val="Heading3"/>
    <w:uiPriority w:val="9"/>
    <w:semiHidden/>
    <w:rsid w:val="008706D1"/>
    <w:rPr>
      <w:rFonts w:ascii="Calibri Light" w:eastAsia="SimSun" w:hAnsi="Calibri Light" w:cs="Times New Roman"/>
      <w:b/>
      <w:bCs/>
      <w:sz w:val="26"/>
      <w:szCs w:val="26"/>
      <w:lang w:val="en-US" w:eastAsia="en-US"/>
    </w:rPr>
  </w:style>
  <w:style w:type="character" w:customStyle="1" w:styleId="Heading4Char">
    <w:name w:val="Heading 4 Char"/>
    <w:link w:val="Heading4"/>
    <w:uiPriority w:val="9"/>
    <w:semiHidden/>
    <w:rsid w:val="008706D1"/>
    <w:rPr>
      <w:rFonts w:ascii="Calibri" w:eastAsia="SimSun" w:hAnsi="Calibri"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F48FC-9B6D-4839-A53C-CD36A7D7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6415</Words>
  <Characters>36570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5</cp:revision>
  <cp:lastPrinted>2018-02-07T03:39:00Z</cp:lastPrinted>
  <dcterms:created xsi:type="dcterms:W3CDTF">2021-05-28T14:24:00Z</dcterms:created>
  <dcterms:modified xsi:type="dcterms:W3CDTF">2021-05-28T14:37:00Z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