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34B1A" w14:textId="77777777" w:rsidR="00A3720B" w:rsidRPr="0092758B" w:rsidRDefault="00252EC3">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92758B">
        <w:rPr>
          <w:rFonts w:ascii="Times New Roman" w:eastAsia="Times New Roman" w:hAnsi="Times New Roman" w:cs="Times New Roman"/>
          <w:b/>
          <w:noProof/>
          <w:lang w:val="en-MY" w:eastAsia="en-MY"/>
        </w:rPr>
        <w:drawing>
          <wp:inline distT="0" distB="0" distL="114300" distR="114300" wp14:anchorId="66E24B9F" wp14:editId="127C039B">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51E4E089" w14:textId="77777777" w:rsidR="00A3720B" w:rsidRPr="0092758B" w:rsidRDefault="00A3720B"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46C01557" w14:textId="65E1D877" w:rsidR="00B61574" w:rsidRPr="0092758B" w:rsidRDefault="00B61574" w:rsidP="00FC2D0A">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sz w:val="28"/>
          <w:szCs w:val="28"/>
        </w:rPr>
      </w:pPr>
      <w:bookmarkStart w:id="0" w:name="_Hlk52622861"/>
      <w:bookmarkEnd w:id="0"/>
      <w:r w:rsidRPr="0092758B">
        <w:rPr>
          <w:rFonts w:ascii="Times New Roman" w:eastAsia="Times New Roman" w:hAnsi="Times New Roman" w:cs="Times New Roman"/>
          <w:b/>
          <w:sz w:val="28"/>
          <w:szCs w:val="28"/>
        </w:rPr>
        <w:t xml:space="preserve">Water </w:t>
      </w:r>
      <w:r w:rsidR="004E52E3" w:rsidRPr="0092758B">
        <w:rPr>
          <w:rFonts w:ascii="Times New Roman" w:eastAsia="Times New Roman" w:hAnsi="Times New Roman" w:cs="Times New Roman"/>
          <w:b/>
          <w:sz w:val="28"/>
          <w:szCs w:val="28"/>
        </w:rPr>
        <w:t xml:space="preserve">salinity variability mapping for flooded paddy plots </w:t>
      </w:r>
      <w:r w:rsidRPr="0092758B">
        <w:rPr>
          <w:rFonts w:ascii="Times New Roman" w:eastAsia="Times New Roman" w:hAnsi="Times New Roman" w:cs="Times New Roman"/>
          <w:b/>
          <w:sz w:val="28"/>
          <w:szCs w:val="28"/>
        </w:rPr>
        <w:t>at Kuala Kedah, Malaysia</w:t>
      </w:r>
    </w:p>
    <w:p w14:paraId="1CC949CF" w14:textId="357CE6A9" w:rsidR="00A3720B" w:rsidRPr="004E52E3" w:rsidRDefault="00B61574" w:rsidP="00FC2D0A">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rPr>
      </w:pPr>
      <w:r w:rsidRPr="0092758B">
        <w:rPr>
          <w:rFonts w:ascii="Times New Roman" w:eastAsia="Times New Roman" w:hAnsi="Times New Roman" w:cs="Times New Roman"/>
          <w:b/>
          <w:sz w:val="28"/>
          <w:szCs w:val="28"/>
        </w:rPr>
        <w:t xml:space="preserve"> </w:t>
      </w:r>
    </w:p>
    <w:p w14:paraId="2DF66F0C" w14:textId="77777777" w:rsidR="00B61574" w:rsidRPr="00E17895" w:rsidRDefault="00B61574" w:rsidP="00FC2D0A">
      <w:pPr>
        <w:pBdr>
          <w:top w:val="nil"/>
          <w:left w:val="nil"/>
          <w:bottom w:val="nil"/>
          <w:right w:val="nil"/>
          <w:between w:val="nil"/>
        </w:pBdr>
        <w:spacing w:after="0" w:line="240" w:lineRule="auto"/>
        <w:ind w:leftChars="0" w:left="2" w:hanging="2"/>
        <w:jc w:val="center"/>
        <w:rPr>
          <w:rFonts w:ascii="Times New Roman" w:hAnsi="Times New Roman" w:cs="Times New Roman"/>
          <w:vertAlign w:val="superscript"/>
          <w:lang w:val="ms-MY"/>
        </w:rPr>
      </w:pPr>
      <w:r w:rsidRPr="00E17895">
        <w:rPr>
          <w:rFonts w:ascii="Times New Roman" w:hAnsi="Times New Roman" w:cs="Times New Roman"/>
          <w:lang w:val="ms-MY"/>
        </w:rPr>
        <w:t>Samera Samsuddin Sah</w:t>
      </w:r>
      <w:r w:rsidRPr="00E17895">
        <w:rPr>
          <w:rFonts w:ascii="Times New Roman" w:hAnsi="Times New Roman" w:cs="Times New Roman"/>
          <w:vertAlign w:val="superscript"/>
          <w:lang w:val="ms-MY"/>
        </w:rPr>
        <w:t>1,2</w:t>
      </w:r>
      <w:r w:rsidRPr="00E17895">
        <w:rPr>
          <w:rFonts w:ascii="Times New Roman" w:hAnsi="Times New Roman" w:cs="Times New Roman"/>
          <w:lang w:val="ms-MY"/>
        </w:rPr>
        <w:t>, Khairul Nizam Abdul Maulud</w:t>
      </w:r>
      <w:r w:rsidRPr="00E17895">
        <w:rPr>
          <w:rFonts w:ascii="Times New Roman" w:hAnsi="Times New Roman" w:cs="Times New Roman"/>
          <w:vertAlign w:val="superscript"/>
          <w:lang w:val="ms-MY"/>
        </w:rPr>
        <w:t>1,3</w:t>
      </w:r>
      <w:r w:rsidRPr="00E17895">
        <w:rPr>
          <w:rFonts w:ascii="Times New Roman" w:hAnsi="Times New Roman" w:cs="Times New Roman"/>
          <w:lang w:val="ms-MY"/>
        </w:rPr>
        <w:t>, Othman A. Karim</w:t>
      </w:r>
      <w:r w:rsidRPr="00E17895">
        <w:rPr>
          <w:rFonts w:ascii="Times New Roman" w:hAnsi="Times New Roman" w:cs="Times New Roman"/>
          <w:vertAlign w:val="superscript"/>
          <w:lang w:val="ms-MY"/>
        </w:rPr>
        <w:t>1</w:t>
      </w:r>
      <w:r w:rsidRPr="00E17895">
        <w:rPr>
          <w:rFonts w:ascii="Times New Roman" w:hAnsi="Times New Roman" w:cs="Times New Roman"/>
          <w:lang w:val="ms-MY"/>
        </w:rPr>
        <w:t>, Suraya Sharil</w:t>
      </w:r>
      <w:r w:rsidRPr="00E17895">
        <w:rPr>
          <w:rFonts w:ascii="Times New Roman" w:hAnsi="Times New Roman" w:cs="Times New Roman"/>
          <w:vertAlign w:val="superscript"/>
          <w:lang w:val="ms-MY"/>
        </w:rPr>
        <w:t>1</w:t>
      </w:r>
    </w:p>
    <w:p w14:paraId="2A6265EC" w14:textId="77777777" w:rsidR="00A3720B" w:rsidRPr="00E17895" w:rsidRDefault="00A3720B"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24484DC" w14:textId="77777777" w:rsidR="00B61574" w:rsidRPr="00E17895" w:rsidRDefault="00B61574"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ms-MY"/>
        </w:rPr>
      </w:pPr>
      <w:r w:rsidRPr="00E17895">
        <w:rPr>
          <w:rFonts w:ascii="Times New Roman" w:eastAsia="Times New Roman" w:hAnsi="Times New Roman" w:cs="Times New Roman"/>
          <w:vertAlign w:val="superscript"/>
          <w:lang w:val="ms-MY"/>
        </w:rPr>
        <w:t>1</w:t>
      </w:r>
      <w:r w:rsidRPr="00E17895">
        <w:rPr>
          <w:rFonts w:ascii="Times New Roman" w:eastAsia="Times New Roman" w:hAnsi="Times New Roman" w:cs="Times New Roman"/>
          <w:lang w:val="ms-MY"/>
        </w:rPr>
        <w:t>Department of Civil Engineering, Faculty of Engineering and Built Environment,</w:t>
      </w:r>
    </w:p>
    <w:p w14:paraId="09A9B069" w14:textId="4493ECF5" w:rsidR="00B61574" w:rsidRPr="00E17895" w:rsidRDefault="004E52E3"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ms-MY"/>
        </w:rPr>
      </w:pPr>
      <w:r w:rsidRPr="00E17895">
        <w:rPr>
          <w:rFonts w:ascii="Times New Roman" w:eastAsia="Times New Roman" w:hAnsi="Times New Roman" w:cs="Times New Roman"/>
          <w:lang w:val="ms-MY"/>
        </w:rPr>
        <w:t>Universiti Kebangsaan Malaysia</w:t>
      </w:r>
    </w:p>
    <w:p w14:paraId="4DE1605E" w14:textId="14319D0C" w:rsidR="00B61574" w:rsidRPr="00E17895" w:rsidRDefault="00B61574"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ms-MY"/>
        </w:rPr>
      </w:pPr>
      <w:r w:rsidRPr="00E17895">
        <w:rPr>
          <w:rFonts w:ascii="Times New Roman" w:eastAsia="Times New Roman" w:hAnsi="Times New Roman" w:cs="Times New Roman"/>
          <w:vertAlign w:val="superscript"/>
          <w:lang w:val="ms-MY"/>
        </w:rPr>
        <w:t>2</w:t>
      </w:r>
      <w:r w:rsidRPr="00E17895">
        <w:rPr>
          <w:rFonts w:ascii="Times New Roman" w:eastAsia="Times New Roman" w:hAnsi="Times New Roman" w:cs="Times New Roman"/>
          <w:lang w:val="ms-MY"/>
        </w:rPr>
        <w:t>Faculty of Chemical Engineering Technol</w:t>
      </w:r>
      <w:r w:rsidR="004E52E3" w:rsidRPr="00E17895">
        <w:rPr>
          <w:rFonts w:ascii="Times New Roman" w:eastAsia="Times New Roman" w:hAnsi="Times New Roman" w:cs="Times New Roman"/>
          <w:lang w:val="ms-MY"/>
        </w:rPr>
        <w:t>ogy, Universiti Malaysia Perlis</w:t>
      </w:r>
      <w:r w:rsidRPr="00E17895">
        <w:rPr>
          <w:rFonts w:ascii="Times New Roman" w:eastAsia="Times New Roman" w:hAnsi="Times New Roman" w:cs="Times New Roman"/>
          <w:lang w:val="ms-MY"/>
        </w:rPr>
        <w:t xml:space="preserve">. </w:t>
      </w:r>
    </w:p>
    <w:p w14:paraId="5A3AE724" w14:textId="73EFEF74" w:rsidR="00B61574" w:rsidRPr="00E17895" w:rsidRDefault="00B61574"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ms-MY"/>
        </w:rPr>
      </w:pPr>
      <w:r w:rsidRPr="00E17895">
        <w:rPr>
          <w:rFonts w:ascii="Times New Roman" w:eastAsia="Times New Roman" w:hAnsi="Times New Roman" w:cs="Times New Roman"/>
          <w:vertAlign w:val="superscript"/>
          <w:lang w:val="ms-MY"/>
        </w:rPr>
        <w:t>3</w:t>
      </w:r>
      <w:r w:rsidRPr="00E17895">
        <w:rPr>
          <w:rFonts w:ascii="Times New Roman" w:eastAsia="Times New Roman" w:hAnsi="Times New Roman" w:cs="Times New Roman"/>
          <w:lang w:val="ms-MY"/>
        </w:rPr>
        <w:t xml:space="preserve">Earth Observation Centre, Institute of Climate Change, </w:t>
      </w:r>
      <w:r w:rsidR="004E52E3" w:rsidRPr="00E17895">
        <w:rPr>
          <w:rFonts w:ascii="Times New Roman" w:eastAsia="Times New Roman" w:hAnsi="Times New Roman" w:cs="Times New Roman"/>
          <w:lang w:val="ms-MY"/>
        </w:rPr>
        <w:t>Universiti Kebangsaan Malaysia</w:t>
      </w:r>
    </w:p>
    <w:p w14:paraId="15280AAD" w14:textId="77777777" w:rsidR="00A3720B" w:rsidRPr="00E17895" w:rsidRDefault="00A3720B"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C2E4792" w14:textId="2958ABBD" w:rsidR="00A3720B" w:rsidRPr="00E17895" w:rsidRDefault="00252EC3"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E17895">
        <w:rPr>
          <w:rFonts w:ascii="Times New Roman" w:eastAsia="Times New Roman" w:hAnsi="Times New Roman" w:cs="Times New Roman"/>
        </w:rPr>
        <w:t xml:space="preserve">Correspondence: </w:t>
      </w:r>
      <w:r w:rsidR="00B61574" w:rsidRPr="00E17895">
        <w:rPr>
          <w:rFonts w:ascii="Times New Roman" w:hAnsi="Times New Roman" w:cs="Times New Roman"/>
          <w:lang w:val="ms-MY"/>
        </w:rPr>
        <w:t>Khairul Nizam Abdul Maulud</w:t>
      </w:r>
      <w:r w:rsidR="00B61574" w:rsidRPr="00E17895">
        <w:rPr>
          <w:rFonts w:ascii="Times New Roman" w:hAnsi="Times New Roman" w:cs="Times New Roman"/>
          <w:vertAlign w:val="superscript"/>
          <w:lang w:val="ms-MY"/>
        </w:rPr>
        <w:t xml:space="preserve"> </w:t>
      </w:r>
      <w:r w:rsidRPr="00E17895">
        <w:rPr>
          <w:rFonts w:ascii="Times New Roman" w:eastAsia="Times New Roman" w:hAnsi="Times New Roman" w:cs="Times New Roman"/>
        </w:rPr>
        <w:t xml:space="preserve">(email: </w:t>
      </w:r>
      <w:r w:rsidR="00B61574" w:rsidRPr="00E17895">
        <w:rPr>
          <w:rFonts w:ascii="Times New Roman" w:eastAsia="Times New Roman" w:hAnsi="Times New Roman" w:cs="Times New Roman"/>
          <w:iCs/>
        </w:rPr>
        <w:t>knam@ukm.edu.my)</w:t>
      </w:r>
    </w:p>
    <w:p w14:paraId="7F4BDB62" w14:textId="77777777" w:rsidR="00A3720B" w:rsidRPr="00E17895" w:rsidRDefault="00A3720B"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9DB9C6E" w14:textId="77777777" w:rsidR="004E52E3" w:rsidRPr="00E17895" w:rsidRDefault="004E52E3" w:rsidP="00FC2D0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1810FBE6" w14:textId="63A0FA76" w:rsidR="00FC2D0A" w:rsidRPr="00E17895" w:rsidRDefault="00FC2D0A" w:rsidP="00FC2D0A">
      <w:pPr>
        <w:spacing w:after="0" w:line="240" w:lineRule="auto"/>
        <w:ind w:left="0" w:hanging="2"/>
        <w:rPr>
          <w:rFonts w:ascii="Times New Roman" w:eastAsia="Times New Roman" w:hAnsi="Times New Roman" w:cs="Times New Roman"/>
          <w:bCs/>
        </w:rPr>
      </w:pPr>
      <w:r w:rsidRPr="00E17895">
        <w:rPr>
          <w:rFonts w:ascii="Times New Roman" w:hAnsi="Times New Roman" w:cs="Times New Roman"/>
          <w:color w:val="000000"/>
        </w:rPr>
        <w:t>Received: </w:t>
      </w:r>
      <w:r w:rsidR="00E17895">
        <w:rPr>
          <w:rFonts w:ascii="Times New Roman" w:hAnsi="Times New Roman" w:cs="Times New Roman"/>
          <w:color w:val="000000"/>
        </w:rPr>
        <w:t>14</w:t>
      </w:r>
      <w:r w:rsidRPr="00E17895">
        <w:rPr>
          <w:rFonts w:ascii="Times New Roman" w:hAnsi="Times New Roman" w:cs="Times New Roman"/>
          <w:color w:val="000000"/>
        </w:rPr>
        <w:t xml:space="preserve"> </w:t>
      </w:r>
      <w:r w:rsidR="00E17895">
        <w:rPr>
          <w:rFonts w:ascii="Times New Roman" w:hAnsi="Times New Roman" w:cs="Times New Roman"/>
          <w:color w:val="000000"/>
        </w:rPr>
        <w:t>October</w:t>
      </w:r>
      <w:r w:rsidRPr="00E17895">
        <w:rPr>
          <w:rFonts w:ascii="Times New Roman" w:hAnsi="Times New Roman" w:cs="Times New Roman"/>
          <w:color w:val="000000"/>
        </w:rPr>
        <w:t xml:space="preserve"> 202</w:t>
      </w:r>
      <w:r w:rsidR="00E17895">
        <w:rPr>
          <w:rFonts w:ascii="Times New Roman" w:hAnsi="Times New Roman" w:cs="Times New Roman"/>
          <w:color w:val="000000"/>
        </w:rPr>
        <w:t>0</w:t>
      </w:r>
      <w:r w:rsidRPr="00E17895">
        <w:rPr>
          <w:rFonts w:ascii="Times New Roman" w:hAnsi="Times New Roman" w:cs="Times New Roman"/>
          <w:color w:val="000000"/>
        </w:rPr>
        <w:t xml:space="preserve">; Accepted: </w:t>
      </w:r>
      <w:r w:rsidR="00E17895">
        <w:rPr>
          <w:rFonts w:ascii="Times New Roman" w:hAnsi="Times New Roman" w:cs="Times New Roman"/>
          <w:color w:val="000000"/>
        </w:rPr>
        <w:t>17</w:t>
      </w:r>
      <w:r w:rsidRPr="00E17895">
        <w:rPr>
          <w:rFonts w:ascii="Times New Roman" w:hAnsi="Times New Roman" w:cs="Times New Roman"/>
          <w:color w:val="000000"/>
        </w:rPr>
        <w:t xml:space="preserve"> </w:t>
      </w:r>
      <w:r w:rsidR="00E17895">
        <w:rPr>
          <w:rFonts w:ascii="Times New Roman" w:hAnsi="Times New Roman" w:cs="Times New Roman"/>
          <w:color w:val="000000"/>
        </w:rPr>
        <w:t>December</w:t>
      </w:r>
      <w:r w:rsidRPr="00E17895">
        <w:rPr>
          <w:rFonts w:ascii="Times New Roman" w:hAnsi="Times New Roman" w:cs="Times New Roman"/>
          <w:color w:val="000000"/>
        </w:rPr>
        <w:t xml:space="preserve"> 202</w:t>
      </w:r>
      <w:r w:rsidR="00E17895">
        <w:rPr>
          <w:rFonts w:ascii="Times New Roman" w:hAnsi="Times New Roman" w:cs="Times New Roman"/>
          <w:color w:val="000000"/>
        </w:rPr>
        <w:t>0</w:t>
      </w:r>
      <w:r w:rsidRPr="00E17895">
        <w:rPr>
          <w:rFonts w:ascii="Times New Roman" w:hAnsi="Times New Roman" w:cs="Times New Roman"/>
          <w:color w:val="000000"/>
        </w:rPr>
        <w:t>; Published: 30 November 2021</w:t>
      </w:r>
    </w:p>
    <w:p w14:paraId="6AA2BD70" w14:textId="77777777" w:rsidR="00A3720B" w:rsidRPr="0092758B" w:rsidRDefault="00A3720B" w:rsidP="00FC2D0A">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004A5B0A" w14:textId="77777777" w:rsidR="00A3720B" w:rsidRPr="004E52E3" w:rsidRDefault="00252EC3" w:rsidP="00FC2D0A">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r w:rsidRPr="0092758B">
        <w:rPr>
          <w:rFonts w:ascii="Times New Roman" w:eastAsia="Times New Roman" w:hAnsi="Times New Roman" w:cs="Times New Roman"/>
          <w:b/>
        </w:rPr>
        <w:t xml:space="preserve"> </w:t>
      </w:r>
    </w:p>
    <w:p w14:paraId="3F9350F2" w14:textId="51A2F1CE" w:rsidR="00A3720B" w:rsidRPr="0092758B" w:rsidRDefault="00252EC3" w:rsidP="00FC2D0A">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Abstract </w:t>
      </w:r>
    </w:p>
    <w:p w14:paraId="1195243E" w14:textId="77777777" w:rsidR="00A3720B" w:rsidRPr="004E52E3" w:rsidRDefault="00252EC3" w:rsidP="00FC2D0A">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 </w:t>
      </w:r>
    </w:p>
    <w:p w14:paraId="5D498368" w14:textId="3107891C" w:rsidR="001E0DFC" w:rsidRPr="0092758B" w:rsidRDefault="00B61574"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Salinity is an </w:t>
      </w:r>
      <w:r w:rsidR="00CE2C87" w:rsidRPr="0092758B">
        <w:rPr>
          <w:rFonts w:ascii="Times New Roman" w:eastAsia="Times New Roman" w:hAnsi="Times New Roman" w:cs="Times New Roman"/>
          <w:sz w:val="24"/>
          <w:szCs w:val="24"/>
        </w:rPr>
        <w:t xml:space="preserve">essential </w:t>
      </w:r>
      <w:r w:rsidRPr="0092758B">
        <w:rPr>
          <w:rFonts w:ascii="Times New Roman" w:eastAsia="Times New Roman" w:hAnsi="Times New Roman" w:cs="Times New Roman"/>
          <w:sz w:val="24"/>
          <w:szCs w:val="24"/>
        </w:rPr>
        <w:t>parameter in rice cultivation activity</w:t>
      </w:r>
      <w:r w:rsidR="00080EA5" w:rsidRPr="0092758B">
        <w:rPr>
          <w:rFonts w:ascii="Times New Roman" w:eastAsia="Times New Roman" w:hAnsi="Times New Roman" w:cs="Times New Roman"/>
          <w:sz w:val="24"/>
          <w:szCs w:val="24"/>
        </w:rPr>
        <w:t xml:space="preserve">. It has a </w:t>
      </w:r>
      <w:r w:rsidR="00CE2C87" w:rsidRPr="0092758B">
        <w:rPr>
          <w:rFonts w:ascii="Times New Roman" w:eastAsia="Times New Roman" w:hAnsi="Times New Roman" w:cs="Times New Roman"/>
          <w:sz w:val="24"/>
          <w:szCs w:val="24"/>
        </w:rPr>
        <w:t xml:space="preserve">significant </w:t>
      </w:r>
      <w:r w:rsidR="00080EA5" w:rsidRPr="0092758B">
        <w:rPr>
          <w:rFonts w:ascii="Times New Roman" w:eastAsia="Times New Roman" w:hAnsi="Times New Roman" w:cs="Times New Roman"/>
          <w:sz w:val="24"/>
          <w:szCs w:val="24"/>
        </w:rPr>
        <w:t xml:space="preserve">impact on </w:t>
      </w:r>
      <w:r w:rsidR="00272AB2" w:rsidRPr="0092758B">
        <w:rPr>
          <w:rFonts w:ascii="Times New Roman" w:eastAsia="Times New Roman" w:hAnsi="Times New Roman" w:cs="Times New Roman"/>
          <w:sz w:val="24"/>
          <w:szCs w:val="24"/>
        </w:rPr>
        <w:t xml:space="preserve">paddy </w:t>
      </w:r>
      <w:r w:rsidR="00080EA5" w:rsidRPr="0092758B">
        <w:rPr>
          <w:rFonts w:ascii="Times New Roman" w:eastAsia="Times New Roman" w:hAnsi="Times New Roman" w:cs="Times New Roman"/>
          <w:sz w:val="24"/>
          <w:szCs w:val="24"/>
        </w:rPr>
        <w:t xml:space="preserve">growth and </w:t>
      </w:r>
      <w:r w:rsidR="00272AB2" w:rsidRPr="0092758B">
        <w:rPr>
          <w:rFonts w:ascii="Times New Roman" w:eastAsia="Times New Roman" w:hAnsi="Times New Roman" w:cs="Times New Roman"/>
          <w:sz w:val="24"/>
          <w:szCs w:val="24"/>
        </w:rPr>
        <w:t>also</w:t>
      </w:r>
      <w:r w:rsidR="00080EA5" w:rsidRPr="0092758B">
        <w:rPr>
          <w:rFonts w:ascii="Times New Roman" w:eastAsia="Times New Roman" w:hAnsi="Times New Roman" w:cs="Times New Roman"/>
          <w:sz w:val="24"/>
          <w:szCs w:val="24"/>
        </w:rPr>
        <w:t xml:space="preserve"> the yield of paddy. However, t</w:t>
      </w:r>
      <w:r w:rsidRPr="0092758B">
        <w:rPr>
          <w:rFonts w:ascii="Times New Roman" w:eastAsia="Times New Roman" w:hAnsi="Times New Roman" w:cs="Times New Roman"/>
          <w:sz w:val="24"/>
          <w:szCs w:val="24"/>
        </w:rPr>
        <w:t>he level of salinity concentration in paddy plots depends on the surrounding conditions. The distance of the paddy area from the coastline</w:t>
      </w:r>
      <w:r w:rsidR="00080EA5"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the temperature and intensity of rainfall </w:t>
      </w:r>
      <w:r w:rsidR="00080EA5" w:rsidRPr="0092758B">
        <w:rPr>
          <w:rFonts w:ascii="Times New Roman" w:eastAsia="Times New Roman" w:hAnsi="Times New Roman" w:cs="Times New Roman"/>
          <w:sz w:val="24"/>
          <w:szCs w:val="24"/>
        </w:rPr>
        <w:t>should</w:t>
      </w:r>
      <w:r w:rsidRPr="0092758B">
        <w:rPr>
          <w:rFonts w:ascii="Times New Roman" w:eastAsia="Times New Roman" w:hAnsi="Times New Roman" w:cs="Times New Roman"/>
          <w:sz w:val="24"/>
          <w:szCs w:val="24"/>
        </w:rPr>
        <w:t xml:space="preserve"> be considered in studies involving water quality. </w:t>
      </w:r>
      <w:r w:rsidR="00080EA5" w:rsidRPr="0092758B">
        <w:rPr>
          <w:rFonts w:ascii="Times New Roman" w:eastAsia="Times New Roman" w:hAnsi="Times New Roman" w:cs="Times New Roman"/>
          <w:sz w:val="24"/>
          <w:szCs w:val="24"/>
        </w:rPr>
        <w:t xml:space="preserve">Additionally, the tide of events is also included in this study because of the position of the study area near the coastline. </w:t>
      </w:r>
      <w:r w:rsidRPr="0092758B">
        <w:rPr>
          <w:rFonts w:ascii="Times New Roman" w:eastAsia="Times New Roman" w:hAnsi="Times New Roman" w:cs="Times New Roman"/>
          <w:sz w:val="24"/>
          <w:szCs w:val="24"/>
        </w:rPr>
        <w:t xml:space="preserve">Therefore, </w:t>
      </w:r>
      <w:r w:rsidR="009366E8" w:rsidRPr="0092758B">
        <w:rPr>
          <w:rFonts w:ascii="Times New Roman" w:eastAsia="Times New Roman" w:hAnsi="Times New Roman" w:cs="Times New Roman"/>
          <w:sz w:val="24"/>
          <w:szCs w:val="24"/>
        </w:rPr>
        <w:t xml:space="preserve">this study was conducted to assess the level of salinity in two different </w:t>
      </w:r>
      <w:r w:rsidR="00342537" w:rsidRPr="0092758B">
        <w:rPr>
          <w:rFonts w:ascii="Times New Roman" w:eastAsia="Times New Roman" w:hAnsi="Times New Roman" w:cs="Times New Roman"/>
          <w:sz w:val="24"/>
          <w:szCs w:val="24"/>
        </w:rPr>
        <w:t xml:space="preserve">rice cultivation </w:t>
      </w:r>
      <w:r w:rsidR="009366E8" w:rsidRPr="0092758B">
        <w:rPr>
          <w:rFonts w:ascii="Times New Roman" w:eastAsia="Times New Roman" w:hAnsi="Times New Roman" w:cs="Times New Roman"/>
          <w:sz w:val="24"/>
          <w:szCs w:val="24"/>
        </w:rPr>
        <w:t xml:space="preserve">seasons and describe the level of salinity concentration using </w:t>
      </w:r>
      <w:r w:rsidR="00CE2C87" w:rsidRPr="0092758B">
        <w:rPr>
          <w:rFonts w:ascii="Times New Roman" w:eastAsia="Times New Roman" w:hAnsi="Times New Roman" w:cs="Times New Roman"/>
          <w:sz w:val="24"/>
          <w:szCs w:val="24"/>
        </w:rPr>
        <w:t xml:space="preserve">a </w:t>
      </w:r>
      <w:r w:rsidR="009366E8" w:rsidRPr="0092758B">
        <w:rPr>
          <w:rFonts w:ascii="Times New Roman" w:eastAsia="Times New Roman" w:hAnsi="Times New Roman" w:cs="Times New Roman"/>
          <w:sz w:val="24"/>
          <w:szCs w:val="24"/>
        </w:rPr>
        <w:t xml:space="preserve">salinity variability map using </w:t>
      </w:r>
      <w:r w:rsidR="00CE2C87" w:rsidRPr="0092758B">
        <w:rPr>
          <w:rFonts w:ascii="Times New Roman" w:eastAsia="Times New Roman" w:hAnsi="Times New Roman" w:cs="Times New Roman"/>
          <w:sz w:val="24"/>
          <w:szCs w:val="24"/>
        </w:rPr>
        <w:t xml:space="preserve">the </w:t>
      </w:r>
      <w:r w:rsidR="009366E8" w:rsidRPr="0092758B">
        <w:rPr>
          <w:rFonts w:ascii="Times New Roman" w:eastAsia="Times New Roman" w:hAnsi="Times New Roman" w:cs="Times New Roman"/>
          <w:sz w:val="24"/>
          <w:szCs w:val="24"/>
        </w:rPr>
        <w:t xml:space="preserve">Inverse Distance Weighted (IDW) interpolation method. </w:t>
      </w:r>
      <w:r w:rsidRPr="0092758B">
        <w:rPr>
          <w:rFonts w:ascii="Times New Roman" w:eastAsia="Times New Roman" w:hAnsi="Times New Roman" w:cs="Times New Roman"/>
          <w:sz w:val="24"/>
          <w:szCs w:val="24"/>
        </w:rPr>
        <w:t xml:space="preserve">The data collection activities involved water sampling at 44 water inlets for each paddy plot in </w:t>
      </w:r>
      <w:r w:rsidR="00080EA5" w:rsidRPr="0092758B">
        <w:rPr>
          <w:rFonts w:ascii="Times New Roman" w:eastAsia="Times New Roman" w:hAnsi="Times New Roman" w:cs="Times New Roman"/>
          <w:sz w:val="24"/>
          <w:szCs w:val="24"/>
        </w:rPr>
        <w:t xml:space="preserve">30 hectares of the </w:t>
      </w:r>
      <w:r w:rsidRPr="0092758B">
        <w:rPr>
          <w:rFonts w:ascii="Times New Roman" w:eastAsia="Times New Roman" w:hAnsi="Times New Roman" w:cs="Times New Roman"/>
          <w:sz w:val="24"/>
          <w:szCs w:val="24"/>
        </w:rPr>
        <w:t>study area</w:t>
      </w:r>
      <w:r w:rsidR="00914B19" w:rsidRPr="0092758B">
        <w:rPr>
          <w:rFonts w:ascii="Times New Roman" w:eastAsia="Times New Roman" w:hAnsi="Times New Roman" w:cs="Times New Roman"/>
          <w:sz w:val="24"/>
          <w:szCs w:val="24"/>
        </w:rPr>
        <w:t xml:space="preserve"> by referring </w:t>
      </w:r>
      <w:r w:rsidR="00CE2C87" w:rsidRPr="0092758B">
        <w:rPr>
          <w:rFonts w:ascii="Times New Roman" w:eastAsia="Times New Roman" w:hAnsi="Times New Roman" w:cs="Times New Roman"/>
          <w:sz w:val="24"/>
          <w:szCs w:val="24"/>
        </w:rPr>
        <w:t xml:space="preserve">to </w:t>
      </w:r>
      <w:r w:rsidR="00914B19" w:rsidRPr="0092758B">
        <w:rPr>
          <w:rFonts w:ascii="Times New Roman" w:eastAsia="Times New Roman" w:hAnsi="Times New Roman" w:cs="Times New Roman"/>
          <w:sz w:val="24"/>
          <w:szCs w:val="24"/>
        </w:rPr>
        <w:t>the Day After Sowing (DAS) as the paddy’s growth stage.</w:t>
      </w:r>
      <w:r w:rsidRPr="0092758B">
        <w:rPr>
          <w:rFonts w:ascii="Times New Roman" w:eastAsia="Times New Roman" w:hAnsi="Times New Roman" w:cs="Times New Roman"/>
          <w:sz w:val="24"/>
          <w:szCs w:val="24"/>
        </w:rPr>
        <w:t xml:space="preserve"> These water samples were </w:t>
      </w:r>
      <w:r w:rsidR="00F7609F" w:rsidRPr="0092758B">
        <w:rPr>
          <w:rFonts w:ascii="Times New Roman" w:eastAsia="Times New Roman" w:hAnsi="Times New Roman" w:cs="Times New Roman"/>
          <w:sz w:val="24"/>
          <w:szCs w:val="24"/>
        </w:rPr>
        <w:t xml:space="preserve">collected </w:t>
      </w:r>
      <w:r w:rsidR="004F6B40" w:rsidRPr="0092758B">
        <w:rPr>
          <w:rFonts w:ascii="Times New Roman" w:eastAsia="Times New Roman" w:hAnsi="Times New Roman" w:cs="Times New Roman"/>
          <w:sz w:val="24"/>
          <w:szCs w:val="24"/>
        </w:rPr>
        <w:t xml:space="preserve">on 10 DAS, 40 DAS, and 60 DAS </w:t>
      </w:r>
      <w:r w:rsidR="00F7609F" w:rsidRPr="0092758B">
        <w:rPr>
          <w:rFonts w:ascii="Times New Roman" w:eastAsia="Times New Roman" w:hAnsi="Times New Roman" w:cs="Times New Roman"/>
          <w:sz w:val="24"/>
          <w:szCs w:val="24"/>
        </w:rPr>
        <w:t>and</w:t>
      </w:r>
      <w:r w:rsidR="004F6B40" w:rsidRPr="0092758B">
        <w:rPr>
          <w:rFonts w:ascii="Times New Roman" w:eastAsia="Times New Roman" w:hAnsi="Times New Roman" w:cs="Times New Roman"/>
          <w:sz w:val="24"/>
          <w:szCs w:val="24"/>
        </w:rPr>
        <w:t xml:space="preserve"> subsequently</w:t>
      </w:r>
      <w:r w:rsidR="00F7609F"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tested using a portable conductivity meter namely EC500 </w:t>
      </w:r>
      <w:proofErr w:type="spellStart"/>
      <w:r w:rsidRPr="0092758B">
        <w:rPr>
          <w:rFonts w:ascii="Times New Roman" w:eastAsia="Times New Roman" w:hAnsi="Times New Roman" w:cs="Times New Roman"/>
          <w:sz w:val="24"/>
          <w:szCs w:val="24"/>
        </w:rPr>
        <w:t>Exstick</w:t>
      </w:r>
      <w:proofErr w:type="spellEnd"/>
      <w:r w:rsidRPr="0092758B">
        <w:rPr>
          <w:rFonts w:ascii="Times New Roman" w:eastAsia="Times New Roman" w:hAnsi="Times New Roman" w:cs="Times New Roman"/>
          <w:sz w:val="24"/>
          <w:szCs w:val="24"/>
        </w:rPr>
        <w:t xml:space="preserve"> II pH/Conductivity/Temperature Meter. </w:t>
      </w:r>
      <w:proofErr w:type="spellStart"/>
      <w:r w:rsidRPr="0092758B">
        <w:rPr>
          <w:rFonts w:ascii="Times New Roman" w:eastAsia="Times New Roman" w:hAnsi="Times New Roman" w:cs="Times New Roman"/>
          <w:sz w:val="24"/>
          <w:szCs w:val="24"/>
        </w:rPr>
        <w:t>Parallelly</w:t>
      </w:r>
      <w:proofErr w:type="spellEnd"/>
      <w:r w:rsidRPr="0092758B">
        <w:rPr>
          <w:rFonts w:ascii="Times New Roman" w:eastAsia="Times New Roman" w:hAnsi="Times New Roman" w:cs="Times New Roman"/>
          <w:sz w:val="24"/>
          <w:szCs w:val="24"/>
        </w:rPr>
        <w:t xml:space="preserve">, </w:t>
      </w:r>
      <w:proofErr w:type="spellStart"/>
      <w:r w:rsidRPr="0092758B">
        <w:rPr>
          <w:rFonts w:ascii="Times New Roman" w:eastAsia="Times New Roman" w:hAnsi="Times New Roman" w:cs="Times New Roman"/>
          <w:sz w:val="24"/>
          <w:szCs w:val="24"/>
        </w:rPr>
        <w:t>georeference</w:t>
      </w:r>
      <w:proofErr w:type="spellEnd"/>
      <w:r w:rsidRPr="0092758B">
        <w:rPr>
          <w:rFonts w:ascii="Times New Roman" w:eastAsia="Times New Roman" w:hAnsi="Times New Roman" w:cs="Times New Roman"/>
          <w:sz w:val="24"/>
          <w:szCs w:val="24"/>
        </w:rPr>
        <w:t xml:space="preserve"> data which is latitude, longitude and elevation were </w:t>
      </w:r>
      <w:r w:rsidR="00F7609F" w:rsidRPr="0092758B">
        <w:rPr>
          <w:rFonts w:ascii="Times New Roman" w:eastAsia="Times New Roman" w:hAnsi="Times New Roman" w:cs="Times New Roman"/>
          <w:sz w:val="24"/>
          <w:szCs w:val="24"/>
        </w:rPr>
        <w:t>gathered</w:t>
      </w:r>
      <w:r w:rsidRPr="0092758B">
        <w:rPr>
          <w:rFonts w:ascii="Times New Roman" w:eastAsia="Times New Roman" w:hAnsi="Times New Roman" w:cs="Times New Roman"/>
          <w:sz w:val="24"/>
          <w:szCs w:val="24"/>
        </w:rPr>
        <w:t xml:space="preserve"> using Garmin GPSMAP 64s. Then, these data were analyzed using the</w:t>
      </w:r>
      <w:r w:rsidR="00342537" w:rsidRPr="0092758B">
        <w:rPr>
          <w:rFonts w:ascii="Times New Roman" w:eastAsia="Times New Roman" w:hAnsi="Times New Roman" w:cs="Times New Roman"/>
          <w:sz w:val="24"/>
          <w:szCs w:val="24"/>
        </w:rPr>
        <w:t xml:space="preserve"> IDW interpolation</w:t>
      </w:r>
      <w:r w:rsidRPr="0092758B">
        <w:rPr>
          <w:rFonts w:ascii="Times New Roman" w:eastAsia="Times New Roman" w:hAnsi="Times New Roman" w:cs="Times New Roman"/>
          <w:sz w:val="24"/>
          <w:szCs w:val="24"/>
        </w:rPr>
        <w:t xml:space="preserve"> method in ArcGIS</w:t>
      </w:r>
      <w:r w:rsidR="00F7609F" w:rsidRPr="0092758B">
        <w:rPr>
          <w:rFonts w:ascii="Times New Roman" w:eastAsia="Times New Roman" w:hAnsi="Times New Roman" w:cs="Times New Roman"/>
          <w:sz w:val="24"/>
          <w:szCs w:val="24"/>
        </w:rPr>
        <w:t xml:space="preserve"> software</w:t>
      </w:r>
      <w:r w:rsidRPr="0092758B">
        <w:rPr>
          <w:rFonts w:ascii="Times New Roman" w:eastAsia="Times New Roman" w:hAnsi="Times New Roman" w:cs="Times New Roman"/>
          <w:sz w:val="24"/>
          <w:szCs w:val="24"/>
        </w:rPr>
        <w:t xml:space="preserve"> and comes with salinity variability maps. </w:t>
      </w:r>
      <w:r w:rsidR="00934722" w:rsidRPr="0092758B">
        <w:rPr>
          <w:rFonts w:ascii="Times New Roman" w:eastAsia="Times New Roman" w:hAnsi="Times New Roman" w:cs="Times New Roman"/>
          <w:sz w:val="24"/>
          <w:szCs w:val="24"/>
        </w:rPr>
        <w:t xml:space="preserve">The produced maps give an overview of the salinity concentration distribution by color scale range. </w:t>
      </w:r>
      <w:r w:rsidR="00342537" w:rsidRPr="0092758B">
        <w:rPr>
          <w:rFonts w:ascii="Times New Roman" w:eastAsia="Times New Roman" w:hAnsi="Times New Roman" w:cs="Times New Roman"/>
          <w:sz w:val="24"/>
          <w:szCs w:val="24"/>
        </w:rPr>
        <w:t>Based on these salinity variability maps, the highest salinity concentration was recorded on</w:t>
      </w:r>
      <w:r w:rsidR="00AC5E7B" w:rsidRPr="0092758B">
        <w:rPr>
          <w:rFonts w:ascii="Times New Roman" w:eastAsia="Times New Roman" w:hAnsi="Times New Roman" w:cs="Times New Roman"/>
          <w:sz w:val="24"/>
          <w:szCs w:val="24"/>
        </w:rPr>
        <w:t xml:space="preserve"> </w:t>
      </w:r>
      <w:r w:rsidR="00342537" w:rsidRPr="0092758B">
        <w:rPr>
          <w:rFonts w:ascii="Times New Roman" w:eastAsia="Times New Roman" w:hAnsi="Times New Roman" w:cs="Times New Roman"/>
          <w:sz w:val="24"/>
          <w:szCs w:val="24"/>
        </w:rPr>
        <w:t>10 DAS and 60 DAS during Season 1 2019 and Season 2 2019, respectively for both tidal events.</w:t>
      </w:r>
      <w:r w:rsidR="00AC5E7B" w:rsidRPr="0092758B">
        <w:rPr>
          <w:rFonts w:ascii="Times New Roman" w:eastAsia="Times New Roman" w:hAnsi="Times New Roman" w:cs="Times New Roman"/>
          <w:sz w:val="24"/>
          <w:szCs w:val="24"/>
        </w:rPr>
        <w:t xml:space="preserve"> </w:t>
      </w:r>
      <w:r w:rsidR="001E0DFC" w:rsidRPr="0092758B">
        <w:rPr>
          <w:rFonts w:ascii="Times New Roman" w:eastAsia="Times New Roman" w:hAnsi="Times New Roman" w:cs="Times New Roman"/>
          <w:sz w:val="24"/>
          <w:szCs w:val="24"/>
        </w:rPr>
        <w:t>This result shows that the salinity concentration trend for both seasons is different due to the amount of rainfall received and the position of the paddy plot compared to the mean temperature factor.</w:t>
      </w:r>
    </w:p>
    <w:p w14:paraId="53AD9201" w14:textId="77777777" w:rsidR="001E0DFC" w:rsidRPr="0092758B" w:rsidRDefault="001E0DFC" w:rsidP="004E52E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0DDC89A1" w14:textId="3CCA84F2"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1" w:name="_heading=h.gjdgxs" w:colFirst="0" w:colLast="0"/>
      <w:bookmarkEnd w:id="1"/>
      <w:r w:rsidRPr="0092758B">
        <w:rPr>
          <w:rFonts w:ascii="Times New Roman" w:eastAsia="Times New Roman" w:hAnsi="Times New Roman" w:cs="Times New Roman"/>
          <w:b/>
          <w:sz w:val="24"/>
          <w:szCs w:val="24"/>
        </w:rPr>
        <w:t xml:space="preserve">Keywords: </w:t>
      </w:r>
      <w:r w:rsidR="00B14234" w:rsidRPr="0092758B">
        <w:rPr>
          <w:rFonts w:ascii="Times New Roman" w:eastAsia="Times New Roman" w:hAnsi="Times New Roman" w:cs="Times New Roman"/>
          <w:bCs/>
          <w:sz w:val="24"/>
          <w:szCs w:val="24"/>
        </w:rPr>
        <w:t>GIS,</w:t>
      </w:r>
      <w:r w:rsidR="00B14234" w:rsidRPr="0092758B">
        <w:rPr>
          <w:rFonts w:ascii="Times New Roman" w:eastAsia="Times New Roman" w:hAnsi="Times New Roman" w:cs="Times New Roman"/>
          <w:b/>
          <w:sz w:val="24"/>
          <w:szCs w:val="24"/>
        </w:rPr>
        <w:t xml:space="preserve"> </w:t>
      </w:r>
      <w:r w:rsidR="004E52E3">
        <w:rPr>
          <w:rFonts w:ascii="Times New Roman" w:eastAsia="Times New Roman" w:hAnsi="Times New Roman" w:cs="Times New Roman"/>
          <w:bCs/>
          <w:sz w:val="24"/>
          <w:szCs w:val="24"/>
        </w:rPr>
        <w:t>i</w:t>
      </w:r>
      <w:r w:rsidR="00B61574" w:rsidRPr="0092758B">
        <w:rPr>
          <w:rFonts w:ascii="Times New Roman" w:eastAsia="Times New Roman" w:hAnsi="Times New Roman" w:cs="Times New Roman"/>
          <w:bCs/>
          <w:sz w:val="24"/>
          <w:szCs w:val="24"/>
        </w:rPr>
        <w:t>nterpolation,</w:t>
      </w:r>
      <w:r w:rsidR="00B61574" w:rsidRPr="0092758B">
        <w:rPr>
          <w:rFonts w:ascii="Times New Roman" w:eastAsia="Times New Roman" w:hAnsi="Times New Roman" w:cs="Times New Roman"/>
          <w:b/>
          <w:sz w:val="24"/>
          <w:szCs w:val="24"/>
        </w:rPr>
        <w:t xml:space="preserve"> </w:t>
      </w:r>
      <w:proofErr w:type="spellStart"/>
      <w:r w:rsidR="004E52E3">
        <w:rPr>
          <w:rFonts w:ascii="Times New Roman" w:eastAsia="Times New Roman" w:hAnsi="Times New Roman" w:cs="Times New Roman"/>
          <w:bCs/>
          <w:i/>
          <w:iCs/>
          <w:sz w:val="24"/>
          <w:szCs w:val="24"/>
        </w:rPr>
        <w:t>o</w:t>
      </w:r>
      <w:r w:rsidR="00B03919" w:rsidRPr="0092758B">
        <w:rPr>
          <w:rFonts w:ascii="Times New Roman" w:eastAsia="Times New Roman" w:hAnsi="Times New Roman" w:cs="Times New Roman"/>
          <w:bCs/>
          <w:i/>
          <w:iCs/>
          <w:sz w:val="24"/>
          <w:szCs w:val="24"/>
        </w:rPr>
        <w:t>ryza</w:t>
      </w:r>
      <w:proofErr w:type="spellEnd"/>
      <w:r w:rsidR="00B03919" w:rsidRPr="0092758B">
        <w:rPr>
          <w:rFonts w:ascii="Times New Roman" w:eastAsia="Times New Roman" w:hAnsi="Times New Roman" w:cs="Times New Roman"/>
          <w:bCs/>
          <w:i/>
          <w:iCs/>
          <w:sz w:val="24"/>
          <w:szCs w:val="24"/>
        </w:rPr>
        <w:t xml:space="preserve"> sativa</w:t>
      </w:r>
      <w:r w:rsidR="00B03919" w:rsidRPr="0092758B">
        <w:rPr>
          <w:rFonts w:ascii="Times New Roman" w:eastAsia="Times New Roman" w:hAnsi="Times New Roman" w:cs="Times New Roman"/>
          <w:bCs/>
          <w:sz w:val="24"/>
          <w:szCs w:val="24"/>
        </w:rPr>
        <w:t>,</w:t>
      </w:r>
      <w:r w:rsidR="00B03919" w:rsidRPr="0092758B">
        <w:rPr>
          <w:rFonts w:ascii="Times New Roman" w:eastAsia="Times New Roman" w:hAnsi="Times New Roman" w:cs="Times New Roman"/>
          <w:b/>
          <w:sz w:val="24"/>
          <w:szCs w:val="24"/>
        </w:rPr>
        <w:t xml:space="preserve"> </w:t>
      </w:r>
      <w:r w:rsidR="004E52E3" w:rsidRPr="0092758B">
        <w:rPr>
          <w:rFonts w:ascii="Times New Roman" w:eastAsia="Times New Roman" w:hAnsi="Times New Roman" w:cs="Times New Roman"/>
          <w:bCs/>
          <w:sz w:val="24"/>
          <w:szCs w:val="24"/>
        </w:rPr>
        <w:t>rice, saline water, seawater encroachment</w:t>
      </w:r>
      <w:r w:rsidR="004E52E3" w:rsidRPr="0092758B">
        <w:rPr>
          <w:rFonts w:ascii="Times New Roman" w:eastAsia="Times New Roman" w:hAnsi="Times New Roman" w:cs="Times New Roman"/>
          <w:b/>
          <w:sz w:val="24"/>
          <w:szCs w:val="24"/>
        </w:rPr>
        <w:t xml:space="preserve"> </w:t>
      </w:r>
    </w:p>
    <w:p w14:paraId="60989F68" w14:textId="77777777"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 </w:t>
      </w:r>
    </w:p>
    <w:p w14:paraId="33E121DD" w14:textId="15582C73" w:rsidR="00A3720B" w:rsidRPr="0092758B" w:rsidRDefault="00A3720B" w:rsidP="004E52E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72ADF5D1" w14:textId="77777777" w:rsidR="00E66BFF" w:rsidRPr="0092758B" w:rsidRDefault="00E66BFF" w:rsidP="004E52E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5EDCEB15" w14:textId="4BCF993F"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lastRenderedPageBreak/>
        <w:t xml:space="preserve">Introduction  </w:t>
      </w:r>
    </w:p>
    <w:p w14:paraId="5C336FA0" w14:textId="77777777"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 </w:t>
      </w:r>
    </w:p>
    <w:p w14:paraId="3AE1D5EB" w14:textId="3599EF2B" w:rsidR="00B61574" w:rsidRPr="0092758B" w:rsidRDefault="00B61574"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Water quality is an indicator that represents the current state of the water resources for particular purposes</w:t>
      </w:r>
      <w:r w:rsidR="00262142" w:rsidRPr="0092758B">
        <w:rPr>
          <w:rFonts w:ascii="Times New Roman" w:eastAsia="Times New Roman" w:hAnsi="Times New Roman" w:cs="Times New Roman"/>
          <w:sz w:val="24"/>
          <w:szCs w:val="24"/>
        </w:rPr>
        <w:t xml:space="preserve"> </w:t>
      </w:r>
      <w:r w:rsidR="00262142"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{"citationItems":[{"id":"ITEM-1","itemData":{"DOI":"10.5004/dwt.2019.23838","ISSN":"19443986","abstract":"River plan change is one of the river geomorphology change process. This study focuses on the processes of the river plan change using geographic information system (GIS), remote sensing, and water quality analysis using water quality index (WQI) parameters. Multiple linear regression (MLR)method was used to observe the relationship between river plan change and WQI. Spatial model method was applied along the mainstream of Terengganu River Basin, using GIS to further justify the impact of river plan change on water quality status. The results obtained shows that the Terengganu River Basin has been going through certain river plan changes due to increase and decrease of the river plan criteria. Based on WQI analysis, the classification of water quality is under class III. Basedon MLR, there are strong relationships between dissolved oxygen and river plan change which has value of R2 0.995, total suspended solids (TSS) with R2 0.764, and WQI with R2 0.928 during wet season, whereas during dry season, TSS and WQI showed the strong linear relationship with R2 of 0.997 and0.985, respectively. This study will appropriately act as an aid of the local enforcement to determine the problems of the river management.","author":[{"dropping-particle":"","family":"Kamarudin","given":"Mohd Khairul Amri","non-dropping-particle":"","parse-names":false,"suffix":""},{"dropping-particle":"","family":"Nalado","given":"Aliyu Muhammad","non-dropping-particle":"","parse-names":false,"suffix":""},{"dropping-particle":"","family":"Toriman","given":"Mohd Ekhwan","non-dropping-particle":"","parse-names":false,"suffix":""},{"dropping-particle":"","family":"Juahir","given":"Hafizan","non-dropping-particle":"","parse-names":false,"suffix":""},{"dropping-particle":"","family":"Umar","given":"Roslan","non-dropping-particle":"","parse-names":false,"suffix":""},{"dropping-particle":"","family":"Ismail","given":"Azimah","non-dropping-particle":"","parse-names":false,"suffix":""},{"dropping-particle":"","family":"Abd Wahab","given":"Noorjima","non-dropping-particle":"","parse-names":false,"suffix":""},{"dropping-particle":"","family":"Md Saad","given":"Muhammad Hafiz","non-dropping-particle":"","parse-names":false,"suffix":""},{"dropping-particle":"","family":"Maulud","given":"Khairul Nizam","non-dropping-particle":"","parse-names":false,"suffix":""},{"dropping-particle":"","family":"Hanafiah","given":"Marlia Mohd","non-dropping-particle":"","parse-names":false,"suffix":""},{"dropping-particle":"","family":"Mohd Saudi","given":"Ahmad Shakir","non-dropping-particle":"","parse-names":false,"suffix":""},{"dropping-particle":"","family":"Harith","given":"Hazamri","non-dropping-particle":"","parse-names":false,"suffix":""}],"container-title":"Desalination and Water Treatment","id":"ITEM-1","issued":{"date-parts":[["2019"]]},"page":"258-273","title":"Evolution of river geomorphology to water quality impact using remotesensing and GIS technique","type":"article-journal","volume":"149"},"uris":["http://www.mendeley.com/documents/?uuid=eb3c180a-c46d-4010-a778-564f60a50d43"]},{"id":"ITEM-2","itemData":{"DOI":"10.1016/j.envpol.2019.02.011","ISSN":"18736424","PMID":"30784832","abstract":"Malaysia depends heavily on rivers as a source for water supply, irrigation, and sustaining the livelihood of local communities. The evolution of land use in urban areas due to rapid development and the continuous problem of illegal discharge have had a serious adverse impact on the health of the country's waterways. Klang River requires extensive rehabilitation and remediation before its water could be utilised for a variety of purposes. A reliable and rigorous remediation work plan is needed to identify the sources and locations of streams that are constantly polluted. This study attempts to investigate the feasibility of utilising a temporal and spatial risk quotient (RQ) based analysis to make an accurate assessment of the current condition of the tributaries in the Klang River catchment area. The study relies on existing data sets on Biochemical Oxygen Demand (BOD), Chemical Oxygen Demand (COD), Total Suspended Solids (TSS), and Ammonia (NH3) to evaluate the water quality at thirty strategic locations. Analysis of ammonia pollution is not only based on the limit established for river health but was expanded to include the feasibility of using the water for water intake, recreational activities, and sustaining fish population. The temporal health of Klang River was evaluated using the Risk Matrix Approach (RMA) based on the frequency of RQ &gt; 1 and associated colour-coded hazard impacts. By using the developed RMA, the hazard level for each parameter at each location was assessed and individually mapped using Geographic Information System (GIS). The developed risk hazard mapping has high potential as one of the essential tools in making decisions for a cost-effective river restoration and rehabilitation. Spatial colour-coded hazard mapping based on the temporal risk quotient analysis for a river basin provides useful information for decision and policy making.","author":[{"dropping-particle":"","family":"Wan Mohtar","given":"Wan Hanna Melini","non-dropping-particle":"","parse-names":false,"suffix":""},{"dropping-particle":"","family":"Abdul Maulud","given":"Khairul Nizam","non-dropping-particle":"","parse-names":false,"suffix":""},{"dropping-particle":"","family":"Muhammad","given":"Nur Shazwani","non-dropping-particle":"","parse-names":false,"suffix":""},{"dropping-particle":"","family":"Sharil","given":"Suraya","non-dropping-particle":"","parse-names":false,"suffix":""},{"dropping-particle":"","family":"Yaseen","given":"Zaher Mundher","non-dropping-particle":"","parse-names":false,"suffix":""}],"container-title":"Environmental Pollution","id":"ITEM-2","issued":{"date-parts":[["2019"]]},"page":"133-144","publisher":"Elsevier Ltd","title":"Spatial and temporal risk quotient based river assessment for water resources management","type":"article-journal","volume":"248"},"uris":["http://www.mendeley.com/documents/?uuid=5d75b220-b2d8-400c-a055-9fa9f044d7e4"]},{"id":"ITEM-3","itemData":{"DOI":"10.5004/dwt.2019.23836","ISBN":"6096688691","ISSN":"19443986","abstract":"Rivers, which provide 90% of the readily available freshwater, are key components of global water resource system. Terengganu River experienced deterioration in water quality, resulting from the sedimentation, anthropogenic, geomorphology problems and unsustainable development management around the riverbasin. This study was implemented to prove the sedimentation problem especially the formation of total suspended solid (TSS) and annual sediment load (SL). The technique of analysis of primary data obtained which determine according with the procedure TSS and SL. The results showed that the highest average of TSS (mg/L) is 67.2 (wet season) and 128.2 (dry season) which are class III. While the highest turbidityis 43.57 (wet season) and 21.57 (dry season) which are Class II based on National Water Quality Standard (NWQS). The highest annual average estimation for annual SL flow out from the Terengganu River Basin is6, 846.709 tonnes/km2/year (Manir River Basin) the lowest in the Pauh River Basin is 2.850 tonnes/km2/year.The statistical analysis proved the weak regression relationship between TSS, river discharges (Q), SL and area of catchment caused by the anthropogenic factors and uncertain climate changes. Furthermore, the water in the Terengganu River was classified under class III caused by the active land use activities especially industrial and development but it is still suitable for recreational activities and safe for body contact because its water quality index is not less than 65% which early stage of Class II. The contributors of sedimentation problems are from unsustainable land use such as sand mining activities which effectively trap the bed sediments, backflow that carries out high sediments, as well as sedimentation produced due to the riverbank erosion. This study suggests the sedimentation management methods including land use settlement, cliff erosion problems, settlement and negotiable of uncontrolled development operations in Terengganu River and the integration of river management methods based on integrated river basin management in Terengganu River Basin is recommended.","author":[{"dropping-particle":"","family":"Wahab","given":"Noorjima Abd","non-dropping-particle":"","parse-names":false,"suffix":""},{"dropping-particle":"","family":"Amri Kamarudin","given":"Mohd Khairul","non-dropping-particle":"","parse-names":false,"suffix":""},{"dropping-particle":"","family":"Toriman","given":"Mohd Ekhwan","non-dropping-particle":"","parse-names":false,"suffix":""},{"dropping-particle":"","family":"Juahir","given":"Hafizan","non-dropping-particle":"","parse-names":false,"suffix":""},{"dropping-particle":"","family":"Md Saad","given":"Muhammad Hafiz","non-dropping-particle":"","parse-names":false,"suffix":""},{"dropping-particle":"","family":"Ata","given":"Frankie Marcus","non-dropping-particle":"","parse-names":false,"suffix":""},{"dropping-particle":"","family":"Ghazali","given":"Adiana","non-dropping-particle":"","parse-names":false,"suffix":""},{"dropping-particle":"","family":"Hassan","given":"Abdul Rahman","non-dropping-particle":"","parse-names":false,"suffix":""},{"dropping-particle":"","family":"Abdullah","given":"Hanif","non-dropping-particle":"","parse-names":false,"suffix":""},{"dropping-particle":"","family":"Maulud","given":"Khairul Nizam","non-dropping-particle":"","parse-names":false,"suffix":""},{"dropping-particle":"","family":"Hanafiah","given":"Marlia Mohd","non-dropping-particle":"","parse-names":false,"suffix":""},{"dropping-particle":"","family":"Harith","given":"Hazamri","non-dropping-particle":"","parse-names":false,"suffix":""}],"container-title":"Desalination and Water Treatment","id":"ITEM-3","issued":{"date-parts":[["2019"]]},"page":"228-241","title":"Sedimentation and water quality deterioration problems at Terengganu Riverbasin, Terengganu, Malaysia","type":"article-journal","volume":"149"},"uris":["http://www.mendeley.com/documents/?uuid=d2776a4a-3337-4637-89e5-4b36283f324f"]}],"mendeley":{"formattedCitation":"(Kamarudin et al., 2019; Wahab et al., 2019; Wan Mohtar, Abdul Maulud, Muhammad, Sharil, &amp; Yaseen, 2019)","plainTextFormattedCitation":"(Kamarudin et al., 2019; Wahab et al., 2019; Wan Mohtar, Abdul Maulud, Muhammad, Sharil, &amp; Yaseen, 2019)","previouslyFormattedCitation":"(Kamarudin et al., 2019; Wahab et al., 2019; Wan Mohtar, Abdul Maulud, Muhammad, Sharil, &amp; Yaseen, 2019)"},"properties":{"noteIndex":0},"schema":"https://github.com/citation-style-language/schema/raw/master/csl-citation.json"}</w:instrText>
      </w:r>
      <w:r w:rsidR="00262142"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(Kamarudin et al., 2019; Wahab et al., 2019; Wan Mohtar, Abdul Maulud, Muhammad, Sharil, &amp; Yaseen, 2019)</w:t>
      </w:r>
      <w:r w:rsidR="00262142" w:rsidRPr="0092758B">
        <w:rPr>
          <w:rFonts w:ascii="Times New Roman" w:eastAsia="Times New Roman" w:hAnsi="Times New Roman" w:cs="Times New Roman"/>
          <w:sz w:val="24"/>
          <w:szCs w:val="24"/>
        </w:rPr>
        <w:fldChar w:fldCharType="end"/>
      </w:r>
      <w:r w:rsidR="00262142" w:rsidRPr="0092758B">
        <w:rPr>
          <w:rFonts w:ascii="Times New Roman" w:eastAsia="Times New Roman" w:hAnsi="Times New Roman" w:cs="Times New Roman"/>
          <w:sz w:val="24"/>
          <w:szCs w:val="24"/>
        </w:rPr>
        <w:t>.</w:t>
      </w:r>
      <w:r w:rsidRPr="0092758B">
        <w:rPr>
          <w:rFonts w:ascii="Times New Roman" w:eastAsia="Times New Roman" w:hAnsi="Times New Roman" w:cs="Times New Roman"/>
          <w:sz w:val="24"/>
          <w:szCs w:val="24"/>
        </w:rPr>
        <w:t xml:space="preserve"> One of the water quality parameters that is often taken seriously in the agricultural industry is salinity</w:t>
      </w:r>
      <w:r w:rsidR="00B45019" w:rsidRPr="0092758B">
        <w:rPr>
          <w:rFonts w:ascii="Times New Roman" w:eastAsia="Times New Roman" w:hAnsi="Times New Roman" w:cs="Times New Roman"/>
          <w:sz w:val="24"/>
          <w:szCs w:val="24"/>
        </w:rPr>
        <w:t xml:space="preserve"> </w:t>
      </w:r>
      <w:r w:rsidR="00B45019"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{"citationItems":[{"id":"ITEM-1","itemData":{"DOI":"10.1016/j.ocecoaman.2016.06.013","ISSN":"09645691","abstract":"The Southwest (SW) region of Bangladesh is facing salinity intrusion both environmentally and anthropogenically. In that circumstance, the dominating livelihood agriculture is affected severely including soil and ground water degradation, health problems and long term effect on ecosystem. Study from the Soil Resource Development Institute (SRDI) found that, from 2000 to 2009, saline water intrusion increased up to 15 km north of the coast and in the dry season reached up to 160 km inland, entering into other interior coastal districts as well due to low flow from upstream rivers. In line with that, this article explored local people's experience with salinity intrusion in interior coast of SW region. Along with semi-structured &amp; open ended questionnaire five focus group discussions and eight interviews were conducted to outlines the relationship between food security and salinity intrusion in regards of crop production and examines the impact of salinity on the crop production. The analysis found salinity in both soil and water is favorable for rice cultivation, although yield loss in every year has increased. Community shifted from native to high yield rice varieties to increase production and cope with soil salinity, in turn, the activity increase fertilizer and pesticides usage. Additionally, oilseed, sugarcane and jute cultivation has discontinued for twelve years due to inability to cope with current salinity level. Some other reasons put forward for saline intrusion includes lack of fresh water in the dry season, and saline encroachment from sea through downstream rivers. Through identification of salinity in the study area, the study suggests to measure impacts rigorously and imply necessary adaptation even though the saline level is favorable for rice, to protect interior coast from suffering like exterior coastal districts.","author":[{"dropping-particle":"","family":"Khanom","given":"Tanzinia","non-dropping-particle":"","parse-names":false,"suffix":""}],"container-title":"Ocean and Coastal Management","id":"ITEM-1","issued":{"date-parts":[["2016"]]},"title":"Effect of salinity on food security in the context of interior coast of Bangladesh","type":"article-journal"},"uris":["http://www.mendeley.com/documents/?uuid=1269c6de-686d-47a9-a9fc-cdc16de1270c"]},{"id":"ITEM-2","itemData":{"DOI":"10.4135/9781446247501.n1321","abstract":"This study tries to quantify the impact of salinity on rice production in the south-west region of Bangladesh. Khorip is the dominant crop season in the region. The average production of rice during khorip season is 4,232 kg ha-1 in low saline areas, whereas, it is 3,760 kg ha-1 and 2,663 kg ha-1 for moderate and high saline areas, respectively. The Cobb-Douglas production function estimation results find that salinity has a negative and statistically significant influence on rice yield. This study also finds that salinity intrusion negatively influences farm profitability as well as farm performance. If the salinity of high saline area can be reduced to the threshold level, farmers will gain about 685 US$ ha-1 from increased rice yield. Salinity level needs to be controlled for realizing the benefits from an increase in production. Drainage, fresh water management for irrigation in time of dry season and spreading salt tolerant rice varieties in saline prone area are the controlling measures against salinity intrusion. Land zoning, property rights, tax for external costs associated with shrimp farming in the coastal areas of the country may be some command and control approaches to address the salinity problem. These will ultimately increase farm profitability in the saline affected areas.","author":[{"dropping-particle":"","family":"Ahmed","given":"Md.Firoz","non-dropping-particle":"","parse-names":false,"suffix":""},{"dropping-particle":"","family":"Haider","given":"Mohammed Ziaul","non-dropping-particle":"","parse-names":false,"suffix":""}],"container-title":"Environmental Science","id":"ITEM-2","issue":"4","issued":{"date-parts":[["2014"]]},"page":"135-141","title":"Impact of salinity on rice production in the south-west region of Bangladesh","type":"article-journal","volume":"9"},"uris":["http://www.mendeley.com/documents/?uuid=450c0695-0128-4107-a253-939310c46bcc"]}],"mendeley":{"formattedCitation":"(Ahmed &amp; Haider, 2014; Khanom, 2016)","plainTextFormattedCitation":"(Ahmed &amp; Haider, 2014; Khanom, 2016)","previouslyFormattedCitation":"(Ahmed &amp; Haider, 2014; Khanom, 2016)"},"properties":{"noteIndex":0},"schema":"https://github.com/citation-style-language/schema/raw/master/csl-citation.json"}</w:instrText>
      </w:r>
      <w:r w:rsidR="00B45019"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(Ahmed &amp; Haider, 2014; Khanom, 2016)</w:t>
      </w:r>
      <w:r w:rsidR="00B45019"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Salinity is a measure of the dissolved salts in the water. Salinity is usually highest during periods of low flows and increases as water levels decrease </w:t>
      </w:r>
      <w:r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{"citationItems":[{"id":"ITEM-1","itemData":{"abstract":"Water quality determines the 'goodness' of water for particular purposes. Water quality tests will give information about the health of the waterway. By testing water over a period of time, the changes in the quality of the water can be seen. Parameters that may be tested include temperature, ph, turbidity, salinity, nitrates and phosphates. An assessment of the aquatic macroinvertebrates can also provide an indication of water quality.","author":[{"dropping-particle":"","family":"Mccaffrey","given":"Stephanie","non-dropping-particle":"","parse-names":false,"suffix":""}],"id":"ITEM-1","issued":{"date-parts":[["1997"]]},"page":"0-3","title":"Water Quality Parameters &amp; indicator","type":"article-journal"},"uris":["http://www.mendeley.com/documents/?uuid=f859ef6d-0072-42e3-a4fa-2ce8f4abc410"]},{"id":"ITEM-2","itemData":{"DOI":"10.1071/FP13308","ISSN":"14454416","abstract":"Programmed cell death-associated genes, especially antiapoptosis-related genes have been reported to confer tolerance to a wide range of biotic and abiotic stresses in dicotyledonous plants such as tobacco (Nicotiana tabacum L.) and tomato (Solanum lycopersicum L.). This is the first time the antiapoptotic gene SfIAP was transformed into a monocotyledonous representative: rice (Oryza sativa L.). Transgenic rice strains expressing SfIAP were generated by the Agrobacterium-mediated transformation method and rice embryogenic calli, and assessed for their ability to confer tolerance to salt stress at both the seedling and reproductive stages using a combination of molecular, agronomical, physiological and biochemical techniques. The results show that plants expressing SfIAP have higher salt tolerance levels in comparison to the wild-type and vector controls. By preventing cell death at the onset of salt stress and maintaining the cell membrane's integrity, SfIAP transgenic rice plants can retain plant water status, ion homeostasis, photosynthetic efficiency and growth to combat salinity successfully.","author":[{"dropping-particle":"","family":"Hoang","given":"Thi My Linh","non-dropping-particle":"","parse-names":false,"suffix":""},{"dropping-particle":"","family":"Williams","given":"Brett","non-dropping-particle":"","parse-names":false,"suffix":""},{"dropping-particle":"","family":"Khanna","given":"Harjeet","non-dropping-particle":"","parse-names":false,"suffix":""},{"dropping-particle":"","family":"Dale","given":"James","non-dropping-particle":"","parse-names":false,"suffix":""},{"dropping-particle":"","family":"Mundree","given":"Sagadevan G.","non-dropping-particle":"","parse-names":false,"suffix":""}],"container-title":"Functional Plant Biology","id":"ITEM-2","issue":"11","issued":{"date-parts":[["2014"]]},"page":"1168-1177","title":"Physiological basis of salt stress tolerance in rice expressing the antiapoptotic gene SfIAP","type":"article-journal","volume":"41"},"uris":["http://www.mendeley.com/documents/?uuid=5919b86e-ed2a-4937-a18a-eafc45b8f71b"]},{"id":"ITEM-3","itemData":{"author":[{"dropping-particle":"","family":"Samsuddin Sah","given":"Samera","non-dropping-particle":"","parse-names":false,"suffix":""},{"dropping-particle":"","family":"Abdul Maulud","given":"Khairul Nizam","non-dropping-particle":"","parse-names":false,"suffix":""},{"dropping-particle":"","family":"Sharil","given":"Suraya","non-dropping-particle":"","parse-names":false,"suffix":""},{"dropping-particle":"","family":"A. Karim","given":"Othman","non-dropping-particle":"","parse-names":false,"suffix":""},{"dropping-particle":"","family":"Abdul Nahar","given":"Nur Fadzlina","non-dropping-particle":"","parse-names":false,"suffix":""}],"container-title":"Journal of Sustainability Science and Management","id":"ITEM-3","issued":{"date-parts":[["2020"]]},"title":"Impact of Saltwater Intrusion on Paddy Growth in Kuala Kedah, Malaysia","type":"article-journal"},"uris":["http://www.mendeley.com/documents/?uuid=db783329-0fa4-4a8e-8ff0-a6851164fa92"]}],"mendeley":{"formattedCitation":"(Hoang, Williams, Khanna, Dale, &amp; Mundree, 2014; Mccaffrey, 1997; Samsuddin Sah, Abdul Maulud, Sharil, A. Karim, &amp; Abdul Nahar, 2020)","plainTextFormattedCitation":"(Hoang, Williams, Khanna, Dale, &amp; Mundree, 2014; Mccaffrey, 1997; Samsuddin Sah, Abdul Maulud, Sharil, A. Karim, &amp; Abdul Nahar, 2020)","previouslyFormattedCitation":"(Hoang, Williams, Khanna, Dale, &amp; Mundree, 2014; Mccaffrey, 1997; Samsuddin Sah, Abdul Maulud, Sharil, A. Karim, &amp; Abdul Nahar, 2020)"},"properties":{"noteIndex":0},"schema":"https://github.com/citation-style-language/schema/raw/master/csl-citation.json"}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(Hoang, Williams, Khanna, Dale, &amp; Mundree, 2014; Mccaffrey, 1997; Samsuddin Sah, Abdul Maulud, Sharil, A. Karim, &amp; Abdul Nahar, 2020)</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Sources of salinity include urban and rural run-off containing salt, fertili</w:t>
      </w:r>
      <w:r w:rsidR="00841247" w:rsidRPr="0092758B">
        <w:rPr>
          <w:rFonts w:ascii="Times New Roman" w:eastAsia="Times New Roman" w:hAnsi="Times New Roman" w:cs="Times New Roman"/>
          <w:sz w:val="24"/>
          <w:szCs w:val="24"/>
        </w:rPr>
        <w:t>z</w:t>
      </w:r>
      <w:r w:rsidRPr="0092758B">
        <w:rPr>
          <w:rFonts w:ascii="Times New Roman" w:eastAsia="Times New Roman" w:hAnsi="Times New Roman" w:cs="Times New Roman"/>
          <w:sz w:val="24"/>
          <w:szCs w:val="24"/>
        </w:rPr>
        <w:t>ers and organic matter. However, areas in the tidal limit of rivers that flow into the sea will experience fluctuations in salinity between high and low tide</w:t>
      </w:r>
      <w:r w:rsidR="00493341" w:rsidRPr="0092758B">
        <w:rPr>
          <w:rFonts w:ascii="Times New Roman" w:eastAsia="Times New Roman" w:hAnsi="Times New Roman" w:cs="Times New Roman"/>
          <w:sz w:val="24"/>
          <w:szCs w:val="24"/>
        </w:rPr>
        <w:t xml:space="preserve"> </w:t>
      </w:r>
      <w:r w:rsidR="00B14234"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{"citationItems":[{"id":"ITEM-1","itemData":{"DOI":"10.4135/9781446247501.n1321","abstract":"This study tries to quantify the impact of salinity on rice production in the south-west region of Bangladesh. Khorip is the dominant crop season in the region. The average production of rice during khorip season is 4,232 kg ha-1 in low saline areas, whereas, it is 3,760 kg ha-1 and 2,663 kg ha-1 for moderate and high saline areas, respectively. The Cobb-Douglas production function estimation results find that salinity has a negative and statistically significant influence on rice yield. This study also finds that salinity intrusion negatively influences farm profitability as well as farm performance. If the salinity of high saline area can be reduced to the threshold level, farmers will gain about 685 US$ ha-1 from increased rice yield. Salinity level needs to be controlled for realizing the benefits from an increase in production. Drainage, fresh water management for irrigation in time of dry season and spreading salt tolerant rice varieties in saline prone area are the controlling measures against salinity intrusion. Land zoning, property rights, tax for external costs associated with shrimp farming in the coastal areas of the country may be some command and control approaches to address the salinity problem. These will ultimately increase farm profitability in the saline affected areas.","author":[{"dropping-particle":"","family":"Ahmed","given":"Md.Firoz","non-dropping-particle":"","parse-names":false,"suffix":""},{"dropping-particle":"","family":"Haider","given":"Mohammed Ziaul","non-dropping-particle":"","parse-names":false,"suffix":""}],"container-title":"Environmental Science","id":"ITEM-1","issue":"4","issued":{"date-parts":[["2014"]]},"page":"135-141","title":"Impact of salinity on rice production in the south-west region of Bangladesh","type":"article-journal","volume":"9"},"uris":["http://www.mendeley.com/documents/?uuid=450c0695-0128-4107-a253-939310c46bcc"]}],"mendeley":{"formattedCitation":"(Ahmed &amp; Haider, 2014)","plainTextFormattedCitation":"(Ahmed &amp; Haider, 2014)","previouslyFormattedCitation":"(Ahmed &amp; Haider, 2014)"},"properties":{"noteIndex":0},"schema":"https://github.com/citation-style-language/schema/raw/master/csl-citation.json"}</w:instrText>
      </w:r>
      <w:r w:rsidR="00B14234"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(Ahmed &amp; Haider, 2014)</w:t>
      </w:r>
      <w:r w:rsidR="00B14234"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Tide level uncertainty is related to sea level change and global climate change</w:t>
      </w:r>
      <w:r w:rsidR="00FD17FB" w:rsidRPr="0092758B">
        <w:rPr>
          <w:rFonts w:ascii="Times New Roman" w:eastAsia="Times New Roman" w:hAnsi="Times New Roman" w:cs="Times New Roman"/>
          <w:sz w:val="24"/>
          <w:szCs w:val="24"/>
        </w:rPr>
        <w:t xml:space="preserve"> </w:t>
      </w:r>
      <w:r w:rsidR="00FD17FB"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{"citationItems":[{"id":"ITEM-1","itemData":{"author":[{"dropping-particle":"","family":"Abdul Maulud","given":"Khairul Nizam","non-dropping-particle":"","parse-names":false,"suffix":""},{"dropping-particle":"","family":"Hasan","given":"Zaaim","non-dropping-particle":"","parse-names":false,"suffix":""},{"dropping-particle":"","family":"Karim","given":"Othman A.","non-dropping-particle":"","parse-names":false,"suffix":""}],"container-title":"Jurnal Kejuruteraan","id":"ITEM-1","issued":{"date-parts":[["2015"]]},"page":"103-109","title":"An Accuracy of Chart Datum in the Tidal Observation Period: Case Study for Teluk Ewa, Pulau Langkawi","type":"article-journal","volume":"27"},"uris":["http://www.mendeley.com/documents/?uuid=3dfa88f3-601b-4de6-9c07-c592e3ad13d6"]},{"id":"ITEM-2","itemData":{"DOI":"10.7763/ijet.2018.v10.1035","abstract":"Global climate change is predicted to cause an increase in sea level rise and the frequency and size of storms and storm surge. This will contribute further to the shoreline erosion; flood damage, inundation of land, saltwater intrusion into the freshwater lens aquifer, among others. The completion of sea level rise study in Malaysia by National Hydraulic Research Institute of Malaysia (NAHRIM) and Ministry of Natural Resources and Environment (NRE), several subsequent studies were proposed. One of the subsequent studies is a study on the sea level rise impact to the planning and development of the national coastal zones specifically at Klang and Kuala Langat districts. Concurrently, a study on the National Physical Plan – Coastal Zone (NPP-CZ) was prepared by the Federal Department of Town and Country Planning Malaysia. The national level study has set clear principles and strategies on coastal spatial planning and developments along the national coastline (Peninsular Malaysia)","author":[{"dropping-particle":"","family":"Hamzah","given":"A. F.","non-dropping-particle":"","parse-names":false,"suffix":""},{"dropping-particle":"","family":"Abd Hamid","given":"M. R.","non-dropping-particle":"","parse-names":false,"suffix":""},{"dropping-particle":"","family":"Mohamad","given":"M. F.","non-dropping-particle":"","parse-names":false,"suffix":""},{"dropping-particle":"","family":"Mohd Shah","given":"A.","non-dropping-particle":"","parse-names":false,"suffix":""},{"dropping-particle":"","family":"Awang","given":"N. A.","non-dropping-particle":"","parse-names":false,"suffix":""}],"container-title":"International Journal of Engineering and Technology","id":"ITEM-2","issue":"1","issued":{"date-parts":[["2018"]]},"page":"59-64","title":"Impact of Sea Level Rise Due to Climate Change: Case Study of Klang and Kuala Langat Districts","type":"article-journal","volume":"10"},"uris":["http://www.mendeley.com/documents/?uuid=69443eb3-037a-4763-a3f1-c507cfa86d7e"]},{"id":"ITEM-3","itemData":{"DOI":"10.1080/10934529.2013.729924","ISSN":"10934529","PMID":"23379951","abstract":"Sea level rise resulting from climate change and land subsidence is expected to severely impact the duration and associated damage resulting from flooding events in tidal communities. These communities must continuously invest resources for the maintenance of existing structures and installation of new flood prevention infrastructure. Tide gates are a common flood prevention structure for low-lying communities in the tidal zone. Tide gates close during incoming tides to prevent inundation from downstream water propagating inland and open during outgoing tides to drain upland areas. Higher downstream mean sea level elevations reduce the effectiveness of tide gates by impacting the hydraulics of the system. This project developed a HEC-RAS and HEC-HMS model of an existing tide gate structure and its upland drainage area in the New Jersey Meadowlands to simulate the impact of rising mean sea level elevations on the tide gate's ability to prevent upstream flooding. Model predictions indicate that sea level rise will reduce the tide gate effectiveness resulting in longer lasting and deeper flood events. The results indicate that there is a critical point in the sea level elevation for this local area, beyond which flooding scenarios become dramatically worse and would have a significantly negative impact on the standard of living and ability to do business in one of the most densely populated areas of America. © 2013 Copyright Taylor and Francis Group, LLC.","author":[{"dropping-particle":"","family":"Walsh","given":"Sean","non-dropping-particle":"","parse-names":false,"suffix":""},{"dropping-particle":"","family":"Miskewitz","given":"Robert","non-dropping-particle":"","parse-names":false,"suffix":""}],"container-title":"Journal of Environmental Science and Health - Part A Toxic/Hazardous Substances and Environmental Engineering","id":"ITEM-3","issue":"4","issued":{"date-parts":[["2013"]]},"page":"453-463","title":"Impact of sea level rise on tide gate function","type":"article-journal","volume":"48"},"uris":["http://www.mendeley.com/documents/?uuid=fc5bcb94-307c-4fa2-a101-072c0b2c22fa"]}],"mendeley":{"formattedCitation":"(Abdul Maulud, Hasan, &amp; Karim, 2015; Hamzah, Abd Hamid, Mohamad, Mohd Shah, &amp; Awang, 2018; Walsh &amp; Miskewitz, 2013)","plainTextFormattedCitation":"(Abdul Maulud, Hasan, &amp; Karim, 2015; Hamzah, Abd Hamid, Mohamad, Mohd Shah, &amp; Awang, 2018; Walsh &amp; Miskewitz, 2013)","previouslyFormattedCitation":"(Abdul Maulud, Hasan, &amp; Karim, 2015; Hamzah, Abd Hamid, Mohamad, Mohd Shah, &amp; Awang, 2018; Walsh &amp; Miskewitz, 2013)"},"properties":{"noteIndex":0},"schema":"https://github.com/citation-style-language/schema/raw/master/csl-citation.json"}</w:instrText>
      </w:r>
      <w:r w:rsidR="00FD17FB"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(Abdul Maulud, Hasan, &amp; Karim, 2015; Hamzah, Abd Hamid, Mohamad, Mohd Shah, &amp; Awang, 2018; Walsh &amp; Miskewitz, 2013)</w:t>
      </w:r>
      <w:r w:rsidR="00FD17FB" w:rsidRPr="0092758B">
        <w:rPr>
          <w:rFonts w:ascii="Times New Roman" w:eastAsia="Times New Roman" w:hAnsi="Times New Roman" w:cs="Times New Roman"/>
          <w:sz w:val="24"/>
          <w:szCs w:val="24"/>
        </w:rPr>
        <w:fldChar w:fldCharType="end"/>
      </w:r>
      <w:r w:rsidR="00FD17FB" w:rsidRPr="0092758B">
        <w:rPr>
          <w:rFonts w:ascii="Times New Roman" w:eastAsia="Times New Roman" w:hAnsi="Times New Roman" w:cs="Times New Roman"/>
          <w:sz w:val="24"/>
          <w:szCs w:val="24"/>
        </w:rPr>
        <w:t>.</w:t>
      </w:r>
      <w:r w:rsidR="0022210D" w:rsidRPr="0092758B">
        <w:rPr>
          <w:rFonts w:ascii="Times New Roman" w:eastAsia="Times New Roman" w:hAnsi="Times New Roman" w:cs="Times New Roman"/>
          <w:sz w:val="24"/>
          <w:szCs w:val="24"/>
        </w:rPr>
        <w:t xml:space="preserve"> </w:t>
      </w:r>
      <w:r w:rsidR="005E23F1" w:rsidRPr="0092758B">
        <w:rPr>
          <w:rFonts w:ascii="Times New Roman" w:eastAsia="Times New Roman" w:hAnsi="Times New Roman" w:cs="Times New Roman"/>
          <w:sz w:val="24"/>
          <w:szCs w:val="24"/>
        </w:rPr>
        <w:t xml:space="preserve">This problem is gaining attention due to the possible impact on food security in many countries </w:t>
      </w:r>
      <w:r w:rsidR="005E23F1"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{"citationItems":[{"id":"ITEM-1","itemData":{"DOI":"10.1016/j.agwat.2017.12.010","ISSN":"18732283","abstract":"Sea level rise and upstream development is causing salinity intrusion in Vietnam's Mekong River Delta (MRD) and, as a consequence, agricultural productivity is declining. As the Vietnamese government and local communities search for a solution, it has become apparent that there are insufficient public resources to build the dykes necessary to control this problem. So, we employ a referendum contingent valuation methodology (CVM) to determine whether or not farm households might be willing to pay for part of the cost of a salinity intrusion risk reduction program. We find that farm households are willing to contribute funds to such a program. In areas where salinity intrusion is already reducing productivity, farm households are willing to contribute US$2.58 per month. In areas where salinity intrusion is expected to be reducing productivity by 2030, willingness to contribute is US$1.99 per month. Surprisingly, in MRD areas where salinity intrusion is not expected within the next 15 years, willingness to contribute remains positive at US$1.32 per month. These findings have local, national and international implications that require careful consideration. In passing, we make a methodological observation that a treatment model including ‘do not know’ responses provides consistent results with conventional referendum elicitation procedures.","author":[{"dropping-particle":"","family":"Khong","given":"Tien Dung","non-dropping-particle":"","parse-names":false,"suffix":""},{"dropping-particle":"","family":"Young","given":"Michael D.","non-dropping-particle":"","parse-names":false,"suffix":""},{"dropping-particle":"","family":"Loch","given":"Adam","non-dropping-particle":"","parse-names":false,"suffix":""},{"dropping-particle":"","family":"Thennakoon","given":"Jayanthi","non-dropping-particle":"","parse-names":false,"suffix":""}],"container-title":"Agricultural Water Management","id":"ITEM-1","issued":{"date-parts":[["2018"]]},"page":"80-89","publisher":"Elsevier B.V.","title":"Mekong River Delta farm-household willingness to pay for salinity intrusion risk reduction","type":"article-journal","volume":"200"},"uris":["http://www.mendeley.com/documents/?uuid=0f2355a2-f086-4dc0-95fa-52d0a281b7cb"]},{"id":"ITEM-2","itemData":{"DOI":"10.1080/10934529.2013.729924","ISSN":"10934529","PMID":"23379951","abstract":"Sea level rise resulting from climate change and land subsidence is expected to severely impact the duration and associated damage resulting from flooding events in tidal communities. These communities must continuously invest resources for the maintenance of existing structures and installation of new flood prevention infrastructure. Tide gates are a common flood prevention structure for low-lying communities in the tidal zone. Tide gates close during incoming tides to prevent inundation from downstream water propagating inland and open during outgoing tides to drain upland areas. Higher downstream mean sea level elevations reduce the effectiveness of tide gates by impacting the hydraulics of the system. This project developed a HEC-RAS and HEC-HMS model of an existing tide gate structure and its upland drainage area in the New Jersey Meadowlands to simulate the impact of rising mean sea level elevations on the tide gate's ability to prevent upstream flooding. Model predictions indicate that sea level rise will reduce the tide gate effectiveness resulting in longer lasting and deeper flood events. The results indicate that there is a critical point in the sea level elevation for this local area, beyond which flooding scenarios become dramatically worse and would have a significantly negative impact on the standard of living and ability to do business in one of the most densely populated areas of America. © 2013 Copyright Taylor and Francis Group, LLC.","author":[{"dropping-particle":"","family":"Walsh","given":"Sean","non-dropping-particle":"","parse-names":false,"suffix":""},{"dropping-particle":"","family":"Miskewitz","given":"Robert","non-dropping-particle":"","parse-names":false,"suffix":""}],"container-title":"Journal of Environmental Science and Health - Part A Toxic/Hazardous Substances and Environmental Engineering","id":"ITEM-2","issue":"4","issued":{"date-parts":[["2013"]]},"page":"453-463","title":"Impact of sea level rise on tide gate function","type":"article-journal","volume":"48"},"uris":["http://www.mendeley.com/documents/?uuid=fc5bcb94-307c-4fa2-a101-072c0b2c22fa"]}],"mendeley":{"formattedCitation":"(Khong, Young, Loch, &amp; Thennakoon, 2018; Walsh &amp; Miskewitz, 2013)","plainTextFormattedCitation":"(Khong, Young, Loch, &amp; Thennakoon, 2018; Walsh &amp; Miskewitz, 2013)","previouslyFormattedCitation":"(Khong, Young, Loch, &amp; Thennakoon, 2018; Walsh &amp; Miskewitz, 2013)"},"properties":{"noteIndex":0},"schema":"https://github.com/citation-style-language/schema/raw/master/csl-citation.json"}</w:instrText>
      </w:r>
      <w:r w:rsidR="005E23F1"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(Khong, Young, Loch, &amp; Thennakoon, 2018; Walsh &amp; Miskewitz, 2013)</w:t>
      </w:r>
      <w:r w:rsidR="005E23F1" w:rsidRPr="0092758B">
        <w:rPr>
          <w:rFonts w:ascii="Times New Roman" w:eastAsia="Times New Roman" w:hAnsi="Times New Roman" w:cs="Times New Roman"/>
          <w:sz w:val="24"/>
          <w:szCs w:val="24"/>
        </w:rPr>
        <w:fldChar w:fldCharType="end"/>
      </w:r>
      <w:r w:rsidR="005E23F1" w:rsidRPr="0092758B">
        <w:rPr>
          <w:rFonts w:ascii="Times New Roman" w:eastAsia="Times New Roman" w:hAnsi="Times New Roman" w:cs="Times New Roman"/>
          <w:sz w:val="24"/>
          <w:szCs w:val="24"/>
        </w:rPr>
        <w:t>.</w:t>
      </w:r>
    </w:p>
    <w:p w14:paraId="04D85B49" w14:textId="16B2E5E1" w:rsidR="00B61574"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Consequently, salinity that is beyond the normal range will cause stress or even death to the plant. In addition, nutrient intake by plants is also affected and in turn causes plant growth to be stunted and the salt accumulation in the leaves affect the lifespan of the leaves</w:t>
      </w:r>
      <w:r w:rsidR="00F10A5C" w:rsidRPr="0092758B">
        <w:rPr>
          <w:rFonts w:ascii="Times New Roman" w:eastAsia="Times New Roman" w:hAnsi="Times New Roman" w:cs="Times New Roman"/>
          <w:sz w:val="24"/>
          <w:szCs w:val="24"/>
        </w:rPr>
        <w:t xml:space="preserve"> </w:t>
      </w:r>
      <w:r w:rsidR="00B870CA"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{"citationItems":[{"id":"ITEM-1","itemData":{"DOI":"10.1093/jxb/erj100","ISBN":"0022-0957 (Print)\r0022-0957 (Linking)","ISSN":"00220957","PMID":"16510517","abstract":"This review describes physiological mechanisms and selectable indicators of gene action, with the aim of promoting new screening methods to identify genetic variation for increasing the salt tolerance of cereal crops. Physiological mechanisms that underlie traits for salt tolerance could be used to identify new genetic sources of salt tolerance. Important mechanisms of tolerance involve Na+ exclusion from the transpiration stream, sequestration of Na+ and Cl- in the vacuoles of root and leaf cells, and other processes that promote fast growth despite the osmotic stress of the salt outside the roots. Screening methods for these traits are discussed in relation to their use in breeding, particularly with respect to wheat. Precise phenotyping is the key to finding and introducing new genes for salt tolerance into crop plants.","author":[{"dropping-particle":"","family":"Munns","given":"Rana","non-dropping-particle":"","parse-names":false,"suffix":""},{"dropping-particle":"","family":"James","given":"Richard A.","non-dropping-particle":"","parse-names":false,"suffix":""},{"dropping-particle":"","family":"Läuchli","given":"André","non-dropping-particle":"","parse-names":false,"suffix":""}],"container-title":"Journal of Experimental Botany","id":"ITEM-1","issued":{"date-parts":[["2006"]]},"title":"Approaches to increasing the salt tolerance of wheat and other cereals","type":"paper-conference"},"uris":["http://www.mendeley.com/documents/?uuid=6c1c14d7-e77e-475a-8abb-dba7ae70d05f"]},{"id":"ITEM-2","itemData":{"DOI":"10.3389/fpls.2014.00086","ISSN":"1664462X","abstract":"Water stress adversely impacts many aspects of the physiology of plants, especially photosynthetic capacity. If the stress is prolonged, plant growth, and productivity are severely diminished. Plants have evolved complex physiological and biochemical adaptations to adjust and adapt to a variety of environmental stresses. The molecular and physiological mechanisms associated with water-stress tolerance and water-use efficiency have been extensively studied. The systems that regulate plant adaptation to water stress through a sophisticated regulatory network are the subject of the current review. Molecular mechanisms that plants use to increase stress tolerance, maintain appropriate hormone homeostasis and responses and prevent excess light damage, are also discussed. An understanding of how these systems are regulated and ameliorate the impact of water stress on plant productivity will provide the information needed to improve plant stress tolerance using biotechnology, while maintaining the yield and quality of crops. © 2014 Osakabe, Osakabe, Shinozaki and Tran.","author":[{"dropping-particle":"","family":"Osakabe","given":"Yuriko","non-dropping-particle":"","parse-names":false,"suffix":""},{"dropping-particle":"","family":"Osakabe","given":"Keishi","non-dropping-particle":"","parse-names":false,"suffix":""},{"dropping-particle":"","family":"Shinozaki","given":"Kazuo","non-dropping-particle":"","parse-names":false,"suffix":""},{"dropping-particle":"","family":"Tran","given":"Lam Son P.","non-dropping-particle":"","parse-names":false,"suffix":""}],"container-title":"Frontiers in Plant Science","id":"ITEM-2","issue":"MAR","issued":{"date-parts":[["2014"]]},"page":"1-8","title":"Response of plants to water stress","type":"article-journal","volume":"5"},"uris":["http://www.mendeley.com/documents/?uuid=5cc5d457-c778-4a03-904e-5f2b0da24074"]},{"id":"ITEM-3","itemData":{"author":[{"dropping-particle":"","family":"Pattanagul","given":"Wattana","non-dropping-particle":"","parse-names":false,"suffix":""},{"dropping-particle":"","family":"Thitisaksakul","given":"Maysaya","non-dropping-particle":"","parse-names":false,"suffix":""}],"container-title":"Indian Journal of Experimental Biology","id":"ITEM-3","issue":"October","issued":{"date-parts":[["2008"]]},"page":"736-742","title":"Effect of salinity stress on growth and carbohydrate metabolism in three rice (Oryza","type":"article-journal","volume":"46"},"uris":["http://www.mendeley.com/documents/?uuid=1caad5e9-118c-486f-9406-46966ae2d8be"]},{"id":"ITEM-4","itemData":{"DOI":"10.1007/978-1-4020-5578-2_9","ISBN":"9781402055775","abstract":"The plant stress hormone abscisic acid (ABA) plays several critical roles in plant response to stress and stress tolerance. ABA is well studied for its roles in the activation of stress-responsive genes and the regulation of guard cell movement. More recently, ABA has also been demonstrated to regulate root adaptation to drought stress. To date, limited success has been achieved in regulating plant ABA action for increasing plant drought tolerance. Revealing the mechanisms of ABA action in stress adaptation will further help the development of hardy crop plants","author":[{"dropping-particle":"","family":"Xiong","given":"Liming","non-dropping-particle":"","parse-names":false,"suffix":""}],"container-title":"Advances in Molecular Breeding Toward Drought and Salt Tolerant Crops","id":"ITEM-4","issued":{"date-parts":[["2007"]]},"number-of-pages":"193-221","title":"Abscisic acid in plant response and adaptation to drought and salt stress","type":"book"},"uris":["http://www.mendeley.com/documents/?uuid=381ba867-5d78-4468-a732-0c75b6b94128"]},{"id":"ITEM-5","itemData":{"ISSN":"20407459","abstract":"Salt accumulation in irrigated soils is one of the main factors that diminish crop productivity since most of the crops are not halophytic. A greenhouse experiment was conducted in Rasht, North of Iran during May to June 2010 as a complete randomized block design with three replications. The treatments in this study were application of four levels of saline irrigation water (2, 4, 6 and 8 dS/m, respectively) at four growth stages (tillering, panicle initiation, panicle emergence and ripening). The aim of this study was to determine the effect salinity levels on some agronomic characters of rice. The results of this study showed that increase in salinity levels of irrigation water significantly decreased length of filled panicle, number of filled grains per filled panicle, number of spikelets per filled panicle and total number of spikelets per panicles but effect of different salinity levels on percentage of ratio of filled panicle number to tiller number and percentage of ratio of yield to straw weight was not significant. The least of these yield components were observed at the highest salinity level (8 dS/m). In different growth stages of rice, all yield components were different. Final growth stages, i.e., panicle emergence and ripening showed less sensitivity to salinity but primary stages, i.e., tillering and panicle initiation were more sensitive to salinity. Therefore, irrigation with saline water can be used in the final stages of plant growth, i.e. panicle emergence and ripeness.","author":[{"dropping-particle":"","family":"Rad","given":"Hassan Ebrahimi","non-dropping-particle":"","parse-names":false,"suffix":""},{"dropping-particle":"","family":"Aref","given":"Farshid","non-dropping-particle":"","parse-names":false,"suffix":""},{"dropping-particle":"","family":"Rezaei","given":"Mojtaba","non-dropping-particle":"","parse-names":false,"suffix":""}],"container-title":"Research Journal of Applied Sciences, Engineering and Technology","id":"ITEM-5","issue":"17","issued":{"date-parts":[["2012"]]},"page":"3040-3047","title":"Response of rice to different salinity levels during different growth stages","type":"article-journal","volume":"4"},"uris":["http://www.mendeley.com/documents/?uuid=9c1c382b-917c-47b0-8aa0-5313737886b6"]},{"id":"ITEM-6","itemData":{"author":[{"dropping-particle":"","family":"Samsuddin Sah","given":"Samera","non-dropping-particle":"","parse-names":false,"suffix":""},{"dropping-particle":"","family":"Abdul Maulud","given":"Khairul Nizam","non-dropping-particle":"","parse-names":false,"suffix":""},{"dropping-particle":"","family":"Sharil","given":"Suraya","non-dropping-particle":"","parse-names":false,"suffix":""},{"dropping-particle":"","family":"A. Karim","given":"Othman","non-dropping-particle":"","parse-names":false,"suffix":""},{"dropping-particle":"","family":"Abdul Nahar","given":"Nur Fadzlina","non-dropping-particle":"","parse-names":false,"suffix":""}],"container-title":"Journal of Sustainability Science and Management","id":"ITEM-6","issued":{"date-parts":[["2020"]]},"title":"Impact of Saltwater Intrusion on Paddy Growth in Kuala Kedah, Malaysia","type":"article-journal"},"uris":["http://www.mendeley.com/documents/?uuid=db783329-0fa4-4a8e-8ff0-a6851164fa92"]},{"id":"ITEM-7","itemData":{"DOI":"10.4135/9781446247501.n1321","abstract":"This study tries to quantify the impact of salinity on rice production in the south-west region of Bangladesh. Khorip is the dominant crop season in the region. The average production of rice during khorip season is 4,232 kg ha-1 in low saline areas, whereas, it is 3,760 kg ha-1 and 2,663 kg ha-1 for moderate and high saline areas, respectively. The Cobb-Douglas production function estimation results find that salinity has a negative and statistically significant influence on rice yield. This study also finds that salinity intrusion negatively influences farm profitability as well as farm performance. If the salinity of high saline area can be reduced to the threshold level, farmers will gain about 685 US$ ha-1 from increased rice yield. Salinity level needs to be controlled for realizing the benefits from an increase in production. Drainage, fresh water management for irrigation in time of dry season and spreading salt tolerant rice varieties in saline prone area are the controlling measures against salinity intrusion. Land zoning, property rights, tax for external costs associated with shrimp farming in the coastal areas of the country may be some command and control approaches to address the salinity problem. These will ultimately increase farm profitability in the saline affected areas.","author":[{"dropping-particle":"","family":"Ahmed","given":"Md.Firoz","non-dropping-particle":"","parse-names":false,"suffix":""},{"dropping-particle":"","family":"Haider","given":"Mohammed Ziaul","non-dropping-particle":"","parse-names":false,"suffix":""}],"container-title":"Environmental Science","id":"ITEM-7","issue":"4","issued":{"date-parts":[["2014"]]},"page":"135-141","title":"Impact of salinity on rice production in the south-west region of Bangladesh","type":"article-journal","volume":"9"},"uris":["http://www.mendeley.com/documents/?uuid=450c0695-0128-4107-a253-939310c46bcc"]}],"mendeley":{"formattedCitation":"(Ahmed &amp; Haider, 2014; Munns, James, &amp; Läuchli, 2006; Osakabe, Osakabe, Shinozaki, &amp; Tran, 2014; Pattanagul &amp; Thitisaksakul, 2008; Rad, Aref, &amp; Rezaei, 2012; Samsuddin Sah et al., 2020; Xiong, 2007)","plainTextFormattedCitation":"(Ahmed &amp; Haider, 2014; Munns, James, &amp; Läuchli, 2006; Osakabe, Osakabe, Shinozaki, &amp; Tran, 2014; Pattanagul &amp; Thitisaksakul, 2008; Rad, Aref, &amp; Rezaei, 2012; Samsuddin Sah et al., 2020; Xiong, 2007)","previouslyFormattedCitation":"(Ahmed &amp; Haider, 2014; Munns, James, &amp; Läuchli, 2006; Osakabe, Osakabe, Shinozaki, &amp; Tran, 2014; Pattanagul &amp; Thitisaksakul, 2008; Rad, Aref, &amp; Rezaei, 2012; Samsuddin Sah et al., 2020; Xiong, 2007)"},"properties":{"noteIndex":0},"schema":"https://github.com/citation-style-language/schema/raw/master/csl-citation.json"}</w:instrText>
      </w:r>
      <w:r w:rsidR="00B870CA"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(Ahmed &amp; Haider, 2014; Munns, James, &amp; Läuchli, 2006; Osakabe, Osakabe, Shinozaki, &amp; Tran, 2014; Pattanagul &amp; Thitisaksakul, 2008; Rad, Aref, &amp; Rezaei, 2012; Samsuddin Sah et al., 2020; Xiong, 2007)</w:t>
      </w:r>
      <w:r w:rsidR="00B870CA" w:rsidRPr="0092758B">
        <w:rPr>
          <w:rFonts w:ascii="Times New Roman" w:eastAsia="Times New Roman" w:hAnsi="Times New Roman" w:cs="Times New Roman"/>
          <w:sz w:val="24"/>
          <w:szCs w:val="24"/>
        </w:rPr>
        <w:fldChar w:fldCharType="end"/>
      </w:r>
      <w:r w:rsidR="00262142"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If this situation persists, the yield of rice grains is declining mainly due to the development of low rice spikelet due to salt pressure </w:t>
      </w:r>
      <w:r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{"citationItems":[{"id":"ITEM-1","itemData":{"DOI":"10.1016/j.fcr.2015.03.003","ISSN":"03784290","abstract":"High ethylene production usually slackens spikelets development in compact panicled rice (Oryza sativa L.) cultivars. 1-Methylcyclopropene (1-MCP) is a potent inhibitor of ethylene action that has been shown to prevent ethylene-induced effects in fruits. However, effects of 1-MCP on spikelets development in rice cultivars differing in panicle types are unclear. This study explored whether 1-MCP is involved in regulating rice flag leaf function, and superior and inferior spikelets development. Four rice cultivars were field grown in 2012 and 2013, including two lax-panicled cultivars, Liangyoupeijiu (LYP9) and Guodao 6 (GD6), and two compact-panicled cultivars, Yongyou 9 (YY9) and Yongyou 12 (YY12). Results showed that 1-MCP played a positive role in regulating photosynthetic rate of rice flag leaf. Application of 1-MCP was more effective on enhancing grain filling rate of LYP9, GD6, and YY9. 1-Aminocyclopropane-1-carboxylic acid synthase (ACS) activity and ethylene production of inferior spikelets were more sensitive to the regulation of 1-MCP comparing to that in superior spikelets. Compared to other cultivars, ACS activity and ethylene production in inferior spikelets of LYP9 with 1-MCP treatment were significantly lower than that in control (CK). Effect of 1-MCP on starch content in superior and inferior spikelets varied with rice cultivars, but application of 1-MCP significantly enhanced starch content of inferior spikelets for LYP9. To compare with CK, application of 1-MCP greatly increased grain yield, spikelet fertility, and harvest index for LYP9, GD6, and YY9, especially for LYP9. Results indicate that 1-MCP favorably regulated flag leaf photosynthesis and inferior spikelets development in rice cultivars used in this trial, and LYP9 showed the best performances after application of 1-MCP.","author":[{"dropping-particle":"","family":"Zhang","given":"Junhua","non-dropping-particle":"","parse-names":false,"suffix":""},{"dropping-particle":"","family":"Lin","given":"Yujiong","non-dropping-particle":"","parse-names":false,"suffix":""},{"dropping-particle":"","family":"Zhu","given":"Lianfeng","non-dropping-particle":"","parse-names":false,"suffix":""},{"dropping-particle":"","family":"Yu","given":"Shengmiao","non-dropping-particle":"","parse-names":false,"suffix":""},{"dropping-particle":"","family":"Kundu","given":"Sanjoy K.","non-dropping-particle":"","parse-names":false,"suffix":""},{"dropping-particle":"","family":"Jin","given":"Qianyu","non-dropping-particle":"","parse-names":false,"suffix":""}],"container-title":"Field Crops Research","id":"ITEM-1","issued":{"date-parts":[["2015"]]},"title":"Effects of 1-methylcyclopropene on function of flag leaf and development of superior and inferior spikelets in rice cultivars differing in panicle types","type":"article-journal"},"uris":["http://www.mendeley.com/documents/?uuid=28953711-a45d-4c6c-87d1-6fca7b0aead9"]},{"id":"ITEM-2","itemData":{"DOI":"10.1016/j.rsci.2016.09.004","ISSN":"16726308","abstract":"Salt tolerance is an important constrain for rice, which is generally categorized as a typical glycophyte. Soil salinity is one of the major constraints affecting rice production worldwide, especially in the coastal areas. Susceptibility or tolerance of rice plants to high salinity is a coordinated action of multiple stress responsive genes, which also interacts with other components of stress signal transduction pathways. Salt tolerant varieties can be produced by marker-assisted selection or genetic engineering by introducing salt-tolerance genes. In this review, we have updated on mechanisms and genes which can help in transferring of the salt tolerance into high-yielding rice varieties. We have focused on the need for integrating phenotyping, genomics, metabolic profiling and phenomics into transgenic and breeding approaches to develop high-yielding as well as salt tolerant rice varieties.","author":[{"dropping-particle":"","family":"Reddy","given":"Inja Naga Bheema Lingeswara","non-dropping-particle":"","parse-names":false,"suffix":""},{"dropping-particle":"","family":"Kim","given":"Beom Ki","non-dropping-particle":"","parse-names":false,"suffix":""},{"dropping-particle":"","family":"Yoon","given":"In Sun","non-dropping-particle":"","parse-names":false,"suffix":""},{"dropping-particle":"","family":"Kim","given":"Kyung Hwan","non-dropping-particle":"","parse-names":false,"suffix":""},{"dropping-particle":"","family":"Kwon","given":"Taek Ryoun","non-dropping-particle":"","parse-names":false,"suffix":""}],"container-title":"Rice Science","id":"ITEM-2","issue":"3","issued":{"date-parts":[["2017"]]},"page":"123-144","title":"Salt Tolerance in Rice: Focus on Mechanisms and Approaches","type":"article-journal","volume":"24"},"uris":["http://www.mendeley.com/documents/?uuid=f695ee08-a87c-4d3b-bc75-7c4a5a2fee57"]},{"id":"ITEM-3","itemData":{"DOI":"10.1016/j.eja.2018.01.015","abstract":"Development and testing of reliable tools for simulating rice production in salt-affected areas are presented in this paper. New functions were implemented in existing crop models ORYZA v3 and the cropping systems modelling framework APSIM. Field experiments covering two years, two different sites, and three varieties were used to validate both improved models. We used the salt balance module in the systems model APSIM to si- mulate the observed daily soil salinity with acceptable accuracy (RMSEn&lt;35%), whereas ORYZA v3 used measured soil salinity at a given interval of days as a model input. Both models presented similarly good ac- curacy in simulating aboveground biomass, leaf area index, and grain yield for IR64 over a gradient of salinity conditions. The model index of agreement ranged from 0.86 to 0.99. Variability of yield under stressed and non- stressed conditions was simulated with a RMSE, of 191 kg ha−1 and 222 kg ha−1 respectively, for ORYZA v3 and , APSIM-Oryza, corresponding to an RMSEn of 14.8% and 17.3%. These values are within the bounds of ex- perimental error, therefore indicating acceptable model performance. The model test simulating genotypic variability of rice crop responses resulted in similar levels of acceptable model performance with RMSEn ranging from 11.3 to 39.9% for observed total above ground biomass for IR64 and panicle biomass for IR29, respectively. With the improved models, more reliable tools are now available for use in risk assessment and evaluation of suitable management options for rice production in salt-affected areas. The approach presented may also be applied in improving other non-rice crop models to integrate a response to soil salinity − particularly in process- based models which capture stage-related stress tolerance variability and resource use efficien","author":[{"dropping-particle":"","family":"Radanielson","given":"A M","non-dropping-particle":"","parse-names":false,"suffix":""},{"dropping-particle":"","family":"Gaydon","given":"D S","non-dropping-particle":"","parse-names":false,"suffix":""},{"dropping-particle":"","family":"Li","given":"T","non-dropping-particle":"","parse-names":false,"suffix":""},{"dropping-particle":"","family":"Angeles","given":"O","non-dropping-particle":"","parse-names":false,"suffix":""},{"dropping-particle":"","family":"Roth","given":"C H","non-dropping-particle":"","parse-names":false,"suffix":""}],"id":"ITEM-3","issue":"March","issued":{"date-parts":[["2018"]]},"page":"44-55","title":"Modeling salinity e ff ect on rice growth and grain yield with ORYZA v3 and APSIM-Oryza","type":"article-journal","volume":"100"},"uris":["http://www.mendeley.com/documents/?uuid=b1d87fac-a3b8-428d-aba7-c46b968d5b75"]}],"mendeley":{"formattedCitation":"(Radanielson, Gaydon, Li, Angeles, &amp; Roth, 2018; Reddy, Kim, Yoon, Kim, &amp; Kwon, 2017; Zhang et al., 2015)","plainTextFormattedCitation":"(Radanielson, Gaydon, Li, Angeles, &amp; Roth, 2018; Reddy, Kim, Yoon, Kim, &amp; Kwon, 2017; Zhang et al., 2015)","previouslyFormattedCitation":"(Radanielson, Gaydon, Li, Angeles, &amp; Roth, 2018; Reddy, Kim, Yoon, Kim, &amp; Kwon, 2017; Zhang et al., 2015)"},"properties":{"noteIndex":0},"schema":"https://github.com/citation-style-language/schema/raw/master/csl-citation.json"}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(Radanielson, Gaydon, Li, Angeles, &amp; Roth, 2018; Reddy, Kim, Yoon, Kim, &amp; Kwon, 2017; Zhang et al., 2015)</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w:t>
      </w:r>
    </w:p>
    <w:p w14:paraId="2B64740C" w14:textId="6CB108F9" w:rsidR="00B03919" w:rsidRPr="0092758B" w:rsidRDefault="00B03919"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According to </w:t>
      </w:r>
      <w:r w:rsidRPr="0092758B">
        <w:rPr>
          <w:rFonts w:ascii="Times New Roman" w:eastAsia="Times New Roman" w:hAnsi="Times New Roman" w:cs="Times New Roman"/>
          <w:sz w:val="24"/>
          <w:szCs w:val="24"/>
        </w:rPr>
        <w:fldChar w:fldCharType="begin" w:fldLock="1"/>
      </w:r>
      <w:r w:rsidRPr="0092758B">
        <w:rPr>
          <w:rFonts w:ascii="Times New Roman" w:eastAsia="Times New Roman" w:hAnsi="Times New Roman" w:cs="Times New Roman"/>
          <w:sz w:val="24"/>
          <w:szCs w:val="24"/>
        </w:rPr>
        <w:instrText>ADDIN CSL_CITATION {"citationItems":[{"id":"ITEM-1","itemData":{"DOI":"10.1016/j.fcr.2004.01.026","ISSN":"03784290","abstract":"To gather more information regarding salt-tolerance in rice (Oryza sativa L.), we identified gene loci controlling growth in paddy fields flooded with salt water. We analyzed the quantitative trait loci (QTL) using 98 backcross-inbred lines (BIL) derived from the backcross between Nipponbare (moderately salt-tolerant rice, as recurrent parent) and Kasalath (salt susceptible rice) in the four cropping seasons from 1999 to 2002. Shoot length, tiller number and shoot fresh weight were determined in the plants grown in a paddy field flooded with fresh water (NaCl; less than 10 mM, control group) and in the plants grown in a paddy field flooded with salt water (NaCl; 50-120 mM, saline group). A total of 27 QTLs for these traits were detected in the saline and control groups. Among them in the saline group, QTLs detected all four seasons were located on four regions on chromosomes 1, 2, 3 and 7. QTLs located on the long-arm of chromosome 2 regulated tiller number, and QTLs located on the long-arms of chromosomes 1 and 3, and the short-arms of chromosome 7 regulated shoot length. QTLs for shoot length located on the long-arms of chromosome 1 were detected in the control and saline paddy fields. QTLs in the other three regions were detected only in the saline group. The Nipponbare alleles of the two QTLs on chromosomes 3 and 7 contributed to the increase in shoot length, while the Kasalath allele of QTL on chromosome 2 contributed to the increase in tiller number. Therefore, these results suggest that three QTLs on chromosomes 2, 3 and 7 play essential roles in the growth of rice in the paddy field flooded with salt water. © 2004 Elsevier B.V. All rights reserved.","author":[{"dropping-particle":"","family":"Takehisa","given":"H.","non-dropping-particle":"","parse-names":false,"suffix":""},{"dropping-particle":"","family":"Shimodate","given":"T.","non-dropping-particle":"","parse-names":false,"suffix":""},{"dropping-particle":"","family":"Fukuta","given":"Y.","non-dropping-particle":"","parse-names":false,"suffix":""},{"dropping-particle":"","family":"Ueda","given":"T.","non-dropping-particle":"","parse-names":false,"suffix":""},{"dropping-particle":"","family":"Yano","given":"M.","non-dropping-particle":"","parse-names":false,"suffix":""},{"dropping-particle":"","family":"Yamaya","given":"T.","non-dropping-particle":"","parse-names":false,"suffix":""},{"dropping-particle":"","family":"Kameya","given":"T.","non-dropping-particle":"","parse-names":false,"suffix":""},{"dropping-particle":"","family":"Sato","given":"T.","non-dropping-particle":"","parse-names":false,"suffix":""}],"container-title":"Field Crops Research","id":"ITEM-1","issue":"1","issued":{"date-parts":[["2004"]]},"page":"85-95","title":"Identification of quantitative trait loci for plant growth of rice in paddy field flooded with salt water","type":"article-journal","volume":"89"},"uris":["http://www.mendeley.com/documents/?uuid=2f647140-3792-4c6a-ae81-b8e025d3d969"]}],"mendeley":{"formattedCitation":"(Takehisa et al., 2004)","manualFormatting":"Takehisa et al., (2004)","plainTextFormattedCitation":"(Takehisa et al., 2004)","previouslyFormattedCitation":"(Takehisa et al., 2004)"},"properties":{"noteIndex":0},"schema":"https://github.com/citation-style-language/schema/raw/master/csl-citation.json"}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Pr="0092758B">
        <w:rPr>
          <w:rFonts w:ascii="Times New Roman" w:eastAsia="Times New Roman" w:hAnsi="Times New Roman" w:cs="Times New Roman"/>
          <w:noProof/>
          <w:sz w:val="24"/>
          <w:szCs w:val="24"/>
        </w:rPr>
        <w:t xml:space="preserve">Takehisa et </w:t>
      </w:r>
      <w:r w:rsidR="00590DFD">
        <w:rPr>
          <w:rFonts w:ascii="Times New Roman" w:eastAsia="Times New Roman" w:hAnsi="Times New Roman" w:cs="Times New Roman"/>
          <w:noProof/>
          <w:sz w:val="24"/>
          <w:szCs w:val="24"/>
        </w:rPr>
        <w:t>al.</w:t>
      </w:r>
      <w:r w:rsidRPr="0092758B">
        <w:rPr>
          <w:rFonts w:ascii="Times New Roman" w:eastAsia="Times New Roman" w:hAnsi="Times New Roman" w:cs="Times New Roman"/>
          <w:noProof/>
          <w:sz w:val="24"/>
          <w:szCs w:val="24"/>
        </w:rPr>
        <w:t xml:space="preserve"> (2004)</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almost 30% of the world’s paddy cultivation area </w:t>
      </w:r>
      <w:r w:rsidR="00505A09" w:rsidRPr="0092758B">
        <w:rPr>
          <w:rFonts w:ascii="Times New Roman" w:eastAsia="Times New Roman" w:hAnsi="Times New Roman" w:cs="Times New Roman"/>
          <w:sz w:val="24"/>
          <w:szCs w:val="24"/>
        </w:rPr>
        <w:t xml:space="preserve">is </w:t>
      </w:r>
      <w:r w:rsidRPr="0092758B">
        <w:rPr>
          <w:rFonts w:ascii="Times New Roman" w:eastAsia="Times New Roman" w:hAnsi="Times New Roman" w:cs="Times New Roman"/>
          <w:sz w:val="24"/>
          <w:szCs w:val="24"/>
        </w:rPr>
        <w:t>affected by salinity</w:t>
      </w:r>
      <w:r w:rsidR="00B022A8" w:rsidRPr="0092758B">
        <w:rPr>
          <w:rFonts w:ascii="Times New Roman" w:eastAsia="Times New Roman" w:hAnsi="Times New Roman" w:cs="Times New Roman"/>
          <w:sz w:val="24"/>
          <w:szCs w:val="24"/>
        </w:rPr>
        <w:t xml:space="preserve"> and 50% of paddy production redu</w:t>
      </w:r>
      <w:r w:rsidR="00B14234" w:rsidRPr="0092758B">
        <w:rPr>
          <w:rFonts w:ascii="Times New Roman" w:eastAsia="Times New Roman" w:hAnsi="Times New Roman" w:cs="Times New Roman"/>
          <w:sz w:val="24"/>
          <w:szCs w:val="24"/>
        </w:rPr>
        <w:t xml:space="preserve">ced because of saline water </w:t>
      </w:r>
      <w:r w:rsidR="00B14234" w:rsidRPr="0092758B">
        <w:rPr>
          <w:rFonts w:ascii="Times New Roman" w:eastAsia="Times New Roman" w:hAnsi="Times New Roman" w:cs="Times New Roman"/>
          <w:sz w:val="24"/>
          <w:szCs w:val="24"/>
        </w:rPr>
        <w:fldChar w:fldCharType="begin" w:fldLock="1"/>
      </w:r>
      <w:r w:rsidR="00B14234" w:rsidRPr="0092758B">
        <w:rPr>
          <w:rFonts w:ascii="Times New Roman" w:eastAsia="Times New Roman" w:hAnsi="Times New Roman" w:cs="Times New Roman"/>
          <w:sz w:val="24"/>
          <w:szCs w:val="24"/>
        </w:rPr>
        <w:instrText>ADDIN CSL_CITATION {"citationItems":[{"id":"ITEM-1","itemData":{"DOI":"10.1371/journal.pone.0192732","ISBN":"1111111111","ISSN":"19326203","PMID":"29489838","abstract":"Salinity threat is estimated to reduce global rice production by 50%. Comprehensive analysis of the physiological and metabolite changes in rice plants from salinity stress (i.e. tolerant versus susceptible plants) is important to combat higher salinity conditions. In this study, we screened a total of 92 genotypes and selected the most salinity tolerant line (SS1-14) and most susceptible line (SS2-18) to conduct comparative physiological and metabolome inspections. We demonstrated that the tolerant line managed to maintain their water and chlorophyll content with lower incidence of sodium ion accumulation. We also examined the antioxidant activities of these lines: production of ascorbate peroxidase (APX) and catalase (CAT) were significantly higher in the sensitive line while superoxide dismutase (SOD) was higher in the tolerant line. Partial least squares discriminant analysis (PLS-DA) score plots show significantly different response for both lines after the exposure to salinity stress. In the tolerant line, there was an upregulation of non-polar metabolites and production of sucrose, GABA and acetic acid, suggesting an important role in salinity adaptation. In contrast, glutamine and putrescine were noticeably high in the susceptible rice. Coordination of different strategies in tolerant and susceptible lines show that they responded differently after exposure to salt stress. These findings can assist crop development in terms of developing tolerance mechanisms for rice crops.","author":[{"dropping-particle":"","family":"Ma","given":"Nyuk Ling","non-dropping-particle":"","parse-names":false,"suffix":""},{"dropping-particle":"","family":"Che Lah","given":"Wan Afifudeen","non-dropping-particle":"","parse-names":false,"suffix":""},{"dropping-particle":"","family":"Kadir","given":"Nisrin Abd","non-dropping-particle":"","parse-names":false,"suffix":""},{"dropping-particle":"","family":"Mustaqim","given":"Mohamad","non-dropping-particle":"","parse-names":false,"suffix":""},{"dropping-particle":"","family":"Rahmat","given":"Zaidah","non-dropping-particle":"","parse-names":false,"suffix":""},{"dropping-particle":"","family":"Ahmad","given":"Aziz","non-dropping-particle":"","parse-names":false,"suffix":""},{"dropping-particle":"","family":"Lam","given":"Su Datt","non-dropping-particle":"","parse-names":false,"suffix":""},{"dropping-particle":"","family":"Ismail","given":"Mohd Razi","non-dropping-particle":"","parse-names":false,"suffix":""}],"container-title":"PLoS ONE","id":"ITEM-1","issue":"2","issued":{"date-parts":[["2018"]]},"page":"1-17","title":"Susceptibility and tolerance of rice crop to salt threat: Physiological and metabolic inspections","type":"article-journal","volume":"13"},"uris":["http://www.mendeley.com/documents/?uuid=b8d80e8a-6914-45e0-ba11-4bb150f09def"]}],"mendeley":{"formattedCitation":"(Ma et al., 2018)","plainTextFormattedCitation":"(Ma et al., 2018)","previouslyFormattedCitation":"(Ma et al., 2018)"},"properties":{"noteIndex":0},"schema":"https://github.com/citation-style-language/schema/raw/master/csl-citation.json"}</w:instrText>
      </w:r>
      <w:r w:rsidR="00B14234" w:rsidRPr="0092758B">
        <w:rPr>
          <w:rFonts w:ascii="Times New Roman" w:eastAsia="Times New Roman" w:hAnsi="Times New Roman" w:cs="Times New Roman"/>
          <w:sz w:val="24"/>
          <w:szCs w:val="24"/>
        </w:rPr>
        <w:fldChar w:fldCharType="separate"/>
      </w:r>
      <w:r w:rsidR="00B14234" w:rsidRPr="0092758B">
        <w:rPr>
          <w:rFonts w:ascii="Times New Roman" w:eastAsia="Times New Roman" w:hAnsi="Times New Roman" w:cs="Times New Roman"/>
          <w:noProof/>
          <w:sz w:val="24"/>
          <w:szCs w:val="24"/>
        </w:rPr>
        <w:t>(Ma et al., 2018)</w:t>
      </w:r>
      <w:r w:rsidR="00B14234" w:rsidRPr="0092758B">
        <w:rPr>
          <w:rFonts w:ascii="Times New Roman" w:eastAsia="Times New Roman" w:hAnsi="Times New Roman" w:cs="Times New Roman"/>
          <w:sz w:val="24"/>
          <w:szCs w:val="24"/>
        </w:rPr>
        <w:fldChar w:fldCharType="end"/>
      </w:r>
      <w:r w:rsidR="00B14234" w:rsidRPr="0092758B">
        <w:rPr>
          <w:rFonts w:ascii="Times New Roman" w:eastAsia="Times New Roman" w:hAnsi="Times New Roman" w:cs="Times New Roman"/>
          <w:sz w:val="24"/>
          <w:szCs w:val="24"/>
        </w:rPr>
        <w:t>.</w:t>
      </w:r>
      <w:r w:rsidR="00AF1917" w:rsidRPr="0092758B">
        <w:rPr>
          <w:rFonts w:ascii="Times New Roman" w:eastAsia="Times New Roman" w:hAnsi="Times New Roman" w:cs="Times New Roman"/>
          <w:sz w:val="24"/>
          <w:szCs w:val="24"/>
        </w:rPr>
        <w:t xml:space="preserve"> As the second largest of world rice exporter, Vietnam faced the problem of the sea level rise which </w:t>
      </w:r>
      <w:r w:rsidR="00505A09" w:rsidRPr="0092758B">
        <w:rPr>
          <w:rFonts w:ascii="Times New Roman" w:eastAsia="Times New Roman" w:hAnsi="Times New Roman" w:cs="Times New Roman"/>
          <w:sz w:val="24"/>
          <w:szCs w:val="24"/>
        </w:rPr>
        <w:t xml:space="preserve">had </w:t>
      </w:r>
      <w:r w:rsidR="00AF1917" w:rsidRPr="0092758B">
        <w:rPr>
          <w:rFonts w:ascii="Times New Roman" w:eastAsia="Times New Roman" w:hAnsi="Times New Roman" w:cs="Times New Roman"/>
          <w:sz w:val="24"/>
          <w:szCs w:val="24"/>
        </w:rPr>
        <w:t xml:space="preserve">a </w:t>
      </w:r>
      <w:r w:rsidR="00505A09" w:rsidRPr="0092758B">
        <w:rPr>
          <w:rFonts w:ascii="Times New Roman" w:eastAsia="Times New Roman" w:hAnsi="Times New Roman" w:cs="Times New Roman"/>
          <w:sz w:val="24"/>
          <w:szCs w:val="24"/>
        </w:rPr>
        <w:t xml:space="preserve">significant </w:t>
      </w:r>
      <w:r w:rsidR="00AF1917" w:rsidRPr="0092758B">
        <w:rPr>
          <w:rFonts w:ascii="Times New Roman" w:eastAsia="Times New Roman" w:hAnsi="Times New Roman" w:cs="Times New Roman"/>
          <w:sz w:val="24"/>
          <w:szCs w:val="24"/>
        </w:rPr>
        <w:t xml:space="preserve">impact on rice production </w:t>
      </w:r>
      <w:r w:rsidR="00AF1917"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{"citationItems":[{"id":"ITEM-1","itemData":{"DOI":"10.1007/s10333-019-00756-9","ISBN":"0123456789","ISSN":"16112504","abstract":"Increasing soil salinisation is an environmental stressor that causes significant reduction in crop productivity and increases the risk of farming and hence reduces the cultivated land area. For these reasons, soil salinisation is considered to be one of the most serious problems threatening food security. In the north central coastal region of Vietnam, saltwater intrusion in the dry season is a major concern for rice farming. To better understand the adverse impacts of soil salinisation in crops, this study investigates impacts of salinity on mean and variability of rice yields in four communes of Thua Thien Hue Province. In addition, the study looks at possible changes in the portfolio of rice cultivars, which would offer farmers the potential to increase yields and decrease yield variability simultaneously. Results clearly showed that salinity had an impact on yield levels, resulting in an average yield loss of 0.164 tonnes/ha from mean yield levels per unit increase of electrical conductivity. The results did not show that increasing salinity contributes to an increase in variability of yields, but points to the fact that saline water intrusion may lead to consistently lower yields in the study area. Results also indicate that farmers with smaller, scattered plots could be disproportionately affected by salinity and be less capable of managing the saline soils. In addition, saline conditions may also drive the increased use of environmentally damaging inputs, such as pesticides, to offset the decline in yields and thereby potentially lead to a vicious circle. Utilisation of an optimised portfolio of rice varieties that combine profit maximisation and risk reduction reveals that farmers can benefit from revised portfolios of existing varieties at initial salinity levels, but need to include salt-resistant varieties in the portfolio as salinity levels increase.","author":[{"dropping-particle":"","family":"Dam","given":"Thi Huyen Trang","non-dropping-particle":"","parse-names":false,"suffix":""},{"dropping-particle":"","family":"Amjath-Babu","given":"T. S.","non-dropping-particle":"","parse-names":false,"suffix":""},{"dropping-particle":"","family":"Bellingrath-Kimura","given":"Sonoko","non-dropping-particle":"","parse-names":false,"suffix":""},{"dropping-particle":"","family":"Zander","given":"Peter","non-dropping-particle":"","parse-names":false,"suffix":""}],"container-title":"Paddy and Water Environment","id":"ITEM-1","issue":"4","issued":{"date-parts":[["2019"]]},"page":"771-782","publisher":"Springer Singapore","title":"The impact of salinity on paddy production and possible varietal portfolio transition: a Vietnamese case study","type":"article-journal","volume":"17"},"uris":["http://www.mendeley.com/documents/?uuid=52f5361e-b612-4d0d-b619-a32923375e22"]}],"mendeley":{"formattedCitation":"(Dam, Amjath-Babu, Bellingrath-Kimura, &amp; Zander, 2019)","plainTextFormattedCitation":"(Dam, Amjath-Babu, Bellingrath-Kimura, &amp; Zander, 2019)","previouslyFormattedCitation":"(Dam, Amjath-Babu, Bellingrath-Kimura, &amp; Zander, 2019)"},"properties":{"noteIndex":0},"schema":"https://github.com/citation-style-language/schema/raw/master/csl-citation.json"}</w:instrText>
      </w:r>
      <w:r w:rsidR="00AF1917"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(Dam, Amjath-Babu, Bellingrath-Kimura, &amp; Zander, 2019)</w:t>
      </w:r>
      <w:r w:rsidR="00AF1917" w:rsidRPr="0092758B">
        <w:rPr>
          <w:rFonts w:ascii="Times New Roman" w:eastAsia="Times New Roman" w:hAnsi="Times New Roman" w:cs="Times New Roman"/>
          <w:sz w:val="24"/>
          <w:szCs w:val="24"/>
        </w:rPr>
        <w:fldChar w:fldCharType="end"/>
      </w:r>
      <w:r w:rsidR="00AF1917" w:rsidRPr="0092758B">
        <w:rPr>
          <w:rFonts w:ascii="Times New Roman" w:eastAsia="Times New Roman" w:hAnsi="Times New Roman" w:cs="Times New Roman"/>
          <w:sz w:val="24"/>
          <w:szCs w:val="24"/>
        </w:rPr>
        <w:t xml:space="preserve">. This phenomenon causes seawater penetration to occur more frequently and </w:t>
      </w:r>
      <w:r w:rsidR="003D791D" w:rsidRPr="0092758B">
        <w:rPr>
          <w:rFonts w:ascii="Times New Roman" w:eastAsia="Times New Roman" w:hAnsi="Times New Roman" w:cs="Times New Roman"/>
          <w:sz w:val="24"/>
          <w:szCs w:val="24"/>
        </w:rPr>
        <w:t xml:space="preserve">loss of the paddy growing land </w:t>
      </w:r>
      <w:r w:rsidR="003D791D" w:rsidRPr="0092758B">
        <w:rPr>
          <w:rFonts w:ascii="Times New Roman" w:eastAsia="Times New Roman" w:hAnsi="Times New Roman" w:cs="Times New Roman"/>
          <w:sz w:val="24"/>
          <w:szCs w:val="24"/>
        </w:rPr>
        <w:fldChar w:fldCharType="begin" w:fldLock="1"/>
      </w:r>
      <w:r w:rsidR="00B14234" w:rsidRPr="0092758B">
        <w:rPr>
          <w:rFonts w:ascii="Times New Roman" w:eastAsia="Times New Roman" w:hAnsi="Times New Roman" w:cs="Times New Roman"/>
          <w:sz w:val="24"/>
          <w:szCs w:val="24"/>
        </w:rPr>
        <w:instrText>ADDIN CSL_CITATION {"citationItems":[{"id":"ITEM-1","itemData":{"DOI":"10.1007/s10333-019-00756-9","ISBN":"0123456789","ISSN":"16112504","abstract":"Increasing soil salinisation is an environmental stressor that causes significant reduction in crop productivity and increases the risk of farming and hence reduces the cultivated land area. For these reasons, soil salinisation is considered to be one of the most serious problems threatening food security. In the north central coastal region of Vietnam, saltwater intrusion in the dry season is a major concern for rice farming. To better understand the adverse impacts of soil salinisation in crops, this study investigates impacts of salinity on mean and variability of rice yields in four communes of Thua Thien Hue Province. In addition, the study looks at possible changes in the portfolio of rice cultivars, which would offer farmers the potential to increase yields and decrease yield variability simultaneously. Results clearly showed that salinity had an impact on yield levels, resulting in an average yield loss of 0.164 tonnes/ha from mean yield levels per unit increase of electrical conductivity. The results did not show that increasing salinity contributes to an increase in variability of yields, but points to the fact that saline water intrusion may lead to consistently lower yields in the study area. Results also indicate that farmers with smaller, scattered plots could be disproportionately affected by salinity and be less capable of managing the saline soils. In addition, saline conditions may also drive the increased use of environmentally damaging inputs, such as pesticides, to offset the decline in yields and thereby potentially lead to a vicious circle. Utilisation of an optimised portfolio of rice varieties that combine profit maximisation and risk reduction reveals that farmers can benefit from revised portfolios of existing varieties at initial salinity levels, but need to include salt-resistant varieties in the portfolio as salinity levels increase.","author":[{"dropping-particle":"","family":"Dam","given":"Thi Huyen Trang","non-dropping-particle":"","parse-names":false,"suffix":""},{"dropping-particle":"","family":"Amjath-Babu","given":"T. S.","non-dropping-particle":"","parse-names":false,"suffix":""},{"dropping-particle":"","family":"Bellingrath-Kimura","given":"Sonoko","non-dropping-particle":"","parse-names":false,"suffix":""},{"dropping-particle":"","family":"Zander","given":"Peter","non-dropping-particle":"","parse-names":false,"suffix":""}],"container-title":"Paddy and Water Environment","id":"ITEM-1","issue":"4","issued":{"date-parts":[["2019"]]},"page":"771-782","publisher":"Springer Singapore","title":"The impact of salinity on paddy production and possible varietal portfolio transition: a Vietnamese case study","type":"article-journal","volume":"17"},"uris":["http://www.mendeley.com/documents/?uuid=52f5361e-b612-4d0d-b619-a32923375e22"]},{"id":"ITEM-2","itemData":{"DOI":"10.1038/nclimate2469","ISSN":"17586798","abstract":"Vietnamese communities in the Mekong Delta are faced with the substantial impacts of rising sea levels and salinity intrusion. The construction of embankments and dykes has historically been the principal strategy of the Vietnamese government to mitigate the effects of salinity intrusion on agricultural production. A predicted sea-level rise of 30 cm by the year 2050 is expected to accelerate salinity intrusion. This study combines hydrologic, agronomic and behavioural assessments to identify effective adaptation strategies reliant on land-use change (soft options) and investments in water infrastructure (hard options). As these strategies are managed within different policy portfolios, the political discussion has polarized between choices of either soft or hard options. This paper argues that an ensemble of hard and soft policies is likely to provide the most effective results for people's livelihoods in the Mekong Delta. The consequences of policy deliberations are likely to be felt beyond the Mekong Delta as levels of rice cultivation there also affect national and global food security.","author":[{"dropping-particle":"","family":"Smajgl","given":"A.","non-dropping-particle":"","parse-names":false,"suffix":""},{"dropping-particle":"","family":"Toan","given":"T. Q.","non-dropping-particle":"","parse-names":false,"suffix":""},{"dropping-particle":"","family":"Nhan","given":"D. K.","non-dropping-particle":"","parse-names":false,"suffix":""},{"dropping-particle":"","family":"Ward","given":"J.","non-dropping-particle":"","parse-names":false,"suffix":""},{"dropping-particle":"","family":"Trung","given":"N. H.","non-dropping-particle":"","parse-names":false,"suffix":""},{"dropping-particle":"","family":"Tri","given":"L. Q.","non-dropping-particle":"","parse-names":false,"suffix":""},{"dropping-particle":"","family":"Tri","given":"V. P.D.","non-dropping-particle":"","parse-names":false,"suffix":""},{"dropping-particle":"","family":"Vu","given":"P. T.","non-dropping-particle":"","parse-names":false,"suffix":""}],"container-title":"Nature Climate Change","id":"ITEM-2","issued":{"date-parts":[["2015"]]},"title":"Responding to rising sea levels in the Mekong Delta","type":"article-journal"},"uris":["http://www.mendeley.com/documents/?uuid=3997a8f3-85a5-4b89-a6fd-71e6d56b631b"]}],"mendeley":{"formattedCitation":"(Dam et al., 2019; Smajgl et al., 2015)","plainTextFormattedCitation":"(Dam et al., 2019; Smajgl et al., 2015)","previouslyFormattedCitation":"(Dam et al., 2019; Smajgl et al., 2015)"},"properties":{"noteIndex":0},"schema":"https://github.com/citation-style-language/schema/raw/master/csl-citation.json"}</w:instrText>
      </w:r>
      <w:r w:rsidR="003D791D" w:rsidRPr="0092758B">
        <w:rPr>
          <w:rFonts w:ascii="Times New Roman" w:eastAsia="Times New Roman" w:hAnsi="Times New Roman" w:cs="Times New Roman"/>
          <w:sz w:val="24"/>
          <w:szCs w:val="24"/>
        </w:rPr>
        <w:fldChar w:fldCharType="separate"/>
      </w:r>
      <w:r w:rsidR="003D791D" w:rsidRPr="0092758B">
        <w:rPr>
          <w:rFonts w:ascii="Times New Roman" w:eastAsia="Times New Roman" w:hAnsi="Times New Roman" w:cs="Times New Roman"/>
          <w:noProof/>
          <w:sz w:val="24"/>
          <w:szCs w:val="24"/>
        </w:rPr>
        <w:t>(Dam et al., 2019; Smajgl et al., 2015)</w:t>
      </w:r>
      <w:r w:rsidR="003D791D" w:rsidRPr="0092758B">
        <w:rPr>
          <w:rFonts w:ascii="Times New Roman" w:eastAsia="Times New Roman" w:hAnsi="Times New Roman" w:cs="Times New Roman"/>
          <w:sz w:val="24"/>
          <w:szCs w:val="24"/>
        </w:rPr>
        <w:fldChar w:fldCharType="end"/>
      </w:r>
      <w:r w:rsidR="003D791D" w:rsidRPr="0092758B">
        <w:rPr>
          <w:rFonts w:ascii="Times New Roman" w:eastAsia="Times New Roman" w:hAnsi="Times New Roman" w:cs="Times New Roman"/>
          <w:sz w:val="24"/>
          <w:szCs w:val="24"/>
        </w:rPr>
        <w:t>.</w:t>
      </w:r>
    </w:p>
    <w:p w14:paraId="362B9D68" w14:textId="0183F19B" w:rsidR="00B61574"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Rice </w:t>
      </w:r>
      <w:r w:rsidR="00B022A8" w:rsidRPr="0092758B">
        <w:rPr>
          <w:rFonts w:ascii="Times New Roman" w:eastAsia="Times New Roman" w:hAnsi="Times New Roman" w:cs="Times New Roman"/>
          <w:sz w:val="24"/>
          <w:szCs w:val="24"/>
        </w:rPr>
        <w:t xml:space="preserve">or the scientific name </w:t>
      </w:r>
      <w:proofErr w:type="spellStart"/>
      <w:r w:rsidR="00B022A8" w:rsidRPr="0092758B">
        <w:rPr>
          <w:rFonts w:ascii="Times New Roman" w:eastAsia="Times New Roman" w:hAnsi="Times New Roman" w:cs="Times New Roman"/>
          <w:bCs/>
          <w:i/>
          <w:iCs/>
          <w:sz w:val="24"/>
          <w:szCs w:val="24"/>
        </w:rPr>
        <w:t>Oryza</w:t>
      </w:r>
      <w:proofErr w:type="spellEnd"/>
      <w:r w:rsidR="00B022A8" w:rsidRPr="0092758B">
        <w:rPr>
          <w:rFonts w:ascii="Times New Roman" w:eastAsia="Times New Roman" w:hAnsi="Times New Roman" w:cs="Times New Roman"/>
          <w:bCs/>
          <w:i/>
          <w:iCs/>
          <w:sz w:val="24"/>
          <w:szCs w:val="24"/>
        </w:rPr>
        <w:t xml:space="preserve"> sativa</w:t>
      </w:r>
      <w:r w:rsidR="00B022A8"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is the staple food for most countries in Asia, the region consumes more than 80% of the world’s rice including Malaysia. In 2005, the paddy industry remained the third most important sub-agricultural sector in Malaysia after the oil palm and rubber industry. According to </w:t>
      </w:r>
      <w:r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{"citationItems":[{"id":"ITEM-1","itemData":{"ISSN":"15113701","abstract":"Silt pit is one of the recommended soil water conservation practices in oil palm plantations. It is commonly regarded that the larger and deeper the silt pit, the more effective the pit would be to conserve soil water. This hypothesis was tested in this paper, where the effectiveness of four silt pit dimensions on conserving soil water in the oil palm active rooting zone was simulated using the HYDRUS 2D model. These silt pits had different sizes and total wet wall-to-floor area ratio (W:F): H1 silt pit (1x1x1 m of width, length, and depth, respectively, and W:F ratio of 4.0), H2 (1.5x1x1 and W:F of 2.5), H3 (2x1x0.5 and W:F of 1.5) and H4 (2x1x2 and W:F of 1.5). Simulations showed that silt pits with larger W:F ratios could store water for longer periods and feed water to a farther horizontal distance within the soil compared to silt pits with smaller W:F ratios. H1 took the longest to dry out, whereby it took 14 to 19 hours longer to dry out compared to than H2, H3 and H4. H1 and H3 could feed water as far as 80 cm away from the pit more than H2 and H4 (60 and 50 cm, respectively). This is because silt pits with larger W:F ratios had larger horizontal water flow than the vertical water flow. Meanwhile, the depth of a silt pit should not be below the oil palm active rooting depth, which water would flow out of reach by the roots. This study is a preliminary work to a field experiment where simulations from this paper would be validated against measurements obtained in the field before recommending the use of silt pits and their size to be constructed in oil palm plantations.","author":[{"dropping-particle":"","family":"Bohluli","given":"Mohsen","non-dropping-particle":"","parse-names":false,"suffix":""},{"dropping-particle":"","family":"Sung","given":"Christopher Teh Boon","non-dropping-particle":"","parse-names":false,"suffix":""},{"dropping-particle":"","family":"Hanif","given":"Ahmad Husni Mohd","non-dropping-particle":"","parse-names":false,"suffix":""},{"dropping-particle":"","family":"Rahman","given":"Zaharah A.","non-dropping-particle":"","parse-names":false,"suffix":""}],"container-title":"Pertanika Journal of Tropical Agricultural Science","id":"ITEM-1","issue":"3","issued":{"date-parts":[["2014"]]},"page":"321-330","title":"Silt pit efficiency in conserving soil water as simulated by HYDRUS 2D model","type":"article-journal","volume":"37"},"uris":["http://www.mendeley.com/documents/?uuid=8a4790a6-f4b0-4d8d-be9e-5a55b26b3227"]}],"mendeley":{"formattedCitation":"(Bohluli, Sung, Hanif, &amp; Rahman, 2014)","manualFormatting":"Bohluli et al. (2014)","plainTextFormattedCitation":"(Bohluli, Sung, Hanif, &amp; Rahman, 2014)","previouslyFormattedCitation":"(Bohluli, Sung, Hanif, &amp; Rahman, 2014)"},"properties":{"noteIndex":0},"schema":"https://github.com/citation-style-language/schema/raw/master/csl-citation.json"}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Pr="0092758B">
        <w:rPr>
          <w:rFonts w:ascii="Times New Roman" w:eastAsia="Times New Roman" w:hAnsi="Times New Roman" w:cs="Times New Roman"/>
          <w:noProof/>
          <w:sz w:val="24"/>
          <w:szCs w:val="24"/>
        </w:rPr>
        <w:t>Bohluli et al. (2014)</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more than 450 thousand hectares of the total agricultural land in Malaysia are used for rice cultivation. However, the number of the paddy area keep decreasing and become more challenging to meet the local demand year by year.</w:t>
      </w:r>
    </w:p>
    <w:p w14:paraId="3BA8906D" w14:textId="11E58DE4" w:rsidR="00493341"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Currently, Malaysia strives to meet the demand for local rice by ensuring that every farmer is able to produce rice optimally</w:t>
      </w:r>
      <w:r w:rsidR="00F10A5C" w:rsidRPr="0092758B">
        <w:rPr>
          <w:rFonts w:ascii="Times New Roman" w:eastAsia="Times New Roman" w:hAnsi="Times New Roman" w:cs="Times New Roman"/>
          <w:sz w:val="24"/>
          <w:szCs w:val="24"/>
        </w:rPr>
        <w:t xml:space="preserve"> </w:t>
      </w:r>
      <w:r w:rsidR="00F10A5C"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{"citationItems":[{"id":"ITEM-1","itemData":{"ISBN":"9789671633571","author":[{"dropping-particle":"","family":"Che Omar","given":"Sarena","non-dropping-particle":"","parse-names":false,"suffix":""},{"dropping-particle":"","family":"Shaharudin","given":"Ashraf","non-dropping-particle":"","parse-names":false,"suffix":""},{"dropping-particle":"","family":"Tumin","given":"Siti Aiysyah","non-dropping-particle":"","parse-names":false,"suffix":""}],"container-title":"The Status of the Paddy and Rice Industry in Malaysia","id":"ITEM-1","issued":{"date-parts":[["2019"]]},"title":"The Status of the Paddy and Rice Industry in Malaysia","type":"report"},"uris":["http://www.mendeley.com/documents/?uuid=999eed54-ca81-41c1-95e7-637a471fae82"]}],"mendeley":{"formattedCitation":"(Che Omar, Shaharudin, &amp; Tumin, 2019)","plainTextFormattedCitation":"(Che Omar, Shaharudin, &amp; Tumin, 2019)","previouslyFormattedCitation":"(Che Omar, Shaharudin, &amp; Tumin, 2019)"},"properties":{"noteIndex":0},"schema":"https://github.com/citation-style-language/schema/raw/master/csl-citation.json"}</w:instrText>
      </w:r>
      <w:r w:rsidR="00F10A5C"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(Che Omar, Shaharudin, &amp; Tumin, 2019)</w:t>
      </w:r>
      <w:r w:rsidR="00F10A5C"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w:t>
      </w:r>
      <w:r w:rsidR="00493341"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Farmers, especially those who are in the Kedah coastal areas, often experience the problem of sea</w:t>
      </w:r>
      <w:r w:rsidR="00961169"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water entry into the paddy cultivation area.</w:t>
      </w:r>
      <w:r w:rsidR="00493341" w:rsidRPr="0092758B">
        <w:rPr>
          <w:rFonts w:ascii="Times New Roman" w:eastAsia="Times New Roman" w:hAnsi="Times New Roman" w:cs="Times New Roman"/>
          <w:sz w:val="24"/>
          <w:szCs w:val="24"/>
        </w:rPr>
        <w:t xml:space="preserve"> Kuala Kedah is a part of Kedah which located nearby </w:t>
      </w:r>
      <w:r w:rsidR="00CE2C87" w:rsidRPr="0092758B">
        <w:rPr>
          <w:rFonts w:ascii="Times New Roman" w:eastAsia="Times New Roman" w:hAnsi="Times New Roman" w:cs="Times New Roman"/>
          <w:sz w:val="24"/>
          <w:szCs w:val="24"/>
        </w:rPr>
        <w:t xml:space="preserve">the </w:t>
      </w:r>
      <w:r w:rsidR="00493341" w:rsidRPr="0092758B">
        <w:rPr>
          <w:rFonts w:ascii="Times New Roman" w:eastAsia="Times New Roman" w:hAnsi="Times New Roman" w:cs="Times New Roman"/>
          <w:sz w:val="24"/>
          <w:szCs w:val="24"/>
        </w:rPr>
        <w:t xml:space="preserve">coastal line in the west coast of Peninsular Malaysia. Most of the farmers </w:t>
      </w:r>
      <w:r w:rsidR="00CE2C87" w:rsidRPr="0092758B">
        <w:rPr>
          <w:rFonts w:ascii="Times New Roman" w:eastAsia="Times New Roman" w:hAnsi="Times New Roman" w:cs="Times New Roman"/>
          <w:sz w:val="24"/>
          <w:szCs w:val="24"/>
        </w:rPr>
        <w:t xml:space="preserve">in </w:t>
      </w:r>
      <w:r w:rsidR="00493341" w:rsidRPr="0092758B">
        <w:rPr>
          <w:rFonts w:ascii="Times New Roman" w:eastAsia="Times New Roman" w:hAnsi="Times New Roman" w:cs="Times New Roman"/>
          <w:sz w:val="24"/>
          <w:szCs w:val="24"/>
        </w:rPr>
        <w:t xml:space="preserve">this area </w:t>
      </w:r>
      <w:r w:rsidR="00CE2C87" w:rsidRPr="0092758B">
        <w:rPr>
          <w:rFonts w:ascii="Times New Roman" w:eastAsia="Times New Roman" w:hAnsi="Times New Roman" w:cs="Times New Roman"/>
          <w:sz w:val="24"/>
          <w:szCs w:val="24"/>
        </w:rPr>
        <w:t>complained</w:t>
      </w:r>
      <w:r w:rsidR="00493341" w:rsidRPr="0092758B">
        <w:rPr>
          <w:rFonts w:ascii="Times New Roman" w:eastAsia="Times New Roman" w:hAnsi="Times New Roman" w:cs="Times New Roman"/>
          <w:sz w:val="24"/>
          <w:szCs w:val="24"/>
        </w:rPr>
        <w:t xml:space="preserve"> about the decrement of paddy yield starting 2016 until 2019. </w:t>
      </w:r>
      <w:r w:rsidR="00961169" w:rsidRPr="0092758B">
        <w:rPr>
          <w:rFonts w:ascii="Times New Roman" w:eastAsia="Times New Roman" w:hAnsi="Times New Roman" w:cs="Times New Roman"/>
          <w:sz w:val="24"/>
          <w:szCs w:val="24"/>
        </w:rPr>
        <w:t xml:space="preserve">This is due to </w:t>
      </w:r>
      <w:r w:rsidR="00CE2C87" w:rsidRPr="0092758B">
        <w:rPr>
          <w:rFonts w:ascii="Times New Roman" w:eastAsia="Times New Roman" w:hAnsi="Times New Roman" w:cs="Times New Roman"/>
          <w:sz w:val="24"/>
          <w:szCs w:val="24"/>
        </w:rPr>
        <w:t>sea water's existence</w:t>
      </w:r>
      <w:r w:rsidR="00961169" w:rsidRPr="0092758B">
        <w:rPr>
          <w:rFonts w:ascii="Times New Roman" w:eastAsia="Times New Roman" w:hAnsi="Times New Roman" w:cs="Times New Roman"/>
          <w:sz w:val="24"/>
          <w:szCs w:val="24"/>
        </w:rPr>
        <w:t xml:space="preserve"> in the paddy plot caused by sea water intrusion especially during high tide phenomenon and heavy rain events.</w:t>
      </w:r>
      <w:r w:rsidR="0018179C" w:rsidRPr="0092758B">
        <w:rPr>
          <w:rFonts w:ascii="Times New Roman" w:eastAsia="Times New Roman" w:hAnsi="Times New Roman" w:cs="Times New Roman"/>
          <w:sz w:val="24"/>
          <w:szCs w:val="24"/>
        </w:rPr>
        <w:t xml:space="preserve"> </w:t>
      </w:r>
      <w:r w:rsidR="00CE2C87" w:rsidRPr="0092758B">
        <w:rPr>
          <w:rFonts w:ascii="Times New Roman" w:eastAsia="Times New Roman" w:hAnsi="Times New Roman" w:cs="Times New Roman"/>
          <w:sz w:val="24"/>
          <w:szCs w:val="24"/>
        </w:rPr>
        <w:t xml:space="preserve">A previous </w:t>
      </w:r>
      <w:r w:rsidR="0018179C" w:rsidRPr="0092758B">
        <w:rPr>
          <w:rFonts w:ascii="Times New Roman" w:eastAsia="Times New Roman" w:hAnsi="Times New Roman" w:cs="Times New Roman"/>
          <w:sz w:val="24"/>
          <w:szCs w:val="24"/>
        </w:rPr>
        <w:t xml:space="preserve">study by </w:t>
      </w:r>
      <w:r w:rsidR="0018179C" w:rsidRPr="0092758B">
        <w:rPr>
          <w:rFonts w:ascii="Times New Roman" w:eastAsia="Times New Roman" w:hAnsi="Times New Roman" w:cs="Times New Roman"/>
          <w:sz w:val="24"/>
          <w:szCs w:val="24"/>
        </w:rPr>
        <w:fldChar w:fldCharType="begin" w:fldLock="1"/>
      </w:r>
      <w:r w:rsidR="0018179C" w:rsidRPr="0092758B">
        <w:rPr>
          <w:rFonts w:ascii="Times New Roman" w:eastAsia="Times New Roman" w:hAnsi="Times New Roman" w:cs="Times New Roman"/>
          <w:sz w:val="24"/>
          <w:szCs w:val="24"/>
        </w:rPr>
        <w:instrText>ADDIN CSL_CITATION {"citationItems":[{"id":"ITEM-1","itemData":{"author":[{"dropping-particle":"","family":"Samsuddin Sah","given":"Samera","non-dropping-particle":"","parse-names":false,"suffix":""},{"dropping-particle":"","family":"Abdul Maulud","given":"Khairul Nizam","non-dropping-particle":"","parse-names":false,"suffix":""},{"dropping-particle":"","family":"Sharil","given":"Suraya","non-dropping-particle":"","parse-names":false,"suffix":""},{"dropping-particle":"","family":"A. Karim","given":"Othman","non-dropping-particle":"","parse-names":false,"suffix":""},{"dropping-particle":"","family":"Abdul Nahar","given":"Nur Fadzlina","non-dropping-particle":"","parse-names":false,"suffix":""}],"container-title":"Journal of Sustainability Science and Management","id":"ITEM-1","issued":{"date-parts":[["2020"]]},"title":"Impact of Saltwater Intrusion on Paddy Growth in Kuala Kedah, Malaysia","type":"article-journal"},"uris":["http://www.mendeley.com/documents/?uuid=db783329-0fa4-4a8e-8ff0-a6851164fa92"]},{"id":"ITEM-2","itemData":{"DOI":"10.1002/hyp.9232","abstract":"The sea level change along the Peninsular Malaysia and Sabah-Sarawak coastlines for the 21st century is investigated along the coastal areas of Peninsular Malaysia and Sabah-Sarawak due to the expected climate change during the 21st century. The spatial variation of the sea level change is estimated by assimilating the global mean sea level projections from the Atmosphere- Ocean coupled Global Climate Model/General Circulation Model (AOGCM) simulations to the satellite altimeter observations along the subject coastlines. By means of the assimilated AOGCM projections the sea level around the Peninsular Malaysia coastline is projected to rise with a mean in the range 0.066 m to 0.141 m in 2040 and with a mean in the range 0.253 m to 0.517 m in 2100. By means of the assimilated AOGCM projections the sea level around Sabah- Sarawak coastlines is projected to rise with a mean in the range 0.115 m to 0.291 m in 2040 and with a mean in the range 0.432 m to 1.064 m in 2100. The highest sea level rise occurs at the north-east and north-west regions in Peninsular Malaysia and at north and east sectors of Sabah in Sabah-Sarawak coastline.","author":[{"dropping-particle":"","family":"Ercan","given":"Ali","non-dropping-particle":"","parse-names":false,"suffix":""},{"dropping-particle":"","family":"Fauzi","given":"Mohd","non-dropping-particle":"","parse-names":false,"suffix":""},{"dropping-particle":"","family":"Kavvas","given":"M Levent","non-dropping-particle":"","parse-names":false,"suffix":""}],"container-title":"Hydrological Processes","id":"ITEM-2","issue":"January","issued":{"date-parts":[["2013"]]},"page":"367-377","title":"The Impact of Climate Change on Sea Level Rise at Peninsular Malaysia and Sabah-Sarawak","type":"article-journal","volume":"27(3)"},"uris":["http://www.mendeley.com/documents/?uuid=13dd4b78-96aa-4f57-885b-5920d22e3c9e"]},{"id":"ITEM-3","itemData":{"DOI":"10.1016/j.rsci.2016.09.004","ISSN":"16726308","abstract":"Salt tolerance is an important constrain for rice, which is generally categorized as a typical glycophyte. Soil salinity is one of the major constraints affecting rice production worldwide, especially in the coastal areas. Susceptibility or tolerance of rice plants to high salinity is a coordinated action of multiple stress responsive genes, which also interacts with other components of stress signal transduction pathways. Salt tolerant varieties can be produced by marker-assisted selection or genetic engineering by introducing salt-tolerance genes. In this review, we have updated on mechanisms and genes which can help in transferring of the salt tolerance into high-yielding rice varieties. We have focused on the need for integrating phenotyping, genomics, metabolic profiling and phenomics into transgenic and breeding approaches to develop high-yielding as well as salt tolerant rice varieties.","author":[{"dropping-particle":"","family":"Reddy","given":"Inja Naga Bheema Lingeswara","non-dropping-particle":"","parse-names":false,"suffix":""},{"dropping-particle":"","family":"Kim","given":"Beom Ki","non-dropping-particle":"","parse-names":false,"suffix":""},{"dropping-particle":"","family":"Yoon","given":"In Sun","non-dropping-particle":"","parse-names":false,"suffix":""},{"dropping-particle":"","family":"Kim","given":"Kyung Hwan","non-dropping-particle":"","parse-names":false,"suffix":""},{"dropping-particle":"","family":"Kwon","given":"Taek Ryoun","non-dropping-particle":"","parse-names":false,"suffix":""}],"container-title":"Rice Science","id":"ITEM-3","issue":"3","issued":{"date-parts":[["2017"]]},"page":"123-144","title":"Salt Tolerance in Rice: Focus on Mechanisms and Approaches","type":"article-journal","volume":"24"},"uris":["http://www.mendeley.com/documents/?uuid=f695ee08-a87c-4d3b-bc75-7c4a5a2fee57"]}],"mendeley":{"formattedCitation":"(Ercan, Fauzi, &amp; Kavvas, 2013; Reddy et al., 2017; Samsuddin Sah et al., 2020)","manualFormatting":"Ercan, Fauzi, &amp; Kavvas, (2013); Reddy et al., (2017); Samsuddin Sah et al., (2020)","plainTextFormattedCitation":"(Ercan, Fauzi, &amp; Kavvas, 2013; Reddy et al., 2017; Samsuddin Sah et al., 2020)","previouslyFormattedCitation":"(Ercan, Fauzi, &amp; Kavvas, 2013; Reddy et al., 2017; Samsuddin Sah et al., 2020)"},"properties":{"noteIndex":0},"schema":"https://github.com/citation-style-language/schema/raw/master/csl-citation.json"}</w:instrText>
      </w:r>
      <w:r w:rsidR="0018179C" w:rsidRPr="0092758B">
        <w:rPr>
          <w:rFonts w:ascii="Times New Roman" w:eastAsia="Times New Roman" w:hAnsi="Times New Roman" w:cs="Times New Roman"/>
          <w:sz w:val="24"/>
          <w:szCs w:val="24"/>
        </w:rPr>
        <w:fldChar w:fldCharType="separate"/>
      </w:r>
      <w:r w:rsidR="0018179C" w:rsidRPr="0092758B">
        <w:rPr>
          <w:rFonts w:ascii="Times New Roman" w:eastAsia="Times New Roman" w:hAnsi="Times New Roman" w:cs="Times New Roman"/>
          <w:noProof/>
          <w:sz w:val="24"/>
          <w:szCs w:val="24"/>
        </w:rPr>
        <w:t>Ercan, Fauzi, &amp; Kavvas, (2013); Reddy et al., (2017); Samsuddin Sah et al., (2020)</w:t>
      </w:r>
      <w:r w:rsidR="0018179C" w:rsidRPr="0092758B">
        <w:rPr>
          <w:rFonts w:ascii="Times New Roman" w:eastAsia="Times New Roman" w:hAnsi="Times New Roman" w:cs="Times New Roman"/>
          <w:sz w:val="24"/>
          <w:szCs w:val="24"/>
        </w:rPr>
        <w:fldChar w:fldCharType="end"/>
      </w:r>
      <w:r w:rsidR="0018179C" w:rsidRPr="0092758B">
        <w:rPr>
          <w:rFonts w:ascii="Times New Roman" w:eastAsia="Times New Roman" w:hAnsi="Times New Roman" w:cs="Times New Roman"/>
          <w:sz w:val="24"/>
          <w:szCs w:val="24"/>
        </w:rPr>
        <w:t xml:space="preserve"> found that the salinity concentration </w:t>
      </w:r>
      <w:r w:rsidR="00CE2C87" w:rsidRPr="0092758B">
        <w:rPr>
          <w:rFonts w:ascii="Times New Roman" w:eastAsia="Times New Roman" w:hAnsi="Times New Roman" w:cs="Times New Roman"/>
          <w:sz w:val="24"/>
          <w:szCs w:val="24"/>
        </w:rPr>
        <w:t xml:space="preserve">of </w:t>
      </w:r>
      <w:r w:rsidR="0018179C" w:rsidRPr="0092758B">
        <w:rPr>
          <w:rFonts w:ascii="Times New Roman" w:eastAsia="Times New Roman" w:hAnsi="Times New Roman" w:cs="Times New Roman"/>
          <w:sz w:val="24"/>
          <w:szCs w:val="24"/>
        </w:rPr>
        <w:t xml:space="preserve">more than 1100 ppm will directly stunt the paddy growth and in turn lead to a reduction in rice yields at affected areas. This also supported by </w:t>
      </w:r>
      <w:r w:rsidR="0018179C" w:rsidRPr="0092758B">
        <w:rPr>
          <w:rFonts w:ascii="Times New Roman" w:eastAsia="Times New Roman" w:hAnsi="Times New Roman" w:cs="Times New Roman"/>
          <w:sz w:val="24"/>
          <w:szCs w:val="24"/>
        </w:rPr>
        <w:lastRenderedPageBreak/>
        <w:fldChar w:fldCharType="begin" w:fldLock="1"/>
      </w:r>
      <w:r w:rsidR="00B1439B" w:rsidRPr="0092758B">
        <w:rPr>
          <w:rFonts w:ascii="Times New Roman" w:eastAsia="Times New Roman" w:hAnsi="Times New Roman" w:cs="Times New Roman"/>
          <w:sz w:val="24"/>
          <w:szCs w:val="24"/>
        </w:rPr>
        <w:instrText>ADDIN CSL_CITATION {"citationItems":[{"id":"ITEM-1","itemData":{"DOI":"10.1016/j.ocecoaman.2016.06.013","ISSN":"09645691","abstract":"The Southwest (SW) region of Bangladesh is facing salinity intrusion both environmentally and anthropogenically. In that circumstance, the dominating livelihood agriculture is affected severely including soil and ground water degradation, health problems and long term effect on ecosystem. Study from the Soil Resource Development Institute (SRDI) found that, from 2000 to 2009, saline water intrusion increased up to 15 km north of the coast and in the dry season reached up to 160 km inland, entering into other interior coastal districts as well due to low flow from upstream rivers. In line with that, this article explored local people's experience with salinity intrusion in interior coast of SW region. Along with semi-structured &amp; open ended questionnaire five focus group discussions and eight interviews were conducted to outlines the relationship between food security and salinity intrusion in regards of crop production and examines the impact of salinity on the crop production. The analysis found salinity in both soil and water is favorable for rice cultivation, although yield loss in every year has increased. Community shifted from native to high yield rice varieties to increase production and cope with soil salinity, in turn, the activity increase fertilizer and pesticides usage. Additionally, oilseed, sugarcane and jute cultivation has discontinued for twelve years due to inability to cope with current salinity level. Some other reasons put forward for saline intrusion includes lack of fresh water in the dry season, and saline encroachment from sea through downstream rivers. Through identification of salinity in the study area, the study suggests to measure impacts rigorously and imply necessary adaptation even though the saline level is favorable for rice, to protect interior coast from suffering like exterior coastal districts.","author":[{"dropping-particle":"","family":"Khanom","given":"Tanzinia","non-dropping-particle":"","parse-names":false,"suffix":""}],"container-title":"Ocean and Coastal Management","id":"ITEM-1","issued":{"date-parts":[["2016"]]},"title":"Effect of salinity on food security in the context of interior coast of Bangladesh","type":"article-journal"},"uris":["http://www.mendeley.com/documents/?uuid=1269c6de-686d-47a9-a9fc-cdc16de1270c"]},{"id":"ITEM-2","itemData":{"DOI":"10.3390/agronomy9100658","ISSN":"20734395","abstract":"Weeds that have become resistant to herbicides may threaten rice production. Rice cultivation is mainly carried out in coastal and river delta areas that often suffer salinity problems. The aims of this study were to evaluate the effects of salinity upon germination and the root and shoot seedling growth of Italian weedy rice and cultivated rice (Oryza sativa), and to find a possible correlation between salinity and herbicide resistance. Seed germination tests were conducted in Petri dishes on four imazamox-sensitive and one resistant weedy rice populations and two rice varieties: Baldo (conventional) and CL80 (imidazolinone-resistant Clearfield® variety). Different salt concentrations were tested: 0, 50, 100, 150, 200, 250, 300, 350 and 400 mM NaCl. Germination percentage, germination speed, seedling root and shoot length were affected by increasing the salt concentration in all tested populations and varieties. The germination percentage was in general more affected in resistant weedy rice and CL80. In resistant weedy rice this was partially compensated by a faster germination up to 100 mM. In terms of seedling root and shoot length, CL80 and Baldo showed the highest tolerance to salt; resistant weedy rice was not able to produce seedling roots and shoots at concentrations &gt; 300 mM.","author":[{"dropping-particle":"","family":"Fogliatto","given":"Silvia","non-dropping-particle":"","parse-names":false,"suffix":""},{"dropping-particle":"","family":"Serra","given":"Francesca","non-dropping-particle":"","parse-names":false,"suffix":""},{"dropping-particle":"","family":"Patrucco","given":"Lorenzo","non-dropping-particle":"","parse-names":false,"suffix":""},{"dropping-particle":"","family":"Milan","given":"Marco","non-dropping-particle":"","parse-names":false,"suffix":""},{"dropping-particle":"","family":"Vidotto","given":"Francesco","non-dropping-particle":"","parse-names":false,"suffix":""}],"container-title":"Agronomy","id":"ITEM-2","issue":"10","issued":{"date-parts":[["2019"]]},"title":"Effect of different water salinity levels on the germination of imazamox-resistant and sensitive weedy rice and cultivated rice","type":"article-journal","volume":"9"},"uris":["http://www.mendeley.com/documents/?uuid=e7eb7765-d14c-481d-bb15-3616286b7370"]}],"mendeley":{"formattedCitation":"(Fogliatto, Serra, Patrucco, Milan, &amp; Vidotto, 2019; Khanom, 2016)","manualFormatting":"Fogliatto, Serra, Patrucco, Milan, &amp; Vidotto, (2019); Khanom, (2016)","plainTextFormattedCitation":"(Fogliatto, Serra, Patrucco, Milan, &amp; Vidotto, 2019; Khanom, 2016)","previouslyFormattedCitation":"(Fogliatto, Serra, Patrucco, Milan, &amp; Vidotto, 2019; Khanom, 2016)"},"properties":{"noteIndex":0},"schema":"https://github.com/citation-style-language/schema/raw/master/csl-citation.json"}</w:instrText>
      </w:r>
      <w:r w:rsidR="0018179C" w:rsidRPr="0092758B">
        <w:rPr>
          <w:rFonts w:ascii="Times New Roman" w:eastAsia="Times New Roman" w:hAnsi="Times New Roman" w:cs="Times New Roman"/>
          <w:sz w:val="24"/>
          <w:szCs w:val="24"/>
        </w:rPr>
        <w:fldChar w:fldCharType="separate"/>
      </w:r>
      <w:r w:rsidR="0018179C" w:rsidRPr="0092758B">
        <w:rPr>
          <w:rFonts w:ascii="Times New Roman" w:eastAsia="Times New Roman" w:hAnsi="Times New Roman" w:cs="Times New Roman"/>
          <w:noProof/>
          <w:sz w:val="24"/>
          <w:szCs w:val="24"/>
        </w:rPr>
        <w:t>Fogl</w:t>
      </w:r>
      <w:r w:rsidR="00590DFD">
        <w:rPr>
          <w:rFonts w:ascii="Times New Roman" w:eastAsia="Times New Roman" w:hAnsi="Times New Roman" w:cs="Times New Roman"/>
          <w:noProof/>
          <w:sz w:val="24"/>
          <w:szCs w:val="24"/>
        </w:rPr>
        <w:t>iatto, Serra, Patrucco, Milan and</w:t>
      </w:r>
      <w:r w:rsidR="0018179C" w:rsidRPr="0092758B">
        <w:rPr>
          <w:rFonts w:ascii="Times New Roman" w:eastAsia="Times New Roman" w:hAnsi="Times New Roman" w:cs="Times New Roman"/>
          <w:noProof/>
          <w:sz w:val="24"/>
          <w:szCs w:val="24"/>
        </w:rPr>
        <w:t xml:space="preserve"> Vidotto, (2019); Khanom, (2016)</w:t>
      </w:r>
      <w:r w:rsidR="0018179C" w:rsidRPr="0092758B">
        <w:rPr>
          <w:rFonts w:ascii="Times New Roman" w:eastAsia="Times New Roman" w:hAnsi="Times New Roman" w:cs="Times New Roman"/>
          <w:sz w:val="24"/>
          <w:szCs w:val="24"/>
        </w:rPr>
        <w:fldChar w:fldCharType="end"/>
      </w:r>
      <w:r w:rsidR="0018179C" w:rsidRPr="0092758B">
        <w:rPr>
          <w:rFonts w:ascii="Times New Roman" w:eastAsia="Times New Roman" w:hAnsi="Times New Roman" w:cs="Times New Roman"/>
          <w:sz w:val="24"/>
          <w:szCs w:val="24"/>
        </w:rPr>
        <w:t xml:space="preserve"> where the growth reduction due to </w:t>
      </w:r>
      <w:r w:rsidR="00A231D3" w:rsidRPr="0092758B">
        <w:rPr>
          <w:rFonts w:ascii="Times New Roman" w:eastAsia="Times New Roman" w:hAnsi="Times New Roman" w:cs="Times New Roman"/>
          <w:sz w:val="24"/>
          <w:szCs w:val="24"/>
        </w:rPr>
        <w:t>root damage, ion toxicity, lessened nutrient and water uptake, and inhibition of photosynthesis will lead to the decrement of yields</w:t>
      </w:r>
    </w:p>
    <w:p w14:paraId="42427B2B" w14:textId="5BBE2F42" w:rsidR="00B61574" w:rsidRPr="0092758B" w:rsidRDefault="00493341"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 </w:t>
      </w:r>
      <w:r w:rsidR="00961169" w:rsidRPr="0092758B">
        <w:rPr>
          <w:rFonts w:ascii="Times New Roman" w:eastAsia="Times New Roman" w:hAnsi="Times New Roman" w:cs="Times New Roman"/>
          <w:sz w:val="24"/>
          <w:szCs w:val="24"/>
        </w:rPr>
        <w:t>Hence, this study was conducted to assess the level of salinity in two different seasons and describe the level of salinity concentration using salinity variability map using</w:t>
      </w:r>
      <w:r w:rsidR="009366E8" w:rsidRPr="0092758B">
        <w:rPr>
          <w:rFonts w:ascii="Times New Roman" w:eastAsia="Times New Roman" w:hAnsi="Times New Roman" w:cs="Times New Roman"/>
          <w:sz w:val="24"/>
          <w:szCs w:val="24"/>
        </w:rPr>
        <w:t xml:space="preserve"> Inverse Distance Weighted</w:t>
      </w:r>
      <w:r w:rsidR="00961169" w:rsidRPr="0092758B">
        <w:rPr>
          <w:rFonts w:ascii="Times New Roman" w:eastAsia="Times New Roman" w:hAnsi="Times New Roman" w:cs="Times New Roman"/>
          <w:sz w:val="24"/>
          <w:szCs w:val="24"/>
        </w:rPr>
        <w:t xml:space="preserve"> </w:t>
      </w:r>
      <w:r w:rsidR="009366E8" w:rsidRPr="0092758B">
        <w:rPr>
          <w:rFonts w:ascii="Times New Roman" w:eastAsia="Times New Roman" w:hAnsi="Times New Roman" w:cs="Times New Roman"/>
          <w:sz w:val="24"/>
          <w:szCs w:val="24"/>
        </w:rPr>
        <w:t>(</w:t>
      </w:r>
      <w:r w:rsidR="00961169" w:rsidRPr="0092758B">
        <w:rPr>
          <w:rFonts w:ascii="Times New Roman" w:eastAsia="Times New Roman" w:hAnsi="Times New Roman" w:cs="Times New Roman"/>
          <w:sz w:val="24"/>
          <w:szCs w:val="24"/>
        </w:rPr>
        <w:t>IDW</w:t>
      </w:r>
      <w:r w:rsidR="009366E8" w:rsidRPr="0092758B">
        <w:rPr>
          <w:rFonts w:ascii="Times New Roman" w:eastAsia="Times New Roman" w:hAnsi="Times New Roman" w:cs="Times New Roman"/>
          <w:sz w:val="24"/>
          <w:szCs w:val="24"/>
        </w:rPr>
        <w:t>)</w:t>
      </w:r>
      <w:r w:rsidR="00961169" w:rsidRPr="0092758B">
        <w:rPr>
          <w:rFonts w:ascii="Times New Roman" w:eastAsia="Times New Roman" w:hAnsi="Times New Roman" w:cs="Times New Roman"/>
          <w:sz w:val="24"/>
          <w:szCs w:val="24"/>
        </w:rPr>
        <w:t xml:space="preserve"> interpolation methods that are available in ArcGIS </w:t>
      </w:r>
      <w:r w:rsidR="009366E8" w:rsidRPr="0092758B">
        <w:rPr>
          <w:rFonts w:ascii="Times New Roman" w:eastAsia="Times New Roman" w:hAnsi="Times New Roman" w:cs="Times New Roman"/>
          <w:sz w:val="24"/>
          <w:szCs w:val="24"/>
        </w:rPr>
        <w:t xml:space="preserve">software </w:t>
      </w:r>
      <w:r w:rsidR="00961169" w:rsidRPr="0092758B">
        <w:rPr>
          <w:rFonts w:ascii="Times New Roman" w:eastAsia="Times New Roman" w:hAnsi="Times New Roman" w:cs="Times New Roman"/>
          <w:sz w:val="24"/>
          <w:szCs w:val="24"/>
        </w:rPr>
        <w:t>for both the season</w:t>
      </w:r>
      <w:r w:rsidR="009366E8" w:rsidRPr="0092758B">
        <w:rPr>
          <w:rFonts w:ascii="Times New Roman" w:eastAsia="Times New Roman" w:hAnsi="Times New Roman" w:cs="Times New Roman"/>
          <w:sz w:val="24"/>
          <w:szCs w:val="24"/>
        </w:rPr>
        <w:t>. Consequently</w:t>
      </w:r>
      <w:r w:rsidR="00B61574" w:rsidRPr="0092758B">
        <w:rPr>
          <w:rFonts w:ascii="Times New Roman" w:eastAsia="Times New Roman" w:hAnsi="Times New Roman" w:cs="Times New Roman"/>
          <w:sz w:val="24"/>
          <w:szCs w:val="24"/>
        </w:rPr>
        <w:t>, proper planning and improvement can be seriously considered by local agencies responsible for maintaining agricultural activities as well as local livelihoods.</w:t>
      </w:r>
    </w:p>
    <w:p w14:paraId="608F9089" w14:textId="6CB24F54" w:rsidR="00A3720B" w:rsidRPr="0092758B" w:rsidRDefault="00A3720B"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F9A48E6" w14:textId="77777777" w:rsidR="00627408" w:rsidRPr="0092758B" w:rsidRDefault="00627408"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EA8C037" w14:textId="6C07986F"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Method and study area </w:t>
      </w:r>
    </w:p>
    <w:p w14:paraId="2AE30620" w14:textId="77777777"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 </w:t>
      </w:r>
    </w:p>
    <w:p w14:paraId="0CF02F2B" w14:textId="7CCECD9D" w:rsidR="00B61574" w:rsidRDefault="00B61574"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Kuala Kedah is located at the west coast of peninsular Malaysia and face</w:t>
      </w:r>
      <w:r w:rsidR="008D1CB0" w:rsidRPr="0092758B">
        <w:rPr>
          <w:rFonts w:ascii="Times New Roman" w:eastAsia="Times New Roman" w:hAnsi="Times New Roman" w:cs="Times New Roman"/>
          <w:sz w:val="24"/>
          <w:szCs w:val="24"/>
        </w:rPr>
        <w:t>s</w:t>
      </w:r>
      <w:r w:rsidRPr="0092758B">
        <w:rPr>
          <w:rFonts w:ascii="Times New Roman" w:eastAsia="Times New Roman" w:hAnsi="Times New Roman" w:cs="Times New Roman"/>
          <w:sz w:val="24"/>
          <w:szCs w:val="24"/>
        </w:rPr>
        <w:t xml:space="preserve"> Malacca Strait. The study area involved almost 30 hectares of rice cultivation area along the </w:t>
      </w:r>
      <w:r w:rsidR="001E5F9B" w:rsidRPr="0092758B">
        <w:rPr>
          <w:rFonts w:ascii="Times New Roman" w:eastAsia="Times New Roman" w:hAnsi="Times New Roman" w:cs="Times New Roman"/>
          <w:sz w:val="24"/>
          <w:szCs w:val="24"/>
        </w:rPr>
        <w:t xml:space="preserve">low laying zone at </w:t>
      </w:r>
      <w:r w:rsidRPr="0092758B">
        <w:rPr>
          <w:rFonts w:ascii="Times New Roman" w:eastAsia="Times New Roman" w:hAnsi="Times New Roman" w:cs="Times New Roman"/>
          <w:sz w:val="24"/>
          <w:szCs w:val="24"/>
        </w:rPr>
        <w:t xml:space="preserve">Kuala Kedah, </w:t>
      </w:r>
      <w:r w:rsidR="00505A09" w:rsidRPr="0092758B">
        <w:rPr>
          <w:rFonts w:ascii="Times New Roman" w:eastAsia="Times New Roman" w:hAnsi="Times New Roman" w:cs="Times New Roman"/>
          <w:sz w:val="24"/>
          <w:szCs w:val="24"/>
        </w:rPr>
        <w:t xml:space="preserve">the </w:t>
      </w:r>
      <w:r w:rsidRPr="0092758B">
        <w:rPr>
          <w:rFonts w:ascii="Times New Roman" w:eastAsia="Times New Roman" w:hAnsi="Times New Roman" w:cs="Times New Roman"/>
          <w:sz w:val="24"/>
          <w:szCs w:val="24"/>
        </w:rPr>
        <w:t xml:space="preserve">coast of Kedah, which is found at the west coast of Peninsular Malaysia. These </w:t>
      </w:r>
      <w:r w:rsidR="004D71BC"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30 hectares of paddy cultivation area is located between 6°06'41.5"N to </w:t>
      </w:r>
      <w:r w:rsidRPr="0092758B">
        <w:rPr>
          <w:rFonts w:ascii="Times New Roman" w:eastAsia="Times New Roman" w:hAnsi="Times New Roman" w:cs="Times New Roman"/>
          <w:sz w:val="24"/>
          <w:szCs w:val="24"/>
          <w:lang w:val="en-MY"/>
        </w:rPr>
        <w:t xml:space="preserve">6°07'33.0"N </w:t>
      </w:r>
      <w:r w:rsidRPr="0092758B">
        <w:rPr>
          <w:rFonts w:ascii="Times New Roman" w:eastAsia="Times New Roman" w:hAnsi="Times New Roman" w:cs="Times New Roman"/>
          <w:sz w:val="24"/>
          <w:szCs w:val="24"/>
        </w:rPr>
        <w:t xml:space="preserve">and 100°16'44.7"E to 100°17'14.5"E as illustrates in Figure 1. </w:t>
      </w:r>
    </w:p>
    <w:p w14:paraId="5D435053" w14:textId="77777777" w:rsidR="00590DFD" w:rsidRPr="0092758B" w:rsidRDefault="00590DF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54E5433" w14:textId="2167BA76" w:rsidR="00AE4AD3" w:rsidRPr="0092758B" w:rsidRDefault="00656B82" w:rsidP="004E52E3">
      <w:pPr>
        <w:ind w:leftChars="0" w:left="2" w:hanging="2"/>
        <w:jc w:val="center"/>
        <w:rPr>
          <w:rFonts w:ascii="Times New Roman" w:hAnsi="Times New Roman" w:cs="Times New Roman"/>
          <w:sz w:val="24"/>
          <w:szCs w:val="24"/>
        </w:rPr>
      </w:pPr>
      <w:r w:rsidRPr="0092758B">
        <w:rPr>
          <w:rFonts w:ascii="Times New Roman" w:hAnsi="Times New Roman" w:cs="Times New Roman"/>
          <w:noProof/>
          <w:sz w:val="24"/>
          <w:szCs w:val="24"/>
          <w:lang w:val="en-MY" w:eastAsia="en-MY"/>
        </w:rPr>
        <w:drawing>
          <wp:inline distT="0" distB="0" distL="0" distR="0" wp14:anchorId="23691550" wp14:editId="1EC55CE7">
            <wp:extent cx="5943600" cy="4672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4672330"/>
                    </a:xfrm>
                    <a:prstGeom prst="rect">
                      <a:avLst/>
                    </a:prstGeom>
                  </pic:spPr>
                </pic:pic>
              </a:graphicData>
            </a:graphic>
          </wp:inline>
        </w:drawing>
      </w:r>
    </w:p>
    <w:p w14:paraId="064C4DDB" w14:textId="2DA40A12" w:rsidR="00AE4AD3" w:rsidRPr="0092758B" w:rsidRDefault="00AE4AD3" w:rsidP="004E52E3">
      <w:pPr>
        <w:spacing w:line="480" w:lineRule="auto"/>
        <w:ind w:leftChars="0" w:left="2" w:hanging="2"/>
        <w:jc w:val="center"/>
        <w:rPr>
          <w:rFonts w:ascii="Times New Roman" w:hAnsi="Times New Roman" w:cs="Times New Roman"/>
          <w:sz w:val="20"/>
          <w:szCs w:val="20"/>
        </w:rPr>
      </w:pPr>
      <w:r w:rsidRPr="0092758B">
        <w:rPr>
          <w:rFonts w:ascii="Times New Roman" w:hAnsi="Times New Roman" w:cs="Times New Roman"/>
          <w:b/>
          <w:bCs/>
          <w:sz w:val="20"/>
          <w:szCs w:val="20"/>
        </w:rPr>
        <w:t>Figure 1.</w:t>
      </w:r>
      <w:r w:rsidRPr="0092758B">
        <w:rPr>
          <w:rFonts w:ascii="Times New Roman" w:hAnsi="Times New Roman" w:cs="Times New Roman"/>
          <w:sz w:val="20"/>
          <w:szCs w:val="20"/>
        </w:rPr>
        <w:t xml:space="preserve"> Location of the study area</w:t>
      </w:r>
      <w:r w:rsidR="006833EA" w:rsidRPr="0092758B">
        <w:rPr>
          <w:rFonts w:ascii="Times New Roman" w:hAnsi="Times New Roman" w:cs="Times New Roman"/>
          <w:sz w:val="20"/>
          <w:szCs w:val="20"/>
        </w:rPr>
        <w:t>, meteorology and tidal station</w:t>
      </w:r>
      <w:r w:rsidR="004F295D" w:rsidRPr="0092758B">
        <w:rPr>
          <w:rFonts w:ascii="Times New Roman" w:hAnsi="Times New Roman" w:cs="Times New Roman"/>
          <w:sz w:val="20"/>
          <w:szCs w:val="20"/>
        </w:rPr>
        <w:t xml:space="preserve"> </w:t>
      </w:r>
      <w:r w:rsidR="00590DFD">
        <w:rPr>
          <w:rFonts w:ascii="Times New Roman" w:hAnsi="Times New Roman" w:cs="Times New Roman"/>
          <w:sz w:val="20"/>
          <w:szCs w:val="20"/>
        </w:rPr>
        <w:t>with observed 44 sampling point</w:t>
      </w:r>
      <w:r w:rsidR="005133ED">
        <w:rPr>
          <w:rFonts w:ascii="Times New Roman" w:hAnsi="Times New Roman" w:cs="Times New Roman"/>
          <w:sz w:val="20"/>
          <w:szCs w:val="20"/>
        </w:rPr>
        <w:t>.</w:t>
      </w:r>
    </w:p>
    <w:p w14:paraId="4304E83C" w14:textId="33309141" w:rsidR="00B61574"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lastRenderedPageBreak/>
        <w:t>This study area involved 44 water inlets and was observed during low and high tide events for two different cultivation seasons in the Year 2019. The paddy cultivation for the first season is from May to August 2019, while the second session started from Oct</w:t>
      </w:r>
      <w:r w:rsidR="00915CAA" w:rsidRPr="0092758B">
        <w:rPr>
          <w:rFonts w:ascii="Times New Roman" w:eastAsia="Times New Roman" w:hAnsi="Times New Roman" w:cs="Times New Roman"/>
          <w:bCs/>
          <w:sz w:val="24"/>
          <w:szCs w:val="24"/>
        </w:rPr>
        <w:t>ober</w:t>
      </w:r>
      <w:r w:rsidRPr="0092758B">
        <w:rPr>
          <w:rFonts w:ascii="Times New Roman" w:eastAsia="Times New Roman" w:hAnsi="Times New Roman" w:cs="Times New Roman"/>
          <w:bCs/>
          <w:sz w:val="24"/>
          <w:szCs w:val="24"/>
        </w:rPr>
        <w:t xml:space="preserve"> 2019 to January 2020. Figure 2 illustrates the flow process in this study which consists of five (5) main elements.</w:t>
      </w:r>
      <w:r w:rsidR="00252EC3" w:rsidRPr="0092758B">
        <w:rPr>
          <w:rFonts w:ascii="Times New Roman" w:eastAsia="Times New Roman" w:hAnsi="Times New Roman" w:cs="Times New Roman"/>
          <w:b/>
          <w:sz w:val="24"/>
          <w:szCs w:val="24"/>
        </w:rPr>
        <w:t xml:space="preserve"> </w:t>
      </w:r>
    </w:p>
    <w:p w14:paraId="029FED46" w14:textId="2BA021DE" w:rsidR="005540A0"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t xml:space="preserve">Firstly, the water samples were collected at the identified 44 water inlets using a 100 ml water container by submerging the bottle 5 cm for the </w:t>
      </w:r>
      <w:proofErr w:type="spellStart"/>
      <w:r w:rsidRPr="0092758B">
        <w:rPr>
          <w:rFonts w:ascii="Times New Roman" w:eastAsia="Times New Roman" w:hAnsi="Times New Roman" w:cs="Times New Roman"/>
          <w:bCs/>
          <w:sz w:val="24"/>
          <w:szCs w:val="24"/>
        </w:rPr>
        <w:t>tillering</w:t>
      </w:r>
      <w:proofErr w:type="spellEnd"/>
      <w:r w:rsidRPr="0092758B">
        <w:rPr>
          <w:rFonts w:ascii="Times New Roman" w:eastAsia="Times New Roman" w:hAnsi="Times New Roman" w:cs="Times New Roman"/>
          <w:bCs/>
          <w:sz w:val="24"/>
          <w:szCs w:val="24"/>
        </w:rPr>
        <w:t xml:space="preserve"> and flowering stage as recommended by </w:t>
      </w:r>
      <w:r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{"citationItems":[{"id":"ITEM-1","itemData":{"DOI":"10.5897/ajar12.1693","ISSN":"1991-637X","abstract":"This study was conducted to evaluate the effect of different water depths on the growth and yield of rice crop. Experiment was carried out in containers having an area of 0.64 m2&amp;nbsp;and the volume of 0.57 m3&amp;nbsp;at laboratory. Four water depths of 5, 10, 15 and 20 cm were taken in account; each water depth was replicated three times. This study was conducted in controlled condition to avoid the impact of rain. Result indicated that 5 cm is optimum water depth for vegetative and mid stage (transplanting to mid drainage) of the rice crop growth, while 10 cm water depth is appropriate for mid drainage till late stage (mid drainage to harvesting) of the rice crop and the same (10 cm) is found suitable for maximum yield. &amp;nbsp; Key words:&amp;nbsp;Water depth, rice crop, containers, plant growth, yield.","author":[{"dropping-particle":"","family":"Talpur","given":"M A","non-dropping-particle":"","parse-names":false,"suffix":""},{"dropping-particle":"","family":"Ji","given":"Changying","non-dropping-particle":"","parse-names":false,"suffix":""},{"dropping-particle":"","family":"Junejo","given":"S A","non-dropping-particle":"","parse-names":false,"suffix":""},{"dropping-particle":"","family":"Tagar","given":"A A","non-dropping-particle":"","parse-names":false,"suffix":""},{"dropping-particle":"","family":"Ram","given":"B K","non-dropping-particle":"","parse-names":false,"suffix":""}],"container-title":"African Journal of Agricultural Research","id":"ITEM-1","issue":"37","issued":{"date-parts":[["2013"]]},"page":"4654-4659","title":"Effect of different water depths on growth and yield of rice crop","type":"article-journal","volume":"8"},"uris":["http://www.mendeley.com/documents/?uuid=c29ad5b3-2301-4631-8514-1b8a97d252eb"]}],"mendeley":{"formattedCitation":"(Talpur, Ji, Junejo, Tagar, &amp; Ram, 2013)","manualFormatting":"Talpur et al., (2013)","plainTextFormattedCitation":"(Talpur, Ji, Junejo, Tagar, &amp; Ram, 2013)","previouslyFormattedCitation":"(Talpur, Ji, Junejo, Tagar, &amp; Ram, 2013)"},"properties":{"noteIndex":0},"schema":"https://github.com/citation-style-language/schema/raw/master/csl-citation.json"}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00590DFD">
        <w:rPr>
          <w:rFonts w:ascii="Times New Roman" w:eastAsia="Times New Roman" w:hAnsi="Times New Roman" w:cs="Times New Roman"/>
          <w:bCs/>
          <w:noProof/>
          <w:sz w:val="24"/>
          <w:szCs w:val="24"/>
        </w:rPr>
        <w:t>Talpur et al.</w:t>
      </w:r>
      <w:r w:rsidRPr="0092758B">
        <w:rPr>
          <w:rFonts w:ascii="Times New Roman" w:eastAsia="Times New Roman" w:hAnsi="Times New Roman" w:cs="Times New Roman"/>
          <w:bCs/>
          <w:noProof/>
          <w:sz w:val="24"/>
          <w:szCs w:val="24"/>
        </w:rPr>
        <w:t xml:space="preserve"> (2013)</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xml:space="preserve">. </w:t>
      </w:r>
      <w:r w:rsidR="00914B19" w:rsidRPr="0092758B">
        <w:rPr>
          <w:rFonts w:ascii="Times New Roman" w:eastAsia="Times New Roman" w:hAnsi="Times New Roman" w:cs="Times New Roman"/>
          <w:bCs/>
          <w:sz w:val="24"/>
          <w:szCs w:val="24"/>
        </w:rPr>
        <w:t xml:space="preserve">In this study, the water sampling activities were planned by considering the growth stage of paddy known as </w:t>
      </w:r>
      <w:proofErr w:type="spellStart"/>
      <w:r w:rsidR="00914B19" w:rsidRPr="0092758B">
        <w:rPr>
          <w:rFonts w:ascii="Times New Roman" w:eastAsia="Times New Roman" w:hAnsi="Times New Roman" w:cs="Times New Roman"/>
          <w:bCs/>
          <w:sz w:val="24"/>
          <w:szCs w:val="24"/>
        </w:rPr>
        <w:t>tillering</w:t>
      </w:r>
      <w:proofErr w:type="spellEnd"/>
      <w:r w:rsidR="00914B19" w:rsidRPr="0092758B">
        <w:rPr>
          <w:rFonts w:ascii="Times New Roman" w:eastAsia="Times New Roman" w:hAnsi="Times New Roman" w:cs="Times New Roman"/>
          <w:bCs/>
          <w:sz w:val="24"/>
          <w:szCs w:val="24"/>
        </w:rPr>
        <w:t xml:space="preserve">, flowering, and maturing stage as shown in Figure 3 by using the term “Day After Sowing” </w:t>
      </w:r>
      <w:r w:rsidR="00590DFD">
        <w:rPr>
          <w:rFonts w:ascii="Times New Roman" w:eastAsia="Times New Roman" w:hAnsi="Times New Roman" w:cs="Times New Roman"/>
          <w:bCs/>
          <w:sz w:val="24"/>
          <w:szCs w:val="24"/>
        </w:rPr>
        <w:t xml:space="preserve">(DAS) </w:t>
      </w:r>
      <w:r w:rsidR="00914B19" w:rsidRPr="0092758B">
        <w:rPr>
          <w:rFonts w:ascii="Times New Roman" w:eastAsia="Times New Roman" w:hAnsi="Times New Roman" w:cs="Times New Roman"/>
          <w:bCs/>
          <w:sz w:val="24"/>
          <w:szCs w:val="24"/>
        </w:rPr>
        <w:t xml:space="preserve">as reference. Therefore, </w:t>
      </w:r>
      <w:r w:rsidRPr="0092758B">
        <w:rPr>
          <w:rFonts w:ascii="Times New Roman" w:eastAsia="Times New Roman" w:hAnsi="Times New Roman" w:cs="Times New Roman"/>
          <w:bCs/>
          <w:sz w:val="24"/>
          <w:szCs w:val="24"/>
        </w:rPr>
        <w:t>10 DAS, 40 DAS, and 60 DAS</w:t>
      </w:r>
      <w:r w:rsidR="00914B19" w:rsidRPr="0092758B">
        <w:rPr>
          <w:rFonts w:ascii="Times New Roman" w:eastAsia="Times New Roman" w:hAnsi="Times New Roman" w:cs="Times New Roman"/>
          <w:bCs/>
          <w:sz w:val="24"/>
          <w:szCs w:val="24"/>
        </w:rPr>
        <w:t xml:space="preserve"> were selected to represent these three growth stages and the observation has been conducted </w:t>
      </w:r>
      <w:r w:rsidRPr="0092758B">
        <w:rPr>
          <w:rFonts w:ascii="Times New Roman" w:eastAsia="Times New Roman" w:hAnsi="Times New Roman" w:cs="Times New Roman"/>
          <w:bCs/>
          <w:sz w:val="24"/>
          <w:szCs w:val="24"/>
        </w:rPr>
        <w:t>for two seasons in the Year 2019 by considering the tidal events</w:t>
      </w:r>
      <w:r w:rsidR="005540A0" w:rsidRPr="0092758B">
        <w:rPr>
          <w:rFonts w:ascii="Times New Roman" w:eastAsia="Times New Roman" w:hAnsi="Times New Roman" w:cs="Times New Roman"/>
          <w:bCs/>
          <w:sz w:val="24"/>
          <w:szCs w:val="24"/>
        </w:rPr>
        <w:t xml:space="preserve"> as stated in      Table 1.</w:t>
      </w:r>
      <w:r w:rsidR="00914B19" w:rsidRPr="0092758B">
        <w:rPr>
          <w:rFonts w:ascii="Times New Roman" w:eastAsia="Times New Roman" w:hAnsi="Times New Roman" w:cs="Times New Roman"/>
          <w:bCs/>
          <w:sz w:val="24"/>
          <w:szCs w:val="24"/>
        </w:rPr>
        <w:t xml:space="preserve"> These three periods were selected based on the existence of water in the paddy plot. After 60 DAS, the paddy plot will be drained out to put pressure on the paddy </w:t>
      </w:r>
      <w:r w:rsidR="00012FCE" w:rsidRPr="0092758B">
        <w:rPr>
          <w:rFonts w:ascii="Times New Roman" w:eastAsia="Times New Roman" w:hAnsi="Times New Roman" w:cs="Times New Roman"/>
          <w:bCs/>
          <w:sz w:val="24"/>
          <w:szCs w:val="24"/>
        </w:rPr>
        <w:t>plants</w:t>
      </w:r>
      <w:r w:rsidR="00914B19" w:rsidRPr="0092758B">
        <w:rPr>
          <w:rFonts w:ascii="Times New Roman" w:eastAsia="Times New Roman" w:hAnsi="Times New Roman" w:cs="Times New Roman"/>
          <w:bCs/>
          <w:sz w:val="24"/>
          <w:szCs w:val="24"/>
        </w:rPr>
        <w:t xml:space="preserve"> to flower and subsequently produce the rice</w:t>
      </w:r>
      <w:r w:rsidR="00012FCE" w:rsidRPr="0092758B">
        <w:rPr>
          <w:rFonts w:ascii="Times New Roman" w:eastAsia="Times New Roman" w:hAnsi="Times New Roman" w:cs="Times New Roman"/>
          <w:bCs/>
          <w:sz w:val="24"/>
          <w:szCs w:val="24"/>
        </w:rPr>
        <w:t xml:space="preserve"> seeds</w:t>
      </w:r>
      <w:r w:rsidR="002F6221">
        <w:rPr>
          <w:rFonts w:ascii="Times New Roman" w:eastAsia="Times New Roman" w:hAnsi="Times New Roman" w:cs="Times New Roman"/>
          <w:bCs/>
          <w:sz w:val="24"/>
          <w:szCs w:val="24"/>
        </w:rPr>
        <w:t xml:space="preserve">. </w:t>
      </w:r>
      <w:r w:rsidRPr="0092758B">
        <w:rPr>
          <w:rFonts w:ascii="Times New Roman" w:eastAsia="Times New Roman" w:hAnsi="Times New Roman" w:cs="Times New Roman"/>
          <w:bCs/>
          <w:sz w:val="24"/>
          <w:szCs w:val="24"/>
        </w:rPr>
        <w:t xml:space="preserve">Then, the water samples were analyzed using a portable conductivity meter namely EC500 </w:t>
      </w:r>
      <w:proofErr w:type="spellStart"/>
      <w:r w:rsidRPr="0092758B">
        <w:rPr>
          <w:rFonts w:ascii="Times New Roman" w:eastAsia="Times New Roman" w:hAnsi="Times New Roman" w:cs="Times New Roman"/>
          <w:bCs/>
          <w:sz w:val="24"/>
          <w:szCs w:val="24"/>
        </w:rPr>
        <w:t>Exstick</w:t>
      </w:r>
      <w:proofErr w:type="spellEnd"/>
      <w:r w:rsidRPr="0092758B">
        <w:rPr>
          <w:rFonts w:ascii="Times New Roman" w:eastAsia="Times New Roman" w:hAnsi="Times New Roman" w:cs="Times New Roman"/>
          <w:bCs/>
          <w:sz w:val="24"/>
          <w:szCs w:val="24"/>
        </w:rPr>
        <w:t xml:space="preserve"> II pH/Conductivity/Temperature Meter. </w:t>
      </w:r>
    </w:p>
    <w:p w14:paraId="1B166C32" w14:textId="0318F7F6" w:rsidR="005540A0" w:rsidRPr="0092758B" w:rsidRDefault="005540A0"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p>
    <w:p w14:paraId="1894E249" w14:textId="2BB5D1EA" w:rsidR="005540A0" w:rsidRDefault="005540A0"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t>Table 1.</w:t>
      </w:r>
      <w:r w:rsidRPr="0092758B">
        <w:rPr>
          <w:rFonts w:ascii="Times New Roman" w:eastAsia="Times New Roman" w:hAnsi="Times New Roman" w:cs="Times New Roman"/>
          <w:sz w:val="20"/>
          <w:szCs w:val="20"/>
        </w:rPr>
        <w:t xml:space="preserve"> Water sampling schedule for Season 1 and Season 2 2019</w:t>
      </w:r>
      <w:r w:rsidR="00135C76">
        <w:rPr>
          <w:rFonts w:ascii="Times New Roman" w:eastAsia="Times New Roman" w:hAnsi="Times New Roman" w:cs="Times New Roman"/>
          <w:sz w:val="20"/>
          <w:szCs w:val="20"/>
        </w:rPr>
        <w:t>.</w:t>
      </w:r>
    </w:p>
    <w:p w14:paraId="405B1221" w14:textId="77777777" w:rsidR="004E52E3" w:rsidRPr="0092758B" w:rsidRDefault="004E52E3"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2549"/>
        <w:gridCol w:w="2410"/>
      </w:tblGrid>
      <w:tr w:rsidR="0092758B" w:rsidRPr="0092758B" w14:paraId="74622CE5" w14:textId="77777777" w:rsidTr="004E52E3">
        <w:tc>
          <w:tcPr>
            <w:tcW w:w="1845" w:type="dxa"/>
            <w:tcBorders>
              <w:top w:val="single" w:sz="4" w:space="0" w:color="auto"/>
              <w:bottom w:val="single" w:sz="4" w:space="0" w:color="auto"/>
            </w:tcBorders>
            <w:shd w:val="clear" w:color="auto" w:fill="8DB3E2" w:themeFill="text2" w:themeFillTint="66"/>
          </w:tcPr>
          <w:p w14:paraId="22B9D6E0" w14:textId="35587B18"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Time</w:t>
            </w:r>
          </w:p>
        </w:tc>
        <w:tc>
          <w:tcPr>
            <w:tcW w:w="2549" w:type="dxa"/>
            <w:tcBorders>
              <w:top w:val="single" w:sz="4" w:space="0" w:color="auto"/>
              <w:bottom w:val="single" w:sz="4" w:space="0" w:color="auto"/>
            </w:tcBorders>
            <w:shd w:val="clear" w:color="auto" w:fill="8DB3E2" w:themeFill="text2" w:themeFillTint="66"/>
          </w:tcPr>
          <w:p w14:paraId="4E75065F" w14:textId="7BA1485A"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Season 1 2019</w:t>
            </w:r>
          </w:p>
        </w:tc>
        <w:tc>
          <w:tcPr>
            <w:tcW w:w="2410" w:type="dxa"/>
            <w:tcBorders>
              <w:top w:val="single" w:sz="4" w:space="0" w:color="auto"/>
              <w:bottom w:val="single" w:sz="4" w:space="0" w:color="auto"/>
            </w:tcBorders>
            <w:shd w:val="clear" w:color="auto" w:fill="8DB3E2" w:themeFill="text2" w:themeFillTint="66"/>
          </w:tcPr>
          <w:p w14:paraId="7A8250C9" w14:textId="7839EDA8"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Season 2 2019</w:t>
            </w:r>
          </w:p>
        </w:tc>
      </w:tr>
      <w:tr w:rsidR="0092758B" w:rsidRPr="0092758B" w14:paraId="21EC008F" w14:textId="77777777" w:rsidTr="00882FD8">
        <w:tc>
          <w:tcPr>
            <w:tcW w:w="1845" w:type="dxa"/>
            <w:tcBorders>
              <w:top w:val="single" w:sz="4" w:space="0" w:color="auto"/>
            </w:tcBorders>
          </w:tcPr>
          <w:p w14:paraId="75615363" w14:textId="3E0572DE"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10 DAS</w:t>
            </w:r>
          </w:p>
        </w:tc>
        <w:tc>
          <w:tcPr>
            <w:tcW w:w="2549" w:type="dxa"/>
            <w:tcBorders>
              <w:top w:val="single" w:sz="4" w:space="0" w:color="auto"/>
            </w:tcBorders>
          </w:tcPr>
          <w:p w14:paraId="31C8E318" w14:textId="28083E64"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27</w:t>
            </w:r>
            <w:r w:rsidRPr="0092758B">
              <w:rPr>
                <w:rFonts w:ascii="Times New Roman" w:eastAsia="Times New Roman" w:hAnsi="Times New Roman" w:cs="Times New Roman"/>
                <w:sz w:val="20"/>
                <w:szCs w:val="20"/>
                <w:vertAlign w:val="superscript"/>
              </w:rPr>
              <w:t>th</w:t>
            </w:r>
            <w:r w:rsidRPr="0092758B">
              <w:rPr>
                <w:rFonts w:ascii="Times New Roman" w:eastAsia="Times New Roman" w:hAnsi="Times New Roman" w:cs="Times New Roman"/>
                <w:sz w:val="20"/>
                <w:szCs w:val="20"/>
              </w:rPr>
              <w:t xml:space="preserve"> May 2019</w:t>
            </w:r>
          </w:p>
        </w:tc>
        <w:tc>
          <w:tcPr>
            <w:tcW w:w="2410" w:type="dxa"/>
            <w:tcBorders>
              <w:top w:val="single" w:sz="4" w:space="0" w:color="auto"/>
            </w:tcBorders>
          </w:tcPr>
          <w:p w14:paraId="02BCD961" w14:textId="46C53868"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16</w:t>
            </w:r>
            <w:r w:rsidRPr="0092758B">
              <w:rPr>
                <w:rFonts w:ascii="Times New Roman" w:eastAsia="Times New Roman" w:hAnsi="Times New Roman" w:cs="Times New Roman"/>
                <w:sz w:val="20"/>
                <w:szCs w:val="20"/>
                <w:vertAlign w:val="superscript"/>
              </w:rPr>
              <w:t>th</w:t>
            </w:r>
            <w:r w:rsidRPr="0092758B">
              <w:rPr>
                <w:rFonts w:ascii="Times New Roman" w:eastAsia="Times New Roman" w:hAnsi="Times New Roman" w:cs="Times New Roman"/>
                <w:sz w:val="20"/>
                <w:szCs w:val="20"/>
              </w:rPr>
              <w:t xml:space="preserve"> Oct 2019</w:t>
            </w:r>
          </w:p>
        </w:tc>
      </w:tr>
      <w:tr w:rsidR="0092758B" w:rsidRPr="0092758B" w14:paraId="58229AE7" w14:textId="77777777" w:rsidTr="005540A0">
        <w:tc>
          <w:tcPr>
            <w:tcW w:w="1845" w:type="dxa"/>
          </w:tcPr>
          <w:p w14:paraId="75DE28C4" w14:textId="3F38D5F3"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40 DAS</w:t>
            </w:r>
          </w:p>
        </w:tc>
        <w:tc>
          <w:tcPr>
            <w:tcW w:w="2549" w:type="dxa"/>
          </w:tcPr>
          <w:p w14:paraId="66CEEE99" w14:textId="7D49FA08"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28</w:t>
            </w:r>
            <w:r w:rsidRPr="0092758B">
              <w:rPr>
                <w:rFonts w:ascii="Times New Roman" w:eastAsia="Times New Roman" w:hAnsi="Times New Roman" w:cs="Times New Roman"/>
                <w:sz w:val="20"/>
                <w:szCs w:val="20"/>
                <w:vertAlign w:val="superscript"/>
              </w:rPr>
              <w:t>th</w:t>
            </w:r>
            <w:r w:rsidRPr="0092758B">
              <w:rPr>
                <w:rFonts w:ascii="Times New Roman" w:eastAsia="Times New Roman" w:hAnsi="Times New Roman" w:cs="Times New Roman"/>
                <w:sz w:val="20"/>
                <w:szCs w:val="20"/>
              </w:rPr>
              <w:t xml:space="preserve"> June 2019</w:t>
            </w:r>
          </w:p>
        </w:tc>
        <w:tc>
          <w:tcPr>
            <w:tcW w:w="2410" w:type="dxa"/>
          </w:tcPr>
          <w:p w14:paraId="2BA4461D" w14:textId="60E491EB"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20</w:t>
            </w:r>
            <w:r w:rsidRPr="0092758B">
              <w:rPr>
                <w:rFonts w:ascii="Times New Roman" w:eastAsia="Times New Roman" w:hAnsi="Times New Roman" w:cs="Times New Roman"/>
                <w:sz w:val="20"/>
                <w:szCs w:val="20"/>
                <w:vertAlign w:val="superscript"/>
              </w:rPr>
              <w:t>th</w:t>
            </w:r>
            <w:r w:rsidRPr="0092758B">
              <w:rPr>
                <w:rFonts w:ascii="Times New Roman" w:eastAsia="Times New Roman" w:hAnsi="Times New Roman" w:cs="Times New Roman"/>
                <w:sz w:val="20"/>
                <w:szCs w:val="20"/>
              </w:rPr>
              <w:t xml:space="preserve"> Nov 2019</w:t>
            </w:r>
          </w:p>
        </w:tc>
      </w:tr>
      <w:tr w:rsidR="005540A0" w:rsidRPr="0092758B" w14:paraId="5B427323" w14:textId="77777777" w:rsidTr="005540A0">
        <w:tc>
          <w:tcPr>
            <w:tcW w:w="1845" w:type="dxa"/>
            <w:tcBorders>
              <w:bottom w:val="single" w:sz="4" w:space="0" w:color="auto"/>
            </w:tcBorders>
          </w:tcPr>
          <w:p w14:paraId="429D7DFD" w14:textId="58A45A28"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60 DAS</w:t>
            </w:r>
          </w:p>
        </w:tc>
        <w:tc>
          <w:tcPr>
            <w:tcW w:w="2549" w:type="dxa"/>
            <w:tcBorders>
              <w:bottom w:val="single" w:sz="4" w:space="0" w:color="auto"/>
            </w:tcBorders>
          </w:tcPr>
          <w:p w14:paraId="2EF7263B" w14:textId="637B305D"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18</w:t>
            </w:r>
            <w:r w:rsidRPr="0092758B">
              <w:rPr>
                <w:rFonts w:ascii="Times New Roman" w:eastAsia="Times New Roman" w:hAnsi="Times New Roman" w:cs="Times New Roman"/>
                <w:sz w:val="20"/>
                <w:szCs w:val="20"/>
                <w:vertAlign w:val="superscript"/>
              </w:rPr>
              <w:t>th</w:t>
            </w:r>
            <w:r w:rsidRPr="0092758B">
              <w:rPr>
                <w:rFonts w:ascii="Times New Roman" w:eastAsia="Times New Roman" w:hAnsi="Times New Roman" w:cs="Times New Roman"/>
                <w:sz w:val="20"/>
                <w:szCs w:val="20"/>
              </w:rPr>
              <w:t xml:space="preserve"> July 2019</w:t>
            </w:r>
          </w:p>
        </w:tc>
        <w:tc>
          <w:tcPr>
            <w:tcW w:w="2410" w:type="dxa"/>
            <w:tcBorders>
              <w:bottom w:val="single" w:sz="4" w:space="0" w:color="auto"/>
            </w:tcBorders>
          </w:tcPr>
          <w:p w14:paraId="5A827EAC" w14:textId="6B2FEB2A" w:rsidR="005540A0" w:rsidRPr="0092758B" w:rsidRDefault="005540A0"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7</w:t>
            </w:r>
            <w:r w:rsidRPr="0092758B">
              <w:rPr>
                <w:rFonts w:ascii="Times New Roman" w:eastAsia="Times New Roman" w:hAnsi="Times New Roman" w:cs="Times New Roman"/>
                <w:sz w:val="20"/>
                <w:szCs w:val="20"/>
                <w:vertAlign w:val="superscript"/>
              </w:rPr>
              <w:t>th</w:t>
            </w:r>
            <w:r w:rsidRPr="0092758B">
              <w:rPr>
                <w:rFonts w:ascii="Times New Roman" w:eastAsia="Times New Roman" w:hAnsi="Times New Roman" w:cs="Times New Roman"/>
                <w:sz w:val="20"/>
                <w:szCs w:val="20"/>
              </w:rPr>
              <w:t xml:space="preserve"> Dec 2019</w:t>
            </w:r>
          </w:p>
        </w:tc>
      </w:tr>
    </w:tbl>
    <w:p w14:paraId="7BE2F57F" w14:textId="77777777" w:rsidR="005540A0" w:rsidRPr="0092758B" w:rsidRDefault="005540A0" w:rsidP="004E52E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p>
    <w:p w14:paraId="12A71D54" w14:textId="37E53ADB" w:rsidR="005F2116" w:rsidRPr="0092758B" w:rsidRDefault="00BC32BB"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5F2116" w:rsidRPr="0092758B">
        <w:rPr>
          <w:rFonts w:ascii="Times New Roman" w:eastAsia="Times New Roman" w:hAnsi="Times New Roman" w:cs="Times New Roman"/>
          <w:bCs/>
          <w:sz w:val="24"/>
          <w:szCs w:val="24"/>
        </w:rPr>
        <w:t xml:space="preserve">he rainfall and temperature data </w:t>
      </w:r>
      <w:r w:rsidR="00493341" w:rsidRPr="0092758B">
        <w:rPr>
          <w:rFonts w:ascii="Times New Roman" w:eastAsia="Times New Roman" w:hAnsi="Times New Roman" w:cs="Times New Roman"/>
          <w:bCs/>
          <w:sz w:val="24"/>
          <w:szCs w:val="24"/>
        </w:rPr>
        <w:t xml:space="preserve">during this study </w:t>
      </w:r>
      <w:r w:rsidR="005F2116" w:rsidRPr="0092758B">
        <w:rPr>
          <w:rFonts w:ascii="Times New Roman" w:eastAsia="Times New Roman" w:hAnsi="Times New Roman" w:cs="Times New Roman"/>
          <w:bCs/>
          <w:sz w:val="24"/>
          <w:szCs w:val="24"/>
        </w:rPr>
        <w:t xml:space="preserve">were retrieved from </w:t>
      </w:r>
      <w:r w:rsidR="00CE2C87" w:rsidRPr="0092758B">
        <w:rPr>
          <w:rFonts w:ascii="Times New Roman" w:eastAsia="Times New Roman" w:hAnsi="Times New Roman" w:cs="Times New Roman"/>
          <w:bCs/>
          <w:sz w:val="24"/>
          <w:szCs w:val="24"/>
        </w:rPr>
        <w:t xml:space="preserve">the </w:t>
      </w:r>
      <w:r w:rsidR="005F2116" w:rsidRPr="0092758B">
        <w:rPr>
          <w:rFonts w:ascii="Times New Roman" w:eastAsia="Times New Roman" w:hAnsi="Times New Roman" w:cs="Times New Roman"/>
          <w:bCs/>
          <w:sz w:val="24"/>
          <w:szCs w:val="24"/>
        </w:rPr>
        <w:t xml:space="preserve">Department of </w:t>
      </w:r>
      <w:r w:rsidR="00493341" w:rsidRPr="0092758B">
        <w:rPr>
          <w:rFonts w:ascii="Times New Roman" w:eastAsia="Times New Roman" w:hAnsi="Times New Roman" w:cs="Times New Roman"/>
          <w:bCs/>
          <w:sz w:val="24"/>
          <w:szCs w:val="24"/>
        </w:rPr>
        <w:t>Meteorology Malaysia (DMM)</w:t>
      </w:r>
      <w:r w:rsidR="005F2116" w:rsidRPr="0092758B">
        <w:rPr>
          <w:rFonts w:ascii="Times New Roman" w:eastAsia="Times New Roman" w:hAnsi="Times New Roman" w:cs="Times New Roman"/>
          <w:bCs/>
          <w:sz w:val="24"/>
          <w:szCs w:val="24"/>
        </w:rPr>
        <w:t>. The nearest D</w:t>
      </w:r>
      <w:r w:rsidR="00493341" w:rsidRPr="0092758B">
        <w:rPr>
          <w:rFonts w:ascii="Times New Roman" w:eastAsia="Times New Roman" w:hAnsi="Times New Roman" w:cs="Times New Roman"/>
          <w:bCs/>
          <w:sz w:val="24"/>
          <w:szCs w:val="24"/>
        </w:rPr>
        <w:t xml:space="preserve">MM </w:t>
      </w:r>
      <w:r w:rsidR="005F2116" w:rsidRPr="0092758B">
        <w:rPr>
          <w:rFonts w:ascii="Times New Roman" w:eastAsia="Times New Roman" w:hAnsi="Times New Roman" w:cs="Times New Roman"/>
          <w:bCs/>
          <w:sz w:val="24"/>
          <w:szCs w:val="24"/>
        </w:rPr>
        <w:t>rain gauge station</w:t>
      </w:r>
      <w:r w:rsidR="00FD3281" w:rsidRPr="0092758B">
        <w:rPr>
          <w:rFonts w:ascii="Times New Roman" w:eastAsia="Times New Roman" w:hAnsi="Times New Roman" w:cs="Times New Roman"/>
          <w:bCs/>
          <w:sz w:val="24"/>
          <w:szCs w:val="24"/>
        </w:rPr>
        <w:t xml:space="preserve"> namely Station Kuala </w:t>
      </w:r>
      <w:proofErr w:type="spellStart"/>
      <w:r w:rsidR="00FD3281" w:rsidRPr="0092758B">
        <w:rPr>
          <w:rFonts w:ascii="Times New Roman" w:eastAsia="Times New Roman" w:hAnsi="Times New Roman" w:cs="Times New Roman"/>
          <w:bCs/>
          <w:sz w:val="24"/>
          <w:szCs w:val="24"/>
        </w:rPr>
        <w:t>Kangkong</w:t>
      </w:r>
      <w:proofErr w:type="spellEnd"/>
      <w:r w:rsidR="00FD3281" w:rsidRPr="0092758B">
        <w:rPr>
          <w:rFonts w:ascii="Times New Roman" w:eastAsia="Times New Roman" w:hAnsi="Times New Roman" w:cs="Times New Roman"/>
          <w:bCs/>
          <w:sz w:val="24"/>
          <w:szCs w:val="24"/>
        </w:rPr>
        <w:t xml:space="preserve"> was</w:t>
      </w:r>
      <w:r w:rsidR="005F2116" w:rsidRPr="0092758B">
        <w:rPr>
          <w:rFonts w:ascii="Times New Roman" w:eastAsia="Times New Roman" w:hAnsi="Times New Roman" w:cs="Times New Roman"/>
          <w:bCs/>
          <w:sz w:val="24"/>
          <w:szCs w:val="24"/>
        </w:rPr>
        <w:t xml:space="preserve"> located at 06° 02’ N, 100° 20’ E</w:t>
      </w:r>
      <w:r w:rsidR="00493341" w:rsidRPr="0092758B">
        <w:rPr>
          <w:rFonts w:ascii="Times New Roman" w:eastAsia="Times New Roman" w:hAnsi="Times New Roman" w:cs="Times New Roman"/>
          <w:bCs/>
          <w:sz w:val="24"/>
          <w:szCs w:val="24"/>
        </w:rPr>
        <w:t xml:space="preserve"> </w:t>
      </w:r>
      <w:r w:rsidR="00FD3281" w:rsidRPr="0092758B">
        <w:rPr>
          <w:rFonts w:ascii="Times New Roman" w:eastAsia="Times New Roman" w:hAnsi="Times New Roman" w:cs="Times New Roman"/>
          <w:bCs/>
          <w:sz w:val="24"/>
          <w:szCs w:val="24"/>
        </w:rPr>
        <w:t xml:space="preserve">with 20 m height from Mean Sea Level (MSL). This station was </w:t>
      </w:r>
      <w:r w:rsidR="00493341" w:rsidRPr="0092758B">
        <w:rPr>
          <w:rFonts w:ascii="Times New Roman" w:eastAsia="Times New Roman" w:hAnsi="Times New Roman" w:cs="Times New Roman"/>
          <w:bCs/>
          <w:sz w:val="24"/>
          <w:szCs w:val="24"/>
        </w:rPr>
        <w:t xml:space="preserve">recorded </w:t>
      </w:r>
      <w:r w:rsidR="00FD3281" w:rsidRPr="0092758B">
        <w:rPr>
          <w:rFonts w:ascii="Times New Roman" w:eastAsia="Times New Roman" w:hAnsi="Times New Roman" w:cs="Times New Roman"/>
          <w:bCs/>
          <w:sz w:val="24"/>
          <w:szCs w:val="24"/>
        </w:rPr>
        <w:t xml:space="preserve">average </w:t>
      </w:r>
      <w:r w:rsidR="00FE6F26" w:rsidRPr="0092758B">
        <w:rPr>
          <w:rFonts w:ascii="Times New Roman" w:eastAsia="Times New Roman" w:hAnsi="Times New Roman" w:cs="Times New Roman"/>
          <w:bCs/>
          <w:sz w:val="24"/>
          <w:szCs w:val="24"/>
        </w:rPr>
        <w:t xml:space="preserve">annual </w:t>
      </w:r>
      <w:r w:rsidR="00FD3281" w:rsidRPr="0092758B">
        <w:rPr>
          <w:rFonts w:ascii="Times New Roman" w:eastAsia="Times New Roman" w:hAnsi="Times New Roman" w:cs="Times New Roman"/>
          <w:bCs/>
          <w:sz w:val="24"/>
          <w:szCs w:val="24"/>
        </w:rPr>
        <w:t>temperature</w:t>
      </w:r>
      <w:r w:rsidR="00FE6F26" w:rsidRPr="0092758B">
        <w:rPr>
          <w:rFonts w:ascii="Times New Roman" w:eastAsia="Times New Roman" w:hAnsi="Times New Roman" w:cs="Times New Roman"/>
          <w:bCs/>
          <w:sz w:val="24"/>
          <w:szCs w:val="24"/>
        </w:rPr>
        <w:t xml:space="preserve"> and rainfall is </w:t>
      </w:r>
      <w:r w:rsidR="00FD3281" w:rsidRPr="0092758B">
        <w:rPr>
          <w:rFonts w:ascii="Times New Roman" w:eastAsia="Times New Roman" w:hAnsi="Times New Roman" w:cs="Times New Roman"/>
          <w:bCs/>
          <w:sz w:val="24"/>
          <w:szCs w:val="24"/>
        </w:rPr>
        <w:t xml:space="preserve"> 2</w:t>
      </w:r>
      <w:r w:rsidR="008C737F" w:rsidRPr="0092758B">
        <w:rPr>
          <w:rFonts w:ascii="Times New Roman" w:eastAsia="Times New Roman" w:hAnsi="Times New Roman" w:cs="Times New Roman"/>
          <w:bCs/>
          <w:sz w:val="24"/>
          <w:szCs w:val="24"/>
        </w:rPr>
        <w:t>8.3</w:t>
      </w:r>
      <w:r w:rsidR="00FD3281" w:rsidRPr="0092758B">
        <w:rPr>
          <w:rFonts w:ascii="Times New Roman" w:eastAsia="Times New Roman" w:hAnsi="Times New Roman" w:cs="Times New Roman"/>
          <w:bCs/>
          <w:sz w:val="24"/>
          <w:szCs w:val="24"/>
        </w:rPr>
        <w:t xml:space="preserve">°C /year and </w:t>
      </w:r>
      <w:r w:rsidR="0065142C" w:rsidRPr="0092758B">
        <w:rPr>
          <w:rFonts w:ascii="Times New Roman" w:eastAsia="Times New Roman" w:hAnsi="Times New Roman" w:cs="Times New Roman"/>
          <w:bCs/>
          <w:sz w:val="24"/>
          <w:szCs w:val="24"/>
        </w:rPr>
        <w:t>194</w:t>
      </w:r>
      <w:r w:rsidR="00FD3281" w:rsidRPr="0092758B">
        <w:rPr>
          <w:rFonts w:ascii="Times New Roman" w:eastAsia="Times New Roman" w:hAnsi="Times New Roman" w:cs="Times New Roman"/>
          <w:bCs/>
          <w:sz w:val="24"/>
          <w:szCs w:val="24"/>
        </w:rPr>
        <w:t xml:space="preserve"> mm/yea</w:t>
      </w:r>
      <w:r w:rsidR="00FE6F26" w:rsidRPr="0092758B">
        <w:rPr>
          <w:rFonts w:ascii="Times New Roman" w:eastAsia="Times New Roman" w:hAnsi="Times New Roman" w:cs="Times New Roman"/>
          <w:bCs/>
          <w:sz w:val="24"/>
          <w:szCs w:val="24"/>
        </w:rPr>
        <w:t>r, respectively while the average annual temperature</w:t>
      </w:r>
      <w:r w:rsidR="007F3084" w:rsidRPr="0092758B">
        <w:rPr>
          <w:rFonts w:ascii="Times New Roman" w:eastAsia="Times New Roman" w:hAnsi="Times New Roman" w:cs="Times New Roman"/>
          <w:bCs/>
          <w:sz w:val="24"/>
          <w:szCs w:val="24"/>
        </w:rPr>
        <w:t xml:space="preserve"> and annual rainfall </w:t>
      </w:r>
      <w:r w:rsidR="00BC558E" w:rsidRPr="0092758B">
        <w:rPr>
          <w:rFonts w:ascii="Times New Roman" w:eastAsia="Times New Roman" w:hAnsi="Times New Roman" w:cs="Times New Roman"/>
          <w:bCs/>
          <w:sz w:val="24"/>
          <w:szCs w:val="24"/>
        </w:rPr>
        <w:t>o</w:t>
      </w:r>
      <w:r w:rsidR="00D66C18">
        <w:rPr>
          <w:rFonts w:ascii="Times New Roman" w:eastAsia="Times New Roman" w:hAnsi="Times New Roman" w:cs="Times New Roman"/>
          <w:bCs/>
          <w:sz w:val="24"/>
          <w:szCs w:val="24"/>
        </w:rPr>
        <w:t>f</w:t>
      </w:r>
      <w:r w:rsidR="00BC558E" w:rsidRPr="0092758B">
        <w:rPr>
          <w:rFonts w:ascii="Times New Roman" w:eastAsia="Times New Roman" w:hAnsi="Times New Roman" w:cs="Times New Roman"/>
          <w:bCs/>
          <w:sz w:val="24"/>
          <w:szCs w:val="24"/>
        </w:rPr>
        <w:t xml:space="preserve"> 2019</w:t>
      </w:r>
      <w:r w:rsidR="001A0F4F" w:rsidRPr="0092758B">
        <w:rPr>
          <w:rFonts w:ascii="Times New Roman" w:eastAsia="Times New Roman" w:hAnsi="Times New Roman" w:cs="Times New Roman"/>
          <w:bCs/>
          <w:sz w:val="24"/>
          <w:szCs w:val="24"/>
        </w:rPr>
        <w:t xml:space="preserve"> in Malaysia</w:t>
      </w:r>
      <w:r w:rsidR="00FE6F26" w:rsidRPr="0092758B">
        <w:rPr>
          <w:rFonts w:ascii="Times New Roman" w:eastAsia="Times New Roman" w:hAnsi="Times New Roman" w:cs="Times New Roman"/>
          <w:bCs/>
          <w:sz w:val="24"/>
          <w:szCs w:val="24"/>
        </w:rPr>
        <w:t xml:space="preserve"> reported by </w:t>
      </w:r>
      <w:r w:rsidR="00BC558E" w:rsidRPr="0092758B">
        <w:rPr>
          <w:rFonts w:ascii="Times New Roman" w:eastAsia="Times New Roman" w:hAnsi="Times New Roman" w:cs="Times New Roman"/>
          <w:bCs/>
          <w:sz w:val="24"/>
          <w:szCs w:val="24"/>
        </w:rPr>
        <w:fldChar w:fldCharType="begin" w:fldLock="1"/>
      </w:r>
      <w:r w:rsidR="00A92A5D" w:rsidRPr="0092758B">
        <w:rPr>
          <w:rFonts w:ascii="Times New Roman" w:eastAsia="Times New Roman" w:hAnsi="Times New Roman" w:cs="Times New Roman"/>
          <w:bCs/>
          <w:sz w:val="24"/>
          <w:szCs w:val="24"/>
        </w:rPr>
        <w:instrText>ADDIN CSL_CITATION {"citationItems":[{"id":"ITEM-1","itemData":{"author":[{"dropping-particle":"","family":"Jabatan Meteorologi Malaysia","given":"","non-dropping-particle":"","parse-names":false,"suffix":""}],"id":"ITEM-1","issued":{"date-parts":[["2019"]]},"title":"Annual Report 2019","type":"report"},"uris":["http://www.mendeley.com/documents/?uuid=441c3111-6d09-4593-a4c5-a9f7d361b79e"]}],"mendeley":{"formattedCitation":"(Jabatan Meteorologi Malaysia, 2019)","manualFormatting":"Jabatan Meteorologi Malaysia, (2019)","plainTextFormattedCitation":"(Jabatan Meteorologi Malaysia, 2019)","previouslyFormattedCitation":"(Jabatan Meteorologi Malaysia, 2019)"},"properties":{"noteIndex":0},"schema":"https://github.com/citation-style-language/schema/raw/master/csl-citation.json"}</w:instrText>
      </w:r>
      <w:r w:rsidR="00BC558E" w:rsidRPr="0092758B">
        <w:rPr>
          <w:rFonts w:ascii="Times New Roman" w:eastAsia="Times New Roman" w:hAnsi="Times New Roman" w:cs="Times New Roman"/>
          <w:bCs/>
          <w:sz w:val="24"/>
          <w:szCs w:val="24"/>
        </w:rPr>
        <w:fldChar w:fldCharType="separate"/>
      </w:r>
      <w:r w:rsidR="00BC558E" w:rsidRPr="0092758B">
        <w:rPr>
          <w:rFonts w:ascii="Times New Roman" w:eastAsia="Times New Roman" w:hAnsi="Times New Roman" w:cs="Times New Roman"/>
          <w:bCs/>
          <w:noProof/>
          <w:sz w:val="24"/>
          <w:szCs w:val="24"/>
        </w:rPr>
        <w:t xml:space="preserve">Jabatan Meteorologi Malaysia </w:t>
      </w:r>
      <w:r w:rsidR="001A0F4F" w:rsidRPr="0092758B">
        <w:rPr>
          <w:rFonts w:ascii="Times New Roman" w:eastAsia="Times New Roman" w:hAnsi="Times New Roman" w:cs="Times New Roman"/>
          <w:bCs/>
          <w:noProof/>
          <w:sz w:val="24"/>
          <w:szCs w:val="24"/>
        </w:rPr>
        <w:t>(</w:t>
      </w:r>
      <w:r w:rsidR="00BC558E" w:rsidRPr="0092758B">
        <w:rPr>
          <w:rFonts w:ascii="Times New Roman" w:eastAsia="Times New Roman" w:hAnsi="Times New Roman" w:cs="Times New Roman"/>
          <w:bCs/>
          <w:noProof/>
          <w:sz w:val="24"/>
          <w:szCs w:val="24"/>
        </w:rPr>
        <w:t>2019)</w:t>
      </w:r>
      <w:r w:rsidR="00BC558E" w:rsidRPr="0092758B">
        <w:rPr>
          <w:rFonts w:ascii="Times New Roman" w:eastAsia="Times New Roman" w:hAnsi="Times New Roman" w:cs="Times New Roman"/>
          <w:bCs/>
          <w:sz w:val="24"/>
          <w:szCs w:val="24"/>
        </w:rPr>
        <w:fldChar w:fldCharType="end"/>
      </w:r>
      <w:r w:rsidR="00BC558E" w:rsidRPr="0092758B">
        <w:rPr>
          <w:rFonts w:ascii="Times New Roman" w:eastAsia="Times New Roman" w:hAnsi="Times New Roman" w:cs="Times New Roman"/>
          <w:bCs/>
          <w:sz w:val="24"/>
          <w:szCs w:val="24"/>
        </w:rPr>
        <w:t xml:space="preserve"> is 27.6</w:t>
      </w:r>
      <w:r w:rsidR="007F3084" w:rsidRPr="0092758B">
        <w:rPr>
          <w:rFonts w:ascii="Times New Roman" w:eastAsia="Times New Roman" w:hAnsi="Times New Roman" w:cs="Times New Roman"/>
          <w:bCs/>
          <w:sz w:val="24"/>
          <w:szCs w:val="24"/>
        </w:rPr>
        <w:t>3</w:t>
      </w:r>
      <w:r w:rsidR="00BC558E" w:rsidRPr="0092758B">
        <w:rPr>
          <w:rFonts w:ascii="Times New Roman" w:eastAsia="Times New Roman" w:hAnsi="Times New Roman" w:cs="Times New Roman"/>
          <w:bCs/>
          <w:sz w:val="24"/>
          <w:szCs w:val="24"/>
        </w:rPr>
        <w:t>°C</w:t>
      </w:r>
      <w:r w:rsidR="007F3084" w:rsidRPr="0092758B">
        <w:rPr>
          <w:rFonts w:ascii="Times New Roman" w:eastAsia="Times New Roman" w:hAnsi="Times New Roman" w:cs="Times New Roman"/>
          <w:bCs/>
          <w:sz w:val="24"/>
          <w:szCs w:val="24"/>
        </w:rPr>
        <w:t xml:space="preserve"> and </w:t>
      </w:r>
      <w:r w:rsidR="00464FC7" w:rsidRPr="0092758B">
        <w:rPr>
          <w:rFonts w:ascii="Times New Roman" w:eastAsia="Times New Roman" w:hAnsi="Times New Roman" w:cs="Times New Roman"/>
          <w:bCs/>
          <w:sz w:val="24"/>
          <w:szCs w:val="24"/>
        </w:rPr>
        <w:t>2850 mm.</w:t>
      </w:r>
      <w:r w:rsidR="001B50BA" w:rsidRPr="0092758B">
        <w:rPr>
          <w:rFonts w:ascii="Times New Roman" w:eastAsia="Times New Roman" w:hAnsi="Times New Roman" w:cs="Times New Roman"/>
          <w:bCs/>
          <w:sz w:val="24"/>
          <w:szCs w:val="24"/>
        </w:rPr>
        <w:t xml:space="preserve"> </w:t>
      </w:r>
      <w:r w:rsidR="00D66C18">
        <w:rPr>
          <w:rFonts w:ascii="Times New Roman" w:eastAsia="Times New Roman" w:hAnsi="Times New Roman" w:cs="Times New Roman"/>
          <w:bCs/>
          <w:sz w:val="24"/>
          <w:szCs w:val="24"/>
        </w:rPr>
        <w:t>In addition</w:t>
      </w:r>
      <w:r w:rsidR="001B50BA" w:rsidRPr="0092758B">
        <w:rPr>
          <w:rFonts w:ascii="Times New Roman" w:eastAsia="Times New Roman" w:hAnsi="Times New Roman" w:cs="Times New Roman"/>
          <w:bCs/>
          <w:sz w:val="24"/>
          <w:szCs w:val="24"/>
        </w:rPr>
        <w:t>, the tide pattern from Langkawi Tidal Station located at 6° 26’ N, 99° 46’</w:t>
      </w:r>
      <w:r w:rsidR="00CE2C87" w:rsidRPr="0092758B">
        <w:rPr>
          <w:rFonts w:ascii="Times New Roman" w:eastAsia="Times New Roman" w:hAnsi="Times New Roman" w:cs="Times New Roman"/>
          <w:bCs/>
          <w:sz w:val="24"/>
          <w:szCs w:val="24"/>
        </w:rPr>
        <w:t xml:space="preserve"> </w:t>
      </w:r>
      <w:r w:rsidR="001B50BA" w:rsidRPr="0092758B">
        <w:rPr>
          <w:rFonts w:ascii="Times New Roman" w:eastAsia="Times New Roman" w:hAnsi="Times New Roman" w:cs="Times New Roman"/>
          <w:bCs/>
          <w:sz w:val="24"/>
          <w:szCs w:val="24"/>
        </w:rPr>
        <w:t>was observed for both season</w:t>
      </w:r>
      <w:r w:rsidR="00CE2C87" w:rsidRPr="0092758B">
        <w:rPr>
          <w:rFonts w:ascii="Times New Roman" w:eastAsia="Times New Roman" w:hAnsi="Times New Roman" w:cs="Times New Roman"/>
          <w:bCs/>
          <w:sz w:val="24"/>
          <w:szCs w:val="24"/>
        </w:rPr>
        <w:t>s</w:t>
      </w:r>
      <w:r w:rsidR="001B50BA" w:rsidRPr="0092758B">
        <w:rPr>
          <w:rFonts w:ascii="Times New Roman" w:eastAsia="Times New Roman" w:hAnsi="Times New Roman" w:cs="Times New Roman"/>
          <w:bCs/>
          <w:sz w:val="24"/>
          <w:szCs w:val="24"/>
        </w:rPr>
        <w:t>.</w:t>
      </w:r>
    </w:p>
    <w:p w14:paraId="1C1D0A11" w14:textId="77777777" w:rsidR="00B61574" w:rsidRPr="0092758B" w:rsidRDefault="00B61574" w:rsidP="004E52E3">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bCs/>
          <w:sz w:val="24"/>
          <w:szCs w:val="24"/>
        </w:rPr>
      </w:pPr>
      <w:r w:rsidRPr="0092758B">
        <w:rPr>
          <w:rFonts w:ascii="Times New Roman" w:eastAsia="Times New Roman" w:hAnsi="Times New Roman" w:cs="Times New Roman"/>
          <w:bCs/>
          <w:noProof/>
          <w:sz w:val="24"/>
          <w:szCs w:val="24"/>
          <w:lang w:val="en-MY" w:eastAsia="en-MY"/>
        </w:rPr>
        <w:drawing>
          <wp:inline distT="0" distB="0" distL="0" distR="0" wp14:anchorId="3D4C5430" wp14:editId="1E2111F0">
            <wp:extent cx="2367378" cy="244548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30 at 6.38.12 PM.png"/>
                    <pic:cNvPicPr/>
                  </pic:nvPicPr>
                  <pic:blipFill>
                    <a:blip r:embed="rId11">
                      <a:extLst>
                        <a:ext uri="{28A0092B-C50C-407E-A947-70E740481C1C}">
                          <a14:useLocalDpi xmlns:a14="http://schemas.microsoft.com/office/drawing/2010/main" val="0"/>
                        </a:ext>
                      </a:extLst>
                    </a:blip>
                    <a:stretch>
                      <a:fillRect/>
                    </a:stretch>
                  </pic:blipFill>
                  <pic:spPr>
                    <a:xfrm>
                      <a:off x="0" y="0"/>
                      <a:ext cx="2397176" cy="2476270"/>
                    </a:xfrm>
                    <a:prstGeom prst="rect">
                      <a:avLst/>
                    </a:prstGeom>
                  </pic:spPr>
                </pic:pic>
              </a:graphicData>
            </a:graphic>
          </wp:inline>
        </w:drawing>
      </w:r>
    </w:p>
    <w:p w14:paraId="2117E45A" w14:textId="09231056" w:rsidR="00B61574" w:rsidRPr="0092758B" w:rsidRDefault="00B61574" w:rsidP="004E52E3">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bCs/>
          <w:sz w:val="20"/>
          <w:szCs w:val="20"/>
        </w:rPr>
      </w:pPr>
      <w:r w:rsidRPr="0092758B">
        <w:rPr>
          <w:rFonts w:ascii="Times New Roman" w:eastAsia="Times New Roman" w:hAnsi="Times New Roman" w:cs="Times New Roman"/>
          <w:b/>
          <w:sz w:val="20"/>
          <w:szCs w:val="20"/>
        </w:rPr>
        <w:t>Figure 2</w:t>
      </w:r>
      <w:r w:rsidR="0071126D" w:rsidRPr="0092758B">
        <w:rPr>
          <w:rFonts w:ascii="Times New Roman" w:eastAsia="Times New Roman" w:hAnsi="Times New Roman" w:cs="Times New Roman"/>
          <w:b/>
          <w:sz w:val="20"/>
          <w:szCs w:val="20"/>
        </w:rPr>
        <w:t>.</w:t>
      </w:r>
      <w:r w:rsidRPr="0092758B">
        <w:rPr>
          <w:rFonts w:ascii="Times New Roman" w:eastAsia="Times New Roman" w:hAnsi="Times New Roman" w:cs="Times New Roman"/>
          <w:bCs/>
          <w:sz w:val="20"/>
          <w:szCs w:val="20"/>
        </w:rPr>
        <w:t xml:space="preserve"> Study flow process</w:t>
      </w:r>
      <w:r w:rsidR="005133ED">
        <w:rPr>
          <w:rFonts w:ascii="Times New Roman" w:eastAsia="Times New Roman" w:hAnsi="Times New Roman" w:cs="Times New Roman"/>
          <w:bCs/>
          <w:sz w:val="20"/>
          <w:szCs w:val="20"/>
        </w:rPr>
        <w:t>.</w:t>
      </w:r>
    </w:p>
    <w:p w14:paraId="2CA010B0" w14:textId="5E182F36" w:rsidR="00B61574" w:rsidRPr="0092758B" w:rsidRDefault="00B61574" w:rsidP="004E52E3">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bCs/>
          <w:sz w:val="24"/>
          <w:szCs w:val="24"/>
        </w:rPr>
      </w:pPr>
      <w:r w:rsidRPr="0092758B">
        <w:rPr>
          <w:rFonts w:ascii="Times New Roman" w:eastAsia="Times New Roman" w:hAnsi="Times New Roman" w:cs="Times New Roman"/>
          <w:bCs/>
          <w:noProof/>
          <w:sz w:val="24"/>
          <w:szCs w:val="24"/>
          <w:lang w:val="en-MY" w:eastAsia="en-MY"/>
        </w:rPr>
        <w:lastRenderedPageBreak/>
        <w:drawing>
          <wp:inline distT="0" distB="0" distL="0" distR="0" wp14:anchorId="120A676F" wp14:editId="018DF9A5">
            <wp:extent cx="4103981" cy="946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wth stage.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38937" b="38005"/>
                    <a:stretch/>
                  </pic:blipFill>
                  <pic:spPr bwMode="auto">
                    <a:xfrm>
                      <a:off x="0" y="0"/>
                      <a:ext cx="4207991" cy="970281"/>
                    </a:xfrm>
                    <a:prstGeom prst="rect">
                      <a:avLst/>
                    </a:prstGeom>
                    <a:ln>
                      <a:noFill/>
                    </a:ln>
                    <a:extLst>
                      <a:ext uri="{53640926-AAD7-44D8-BBD7-CCE9431645EC}">
                        <a14:shadowObscured xmlns:a14="http://schemas.microsoft.com/office/drawing/2010/main"/>
                      </a:ext>
                    </a:extLst>
                  </pic:spPr>
                </pic:pic>
              </a:graphicData>
            </a:graphic>
          </wp:inline>
        </w:drawing>
      </w:r>
    </w:p>
    <w:p w14:paraId="60D8159D" w14:textId="42900FAA" w:rsidR="0071126D" w:rsidRDefault="00135C76" w:rsidP="004E52E3">
      <w:pPr>
        <w:pBdr>
          <w:top w:val="nil"/>
          <w:left w:val="nil"/>
          <w:bottom w:val="nil"/>
          <w:right w:val="nil"/>
          <w:between w:val="nil"/>
        </w:pBdr>
        <w:spacing w:after="0" w:line="240" w:lineRule="auto"/>
        <w:ind w:leftChars="0" w:left="0" w:firstLineChars="0" w:firstLine="567"/>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0071126D" w:rsidRPr="0092758B">
        <w:rPr>
          <w:rFonts w:ascii="Times New Roman" w:eastAsia="Times New Roman" w:hAnsi="Times New Roman" w:cs="Times New Roman"/>
          <w:bCs/>
          <w:sz w:val="20"/>
          <w:szCs w:val="20"/>
        </w:rPr>
        <w:t xml:space="preserve">Source: </w:t>
      </w:r>
      <w:r w:rsidR="0071126D" w:rsidRPr="0092758B">
        <w:rPr>
          <w:rFonts w:ascii="Times New Roman" w:eastAsia="Times New Roman" w:hAnsi="Times New Roman" w:cs="Times New Roman"/>
          <w:bCs/>
          <w:sz w:val="20"/>
          <w:szCs w:val="20"/>
        </w:rPr>
        <w:fldChar w:fldCharType="begin" w:fldLock="1"/>
      </w:r>
      <w:r w:rsidR="0071126D" w:rsidRPr="0092758B">
        <w:rPr>
          <w:rFonts w:ascii="Times New Roman" w:eastAsia="Times New Roman" w:hAnsi="Times New Roman" w:cs="Times New Roman"/>
          <w:bCs/>
          <w:sz w:val="20"/>
          <w:szCs w:val="20"/>
        </w:rPr>
        <w:instrText>ADDIN CSL_CITATION {"citationItems":[{"id":"ITEM-1","itemData":{"ISBN":"9789671633571","author":[{"dropping-particle":"","family":"Che Omar","given":"Sarena","non-dropping-particle":"","parse-names":false,"suffix":""},{"dropping-particle":"","family":"Shaharudin","given":"Ashraf","non-dropping-particle":"","parse-names":false,"suffix":""},{"dropping-particle":"","family":"Tumin","given":"Siti Aiysyah","non-dropping-particle":"","parse-names":false,"suffix":""}],"container-title":"The Status of the Paddy and Rice Industry in Malaysia","id":"ITEM-1","issued":{"date-parts":[["2019"]]},"title":"The Status of the Paddy and Rice Industry in Malaysia","type":"report"},"uris":["http://www.mendeley.com/documents/?uuid=999eed54-ca81-41c1-95e7-637a471fae82"]}],"mendeley":{"formattedCitation":"(Che Omar et al., 2019)","plainTextFormattedCitation":"(Che Omar et al., 2019)","previouslyFormattedCitation":"(Che Omar et al., 2019)"},"properties":{"noteIndex":0},"schema":"https://github.com/citation-style-language/schema/raw/master/csl-citation.json"}</w:instrText>
      </w:r>
      <w:r w:rsidR="0071126D" w:rsidRPr="0092758B">
        <w:rPr>
          <w:rFonts w:ascii="Times New Roman" w:eastAsia="Times New Roman" w:hAnsi="Times New Roman" w:cs="Times New Roman"/>
          <w:bCs/>
          <w:sz w:val="20"/>
          <w:szCs w:val="20"/>
        </w:rPr>
        <w:fldChar w:fldCharType="separate"/>
      </w:r>
      <w:r w:rsidR="00590DFD">
        <w:rPr>
          <w:rFonts w:ascii="Times New Roman" w:eastAsia="Times New Roman" w:hAnsi="Times New Roman" w:cs="Times New Roman"/>
          <w:bCs/>
          <w:noProof/>
          <w:sz w:val="20"/>
          <w:szCs w:val="20"/>
        </w:rPr>
        <w:t>Che Omar et al.</w:t>
      </w:r>
      <w:r w:rsidR="0071126D" w:rsidRPr="0092758B">
        <w:rPr>
          <w:rFonts w:ascii="Times New Roman" w:eastAsia="Times New Roman" w:hAnsi="Times New Roman" w:cs="Times New Roman"/>
          <w:bCs/>
          <w:noProof/>
          <w:sz w:val="20"/>
          <w:szCs w:val="20"/>
        </w:rPr>
        <w:t xml:space="preserve"> </w:t>
      </w:r>
      <w:r w:rsidR="00590DFD">
        <w:rPr>
          <w:rFonts w:ascii="Times New Roman" w:eastAsia="Times New Roman" w:hAnsi="Times New Roman" w:cs="Times New Roman"/>
          <w:bCs/>
          <w:noProof/>
          <w:sz w:val="20"/>
          <w:szCs w:val="20"/>
        </w:rPr>
        <w:t>(</w:t>
      </w:r>
      <w:r w:rsidR="0071126D" w:rsidRPr="0092758B">
        <w:rPr>
          <w:rFonts w:ascii="Times New Roman" w:eastAsia="Times New Roman" w:hAnsi="Times New Roman" w:cs="Times New Roman"/>
          <w:bCs/>
          <w:noProof/>
          <w:sz w:val="20"/>
          <w:szCs w:val="20"/>
        </w:rPr>
        <w:t>2019)</w:t>
      </w:r>
      <w:r w:rsidR="0071126D" w:rsidRPr="0092758B">
        <w:rPr>
          <w:rFonts w:ascii="Times New Roman" w:eastAsia="Times New Roman" w:hAnsi="Times New Roman" w:cs="Times New Roman"/>
          <w:bCs/>
          <w:sz w:val="20"/>
          <w:szCs w:val="20"/>
        </w:rPr>
        <w:fldChar w:fldCharType="end"/>
      </w:r>
    </w:p>
    <w:p w14:paraId="4A1A6F3E" w14:textId="77777777" w:rsidR="00590DFD" w:rsidRPr="0092758B" w:rsidRDefault="00590DFD" w:rsidP="004E52E3">
      <w:pPr>
        <w:pBdr>
          <w:top w:val="nil"/>
          <w:left w:val="nil"/>
          <w:bottom w:val="nil"/>
          <w:right w:val="nil"/>
          <w:between w:val="nil"/>
        </w:pBdr>
        <w:spacing w:after="0" w:line="240" w:lineRule="auto"/>
        <w:ind w:leftChars="0" w:left="0" w:firstLineChars="0" w:firstLine="567"/>
        <w:rPr>
          <w:rFonts w:ascii="Times New Roman" w:eastAsia="Times New Roman" w:hAnsi="Times New Roman" w:cs="Times New Roman"/>
          <w:bCs/>
          <w:sz w:val="20"/>
          <w:szCs w:val="20"/>
        </w:rPr>
      </w:pPr>
    </w:p>
    <w:p w14:paraId="13ACE810" w14:textId="29226083" w:rsidR="00B61574" w:rsidRPr="0092758B" w:rsidRDefault="00B61574" w:rsidP="004E52E3">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bCs/>
          <w:sz w:val="20"/>
          <w:szCs w:val="20"/>
        </w:rPr>
      </w:pPr>
      <w:r w:rsidRPr="0092758B">
        <w:rPr>
          <w:rFonts w:ascii="Times New Roman" w:eastAsia="Times New Roman" w:hAnsi="Times New Roman" w:cs="Times New Roman"/>
          <w:b/>
          <w:sz w:val="20"/>
          <w:szCs w:val="20"/>
        </w:rPr>
        <w:t>Figure 3</w:t>
      </w:r>
      <w:r w:rsidR="0071126D" w:rsidRPr="0092758B">
        <w:rPr>
          <w:rFonts w:ascii="Times New Roman" w:eastAsia="Times New Roman" w:hAnsi="Times New Roman" w:cs="Times New Roman"/>
          <w:b/>
          <w:sz w:val="20"/>
          <w:szCs w:val="20"/>
        </w:rPr>
        <w:t>.</w:t>
      </w:r>
      <w:r w:rsidRPr="0092758B">
        <w:rPr>
          <w:rFonts w:ascii="Times New Roman" w:eastAsia="Times New Roman" w:hAnsi="Times New Roman" w:cs="Times New Roman"/>
          <w:bCs/>
          <w:sz w:val="20"/>
          <w:szCs w:val="20"/>
        </w:rPr>
        <w:t xml:space="preserve"> General process in the rice cultivation cycle</w:t>
      </w:r>
      <w:r w:rsidR="00135C76">
        <w:rPr>
          <w:rFonts w:ascii="Times New Roman" w:eastAsia="Times New Roman" w:hAnsi="Times New Roman" w:cs="Times New Roman"/>
          <w:bCs/>
          <w:sz w:val="20"/>
          <w:szCs w:val="20"/>
        </w:rPr>
        <w:t>.</w:t>
      </w:r>
    </w:p>
    <w:p w14:paraId="6B4F6329" w14:textId="77777777" w:rsidR="00B61574"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p>
    <w:p w14:paraId="5F9C0252" w14:textId="491251C5" w:rsidR="00B61574" w:rsidRPr="0092758B" w:rsidRDefault="00BC32BB"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B61574" w:rsidRPr="0092758B">
        <w:rPr>
          <w:rFonts w:ascii="Times New Roman" w:eastAsia="Times New Roman" w:hAnsi="Times New Roman" w:cs="Times New Roman"/>
          <w:bCs/>
          <w:sz w:val="24"/>
          <w:szCs w:val="24"/>
        </w:rPr>
        <w:t xml:space="preserve">he </w:t>
      </w:r>
      <w:proofErr w:type="spellStart"/>
      <w:r w:rsidR="00B61574" w:rsidRPr="0092758B">
        <w:rPr>
          <w:rFonts w:ascii="Times New Roman" w:eastAsia="Times New Roman" w:hAnsi="Times New Roman" w:cs="Times New Roman"/>
          <w:bCs/>
          <w:sz w:val="24"/>
          <w:szCs w:val="24"/>
        </w:rPr>
        <w:t>georeference</w:t>
      </w:r>
      <w:proofErr w:type="spellEnd"/>
      <w:r w:rsidR="00B61574" w:rsidRPr="0092758B">
        <w:rPr>
          <w:rFonts w:ascii="Times New Roman" w:eastAsia="Times New Roman" w:hAnsi="Times New Roman" w:cs="Times New Roman"/>
          <w:bCs/>
          <w:sz w:val="24"/>
          <w:szCs w:val="24"/>
        </w:rPr>
        <w:t xml:space="preserve"> location of each sampling point was recorded using Garmin GPSMAP 64s. Each point consists of coordinate data (latitude, longitude, and elevation) and consequently, converted into the projected coordinate system for mapping purposes. The projected coordinate system normally is known as a coordinate system designed for on a flat and two- dimensional surface </w:t>
      </w:r>
      <w:r w:rsidR="00B61574"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{"citationItems":[{"id":"ITEM-1","itemData":{"ISBN":"9781589480032","abstract":"CHAPTER 1: GEOGRAPHIC COORDINATE SYSTEMS; Geographic coordinate systems; Spheroids and spheres; Datums; North American datums; PROJECTED COORDINATE SYSTEMS; Projected coordinate systems; What is a map projection?; Projection types; Other projections; Projection parameters; GEOGRAPHIC TRANSFORMATIONS; Geographic transformation methods; Equation-based methods; Grid-based methods; SUPPORTED MAP PROJECTIONS; List of supported map projections; Aitoff; Alaska Grid; Alaska Series E; Albers Equal Area Conic; Azimuthal Equidistant; Behrmann Equal Area Cylindrical; Bipolar Oblique Conformal Conic; Bonne; Cassini–Soldner; Chamberlin Trimetric; Craster Parabolic; Cube; Cylindrical Equal Area; Double Stereographic; Eckert I; Eckert II; Eckert III; Eckert IV; Eckert V; Eckert VI; Equidistant Conic; Equidistant Cylindrical; Equirectangular; Fuller; Gall’s Stereographic; Gauss–Krüger; Geocentric Coordinate System; Geographic Coordinate System; Gnomonic; Great Britain National Grid; Hammer–Aitoff; Hotine Oblique Mercator; Krovak; Lambert Azimuthal Equal Area; Lambert Conformal Conic; Local Cartesian Projection; Loximuthal; McBryde–Thomas Flat-Polar Quartic; Mercator; Miller Cylindrical; Mollweide; New Zealand National Grid; Orthographic; Perspective; Plate Carrée; Polar Stereographic; Polyconic; Quartic Authalic; Rectified Skewed Orthomorphic; Robinson; Simple Conic; Sinusoidal; Space Oblique Mercator; State Plane Coordinate System; Stereographic; Times; Transverse Mercator; Two-Point Equidistant; Universal Polar Stereographic; Universal Transverse Mercator; Van Der Grinten I; Vertical Near-Side Perspective; Winkel I; Winkel II; Winkel Tripel","author":[{"dropping-particle":"","family":"Kennedy","given":"Melita","non-dropping-particle":"","parse-names":false,"suffix":""},{"dropping-particle":"","family":"Kopp","given":"Steve","non-dropping-particle":"","parse-names":false,"suffix":""}],"container-title":"North","id":"ITEM-1","issued":{"date-parts":[["2004"]]},"page":"110","title":"Understanding Map Projections GIS by ESRI","type":"article-journal"},"uris":["http://www.mendeley.com/documents/?uuid=651b5631-c269-43fa-be8f-aac61087e214"]}],"mendeley":{"formattedCitation":"(Kennedy &amp; Kopp, 2004)","plainTextFormattedCitation":"(Kennedy &amp; Kopp, 2004)","previouslyFormattedCitation":"(Kennedy &amp; Kopp, 2004)"},"properties":{"noteIndex":0},"schema":"https://github.com/citation-style-language/schema/raw/master/csl-citation.json"}</w:instrText>
      </w:r>
      <w:r w:rsidR="00B61574" w:rsidRPr="0092758B">
        <w:rPr>
          <w:rFonts w:ascii="Times New Roman" w:eastAsia="Times New Roman" w:hAnsi="Times New Roman" w:cs="Times New Roman"/>
          <w:bCs/>
          <w:sz w:val="24"/>
          <w:szCs w:val="24"/>
        </w:rPr>
        <w:fldChar w:fldCharType="separate"/>
      </w:r>
      <w:r w:rsidR="00B1524D" w:rsidRPr="0092758B">
        <w:rPr>
          <w:rFonts w:ascii="Times New Roman" w:eastAsia="Times New Roman" w:hAnsi="Times New Roman" w:cs="Times New Roman"/>
          <w:bCs/>
          <w:noProof/>
          <w:sz w:val="24"/>
          <w:szCs w:val="24"/>
        </w:rPr>
        <w:t>(Kennedy &amp; Kopp, 2004)</w:t>
      </w:r>
      <w:r w:rsidR="00B61574" w:rsidRPr="0092758B">
        <w:rPr>
          <w:rFonts w:ascii="Times New Roman" w:eastAsia="Times New Roman" w:hAnsi="Times New Roman" w:cs="Times New Roman"/>
          <w:bCs/>
          <w:sz w:val="24"/>
          <w:szCs w:val="24"/>
        </w:rPr>
        <w:fldChar w:fldCharType="end"/>
      </w:r>
      <w:r w:rsidR="00B61574" w:rsidRPr="0092758B">
        <w:rPr>
          <w:rFonts w:ascii="Times New Roman" w:eastAsia="Times New Roman" w:hAnsi="Times New Roman" w:cs="Times New Roman"/>
          <w:bCs/>
          <w:sz w:val="24"/>
          <w:szCs w:val="24"/>
        </w:rPr>
        <w:t>.</w:t>
      </w:r>
    </w:p>
    <w:p w14:paraId="7F11E950" w14:textId="095DA8A8" w:rsidR="00B61574" w:rsidRPr="0092758B" w:rsidRDefault="00BC32BB"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B61574" w:rsidRPr="0092758B">
        <w:rPr>
          <w:rFonts w:ascii="Times New Roman" w:eastAsia="Times New Roman" w:hAnsi="Times New Roman" w:cs="Times New Roman"/>
          <w:bCs/>
          <w:sz w:val="24"/>
          <w:szCs w:val="24"/>
        </w:rPr>
        <w:t xml:space="preserve">he spatial analyst was used to transfigure the geospatial data in the form of raster and vector data in this study. The data of salinity concentrations as well as </w:t>
      </w:r>
      <w:r w:rsidR="00CE2C87" w:rsidRPr="0092758B">
        <w:rPr>
          <w:rFonts w:ascii="Times New Roman" w:eastAsia="Times New Roman" w:hAnsi="Times New Roman" w:cs="Times New Roman"/>
          <w:bCs/>
          <w:sz w:val="24"/>
          <w:szCs w:val="24"/>
        </w:rPr>
        <w:t xml:space="preserve">their </w:t>
      </w:r>
      <w:r w:rsidR="00B61574" w:rsidRPr="0092758B">
        <w:rPr>
          <w:rFonts w:ascii="Times New Roman" w:eastAsia="Times New Roman" w:hAnsi="Times New Roman" w:cs="Times New Roman"/>
          <w:bCs/>
          <w:sz w:val="24"/>
          <w:szCs w:val="24"/>
        </w:rPr>
        <w:t xml:space="preserve">respective </w:t>
      </w:r>
      <w:proofErr w:type="spellStart"/>
      <w:r w:rsidR="00B61574" w:rsidRPr="0092758B">
        <w:rPr>
          <w:rFonts w:ascii="Times New Roman" w:eastAsia="Times New Roman" w:hAnsi="Times New Roman" w:cs="Times New Roman"/>
          <w:bCs/>
          <w:sz w:val="24"/>
          <w:szCs w:val="24"/>
        </w:rPr>
        <w:t>georeference</w:t>
      </w:r>
      <w:proofErr w:type="spellEnd"/>
      <w:r w:rsidR="00B61574" w:rsidRPr="0092758B">
        <w:rPr>
          <w:rFonts w:ascii="Times New Roman" w:eastAsia="Times New Roman" w:hAnsi="Times New Roman" w:cs="Times New Roman"/>
          <w:bCs/>
          <w:sz w:val="24"/>
          <w:szCs w:val="24"/>
        </w:rPr>
        <w:t xml:space="preserve"> locations</w:t>
      </w:r>
      <w:r w:rsidR="00505A09" w:rsidRPr="0092758B">
        <w:rPr>
          <w:rFonts w:ascii="Times New Roman" w:eastAsia="Times New Roman" w:hAnsi="Times New Roman" w:cs="Times New Roman"/>
          <w:bCs/>
          <w:sz w:val="24"/>
          <w:szCs w:val="24"/>
        </w:rPr>
        <w:t>,</w:t>
      </w:r>
      <w:r w:rsidR="00B61574" w:rsidRPr="0092758B">
        <w:rPr>
          <w:rFonts w:ascii="Times New Roman" w:eastAsia="Times New Roman" w:hAnsi="Times New Roman" w:cs="Times New Roman"/>
          <w:bCs/>
          <w:sz w:val="24"/>
          <w:szCs w:val="24"/>
        </w:rPr>
        <w:t xml:space="preserve"> were imported into ArcGIS software. ArcGIS platform was created and developed to visualize and present the data spatially. Specifically, ArcGIS 10.7.1 was used to produce the spatial map</w:t>
      </w:r>
      <w:r w:rsidR="001E5F9B" w:rsidRPr="0092758B">
        <w:rPr>
          <w:rFonts w:ascii="Times New Roman" w:eastAsia="Times New Roman" w:hAnsi="Times New Roman" w:cs="Times New Roman"/>
          <w:bCs/>
          <w:sz w:val="24"/>
          <w:szCs w:val="24"/>
        </w:rPr>
        <w:t>s</w:t>
      </w:r>
      <w:r w:rsidR="00B61574" w:rsidRPr="0092758B">
        <w:rPr>
          <w:rFonts w:ascii="Times New Roman" w:eastAsia="Times New Roman" w:hAnsi="Times New Roman" w:cs="Times New Roman"/>
          <w:bCs/>
          <w:sz w:val="24"/>
          <w:szCs w:val="24"/>
        </w:rPr>
        <w:t xml:space="preserve"> of salinity variability. These maps were generated by using the Inverse Distance Weighted (IDW) interpolation method in ArcGIS spatial analyst tool to represent the current water quality status in the paddy plots. This method is one of the most applied and deterministic interpolation techniques because fast and easy to compute, and straightforward to interpret the unknown points by calculated with a weighted average of the values available at the known points </w:t>
      </w:r>
      <w:r w:rsidR="00B61574"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{"citationItems":[{"id":"ITEM-1","itemData":{"DOI":"10.1016/j.jssas.2016.02.001","ISSN":"1658077X","abstract":"The ecological, economical, and agricultural benefits of accurate interpolation of spatial distribution patterns of soil organic carbon (SOC) are well recognized. In the present study, different interpolation techniques in a geographical information system (GIS) environment are analyzed and compared for estimating the spatial variation of SOC at three different soil depths (0–20 cm, 20–40 cm and 40–100 cm) in Medinipur Block, West Bengal, India. Stratified random samples of total 98 soils were collected from different landuse sites including agriculture, scrubland, forest, grassland, and fallow land of the study area. A portable global positioning system (GPS) was used to collect coordinates of each sample site. Five interpolation methods such as inverse distance weighting (IDW), local polynomial interpolation (LPI), radial basis function (RBF), ordinary kriging (OK) and Empirical Bayes kriging (EBK) are used to generate spatial distribution of SOC. SOC is concentrated in forest land and less SOC is observed in bare land. The cross validation is applied to evaluate the accuracy of interpolation methods through coefficient of determination (R2) and root mean square error (RMSE). The results indicate that OK is superior method with the least RMSE and highest R2 value for interpolation of SOC spatial distribution.","author":[{"dropping-particle":"","family":"Bhunia","given":"Gouri Sankar","non-dropping-particle":"","parse-names":false,"suffix":""},{"dropping-particle":"","family":"Shit","given":"Pravat Kumar","non-dropping-particle":"","parse-names":false,"suffix":""},{"dropping-particle":"","family":"Maiti","given":"Ramkrishna","non-dropping-particle":"","parse-names":false,"suffix":""}],"container-title":"Journal of the Saudi Society of Agricultural Sciences","id":"ITEM-1","issue":"2","issued":{"date-parts":[["2018"]]},"page":"114-126","publisher":"King Saud University &amp; Saudi Society of Agricultural Sciences","title":"Comparison of GIS-based interpolation methods for spatial distribution of soil organic carbon (SOC)","type":"article-journal","volume":"17"},"uris":["http://www.mendeley.com/documents/?uuid=a3510281-1000-4b5a-ba2b-49f649eb4968"]},{"id":"ITEM-2","itemData":{"DOI":"10.18517/ijaseit.7.1.970","ISSN":"24606952","abstract":"High anthropogenic activities are rapidly increasing phenomenon and it is assumed to have global implications. In Nigeria, high anthropogenic activities rapidly increase above the standard of the threshold values especially the lighting sources. This increase due to the vastly growing of industries, residential and commercial uses and other sources such as street lighting in urban and semiurban areas, which can make the night sky brightness in the area above the threshold set for polluted status. The study measures the night sky brightness at the most densely populated urban centers of Nigeria; to estimate and quantify the level of the night sky brightness from the sites nearby the cities of the planned research study. The research monitored the zenith sky brightness from November 2015 to March 2016 using Sky Quality Meter (SQM). However, typical values ranging from 20.14 to 22.00Mag.sqm /arc sec.2 were measured at different sites of the study area. This data recorded in the field was analyzed using Agglomerative Hierarchical Method via Ward's Methods to cluster our data according to the pollution status of the areas. Result showed three clusters in which class 1 has low pollution; class 2 is moderate while class 3 has the high pollution status. The sites classified in class 3 are more polluted due to the high use of artificial light. However, geographical information system (GIS) software was employed to confirm the results obtained from environ-metric technique and concluded that this result is confirmed to be the same. Hence, it illustrated that sites in cluster 1 have an excellent dark location that can be used to build optical observatory stations and other astronomical observations due to their dark sky.","author":[{"dropping-particle":"","family":"Abdullahi","given":"Musa Garba","non-dropping-particle":"","parse-names":false,"suffix":""},{"dropping-particle":"","family":"Kamarudin","given":"Mohd Khairul Amri","non-dropping-particle":"","parse-names":false,"suffix":""},{"dropping-particle":"","family":"Umar","given":"Roslan","non-dropping-particle":"","parse-names":false,"suffix":""},{"dropping-particle":"","family":"Endut","given":"Azizah","non-dropping-particle":"","parse-names":false,"suffix":""},{"dropping-particle":"","family":"Khalit","given":"Saiful Iskandar","non-dropping-particle":"","parse-names":false,"suffix":""},{"dropping-particle":"","family":"Juahir","given":"Hafizan","non-dropping-particle":"","parse-names":false,"suffix":""}],"container-title":"International Journal on Advanced Science, Engineering and Information Technology","id":"ITEM-2","issue":"1","issued":{"date-parts":[["2017"]]},"page":"28-34","title":"Night sky brightness assessment in Nigeria using environmetric and GIS technique","type":"article-journal","volume":"7"},"uris":["http://www.mendeley.com/documents/?uuid=3cd765b1-e58b-4bd7-9e9d-b4c44d1fae66"]}],"mendeley":{"formattedCitation":"(Abdullahi et al., 2017; Bhunia, Shit, &amp; Maiti, 2018)","plainTextFormattedCitation":"(Abdullahi et al., 2017; Bhunia, Shit, &amp; Maiti, 2018)","previouslyFormattedCitation":"(Abdullahi et al., 2017; Bhunia, Shit, &amp; Maiti, 2018)"},"properties":{"noteIndex":0},"schema":"https://github.com/citation-style-language/schema/raw/master/csl-citation.json"}</w:instrText>
      </w:r>
      <w:r w:rsidR="00B61574" w:rsidRPr="0092758B">
        <w:rPr>
          <w:rFonts w:ascii="Times New Roman" w:eastAsia="Times New Roman" w:hAnsi="Times New Roman" w:cs="Times New Roman"/>
          <w:bCs/>
          <w:sz w:val="24"/>
          <w:szCs w:val="24"/>
        </w:rPr>
        <w:fldChar w:fldCharType="separate"/>
      </w:r>
      <w:r w:rsidR="00B1524D" w:rsidRPr="0092758B">
        <w:rPr>
          <w:rFonts w:ascii="Times New Roman" w:eastAsia="Times New Roman" w:hAnsi="Times New Roman" w:cs="Times New Roman"/>
          <w:bCs/>
          <w:noProof/>
          <w:sz w:val="24"/>
          <w:szCs w:val="24"/>
        </w:rPr>
        <w:t>(Abdullahi et al., 2017; Bhunia, Shit, &amp; Maiti, 2018)</w:t>
      </w:r>
      <w:r w:rsidR="00B61574" w:rsidRPr="0092758B">
        <w:rPr>
          <w:rFonts w:ascii="Times New Roman" w:eastAsia="Times New Roman" w:hAnsi="Times New Roman" w:cs="Times New Roman"/>
          <w:bCs/>
          <w:sz w:val="24"/>
          <w:szCs w:val="24"/>
        </w:rPr>
        <w:fldChar w:fldCharType="end"/>
      </w:r>
      <w:r w:rsidR="00B61574" w:rsidRPr="0092758B">
        <w:rPr>
          <w:rFonts w:ascii="Times New Roman" w:eastAsia="Times New Roman" w:hAnsi="Times New Roman" w:cs="Times New Roman"/>
          <w:bCs/>
          <w:sz w:val="24"/>
          <w:szCs w:val="24"/>
        </w:rPr>
        <w:t xml:space="preserve">. </w:t>
      </w:r>
    </w:p>
    <w:p w14:paraId="6D30A6FC" w14:textId="77777777" w:rsidR="00B61574"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t>The IDW is widely used and well known in computing the unknown value using the nearby weighted values as equations below.</w:t>
      </w:r>
    </w:p>
    <w:p w14:paraId="7E82F460" w14:textId="0C09F54F" w:rsidR="00B61574" w:rsidRDefault="00B61574" w:rsidP="004E52E3">
      <w:pPr>
        <w:pBdr>
          <w:top w:val="nil"/>
          <w:left w:val="nil"/>
          <w:bottom w:val="nil"/>
          <w:right w:val="nil"/>
          <w:between w:val="nil"/>
        </w:pBdr>
        <w:spacing w:before="120" w:after="120" w:line="240" w:lineRule="auto"/>
        <w:ind w:leftChars="0" w:left="0" w:firstLineChars="0" w:firstLine="567"/>
        <w:jc w:val="center"/>
        <w:rPr>
          <w:rFonts w:ascii="Times New Roman" w:eastAsia="Times New Roman" w:hAnsi="Times New Roman" w:cs="Times New Roman"/>
          <w:bCs/>
          <w:sz w:val="24"/>
          <w:szCs w:val="24"/>
        </w:rPr>
      </w:pPr>
      <m:oMath>
        <m:r>
          <w:rPr>
            <w:rFonts w:ascii="Cambria Math" w:eastAsia="Times New Roman" w:hAnsi="Cambria Math" w:cs="Times New Roman"/>
            <w:sz w:val="24"/>
            <w:szCs w:val="24"/>
          </w:rPr>
          <m:t>Z</m:t>
        </m:r>
        <m:d>
          <m:dPr>
            <m:ctrlPr>
              <w:rPr>
                <w:rFonts w:ascii="Cambria Math" w:eastAsia="Times New Roman" w:hAnsi="Cambria Math" w:cs="Times New Roman"/>
                <w:bCs/>
                <w:sz w:val="24"/>
                <w:szCs w:val="24"/>
              </w:rPr>
            </m:ctrlPr>
          </m:dPr>
          <m:e>
            <m: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bCs/>
                <w:sz w:val="24"/>
                <w:szCs w:val="24"/>
              </w:rPr>
            </m:ctrlPr>
          </m:fPr>
          <m:num>
            <m:nary>
              <m:naryPr>
                <m:chr m:val="∑"/>
                <m:ctrlPr>
                  <w:rPr>
                    <w:rFonts w:ascii="Cambria Math" w:eastAsia="Times New Roman" w:hAnsi="Cambria Math" w:cs="Times New Roman"/>
                    <w:bCs/>
                    <w:sz w:val="24"/>
                    <w:szCs w:val="24"/>
                  </w:rPr>
                </m:ctrlPr>
              </m:naryPr>
              <m:sub>
                <m:r>
                  <w:rPr>
                    <w:rFonts w:ascii="Cambria Math" w:eastAsia="Times New Roman" w:hAnsi="Cambria Math" w:cs="Times New Roman"/>
                    <w:sz w:val="24"/>
                    <w:szCs w:val="24"/>
                  </w:rPr>
                  <m:t>i</m:t>
                </m:r>
                <m:r>
                  <m:rPr>
                    <m:sty m:val="p"/>
                  </m:rPr>
                  <w:rPr>
                    <w:rFonts w:ascii="Cambria Math" w:eastAsia="Times New Roman" w:hAnsi="Cambria Math" w:cs="Times New Roman"/>
                    <w:sz w:val="24"/>
                    <w:szCs w:val="24"/>
                  </w:rPr>
                  <m:t>=1</m:t>
                </m:r>
              </m:sub>
              <m:sup>
                <m:r>
                  <w:rPr>
                    <w:rFonts w:ascii="Cambria Math" w:eastAsia="Times New Roman" w:hAnsi="Cambria Math" w:cs="Times New Roman"/>
                    <w:sz w:val="24"/>
                    <w:szCs w:val="24"/>
                  </w:rPr>
                  <m:t>n</m:t>
                </m:r>
              </m:sup>
              <m:e>
                <m:sSub>
                  <m:sSubPr>
                    <m:ctrlPr>
                      <w:rPr>
                        <w:rFonts w:ascii="Cambria Math" w:eastAsia="Times New Roman" w:hAnsi="Cambria Math" w:cs="Times New Roman"/>
                        <w:bCs/>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sSub>
                  <m:sSubPr>
                    <m:ctrlPr>
                      <w:rPr>
                        <w:rFonts w:ascii="Cambria Math" w:eastAsia="Times New Roman" w:hAnsi="Cambria Math" w:cs="Times New Roman"/>
                        <w:bCs/>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nary>
          </m:num>
          <m:den>
            <m:nary>
              <m:naryPr>
                <m:chr m:val="∑"/>
                <m:ctrlPr>
                  <w:rPr>
                    <w:rFonts w:ascii="Cambria Math" w:eastAsia="Times New Roman" w:hAnsi="Cambria Math" w:cs="Times New Roman"/>
                    <w:bCs/>
                    <w:sz w:val="24"/>
                    <w:szCs w:val="24"/>
                  </w:rPr>
                </m:ctrlPr>
              </m:naryPr>
              <m:sub>
                <m:r>
                  <w:rPr>
                    <w:rFonts w:ascii="Cambria Math" w:eastAsia="Times New Roman" w:hAnsi="Cambria Math" w:cs="Times New Roman"/>
                    <w:sz w:val="24"/>
                    <w:szCs w:val="24"/>
                  </w:rPr>
                  <m:t>i</m:t>
                </m:r>
                <m:r>
                  <m:rPr>
                    <m:sty m:val="p"/>
                  </m:rPr>
                  <w:rPr>
                    <w:rFonts w:ascii="Cambria Math" w:eastAsia="Times New Roman" w:hAnsi="Cambria Math" w:cs="Times New Roman"/>
                    <w:sz w:val="24"/>
                    <w:szCs w:val="24"/>
                  </w:rPr>
                  <m:t>=0</m:t>
                </m:r>
              </m:sub>
              <m:sup>
                <m:r>
                  <w:rPr>
                    <w:rFonts w:ascii="Cambria Math" w:eastAsia="Times New Roman" w:hAnsi="Cambria Math" w:cs="Times New Roman"/>
                    <w:sz w:val="24"/>
                    <w:szCs w:val="24"/>
                  </w:rPr>
                  <m:t>n</m:t>
                </m:r>
              </m:sup>
              <m:e>
                <m:sSub>
                  <m:sSubPr>
                    <m:ctrlPr>
                      <w:rPr>
                        <w:rFonts w:ascii="Cambria Math" w:eastAsia="Times New Roman" w:hAnsi="Cambria Math" w:cs="Times New Roman"/>
                        <w:bCs/>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e>
            </m:nary>
          </m:den>
        </m:f>
      </m:oMath>
      <w:r w:rsidRPr="0092758B">
        <w:rPr>
          <w:rFonts w:ascii="Times New Roman" w:eastAsia="Times New Roman" w:hAnsi="Times New Roman" w:cs="Times New Roman"/>
          <w:bCs/>
          <w:sz w:val="24"/>
          <w:szCs w:val="24"/>
        </w:rPr>
        <w:t xml:space="preserve"> </w:t>
      </w:r>
      <w:r w:rsidRPr="0092758B">
        <w:rPr>
          <w:rFonts w:ascii="Times New Roman" w:eastAsia="Times New Roman" w:hAnsi="Times New Roman" w:cs="Times New Roman"/>
          <w:bCs/>
          <w:sz w:val="24"/>
          <w:szCs w:val="24"/>
        </w:rPr>
        <w:tab/>
      </w:r>
      <w:r w:rsidRPr="0092758B">
        <w:rPr>
          <w:rFonts w:ascii="Times New Roman" w:eastAsia="Times New Roman" w:hAnsi="Times New Roman" w:cs="Times New Roman"/>
          <w:bCs/>
          <w:sz w:val="24"/>
          <w:szCs w:val="24"/>
        </w:rPr>
        <w:tab/>
      </w:r>
      <w:r w:rsidRPr="0092758B">
        <w:rPr>
          <w:rFonts w:ascii="Times New Roman" w:eastAsia="Times New Roman" w:hAnsi="Times New Roman" w:cs="Times New Roman"/>
          <w:bCs/>
          <w:sz w:val="24"/>
          <w:szCs w:val="24"/>
        </w:rPr>
        <w:tab/>
      </w:r>
      <w:r w:rsidRPr="0092758B">
        <w:rPr>
          <w:rFonts w:ascii="Times New Roman" w:eastAsia="Times New Roman" w:hAnsi="Times New Roman" w:cs="Times New Roman"/>
          <w:bCs/>
          <w:sz w:val="24"/>
          <w:szCs w:val="24"/>
        </w:rPr>
        <w:tab/>
      </w:r>
      <w:r w:rsidRPr="0092758B">
        <w:rPr>
          <w:rFonts w:ascii="Times New Roman" w:eastAsia="Times New Roman" w:hAnsi="Times New Roman" w:cs="Times New Roman"/>
          <w:bCs/>
          <w:sz w:val="24"/>
          <w:szCs w:val="24"/>
        </w:rPr>
        <w:tab/>
        <w:t>(1)</w:t>
      </w:r>
    </w:p>
    <w:p w14:paraId="00D34A25" w14:textId="77777777" w:rsidR="004E52E3" w:rsidRPr="0092758B" w:rsidRDefault="004E52E3" w:rsidP="004E52E3">
      <w:pPr>
        <w:pBdr>
          <w:top w:val="nil"/>
          <w:left w:val="nil"/>
          <w:bottom w:val="nil"/>
          <w:right w:val="nil"/>
          <w:between w:val="nil"/>
        </w:pBdr>
        <w:spacing w:after="0" w:line="240" w:lineRule="auto"/>
        <w:ind w:leftChars="0" w:left="0" w:firstLineChars="0" w:firstLine="567"/>
        <w:jc w:val="center"/>
        <w:rPr>
          <w:rFonts w:ascii="Times New Roman" w:eastAsia="Times New Roman" w:hAnsi="Times New Roman" w:cs="Times New Roman"/>
          <w:bCs/>
          <w:sz w:val="24"/>
          <w:szCs w:val="24"/>
        </w:rPr>
      </w:pPr>
    </w:p>
    <w:p w14:paraId="00E5F732" w14:textId="51E1D399" w:rsidR="00B61574" w:rsidRPr="0092758B" w:rsidRDefault="00E50E78" w:rsidP="004E52E3">
      <w:pPr>
        <w:pBdr>
          <w:top w:val="nil"/>
          <w:left w:val="nil"/>
          <w:bottom w:val="nil"/>
          <w:right w:val="nil"/>
          <w:between w:val="nil"/>
        </w:pBdr>
        <w:spacing w:before="120" w:after="120" w:line="240" w:lineRule="auto"/>
        <w:ind w:leftChars="0" w:left="0" w:firstLineChars="0" w:firstLine="567"/>
        <w:jc w:val="center"/>
        <w:rPr>
          <w:rFonts w:ascii="Times New Roman" w:eastAsia="Times New Roman" w:hAnsi="Times New Roman" w:cs="Times New Roman"/>
          <w:bCs/>
          <w:sz w:val="24"/>
          <w:szCs w:val="24"/>
        </w:rPr>
      </w:pPr>
      <m:oMath>
        <m:sSub>
          <m:sSubPr>
            <m:ctrlPr>
              <w:rPr>
                <w:rFonts w:ascii="Cambria Math" w:eastAsia="Times New Roman" w:hAnsi="Cambria Math" w:cs="Times New Roman"/>
                <w:bCs/>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bCs/>
                <w:sz w:val="24"/>
                <w:szCs w:val="24"/>
              </w:rPr>
            </m:ctrlPr>
          </m:fPr>
          <m:num>
            <m:r>
              <m:rPr>
                <m:sty m:val="p"/>
              </m:rPr>
              <w:rPr>
                <w:rFonts w:ascii="Cambria Math" w:eastAsia="Times New Roman" w:hAnsi="Cambria Math" w:cs="Times New Roman"/>
                <w:sz w:val="24"/>
                <w:szCs w:val="24"/>
              </w:rPr>
              <m:t>1</m:t>
            </m:r>
          </m:num>
          <m:den>
            <m:sSubSup>
              <m:sSubSupPr>
                <m:ctrlPr>
                  <w:rPr>
                    <w:rFonts w:ascii="Cambria Math" w:eastAsia="Times New Roman" w:hAnsi="Cambria Math" w:cs="Times New Roman"/>
                    <w:bCs/>
                    <w:sz w:val="24"/>
                    <w:szCs w:val="24"/>
                  </w:rPr>
                </m:ctrlPr>
              </m:sSubSupPr>
              <m:e>
                <m:r>
                  <w:rPr>
                    <w:rFonts w:ascii="Cambria Math" w:eastAsia="Times New Roman" w:hAnsi="Cambria Math" w:cs="Times New Roman"/>
                    <w:sz w:val="24"/>
                    <w:szCs w:val="24"/>
                  </w:rPr>
                  <m:t>d</m:t>
                </m:r>
              </m:e>
              <m:sub>
                <m:r>
                  <w:rPr>
                    <w:rFonts w:ascii="Cambria Math" w:eastAsia="Times New Roman" w:hAnsi="Cambria Math" w:cs="Times New Roman"/>
                    <w:sz w:val="24"/>
                    <w:szCs w:val="24"/>
                  </w:rPr>
                  <m:t>i</m:t>
                </m:r>
              </m:sub>
              <m:sup>
                <m:r>
                  <w:rPr>
                    <w:rFonts w:ascii="Cambria Math" w:eastAsia="Times New Roman" w:hAnsi="Cambria Math" w:cs="Times New Roman"/>
                    <w:sz w:val="24"/>
                    <w:szCs w:val="24"/>
                  </w:rPr>
                  <m:t>k</m:t>
                </m:r>
              </m:sup>
            </m:sSubSup>
          </m:den>
        </m:f>
      </m:oMath>
      <w:r w:rsidR="00B61574" w:rsidRPr="004E52E3">
        <w:rPr>
          <w:rFonts w:ascii="Times New Roman" w:eastAsia="Times New Roman" w:hAnsi="Times New Roman" w:cs="Times New Roman"/>
          <w:bCs/>
          <w:sz w:val="24"/>
          <w:szCs w:val="24"/>
        </w:rPr>
        <w:t xml:space="preserve"> </w:t>
      </w:r>
      <w:r w:rsidR="00B61574" w:rsidRPr="0092758B">
        <w:rPr>
          <w:rFonts w:ascii="Times New Roman" w:eastAsia="Times New Roman" w:hAnsi="Times New Roman" w:cs="Times New Roman"/>
          <w:bCs/>
          <w:sz w:val="24"/>
          <w:szCs w:val="24"/>
        </w:rPr>
        <w:tab/>
      </w:r>
      <w:r w:rsidR="00B61574" w:rsidRPr="0092758B">
        <w:rPr>
          <w:rFonts w:ascii="Times New Roman" w:eastAsia="Times New Roman" w:hAnsi="Times New Roman" w:cs="Times New Roman"/>
          <w:bCs/>
          <w:sz w:val="24"/>
          <w:szCs w:val="24"/>
        </w:rPr>
        <w:tab/>
      </w:r>
      <w:r w:rsidR="00B61574" w:rsidRPr="0092758B">
        <w:rPr>
          <w:rFonts w:ascii="Times New Roman" w:eastAsia="Times New Roman" w:hAnsi="Times New Roman" w:cs="Times New Roman"/>
          <w:bCs/>
          <w:sz w:val="24"/>
          <w:szCs w:val="24"/>
        </w:rPr>
        <w:tab/>
      </w:r>
      <w:r w:rsidR="00B61574" w:rsidRPr="0092758B">
        <w:rPr>
          <w:rFonts w:ascii="Times New Roman" w:eastAsia="Times New Roman" w:hAnsi="Times New Roman" w:cs="Times New Roman"/>
          <w:bCs/>
          <w:sz w:val="24"/>
          <w:szCs w:val="24"/>
        </w:rPr>
        <w:tab/>
      </w:r>
      <w:r w:rsidR="00B61574" w:rsidRPr="0092758B">
        <w:rPr>
          <w:rFonts w:ascii="Times New Roman" w:eastAsia="Times New Roman" w:hAnsi="Times New Roman" w:cs="Times New Roman"/>
          <w:bCs/>
          <w:sz w:val="24"/>
          <w:szCs w:val="24"/>
        </w:rPr>
        <w:tab/>
      </w:r>
      <w:r w:rsidR="0071126D" w:rsidRPr="0092758B">
        <w:rPr>
          <w:rFonts w:ascii="Times New Roman" w:eastAsia="Times New Roman" w:hAnsi="Times New Roman" w:cs="Times New Roman"/>
          <w:bCs/>
          <w:sz w:val="24"/>
          <w:szCs w:val="24"/>
        </w:rPr>
        <w:tab/>
      </w:r>
      <w:r w:rsidR="00B61574" w:rsidRPr="0092758B">
        <w:rPr>
          <w:rFonts w:ascii="Times New Roman" w:eastAsia="Times New Roman" w:hAnsi="Times New Roman" w:cs="Times New Roman"/>
          <w:bCs/>
          <w:sz w:val="24"/>
          <w:szCs w:val="24"/>
        </w:rPr>
        <w:t>(2)</w:t>
      </w:r>
    </w:p>
    <w:p w14:paraId="44D00BDD" w14:textId="77777777" w:rsidR="004E52E3" w:rsidRDefault="004E52E3"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p>
    <w:p w14:paraId="1148F76F" w14:textId="5BFF54C1" w:rsidR="00B61574" w:rsidRPr="0092758B" w:rsidRDefault="00B61574" w:rsidP="00BC32B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t xml:space="preserve">where Z(x) is the estimated value at an unknown point, and </w:t>
      </w:r>
      <w:proofErr w:type="spellStart"/>
      <w:r w:rsidRPr="0092758B">
        <w:rPr>
          <w:rFonts w:ascii="Times New Roman" w:eastAsia="Times New Roman" w:hAnsi="Times New Roman" w:cs="Times New Roman"/>
          <w:bCs/>
          <w:sz w:val="24"/>
          <w:szCs w:val="24"/>
        </w:rPr>
        <w:t>Zi</w:t>
      </w:r>
      <w:proofErr w:type="spellEnd"/>
      <w:r w:rsidRPr="0092758B">
        <w:rPr>
          <w:rFonts w:ascii="Times New Roman" w:eastAsia="Times New Roman" w:hAnsi="Times New Roman" w:cs="Times New Roman"/>
          <w:bCs/>
          <w:sz w:val="24"/>
          <w:szCs w:val="24"/>
        </w:rPr>
        <w:t xml:space="preserve"> is the observed value at the point </w:t>
      </w:r>
      <w:proofErr w:type="spellStart"/>
      <w:r w:rsidRPr="0092758B">
        <w:rPr>
          <w:rFonts w:ascii="Times New Roman" w:eastAsia="Times New Roman" w:hAnsi="Times New Roman" w:cs="Times New Roman"/>
          <w:bCs/>
          <w:sz w:val="24"/>
          <w:szCs w:val="24"/>
        </w:rPr>
        <w:t>i</w:t>
      </w:r>
      <w:proofErr w:type="spellEnd"/>
      <w:r w:rsidRPr="0092758B">
        <w:rPr>
          <w:rFonts w:ascii="Times New Roman" w:eastAsia="Times New Roman" w:hAnsi="Times New Roman" w:cs="Times New Roman"/>
          <w:bCs/>
          <w:sz w:val="24"/>
          <w:szCs w:val="24"/>
        </w:rPr>
        <w:t xml:space="preserve">. While, Wi is the weight value at point </w:t>
      </w:r>
      <w:proofErr w:type="spellStart"/>
      <w:r w:rsidRPr="0092758B">
        <w:rPr>
          <w:rFonts w:ascii="Times New Roman" w:eastAsia="Times New Roman" w:hAnsi="Times New Roman" w:cs="Times New Roman"/>
          <w:bCs/>
          <w:sz w:val="24"/>
          <w:szCs w:val="24"/>
        </w:rPr>
        <w:t>i</w:t>
      </w:r>
      <w:proofErr w:type="spellEnd"/>
      <w:r w:rsidRPr="0092758B">
        <w:rPr>
          <w:rFonts w:ascii="Times New Roman" w:eastAsia="Times New Roman" w:hAnsi="Times New Roman" w:cs="Times New Roman"/>
          <w:bCs/>
          <w:sz w:val="24"/>
          <w:szCs w:val="24"/>
        </w:rPr>
        <w:t xml:space="preserve">, and di is the distance between point </w:t>
      </w:r>
      <w:proofErr w:type="spellStart"/>
      <w:r w:rsidRPr="0092758B">
        <w:rPr>
          <w:rFonts w:ascii="Times New Roman" w:eastAsia="Times New Roman" w:hAnsi="Times New Roman" w:cs="Times New Roman"/>
          <w:bCs/>
          <w:sz w:val="24"/>
          <w:szCs w:val="24"/>
        </w:rPr>
        <w:t>i</w:t>
      </w:r>
      <w:proofErr w:type="spellEnd"/>
      <w:r w:rsidRPr="0092758B">
        <w:rPr>
          <w:rFonts w:ascii="Times New Roman" w:eastAsia="Times New Roman" w:hAnsi="Times New Roman" w:cs="Times New Roman"/>
          <w:bCs/>
          <w:sz w:val="24"/>
          <w:szCs w:val="24"/>
        </w:rPr>
        <w:t xml:space="preserve"> and the unknown point; moreover, k is the power variable </w:t>
      </w:r>
      <w:r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{"citationItems":[{"id":"ITEM-1","itemData":{"DOI":"10.1080/19475683.2019.1588781","ISSN":"19475691","abstract":"The lowermost Mississippi River (LMR) is important to the environment and economy of continental United States. Although bathymetric data have been collected over many decades at numerous cross-sectional sounding points, there has been no consensus on appropriate interpolator for generating bathymetry. Such interpolation is critical to reliable assessments of channel morphology and channel change, which serve for dredging, engineering projects, and mapping of navigation hazards. This study aimed to identify an optimal spatial interpolation for mapping the river bathymetry from cross-sectional sounding measurements. We evaluated a variety of spatial interpolation methods including Inverse Distance Weighting (IDW), Ordinary Kriging (OK), Radial Basis Function (RBF), and Local Polynomial Interpolation (LPI). In addition, we also considered the anisotropic form of IDW (Elliptical IDW as EIDW), that of OK (OKA), and Universal Kriging (UK). Two reaches in the LMR, located between approximately RM (River Miles) 170–140 and RM 60–35, were chosen as the study area. Those interpolators were compared in terms of root-mean-square error (RMSE), mean absolute error (MAE), bias, and coefficient of determination (r2). Our results demonstrate that both of RBF and OKA performed the best in mapping the bathymetry of study reaches. Furthermore, our results also indicate that the addition of anisotropy can significantly reduce RMSE by 5–20%, as compared to isotropic methods. The findings better inform other researchers on selecting a proper interpolation technique for mapping river bathymetry, particularly for other reaches of the Mississippi River.","author":[{"dropping-particle":"","family":"Wu","given":"Chia Yu","non-dropping-particle":"","parse-names":false,"suffix":""},{"dropping-particle":"","family":"Mossa","given":"Joann","non-dropping-particle":"","parse-names":false,"suffix":""},{"dropping-particle":"","family":"Mao","given":"Liang","non-dropping-particle":"","parse-names":false,"suffix":""},{"dropping-particle":"","family":"Almulla","given":"Mohammad","non-dropping-particle":"","parse-names":false,"suffix":""}],"container-title":"Annals of GIS","id":"ITEM-1","issue":"2","issued":{"date-parts":[["2019"]]},"page":"133-151","title":"Comparison of different spatial interpolation methods for historical hydrographic data of the lowermost Mississippi River","type":"article-journal","volume":"25"},"uris":["http://www.mendeley.com/documents/?uuid=3eedd0a4-70a4-4d03-984d-085bf21e7533"]}],"mendeley":{"formattedCitation":"(C. Y. Wu, Mossa, Mao, &amp; Almulla, 2019)","plainTextFormattedCitation":"(C. Y. Wu, Mossa, Mao, &amp; Almulla, 2019)","previouslyFormattedCitation":"(C. Y. Wu, Mossa, Mao, &amp; Almulla, 2019)"},"properties":{"noteIndex":0},"schema":"https://github.com/citation-style-language/schema/raw/master/csl-citation.json"}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00590DFD">
        <w:rPr>
          <w:rFonts w:ascii="Times New Roman" w:eastAsia="Times New Roman" w:hAnsi="Times New Roman" w:cs="Times New Roman"/>
          <w:bCs/>
          <w:noProof/>
          <w:sz w:val="24"/>
          <w:szCs w:val="24"/>
        </w:rPr>
        <w:t>(</w:t>
      </w:r>
      <w:r w:rsidR="00B1524D" w:rsidRPr="0092758B">
        <w:rPr>
          <w:rFonts w:ascii="Times New Roman" w:eastAsia="Times New Roman" w:hAnsi="Times New Roman" w:cs="Times New Roman"/>
          <w:bCs/>
          <w:noProof/>
          <w:sz w:val="24"/>
          <w:szCs w:val="24"/>
        </w:rPr>
        <w:t>Wu, Mossa, Mao, &amp; Almulla, 2019)</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w:t>
      </w:r>
    </w:p>
    <w:p w14:paraId="13C62D62" w14:textId="747E5955" w:rsidR="00B9614F" w:rsidRPr="0092758B" w:rsidRDefault="00B61574"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{"citationItems":[{"id":"ITEM-1","itemData":{"DOI":"10.26479/2018.0401.13","abstract":"The present study was proposed to calculate Water Quality Index (WQI) of a river, Noyyal, in Coimbatore district, Tamilnadu in order to find out the quality of water for public consumption, recreation and other purposes. Water samples were collected from the Noyyal River. The parameters were estimated such as dissolved oxygen (DO), pH, chemical oxygen demand (COD), total dissolved solids (TDS), Turbidity, Electrical conductivity, total hardness etc. This study had two phases. In the first phase, the estimation of water quality parameters was carried out and in the second phase water quality index have been determined based on the existing standards. Spatial variations of various surface water quality parameters were studied using the Geographical Information System (GIS). Among the sample locations, in most of the places, high concentration of TDS, Hardness, and low level of DO were observed. Our findings highlighted the deterioration of water quality in the river and are due to human activities. This analysis reveals that the surface water needs some degree of treatment before consumption. Spatial interpolation methods are frequently used to estimate values of physical or chemical constituents in locations where they are not measured. The study reported here uses water quality data from the Noyyal watershed and uses spatial interpolation technique, inverse distance weighting that incorporates output from a process based water quality model.","author":[{"dropping-particle":"","family":"Sapna","given":"K","non-dropping-particle":"","parse-names":false,"suffix":""},{"dropping-particle":"","family":"Thangavelu","given":"A","non-dropping-particle":"","parse-names":false,"suffix":""},{"dropping-particle":"","family":"Mithran","given":"S","non-dropping-particle":"","parse-names":false,"suffix":""},{"dropping-particle":"","family":"Shanthi","given":"K","non-dropping-particle":"","parse-names":false,"suffix":""}],"container-title":"Research Journal of Life Sciences, Bioinformatics,Pharmaceuticals and Chemical Science","id":"ITEM-1","issue":"1","issued":{"date-parts":[["2018"]]},"page":"150- 161","title":"Spatial Analysis of River Water Quality Using Inverse Distance Weighted Interpolation in Noyyal Watershed in Coimbatore, Tamilnadu, India","type":"article-journal","volume":"4"},"uris":["http://www.mendeley.com/documents/?uuid=ddb16cac-798b-48ba-9b89-d74a296e60c1"]}],"mendeley":{"formattedCitation":"(Sapna, Thangavelu, Mithran, &amp; Shanthi, 2018)","manualFormatting":"Sapna et al. (2018)","plainTextFormattedCitation":"(Sapna, Thangavelu, Mithran, &amp; Shanthi, 2018)","previouslyFormattedCitation":"(Sapna, Thangavelu, Mithran, &amp; Shanthi, 2018)"},"properties":{"noteIndex":0},"schema":"https://github.com/citation-style-language/schema/raw/master/csl-citation.json"}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Pr="0092758B">
        <w:rPr>
          <w:rFonts w:ascii="Times New Roman" w:eastAsia="Times New Roman" w:hAnsi="Times New Roman" w:cs="Times New Roman"/>
          <w:bCs/>
          <w:noProof/>
          <w:sz w:val="24"/>
          <w:szCs w:val="24"/>
        </w:rPr>
        <w:t>Sapna et al. (2018)</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xml:space="preserve"> and </w:t>
      </w:r>
      <w:r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{"citationItems":[{"id":"ITEM-1","itemData":{"abstract":"Groundwater is one of the most valuable natural resources, which supports human health, economic development and ecological diversity. It has the ability to mobilize and transport soluble salts when it moves through the regolith and the geological formations. Anthropogenic activities can influence this process affecting its quality. Salinity is a global problem, which is more severe in water scarce areas. In the management of natural resources, geostatistical methods in geographic information systems are applied, because it shows the spatial relationship between neighbouring values of the hydrochemical parameters, in order to predict the values from non-sampled areas. In this study the geostatistical analyst tool was used to compare the accuracy of different interpolation methods by using spatial pattern of electrical conductivity (EC) and total dissolved solids (TDS) of groundwater in Malwathu Oya cascade-I in Anuradhapura District, using Arc GIS 10.2. The cascade was divided into 1 km2 grids and forty wells were purposely selected at two wells per grid, to assess the groundwater EC and TDS during the dry period. Inverse Distance Weighted (IDW), Radial Basis Function (RBF), which are deterministic interpolation methods and Kriging and Empirical Bayesian Kriging, which are geostatistical interpolation methods were used with different parameters in this study. Results revealed that, Empirical Bayesian Kriging Method with thin plate semi variogram model reported the least Root Mean Square Error (RMSE) values for the spatial variation of both groundwater EC and TDS. Therefore geostatistical interpolation method performs better than deterministic interpolation methods for mapping groundwater salinity.","author":[{"dropping-particle":"","family":"Gunarathna","given":"M.H.J.P.","non-dropping-particle":"","parse-names":false,"suffix":""},{"dropping-particle":"","family":"Nirmanee","given":"K.G.S.","non-dropping-particle":"","parse-names":false,"suffix":""},{"dropping-particle":"","family":"Kumari","given":"M.K.N.","non-dropping-particle":"","parse-names":false,"suffix":""}],"container-title":"International Journal of Research and Innovations in Earth Sciences","id":"ITEM-1","issue":"3","issued":{"date-parts":[["2016"]]},"page":"59-64","title":"Are geostatistical interpolation methods better than deterministic interpolation methods in mapping salinity of groundwater?","type":"article-journal","volume":"3"},"uris":["http://www.mendeley.com/documents/?uuid=faecc2ed-d0cb-4661-9571-7a22d7012604"]}],"mendeley":{"formattedCitation":"(Gunarathna, Nirmanee, &amp; Kumari, 2016)","manualFormatting":"Gunarathna et al. (2016)","plainTextFormattedCitation":"(Gunarathna, Nirmanee, &amp; Kumari, 2016)","previouslyFormattedCitation":"(Gunarathna, Nirmanee, &amp; Kumari, 2016)"},"properties":{"noteIndex":0},"schema":"https://github.com/citation-style-language/schema/raw/master/csl-citation.json"}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Pr="0092758B">
        <w:rPr>
          <w:rFonts w:ascii="Times New Roman" w:eastAsia="Times New Roman" w:hAnsi="Times New Roman" w:cs="Times New Roman"/>
          <w:bCs/>
          <w:noProof/>
          <w:sz w:val="24"/>
          <w:szCs w:val="24"/>
        </w:rPr>
        <w:t>Gunarathna et al. (2016)</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xml:space="preserve"> stated that the best interpolation method to estimate the water quality parameter especially electric conductivity (EC) and pH is the IDW method. This statement aligned with findings by </w:t>
      </w:r>
      <w:r w:rsidRPr="0092758B">
        <w:rPr>
          <w:rFonts w:ascii="Times New Roman" w:eastAsia="Times New Roman" w:hAnsi="Times New Roman" w:cs="Times New Roman"/>
          <w:bCs/>
          <w:sz w:val="24"/>
          <w:szCs w:val="24"/>
        </w:rPr>
        <w:fldChar w:fldCharType="begin" w:fldLock="1"/>
      </w:r>
      <w:r w:rsidR="008C48D6" w:rsidRPr="0092758B">
        <w:rPr>
          <w:rFonts w:ascii="Times New Roman" w:eastAsia="Times New Roman" w:hAnsi="Times New Roman" w:cs="Times New Roman"/>
          <w:bCs/>
          <w:sz w:val="24"/>
          <w:szCs w:val="24"/>
        </w:rPr>
        <w:instrText>ADDIN CSL_CITATION {"citationItems":[{"id":"ITEM-1","itemData":{"DOI":"10.3390/ijerph17082942","ISBN":"8613811108","ISSN":"16604601","PMID":"32344554","abstract":"This study was aimed at assessing the spatial and temporal distribution of surface water quality variables of the Xin’anjiang River (Huangshan). For this purpose, 960 water samples were collected monthly along the Xin’anjiang River from 2008 to 2017. Twenty-four water quality indicators, according to the environmental quality standards for surface water (GB 3838-2002), were detected to evaluate the water quality of the Xin’anjiang River over the past 10 years. Principal component analysis (PCA) was used to comprehensively evaluate the water quality across eight monitoring stations and analyze the sources of water pollution. The results showed that all samples could be analyzed by three main components, which accounted for 87.24% of the total variance. PCA technology identified important water quality parameters and revealed that nutrient pollution and organic pollution are major latent factors which influence the water quality of Xin’anjiang River. It also showed that agricultural activities, erosion, domestic, and industrial discharges are fundamental causes of water pollution in the study area. It is of great significance for water quality safety management and pollution control of the Xin’anjiang River. Meanwhile, the inverse distance weighted (IDW) method was used to interpolate the PCA comprehensive score. Based on this, the temporal and spatial structure and changing characteristics of water quality in the Xin’anjiang River were analyzed. We found that the overall water quality of Xin’anjiang River (Huangshan) was stable from 2008 to 2017, but the pollution of the Pukou sampling point was of great concern. The results of IDW helped us to identify key areas requiring control in the Xin’anjiang River, which pointed the way for further delicacy management of the river. This study proved that the combination of PCA and IDW interpolation is an effective tool for determining surface water quality. It was of great significance for the control of water pollution in Xin’anjiang River and the reduction of eutrophication pressure in Thousand Island Lake.","author":[{"dropping-particle":"","family":"Yang","given":"Wenjie","non-dropping-particle":"","parse-names":false,"suffix":""},{"dropping-particle":"","family":"Zhao","given":"Yue","non-dropping-particle":"","parse-names":false,"suffix":""},{"dropping-particle":"","family":"Wang","given":"Dong","non-dropping-particle":"","parse-names":false,"suffix":""},{"dropping-particle":"","family":"Wu","given":"Huihui","non-dropping-particle":"","parse-names":false,"suffix":""},{"dropping-particle":"","family":"Lin","given":"Aijun","non-dropping-particle":"","parse-names":false,"suffix":""},{"dropping-particle":"","family":"He","given":"Li","non-dropping-particle":"","parse-names":false,"suffix":""}],"container-title":"International Journal of Environmental Research and Public Health","id":"ITEM-1","issue":"8","issued":{"date-parts":[["2020"]]},"page":"1-14","title":"Using principal components analysis and idw interpolation to determine spatial and temporal changes of Surfacewater quality of Xin’Anjiang river in huangshan, china","type":"article-journal","volume":"17"},"uris":["http://www.mendeley.com/documents/?uuid=0248786c-bbc9-4eea-9811-87a1719c58c0"]}],"mendeley":{"formattedCitation":"(W. Yang et al., 2020)","manualFormatting":"Yang et al. (2020)","plainTextFormattedCitation":"(W. Yang et al., 2020)","previouslyFormattedCitation":"(W. Yang et al., 2020)"},"properties":{"noteIndex":0},"schema":"https://github.com/citation-style-language/schema/raw/master/csl-citation.json"}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Pr="0092758B">
        <w:rPr>
          <w:rFonts w:ascii="Times New Roman" w:eastAsia="Times New Roman" w:hAnsi="Times New Roman" w:cs="Times New Roman"/>
          <w:bCs/>
          <w:noProof/>
          <w:sz w:val="24"/>
          <w:szCs w:val="24"/>
        </w:rPr>
        <w:t>Yang et al. (2020)</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xml:space="preserve"> </w:t>
      </w:r>
      <w:r w:rsidR="00CE2C87" w:rsidRPr="0092758B">
        <w:rPr>
          <w:rFonts w:ascii="Times New Roman" w:eastAsia="Times New Roman" w:hAnsi="Times New Roman" w:cs="Times New Roman"/>
          <w:bCs/>
          <w:sz w:val="24"/>
          <w:szCs w:val="24"/>
        </w:rPr>
        <w:t xml:space="preserve">was </w:t>
      </w:r>
      <w:r w:rsidRPr="0092758B">
        <w:rPr>
          <w:rFonts w:ascii="Times New Roman" w:eastAsia="Times New Roman" w:hAnsi="Times New Roman" w:cs="Times New Roman"/>
          <w:bCs/>
          <w:sz w:val="24"/>
          <w:szCs w:val="24"/>
        </w:rPr>
        <w:t xml:space="preserve">indicated that this interpolation method is an effective tool to estimate surface water quality. </w:t>
      </w:r>
      <w:r w:rsidR="00B1524D" w:rsidRPr="0092758B">
        <w:rPr>
          <w:rFonts w:ascii="Times New Roman" w:eastAsia="Times New Roman" w:hAnsi="Times New Roman" w:cs="Times New Roman"/>
          <w:bCs/>
          <w:sz w:val="24"/>
          <w:szCs w:val="24"/>
        </w:rPr>
        <w:t xml:space="preserve">Although IDW is a fast method </w:t>
      </w:r>
      <w:r w:rsidR="00B1524D"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{"citationItems":[{"id":"ITEM-1","itemData":{"DOI":"10.1080/10106040801966704","ISSN":"10106049","abstract":"Interpolation procedure is broadly used in sciences that are concerned with spatial data and continuous phenomena that can be depicted on a spatial surface. Interpolation makes use of sampling data, which is accurate and qualitative, in order to produce a continuous representation of the phenomenon in question. The data's accuracy is transferred by the procedure to its results and should be known. This paper examines error propagation by the interpolation procedure, using the Inverse Distance Weighted (IDW) method in the case of the Earth's relief.","author":[{"dropping-particle":"","family":"Achilleos","given":"Georgios","non-dropping-particle":"","parse-names":false,"suffix":""}],"container-title":"Geocarto International","id":"ITEM-1","issue":"6","issued":{"date-parts":[["2008"]]},"page":"429-449","title":"Errors within the inverse distance weighted (IDW) interpolation procedure","type":"article-journal","volume":"23"},"uris":["http://www.mendeley.com/documents/?uuid=4d49ca4c-a8fa-46b8-b0dd-ddfaea5ff101"]}],"mendeley":{"formattedCitation":"(Achilleos, 2008)","plainTextFormattedCitation":"(Achilleos, 2008)","previouslyFormattedCitation":"(Achilleos, 2008)"},"properties":{"noteIndex":0},"schema":"https://github.com/citation-style-language/schema/raw/master/csl-citation.json"}</w:instrText>
      </w:r>
      <w:r w:rsidR="00B1524D" w:rsidRPr="0092758B">
        <w:rPr>
          <w:rFonts w:ascii="Times New Roman" w:eastAsia="Times New Roman" w:hAnsi="Times New Roman" w:cs="Times New Roman"/>
          <w:bCs/>
          <w:sz w:val="24"/>
          <w:szCs w:val="24"/>
        </w:rPr>
        <w:fldChar w:fldCharType="separate"/>
      </w:r>
      <w:r w:rsidR="00B1524D" w:rsidRPr="0092758B">
        <w:rPr>
          <w:rFonts w:ascii="Times New Roman" w:eastAsia="Times New Roman" w:hAnsi="Times New Roman" w:cs="Times New Roman"/>
          <w:bCs/>
          <w:noProof/>
          <w:sz w:val="24"/>
          <w:szCs w:val="24"/>
        </w:rPr>
        <w:t>(Achilleos, 2008)</w:t>
      </w:r>
      <w:r w:rsidR="00B1524D" w:rsidRPr="0092758B">
        <w:rPr>
          <w:rFonts w:ascii="Times New Roman" w:eastAsia="Times New Roman" w:hAnsi="Times New Roman" w:cs="Times New Roman"/>
          <w:bCs/>
          <w:sz w:val="24"/>
          <w:szCs w:val="24"/>
        </w:rPr>
        <w:fldChar w:fldCharType="end"/>
      </w:r>
      <w:r w:rsidR="003C5DDB" w:rsidRPr="0092758B">
        <w:rPr>
          <w:rFonts w:ascii="Times New Roman" w:eastAsia="Times New Roman" w:hAnsi="Times New Roman" w:cs="Times New Roman"/>
          <w:bCs/>
          <w:sz w:val="24"/>
          <w:szCs w:val="24"/>
        </w:rPr>
        <w:t xml:space="preserve">, best method in interpolation </w:t>
      </w:r>
      <w:r w:rsidR="003C5DDB" w:rsidRPr="0092758B">
        <w:rPr>
          <w:rFonts w:ascii="Times New Roman" w:eastAsia="Times New Roman" w:hAnsi="Times New Roman" w:cs="Times New Roman"/>
          <w:bCs/>
          <w:sz w:val="24"/>
          <w:szCs w:val="24"/>
        </w:rPr>
        <w:fldChar w:fldCharType="begin" w:fldLock="1"/>
      </w:r>
      <w:r w:rsidR="00BC558E" w:rsidRPr="0092758B">
        <w:rPr>
          <w:rFonts w:ascii="Times New Roman" w:eastAsia="Times New Roman" w:hAnsi="Times New Roman" w:cs="Times New Roman"/>
          <w:bCs/>
          <w:sz w:val="24"/>
          <w:szCs w:val="24"/>
        </w:rPr>
        <w:instrText>ADDIN CSL_CITATION {"citationItems":[{"id":"ITEM-1","itemData":{"DOI":"10.1007/s11356-015-5507-2","ISSN":"16147499","PMID":"26446732","abstract":"Selection of appropriate interpolation methods for the conversion of discrete samples into continuous maps is a controversial issue in the environmental researches. The main objective of this study was to analyze the suitability of three interpolation methods for the discrimination of groundwater with respect to the water quality index (WQI). The groundwater quality data consisted of 17 variables associated with 65 wells located in Andimeshk-Shush Plain. Three spatial interpolation methods including ordinary kriging (OK), empirical Bayesian kriging (EBK), and inverse distance weighting (IDW) were utilized for modeling the groundwater contamination. In addition, different cross-validation indicators were applied to assess the performance of different interpolation methods. The results showed that the performance differed slightly among different methods, although the best performed interpolation method in this study was the empirical Bayesian kriging. Among the interpolation methods, IDW with weighting power of 4 estimated the most contaminated area, while OK estimated the lowest contaminated area. The weighting power of IDW had a significant influence on the estimation, meaning that the estimated contaminated area was increased when a greater weighting power was selected. The subtraction results indicated that there are slightly spatial differences among the contamination assessment results. Results of both standard deviation (SD) and coefficient of variation (CV) also showed that uncertainty was highest in the southern part of the study area, where the distribution of wells were more intensive than that of the northern part.","author":[{"dropping-particle":"","family":"Mirzaei","given":"Rouhollah","non-dropping-particle":"","parse-names":false,"suffix":""},{"dropping-particle":"","family":"Sakizadeh","given":"Mohamad","non-dropping-particle":"","parse-names":false,"suffix":""}],"container-title":"Environmental Science and Pollution Research","id":"ITEM-1","issue":"3","issued":{"date-parts":[["2016"]]},"page":"2758-2769","title":"Comparison of interpolation methods for the estimation of groundwater contamination in Andimeshk-Shush Plain, Southwest of Iran","type":"article-journal","volume":"23"},"uris":["http://www.mendeley.com/documents/?uuid=63dd360d-b353-40f3-9f01-c55d705aaec1"]}],"mendeley":{"formattedCitation":"(Mirzaei &amp; Sakizadeh, 2016)","plainTextFormattedCitation":"(Mirzaei &amp; Sakizadeh, 2016)","previouslyFormattedCitation":"(Mirzaei &amp; Sakizadeh, 2016)"},"properties":{"noteIndex":0},"schema":"https://github.com/citation-style-language/schema/raw/master/csl-citation.json"}</w:instrText>
      </w:r>
      <w:r w:rsidR="003C5DDB" w:rsidRPr="0092758B">
        <w:rPr>
          <w:rFonts w:ascii="Times New Roman" w:eastAsia="Times New Roman" w:hAnsi="Times New Roman" w:cs="Times New Roman"/>
          <w:bCs/>
          <w:sz w:val="24"/>
          <w:szCs w:val="24"/>
        </w:rPr>
        <w:fldChar w:fldCharType="separate"/>
      </w:r>
      <w:r w:rsidR="003C5DDB" w:rsidRPr="0092758B">
        <w:rPr>
          <w:rFonts w:ascii="Times New Roman" w:eastAsia="Times New Roman" w:hAnsi="Times New Roman" w:cs="Times New Roman"/>
          <w:bCs/>
          <w:noProof/>
          <w:sz w:val="24"/>
          <w:szCs w:val="24"/>
        </w:rPr>
        <w:t>(Mirzaei &amp; Sakizadeh, 2016)</w:t>
      </w:r>
      <w:r w:rsidR="003C5DDB" w:rsidRPr="0092758B">
        <w:rPr>
          <w:rFonts w:ascii="Times New Roman" w:eastAsia="Times New Roman" w:hAnsi="Times New Roman" w:cs="Times New Roman"/>
          <w:bCs/>
          <w:sz w:val="24"/>
          <w:szCs w:val="24"/>
        </w:rPr>
        <w:fldChar w:fldCharType="end"/>
      </w:r>
      <w:r w:rsidR="003C5DDB" w:rsidRPr="0092758B">
        <w:rPr>
          <w:rFonts w:ascii="Times New Roman" w:eastAsia="Times New Roman" w:hAnsi="Times New Roman" w:cs="Times New Roman"/>
          <w:bCs/>
          <w:sz w:val="24"/>
          <w:szCs w:val="24"/>
        </w:rPr>
        <w:t xml:space="preserve"> and accurate in</w:t>
      </w:r>
      <w:r w:rsidR="00CE2C87" w:rsidRPr="0092758B">
        <w:rPr>
          <w:rFonts w:ascii="Times New Roman" w:eastAsia="Times New Roman" w:hAnsi="Times New Roman" w:cs="Times New Roman"/>
          <w:bCs/>
          <w:sz w:val="24"/>
          <w:szCs w:val="24"/>
        </w:rPr>
        <w:t xml:space="preserve"> the</w:t>
      </w:r>
      <w:r w:rsidR="003C5DDB" w:rsidRPr="0092758B">
        <w:rPr>
          <w:rFonts w:ascii="Times New Roman" w:eastAsia="Times New Roman" w:hAnsi="Times New Roman" w:cs="Times New Roman"/>
          <w:bCs/>
          <w:sz w:val="24"/>
          <w:szCs w:val="24"/>
        </w:rPr>
        <w:t xml:space="preserve"> present the actual data</w:t>
      </w:r>
      <w:r w:rsidR="00B1524D" w:rsidRPr="0092758B">
        <w:rPr>
          <w:rFonts w:ascii="Times New Roman" w:eastAsia="Times New Roman" w:hAnsi="Times New Roman" w:cs="Times New Roman"/>
          <w:bCs/>
          <w:sz w:val="24"/>
          <w:szCs w:val="24"/>
        </w:rPr>
        <w:t xml:space="preserve">, it is sensitive to existing outliers in the dataset and does not issue any error indications </w:t>
      </w:r>
      <w:r w:rsidR="00B1524D" w:rsidRPr="0092758B">
        <w:rPr>
          <w:rFonts w:ascii="Times New Roman" w:eastAsia="Times New Roman" w:hAnsi="Times New Roman" w:cs="Times New Roman"/>
          <w:bCs/>
          <w:sz w:val="24"/>
          <w:szCs w:val="24"/>
        </w:rPr>
        <w:fldChar w:fldCharType="begin" w:fldLock="1"/>
      </w:r>
      <w:r w:rsidR="00B1524D" w:rsidRPr="0092758B">
        <w:rPr>
          <w:rFonts w:ascii="Times New Roman" w:eastAsia="Times New Roman" w:hAnsi="Times New Roman" w:cs="Times New Roman"/>
          <w:bCs/>
          <w:sz w:val="24"/>
          <w:szCs w:val="24"/>
        </w:rPr>
        <w:instrText>ADDIN CSL_CITATION {"citationItems":[{"id":"ITEM-1","itemData":{"DOI":"10.1007/s11119-013-9316-7","ISSN":"13852256","abstract":"Site-specific farming entails fine-scale detection of field parameters that affect yield coupled with directing appropriate management inputs to select areas that improve field-scale cropping system profitability. Currently, limited technologies are available to evaluate spatial variability in soil properties on a fine scale (submeter resolution). Therefore, information is typically generated by collecting discrete samples and utilizing spatial interpolation to estimate data for the unsampled locations. In this study, soil pH samples were collected from a 12.15 ha agricultural field in northwest Missouri using two grid-sampling regimes: 0.11 ha with 110 samples and 0.98 ha with 12 samples. Three spatial interpolation methods (inverse distance weighted, spline and kriging) were tested to evaluate the effects of interpolation on unsampled locations. In addition to quantitative validation evaluations, results were also assessed by 2D visualization and 3D visualization. Although each assessment approach provided useful information, the inverse distance weighted technique overall better-estimated soil pH values as determined by a combination of all three approaches. © 2013 Springer Science+Business Media New York.","author":[{"dropping-particle":"","family":"Wu","given":"Yi Hwa","non-dropping-particle":"","parse-names":false,"suffix":""},{"dropping-particle":"","family":"Hung","given":"Ming Chih","non-dropping-particle":"","parse-names":false,"suffix":""},{"dropping-particle":"","family":"Patton","given":"Jamie","non-dropping-particle":"","parse-names":false,"suffix":""}],"container-title":"Precision Agriculture","id":"ITEM-1","issue":"6","issued":{"date-parts":[["2013"]]},"page":"565-585","title":"Assessment and visualization of spatial interpolation of soil pH values in farmland","type":"article-journal","volume":"14"},"uris":["http://www.mendeley.com/documents/?uuid=224145a9-fef9-460d-b2e4-07cee49a5585"]}],"mendeley":{"formattedCitation":"(Y. H. Wu, Hung, &amp; Patton, 2013)","plainTextFormattedCitation":"(Y. H. Wu, Hung, &amp; Patton, 2013)","previouslyFormattedCitation":"(Y. H. Wu, Hung, &amp; Patton, 2013)"},"properties":{"noteIndex":0},"schema":"https://github.com/citation-style-language/schema/raw/master/csl-citation.json"}</w:instrText>
      </w:r>
      <w:r w:rsidR="00B1524D" w:rsidRPr="0092758B">
        <w:rPr>
          <w:rFonts w:ascii="Times New Roman" w:eastAsia="Times New Roman" w:hAnsi="Times New Roman" w:cs="Times New Roman"/>
          <w:bCs/>
          <w:sz w:val="24"/>
          <w:szCs w:val="24"/>
        </w:rPr>
        <w:fldChar w:fldCharType="separate"/>
      </w:r>
      <w:r w:rsidR="00590DFD">
        <w:rPr>
          <w:rFonts w:ascii="Times New Roman" w:eastAsia="Times New Roman" w:hAnsi="Times New Roman" w:cs="Times New Roman"/>
          <w:bCs/>
          <w:noProof/>
          <w:sz w:val="24"/>
          <w:szCs w:val="24"/>
        </w:rPr>
        <w:t>(</w:t>
      </w:r>
      <w:r w:rsidR="00B1524D" w:rsidRPr="0092758B">
        <w:rPr>
          <w:rFonts w:ascii="Times New Roman" w:eastAsia="Times New Roman" w:hAnsi="Times New Roman" w:cs="Times New Roman"/>
          <w:bCs/>
          <w:noProof/>
          <w:sz w:val="24"/>
          <w:szCs w:val="24"/>
        </w:rPr>
        <w:t>Wu, Hung, &amp; Patton, 2013)</w:t>
      </w:r>
      <w:r w:rsidR="00B1524D" w:rsidRPr="0092758B">
        <w:rPr>
          <w:rFonts w:ascii="Times New Roman" w:eastAsia="Times New Roman" w:hAnsi="Times New Roman" w:cs="Times New Roman"/>
          <w:bCs/>
          <w:sz w:val="24"/>
          <w:szCs w:val="24"/>
        </w:rPr>
        <w:fldChar w:fldCharType="end"/>
      </w:r>
      <w:r w:rsidR="003C5DDB" w:rsidRPr="0092758B">
        <w:rPr>
          <w:rFonts w:ascii="Times New Roman" w:eastAsia="Times New Roman" w:hAnsi="Times New Roman" w:cs="Times New Roman"/>
          <w:bCs/>
          <w:sz w:val="24"/>
          <w:szCs w:val="24"/>
        </w:rPr>
        <w:t>.</w:t>
      </w:r>
      <w:r w:rsidR="00A76903" w:rsidRPr="0092758B">
        <w:rPr>
          <w:rFonts w:ascii="Times New Roman" w:eastAsia="Times New Roman" w:hAnsi="Times New Roman" w:cs="Times New Roman"/>
          <w:bCs/>
          <w:sz w:val="24"/>
          <w:szCs w:val="24"/>
        </w:rPr>
        <w:t xml:space="preserve"> </w:t>
      </w:r>
      <w:r w:rsidR="00B9614F" w:rsidRPr="0092758B">
        <w:rPr>
          <w:rFonts w:ascii="Times New Roman" w:eastAsia="Times New Roman" w:hAnsi="Times New Roman" w:cs="Times New Roman"/>
          <w:bCs/>
          <w:sz w:val="24"/>
          <w:szCs w:val="24"/>
        </w:rPr>
        <w:t xml:space="preserve">The main uncertainty issue as raised by </w:t>
      </w:r>
      <w:r w:rsidR="00B9614F" w:rsidRPr="0092758B">
        <w:rPr>
          <w:rFonts w:ascii="Times New Roman" w:eastAsia="Times New Roman" w:hAnsi="Times New Roman" w:cs="Times New Roman"/>
          <w:bCs/>
          <w:sz w:val="24"/>
          <w:szCs w:val="24"/>
        </w:rPr>
        <w:fldChar w:fldCharType="begin" w:fldLock="1"/>
      </w:r>
      <w:r w:rsidR="00E66BFF" w:rsidRPr="0092758B">
        <w:rPr>
          <w:rFonts w:ascii="Times New Roman" w:eastAsia="Times New Roman" w:hAnsi="Times New Roman" w:cs="Times New Roman"/>
          <w:bCs/>
          <w:sz w:val="24"/>
          <w:szCs w:val="24"/>
        </w:rPr>
        <w:instrText>ADDIN CSL_CITATION {"citationItems":[{"id":"ITEM-1","itemData":{"DOI":"10.1080/10106040801966704","ISSN":"10106049","abstract":"Interpolation procedure is broadly used in sciences that are concerned with spatial data and continuous phenomena that can be depicted on a spatial surface. Interpolation makes use of sampling data, which is accurate and qualitative, in order to produce a continuous representation of the phenomenon in question. The data's accuracy is transferred by the procedure to its results and should be known. This paper examines error propagation by the interpolation procedure, using the Inverse Distance Weighted (IDW) method in the case of the Earth's relief.","author":[{"dropping-particle":"","family":"Achilleos","given":"Georgios","non-dropping-particle":"","parse-names":false,"suffix":""}],"container-title":"Geocarto International","id":"ITEM-1","issue":"6","issued":{"date-parts":[["2008"]]},"page":"429-449","title":"Errors within the inverse distance weighted (IDW) interpolation procedure","type":"article-journal","volume":"23"},"uris":["http://www.mendeley.com/documents/?uuid=4d49ca4c-a8fa-46b8-b0dd-ddfaea5ff101"]}],"mendeley":{"formattedCitation":"(Achilleos, 2008)","manualFormatting":"Achilleos (2008)","plainTextFormattedCitation":"(Achilleos, 2008)","previouslyFormattedCitation":"(Achilleos, 2008)"},"properties":{"noteIndex":0},"schema":"https://github.com/citation-style-language/schema/raw/master/csl-citation.json"}</w:instrText>
      </w:r>
      <w:r w:rsidR="00B9614F" w:rsidRPr="0092758B">
        <w:rPr>
          <w:rFonts w:ascii="Times New Roman" w:eastAsia="Times New Roman" w:hAnsi="Times New Roman" w:cs="Times New Roman"/>
          <w:bCs/>
          <w:sz w:val="24"/>
          <w:szCs w:val="24"/>
        </w:rPr>
        <w:fldChar w:fldCharType="separate"/>
      </w:r>
      <w:r w:rsidR="00B9614F" w:rsidRPr="0092758B">
        <w:rPr>
          <w:rFonts w:ascii="Times New Roman" w:eastAsia="Times New Roman" w:hAnsi="Times New Roman" w:cs="Times New Roman"/>
          <w:bCs/>
          <w:noProof/>
          <w:sz w:val="24"/>
          <w:szCs w:val="24"/>
        </w:rPr>
        <w:t>Achilleos (2008)</w:t>
      </w:r>
      <w:r w:rsidR="00B9614F" w:rsidRPr="0092758B">
        <w:rPr>
          <w:rFonts w:ascii="Times New Roman" w:eastAsia="Times New Roman" w:hAnsi="Times New Roman" w:cs="Times New Roman"/>
          <w:bCs/>
          <w:sz w:val="24"/>
          <w:szCs w:val="24"/>
        </w:rPr>
        <w:fldChar w:fldCharType="end"/>
      </w:r>
      <w:r w:rsidR="00B9614F" w:rsidRPr="0092758B">
        <w:rPr>
          <w:rFonts w:ascii="Times New Roman" w:eastAsia="Times New Roman" w:hAnsi="Times New Roman" w:cs="Times New Roman"/>
          <w:bCs/>
          <w:sz w:val="24"/>
          <w:szCs w:val="24"/>
        </w:rPr>
        <w:t xml:space="preserve"> is inequality surface elevation of sampling points due to </w:t>
      </w:r>
      <w:r w:rsidR="00CE2C87" w:rsidRPr="0092758B">
        <w:rPr>
          <w:rFonts w:ascii="Times New Roman" w:eastAsia="Times New Roman" w:hAnsi="Times New Roman" w:cs="Times New Roman"/>
          <w:bCs/>
          <w:sz w:val="24"/>
          <w:szCs w:val="24"/>
        </w:rPr>
        <w:t xml:space="preserve">the </w:t>
      </w:r>
      <w:r w:rsidR="00B9614F" w:rsidRPr="0092758B">
        <w:rPr>
          <w:rFonts w:ascii="Times New Roman" w:eastAsia="Times New Roman" w:hAnsi="Times New Roman" w:cs="Times New Roman"/>
          <w:bCs/>
          <w:sz w:val="24"/>
          <w:szCs w:val="24"/>
        </w:rPr>
        <w:t>long distance between the points. However, this issue can be easily neglected in this study. This is because the surface elevation at flooded paddy fields is normally a flat area.</w:t>
      </w:r>
    </w:p>
    <w:p w14:paraId="2458E3CD" w14:textId="58D9BDF1" w:rsidR="008C48D6" w:rsidRPr="0092758B" w:rsidRDefault="008C48D6"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lastRenderedPageBreak/>
        <w:t xml:space="preserve">Furthermore, </w:t>
      </w:r>
      <w:r w:rsidR="00CE2C87" w:rsidRPr="0092758B">
        <w:rPr>
          <w:rFonts w:ascii="Times New Roman" w:eastAsia="Times New Roman" w:hAnsi="Times New Roman" w:cs="Times New Roman"/>
          <w:bCs/>
          <w:sz w:val="24"/>
          <w:szCs w:val="24"/>
        </w:rPr>
        <w:t xml:space="preserve">the </w:t>
      </w:r>
      <w:r w:rsidRPr="0092758B">
        <w:rPr>
          <w:rFonts w:ascii="Times New Roman" w:eastAsia="Times New Roman" w:hAnsi="Times New Roman" w:cs="Times New Roman"/>
          <w:bCs/>
          <w:sz w:val="24"/>
          <w:szCs w:val="24"/>
        </w:rPr>
        <w:t xml:space="preserve">IDW interpolation approach is more applicable and better than </w:t>
      </w:r>
      <w:r w:rsidR="00CE2C87" w:rsidRPr="0092758B">
        <w:rPr>
          <w:rFonts w:ascii="Times New Roman" w:eastAsia="Times New Roman" w:hAnsi="Times New Roman" w:cs="Times New Roman"/>
          <w:bCs/>
          <w:sz w:val="24"/>
          <w:szCs w:val="24"/>
        </w:rPr>
        <w:t>an</w:t>
      </w:r>
      <w:r w:rsidRPr="0092758B">
        <w:rPr>
          <w:rFonts w:ascii="Times New Roman" w:eastAsia="Times New Roman" w:hAnsi="Times New Roman" w:cs="Times New Roman"/>
          <w:bCs/>
          <w:sz w:val="24"/>
          <w:szCs w:val="24"/>
        </w:rPr>
        <w:t xml:space="preserve">other method such as Kriging and Spline </w:t>
      </w:r>
      <w:r w:rsidRPr="0092758B">
        <w:rPr>
          <w:rFonts w:ascii="Times New Roman" w:eastAsia="Times New Roman" w:hAnsi="Times New Roman" w:cs="Times New Roman"/>
          <w:bCs/>
          <w:sz w:val="24"/>
          <w:szCs w:val="24"/>
        </w:rPr>
        <w:fldChar w:fldCharType="begin" w:fldLock="1"/>
      </w:r>
      <w:r w:rsidRPr="0092758B">
        <w:rPr>
          <w:rFonts w:ascii="Times New Roman" w:eastAsia="Times New Roman" w:hAnsi="Times New Roman" w:cs="Times New Roman"/>
          <w:bCs/>
          <w:sz w:val="24"/>
          <w:szCs w:val="24"/>
        </w:rPr>
        <w:instrText>ADDIN CSL_CITATION {"citationItems":[{"id":"ITEM-1","itemData":{"DOI":"10.1155/2015/563629","ISSN":"16879317","abstract":"This paper presents spatial interpolation techniques to produce finer-scale daily rainfall data from regional climate modeling. Four common interpolation techniques (ANUDEM, Spline, IDW, and Kriging) were compared and assessed against station rainfall data and modeled rainfall. The performance was assessed by the mean absolute error (MAE), mean relative error (MRE), root mean squared error (RMSE), and the spatial and temporal distributions. The results indicate that Inverse Distance Weighting (IDW) method is slightly better than the other three methods and it is also easy to implement in a geographic information system (GIS). The IDW method was then used to produce forty-year (1990-2009 and 2040-2059) time series rainfall data at daily, monthly, and annual time scales at a ground resolution of 100 m for the Greater Sydney Region (GSR). The downscaled daily rainfall data have been further utilized to predict rainfall erosivity and soil erosion risk and their future changes in GSR to support assessments and planning of climate change impact and adaptation in local scale.","author":[{"dropping-particle":"","family":"Yang","given":"Xihua","non-dropping-particle":"","parse-names":false,"suffix":""},{"dropping-particle":"","family":"Xie","given":"Xiaojin","non-dropping-particle":"","parse-names":false,"suffix":""},{"dropping-particle":"","family":"Liu","given":"De Li","non-dropping-particle":"","parse-names":false,"suffix":""},{"dropping-particle":"","family":"Ji","given":"Fei","non-dropping-particle":"","parse-names":false,"suffix":""},{"dropping-particle":"","family":"Wang","given":"Lin","non-dropping-particle":"","parse-names":false,"suffix":""}],"container-title":"Advances in Meteorology","id":"ITEM-1","issued":{"date-parts":[["2015"]]},"title":"Spatial Interpolation of Daily Rainfall Data for Local Climate Impact Assessment over Greater Sydney Region","type":"article-journal","volume":"2015"},"uris":["http://www.mendeley.com/documents/?uuid=727b6bb6-d830-47bf-a3a5-73fedb4e5dcf"]}],"mendeley":{"formattedCitation":"(X. Yang, Xie, Liu, Ji, &amp; Wang, 2015)","plainTextFormattedCitation":"(X. Yang, Xie, Liu, Ji, &amp; Wang, 2015)","previouslyFormattedCitation":"(X. Yang, Xie, Liu, Ji, &amp; Wang, 2015)"},"properties":{"noteIndex":0},"schema":"https://github.com/citation-style-language/schema/raw/master/csl-citation.json"}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00590DFD">
        <w:rPr>
          <w:rFonts w:ascii="Times New Roman" w:eastAsia="Times New Roman" w:hAnsi="Times New Roman" w:cs="Times New Roman"/>
          <w:bCs/>
          <w:noProof/>
          <w:sz w:val="24"/>
          <w:szCs w:val="24"/>
        </w:rPr>
        <w:t>(</w:t>
      </w:r>
      <w:r w:rsidRPr="0092758B">
        <w:rPr>
          <w:rFonts w:ascii="Times New Roman" w:eastAsia="Times New Roman" w:hAnsi="Times New Roman" w:cs="Times New Roman"/>
          <w:bCs/>
          <w:noProof/>
          <w:sz w:val="24"/>
          <w:szCs w:val="24"/>
        </w:rPr>
        <w:t>Yang, Xie, Liu, Ji, &amp; Wang, 2015)</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xml:space="preserve"> in estimating the water quality value</w:t>
      </w:r>
      <w:r w:rsidR="00CE2C87" w:rsidRPr="0092758B">
        <w:rPr>
          <w:rFonts w:ascii="Times New Roman" w:eastAsia="Times New Roman" w:hAnsi="Times New Roman" w:cs="Times New Roman"/>
          <w:bCs/>
          <w:sz w:val="24"/>
          <w:szCs w:val="24"/>
        </w:rPr>
        <w:t>,</w:t>
      </w:r>
      <w:r w:rsidRPr="0092758B">
        <w:rPr>
          <w:rFonts w:ascii="Times New Roman" w:eastAsia="Times New Roman" w:hAnsi="Times New Roman" w:cs="Times New Roman"/>
          <w:bCs/>
          <w:sz w:val="24"/>
          <w:szCs w:val="24"/>
        </w:rPr>
        <w:t xml:space="preserve"> especially in rice cultivation area </w:t>
      </w:r>
      <w:r w:rsidRPr="0092758B">
        <w:rPr>
          <w:rFonts w:ascii="Times New Roman" w:eastAsia="Times New Roman" w:hAnsi="Times New Roman" w:cs="Times New Roman"/>
          <w:bCs/>
          <w:sz w:val="24"/>
          <w:szCs w:val="24"/>
        </w:rPr>
        <w:fldChar w:fldCharType="begin" w:fldLock="1"/>
      </w:r>
      <w:r w:rsidRPr="0092758B">
        <w:rPr>
          <w:rFonts w:ascii="Times New Roman" w:eastAsia="Times New Roman" w:hAnsi="Times New Roman" w:cs="Times New Roman"/>
          <w:bCs/>
          <w:sz w:val="24"/>
          <w:szCs w:val="24"/>
        </w:rPr>
        <w:instrText>ADDIN CSL_CITATION {"citationItems":[{"id":"ITEM-1","itemData":{"DOI":"10.1109/ICEEA.2010.5596110","ISBN":"9781424486205","abstract":"Guilan is a famous province in growing rice in Iran. Recently, due to shortage of water, farmers' desire to use groundwater in order to grow rice in northern part of Iran has been increasing rapidly. The fact that rice is sensitive to water quality, caused concern about rice cultivation sustainability in the area, especially in drought years. This study was done to investigate the interpolation methods and the spatial variability of some important ground water quality factors including EC, SAR and Na of samples taken from 135 wells over the region at September of 2007. First, the accuracy of ordinary kriging (Ok) and inverse distance weighting (IDW) with 3 different powers (1, 2 and 3) in mapping the studied parameters were evaluated. Then the final map was presented. The result showed that spherical model gave the best result to simulate the vriograms. Although negligible differences were observed between the methods, Ok and IDW-1 performed better in comparison to the IDW-2 and IDW-3. The final map showed that EC in central part of the region, where the Sephidroud meets the Caspian Sea is dramatically high which will threaten the sustainability of rice cultivation in the area. The other factors were in suitable level. © 2010 IEEE.","author":[{"dropping-particle":"","family":"Pirmoradian","given":"N.","non-dropping-particle":"","parse-names":false,"suffix":""},{"dropping-particle":"","family":"Rezaei","given":"M.","non-dropping-particle":"","parse-names":false,"suffix":""},{"dropping-particle":"","family":"Davatgar","given":"N.","non-dropping-particle":"","parse-names":false,"suffix":""},{"dropping-particle":"","family":"Tajdari","given":"K.","non-dropping-particle":"","parse-names":false,"suffix":""},{"dropping-particle":"","family":"Abolpour","given":"B.","non-dropping-particle":"","parse-names":false,"suffix":""}],"container-title":"ICEEA 2010 - 2010 International Conference on Environmental Engineering and Applications, Proceedings","id":"ITEM-1","issue":"Iceea","issued":{"date-parts":[["2010"]]},"page":"147-150","title":"Comparing of interpolation methods in rice cultivation vulnerability mapping due to groundwater quality in Guilan, north of Iran","type":"article-journal"},"uris":["http://www.mendeley.com/documents/?uuid=b4f0aeea-fc81-4b24-a95e-f2067a2b9c85"]}],"mendeley":{"formattedCitation":"(Pirmoradian, Rezaei, Davatgar, Tajdari, &amp; Abolpour, 2010)","plainTextFormattedCitation":"(Pirmoradian, Rezaei, Davatgar, Tajdari, &amp; Abolpour, 2010)","previouslyFormattedCitation":"(Pirmoradian, Rezaei, Davatgar, Tajdari, &amp; Abolpour, 2010)"},"properties":{"noteIndex":0},"schema":"https://github.com/citation-style-language/schema/raw/master/csl-citation.json"}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Pr="0092758B">
        <w:rPr>
          <w:rFonts w:ascii="Times New Roman" w:eastAsia="Times New Roman" w:hAnsi="Times New Roman" w:cs="Times New Roman"/>
          <w:bCs/>
          <w:noProof/>
          <w:sz w:val="24"/>
          <w:szCs w:val="24"/>
        </w:rPr>
        <w:t>(Pirmoradian, Rezaei, Davatgar, Tajdari, &amp; Abolpour, 2010)</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xml:space="preserve">. In addition, according to </w:t>
      </w:r>
      <w:r w:rsidRPr="0092758B">
        <w:rPr>
          <w:rFonts w:ascii="Times New Roman" w:eastAsia="Times New Roman" w:hAnsi="Times New Roman" w:cs="Times New Roman"/>
          <w:bCs/>
          <w:sz w:val="24"/>
          <w:szCs w:val="24"/>
        </w:rPr>
        <w:fldChar w:fldCharType="begin" w:fldLock="1"/>
      </w:r>
      <w:r w:rsidR="00B9614F" w:rsidRPr="0092758B">
        <w:rPr>
          <w:rFonts w:ascii="Times New Roman" w:eastAsia="Times New Roman" w:hAnsi="Times New Roman" w:cs="Times New Roman"/>
          <w:bCs/>
          <w:sz w:val="24"/>
          <w:szCs w:val="24"/>
        </w:rPr>
        <w:instrText>ADDIN CSL_CITATION {"citationItems":[{"id":"ITEM-1","itemData":{"DOI":"10.24815/jn.v20i2.16440","ISSN":"1411-8513","abstract":"The study of monitoring seawater intrusion and groundwater quality in a coastal area needs to be done regularly to prevent the clean water crisis problems in the future. Accurate and reliable interpolation of seawater intrusion over a region is the requirement of an efficient monitoring. In this study, different interpolation methods were investigated and compared to determine the best interpolation method for predicting the spatial distribution of seawater intrusion in the coastal area of Banda Aceh. Groundwater electrical conductivity (EC) was analyzed to identify the contamination of seawater intrusion into the coastal aquifers. Four interpolation methods such as Empirical Bayesian Kriging (EBK), Global Polynomial Interpolation (GPI), Inverse Distance Weighting (IDW), and Local Polynomial Interpolation (LPI), were used to create the spatial distribution of the groundwater electrical conductivity. The accuracy of interpolation methods was evaluated by using a cross-validation technique through the coefficient of determination (R2) and the Root Mean Square Error (RMSE). The results showed that IDW performed the most accurate prediction values and the best surface which were indicated by the least RMSE and the highest R2 value. It can be concluded that IDW interpolation method is the best method for interpolating the groundwater electrical conductivity associated with seawater intrusion in the coastal area of Banda Aceh.","author":[{"dropping-particle":"","family":"Tanjung","given":"Maulina","non-dropping-particle":"","parse-names":false,"suffix":""},{"dropping-particle":"","family":"Syahreza","given":"Saumi","non-dropping-particle":"","parse-names":false,"suffix":""},{"dropping-particle":"","family":"Rusdi","given":"Muhamad","non-dropping-particle":"","parse-names":false,"suffix":""}],"container-title":"Jurnal Natural","id":"ITEM-1","issue":"2","issued":{"date-parts":[["2020"]]},"page":"24-30","title":"Comparison of interpolation methods based on Geographic Information System (GIS) in the spatial distribution of seawater intrusion","type":"article-journal","volume":"20"},"uris":["http://www.mendeley.com/documents/?uuid=ae93a825-ac60-4381-91ac-70019d067876"]}],"mendeley":{"formattedCitation":"(Tanjung, Syahreza, &amp; Rusdi, 2020)","manualFormatting":"Tanjung, Syahreza, &amp; Rusdi (2020)","plainTextFormattedCitation":"(Tanjung, Syahreza, &amp; Rusdi, 2020)","previouslyFormattedCitation":"(Tanjung, Syahreza, &amp; Rusdi, 2020)"},"properties":{"noteIndex":0},"schema":"https://github.com/citation-style-language/schema/raw/master/csl-citation.json"}</w:instrText>
      </w:r>
      <w:r w:rsidRPr="0092758B">
        <w:rPr>
          <w:rFonts w:ascii="Times New Roman" w:eastAsia="Times New Roman" w:hAnsi="Times New Roman" w:cs="Times New Roman"/>
          <w:bCs/>
          <w:sz w:val="24"/>
          <w:szCs w:val="24"/>
        </w:rPr>
        <w:fldChar w:fldCharType="separate"/>
      </w:r>
      <w:r w:rsidR="00590DFD">
        <w:rPr>
          <w:rFonts w:ascii="Times New Roman" w:eastAsia="Times New Roman" w:hAnsi="Times New Roman" w:cs="Times New Roman"/>
          <w:bCs/>
          <w:noProof/>
          <w:sz w:val="24"/>
          <w:szCs w:val="24"/>
        </w:rPr>
        <w:t>Tanjung, Syahreza and</w:t>
      </w:r>
      <w:r w:rsidRPr="0092758B">
        <w:rPr>
          <w:rFonts w:ascii="Times New Roman" w:eastAsia="Times New Roman" w:hAnsi="Times New Roman" w:cs="Times New Roman"/>
          <w:bCs/>
          <w:noProof/>
          <w:sz w:val="24"/>
          <w:szCs w:val="24"/>
        </w:rPr>
        <w:t xml:space="preserve"> Rusdi (2020)</w:t>
      </w:r>
      <w:r w:rsidRPr="0092758B">
        <w:rPr>
          <w:rFonts w:ascii="Times New Roman" w:eastAsia="Times New Roman" w:hAnsi="Times New Roman" w:cs="Times New Roman"/>
          <w:bCs/>
          <w:sz w:val="24"/>
          <w:szCs w:val="24"/>
        </w:rPr>
        <w:fldChar w:fldCharType="end"/>
      </w:r>
      <w:r w:rsidRPr="0092758B">
        <w:rPr>
          <w:rFonts w:ascii="Times New Roman" w:eastAsia="Times New Roman" w:hAnsi="Times New Roman" w:cs="Times New Roman"/>
          <w:bCs/>
          <w:sz w:val="24"/>
          <w:szCs w:val="24"/>
        </w:rPr>
        <w:t>, this approach is described as the best method to interpolate the water electrical conductivity (EC)</w:t>
      </w:r>
      <w:r w:rsidR="00CE2C87" w:rsidRPr="0092758B">
        <w:rPr>
          <w:rFonts w:ascii="Times New Roman" w:eastAsia="Times New Roman" w:hAnsi="Times New Roman" w:cs="Times New Roman"/>
          <w:bCs/>
          <w:sz w:val="24"/>
          <w:szCs w:val="24"/>
        </w:rPr>
        <w:t>,</w:t>
      </w:r>
      <w:r w:rsidRPr="0092758B">
        <w:rPr>
          <w:rFonts w:ascii="Times New Roman" w:eastAsia="Times New Roman" w:hAnsi="Times New Roman" w:cs="Times New Roman"/>
          <w:bCs/>
          <w:sz w:val="24"/>
          <w:szCs w:val="24"/>
        </w:rPr>
        <w:t xml:space="preserve"> which is also represent</w:t>
      </w:r>
      <w:r w:rsidR="00CE2C87" w:rsidRPr="0092758B">
        <w:rPr>
          <w:rFonts w:ascii="Times New Roman" w:eastAsia="Times New Roman" w:hAnsi="Times New Roman" w:cs="Times New Roman"/>
          <w:bCs/>
          <w:sz w:val="24"/>
          <w:szCs w:val="24"/>
        </w:rPr>
        <w:t>s</w:t>
      </w:r>
      <w:r w:rsidRPr="0092758B">
        <w:rPr>
          <w:rFonts w:ascii="Times New Roman" w:eastAsia="Times New Roman" w:hAnsi="Times New Roman" w:cs="Times New Roman"/>
          <w:bCs/>
          <w:sz w:val="24"/>
          <w:szCs w:val="24"/>
        </w:rPr>
        <w:t xml:space="preserve"> the salt concentration in water.</w:t>
      </w:r>
      <w:r w:rsidR="00C561EA" w:rsidRPr="0092758B">
        <w:rPr>
          <w:rFonts w:ascii="Times New Roman" w:eastAsia="Times New Roman" w:hAnsi="Times New Roman" w:cs="Times New Roman"/>
          <w:bCs/>
          <w:sz w:val="24"/>
          <w:szCs w:val="24"/>
        </w:rPr>
        <w:t xml:space="preserve"> </w:t>
      </w:r>
    </w:p>
    <w:p w14:paraId="7F303962" w14:textId="4F6E8333" w:rsidR="00A3720B" w:rsidRPr="0092758B" w:rsidRDefault="008C48D6"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bCs/>
          <w:sz w:val="24"/>
          <w:szCs w:val="24"/>
        </w:rPr>
      </w:pPr>
      <w:r w:rsidRPr="0092758B">
        <w:rPr>
          <w:rFonts w:ascii="Times New Roman" w:eastAsia="Times New Roman" w:hAnsi="Times New Roman" w:cs="Times New Roman"/>
          <w:bCs/>
          <w:sz w:val="24"/>
          <w:szCs w:val="24"/>
        </w:rPr>
        <w:t>Therefore, i</w:t>
      </w:r>
      <w:r w:rsidR="00B61574" w:rsidRPr="0092758B">
        <w:rPr>
          <w:rFonts w:ascii="Times New Roman" w:eastAsia="Times New Roman" w:hAnsi="Times New Roman" w:cs="Times New Roman"/>
          <w:bCs/>
          <w:sz w:val="24"/>
          <w:szCs w:val="24"/>
        </w:rPr>
        <w:t xml:space="preserve">n this study, the IDW interpolation method was </w:t>
      </w:r>
      <w:r w:rsidRPr="0092758B">
        <w:rPr>
          <w:rFonts w:ascii="Times New Roman" w:eastAsia="Times New Roman" w:hAnsi="Times New Roman" w:cs="Times New Roman"/>
          <w:bCs/>
          <w:sz w:val="24"/>
          <w:szCs w:val="24"/>
        </w:rPr>
        <w:t xml:space="preserve">preferred </w:t>
      </w:r>
      <w:r w:rsidR="00B61574" w:rsidRPr="0092758B">
        <w:rPr>
          <w:rFonts w:ascii="Times New Roman" w:eastAsia="Times New Roman" w:hAnsi="Times New Roman" w:cs="Times New Roman"/>
          <w:bCs/>
          <w:sz w:val="24"/>
          <w:szCs w:val="24"/>
        </w:rPr>
        <w:t xml:space="preserve">to interpolate the spatial distribution of salinity and finally, twelve salinity variability maps were produced for both tidal events during these two seasons. All these maps were colored by designated unique value for each raster data. </w:t>
      </w:r>
      <w:r w:rsidR="003223CB" w:rsidRPr="0092758B">
        <w:rPr>
          <w:rFonts w:ascii="Times New Roman" w:eastAsia="Times New Roman" w:hAnsi="Times New Roman" w:cs="Times New Roman"/>
          <w:bCs/>
          <w:sz w:val="24"/>
          <w:szCs w:val="24"/>
        </w:rPr>
        <w:t xml:space="preserve">However, there are some limitations in this study that have been identified </w:t>
      </w:r>
      <w:r w:rsidR="00C561EA" w:rsidRPr="0092758B">
        <w:rPr>
          <w:rFonts w:ascii="Times New Roman" w:eastAsia="Times New Roman" w:hAnsi="Times New Roman" w:cs="Times New Roman"/>
          <w:bCs/>
          <w:sz w:val="24"/>
          <w:szCs w:val="24"/>
        </w:rPr>
        <w:t>which is this study does</w:t>
      </w:r>
      <w:r w:rsidR="003223CB" w:rsidRPr="0092758B">
        <w:rPr>
          <w:rFonts w:ascii="Times New Roman" w:eastAsia="Times New Roman" w:hAnsi="Times New Roman" w:cs="Times New Roman"/>
          <w:bCs/>
          <w:sz w:val="24"/>
          <w:szCs w:val="24"/>
        </w:rPr>
        <w:t xml:space="preserve"> not involve </w:t>
      </w:r>
      <w:r w:rsidR="00C561EA" w:rsidRPr="0092758B">
        <w:rPr>
          <w:rFonts w:ascii="Times New Roman" w:eastAsia="Times New Roman" w:hAnsi="Times New Roman" w:cs="Times New Roman"/>
          <w:bCs/>
          <w:sz w:val="24"/>
          <w:szCs w:val="24"/>
        </w:rPr>
        <w:t>any</w:t>
      </w:r>
      <w:r w:rsidR="003223CB" w:rsidRPr="0092758B">
        <w:rPr>
          <w:rFonts w:ascii="Times New Roman" w:eastAsia="Times New Roman" w:hAnsi="Times New Roman" w:cs="Times New Roman"/>
          <w:bCs/>
          <w:sz w:val="24"/>
          <w:szCs w:val="24"/>
        </w:rPr>
        <w:t xml:space="preserve"> analysis of paddy yield either according to the paddy plot or the entire area</w:t>
      </w:r>
      <w:r w:rsidR="00C561EA" w:rsidRPr="0092758B">
        <w:rPr>
          <w:rFonts w:ascii="Times New Roman" w:eastAsia="Times New Roman" w:hAnsi="Times New Roman" w:cs="Times New Roman"/>
          <w:bCs/>
          <w:sz w:val="24"/>
          <w:szCs w:val="24"/>
        </w:rPr>
        <w:t>. Then, the study period only involved only one cycle of wet and dry season</w:t>
      </w:r>
      <w:r w:rsidR="00CE2C87" w:rsidRPr="0092758B">
        <w:rPr>
          <w:rFonts w:ascii="Times New Roman" w:eastAsia="Times New Roman" w:hAnsi="Times New Roman" w:cs="Times New Roman"/>
          <w:bCs/>
          <w:sz w:val="24"/>
          <w:szCs w:val="24"/>
        </w:rPr>
        <w:t>s</w:t>
      </w:r>
      <w:r w:rsidR="00C561EA" w:rsidRPr="0092758B">
        <w:rPr>
          <w:rFonts w:ascii="Times New Roman" w:eastAsia="Times New Roman" w:hAnsi="Times New Roman" w:cs="Times New Roman"/>
          <w:bCs/>
          <w:sz w:val="24"/>
          <w:szCs w:val="24"/>
        </w:rPr>
        <w:t>.</w:t>
      </w:r>
    </w:p>
    <w:p w14:paraId="57CB20B3" w14:textId="4E9D965A" w:rsidR="003223CB" w:rsidRPr="0092758B" w:rsidRDefault="003223CB"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E9DE133" w14:textId="77777777" w:rsidR="00627408" w:rsidRPr="0092758B" w:rsidRDefault="00627408"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81655F7" w14:textId="5BEE73CB"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Results and discussion </w:t>
      </w:r>
    </w:p>
    <w:p w14:paraId="0BECDE31" w14:textId="77777777" w:rsidR="00A3720B" w:rsidRPr="0092758B" w:rsidRDefault="00252EC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 </w:t>
      </w:r>
    </w:p>
    <w:p w14:paraId="1D828439" w14:textId="66E58AB9" w:rsidR="0071126D" w:rsidRPr="0092758B" w:rsidRDefault="00AE4AD3"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sz w:val="24"/>
          <w:szCs w:val="24"/>
        </w:rPr>
      </w:pPr>
      <w:r w:rsidRPr="0092758B">
        <w:rPr>
          <w:rFonts w:ascii="Times New Roman" w:eastAsia="Times New Roman" w:hAnsi="Times New Roman" w:cs="Times New Roman"/>
          <w:i/>
          <w:iCs/>
          <w:sz w:val="24"/>
          <w:szCs w:val="24"/>
        </w:rPr>
        <w:t>Environment condition: Rainfall</w:t>
      </w:r>
      <w:r w:rsidR="001B50BA" w:rsidRPr="0092758B">
        <w:rPr>
          <w:rFonts w:ascii="Times New Roman" w:eastAsia="Times New Roman" w:hAnsi="Times New Roman" w:cs="Times New Roman"/>
          <w:i/>
          <w:iCs/>
          <w:sz w:val="24"/>
          <w:szCs w:val="24"/>
        </w:rPr>
        <w:t xml:space="preserve">, </w:t>
      </w:r>
      <w:r w:rsidR="00590DFD">
        <w:rPr>
          <w:rFonts w:ascii="Times New Roman" w:eastAsia="Times New Roman" w:hAnsi="Times New Roman" w:cs="Times New Roman"/>
          <w:i/>
          <w:iCs/>
          <w:sz w:val="24"/>
          <w:szCs w:val="24"/>
        </w:rPr>
        <w:t>mean t</w:t>
      </w:r>
      <w:r w:rsidRPr="0092758B">
        <w:rPr>
          <w:rFonts w:ascii="Times New Roman" w:eastAsia="Times New Roman" w:hAnsi="Times New Roman" w:cs="Times New Roman"/>
          <w:i/>
          <w:iCs/>
          <w:sz w:val="24"/>
          <w:szCs w:val="24"/>
        </w:rPr>
        <w:t>emperature</w:t>
      </w:r>
      <w:r w:rsidR="00590DFD">
        <w:rPr>
          <w:rFonts w:ascii="Times New Roman" w:eastAsia="Times New Roman" w:hAnsi="Times New Roman" w:cs="Times New Roman"/>
          <w:i/>
          <w:iCs/>
          <w:sz w:val="24"/>
          <w:szCs w:val="24"/>
        </w:rPr>
        <w:t>, t</w:t>
      </w:r>
      <w:r w:rsidR="001B50BA" w:rsidRPr="0092758B">
        <w:rPr>
          <w:rFonts w:ascii="Times New Roman" w:eastAsia="Times New Roman" w:hAnsi="Times New Roman" w:cs="Times New Roman"/>
          <w:i/>
          <w:iCs/>
          <w:sz w:val="24"/>
          <w:szCs w:val="24"/>
        </w:rPr>
        <w:t>idal</w:t>
      </w:r>
    </w:p>
    <w:p w14:paraId="393A1A32" w14:textId="312050BA"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98B1049" w14:textId="15A4D2A1"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According to Figure 4, the highest average monthly rainfall and mean temperature was recorded on May 2019, while the lowest average monthly rainfall and mean temperature </w:t>
      </w:r>
      <w:r w:rsidR="00505A09" w:rsidRPr="0092758B">
        <w:rPr>
          <w:rFonts w:ascii="Times New Roman" w:eastAsia="Times New Roman" w:hAnsi="Times New Roman" w:cs="Times New Roman"/>
          <w:sz w:val="24"/>
          <w:szCs w:val="24"/>
        </w:rPr>
        <w:t xml:space="preserve">were </w:t>
      </w:r>
      <w:r w:rsidRPr="0092758B">
        <w:rPr>
          <w:rFonts w:ascii="Times New Roman" w:eastAsia="Times New Roman" w:hAnsi="Times New Roman" w:cs="Times New Roman"/>
          <w:sz w:val="24"/>
          <w:szCs w:val="24"/>
        </w:rPr>
        <w:t>detected on January 2020 and December 2019, respectively. However, during the Season 1-2019, this area received more rainfall compared to the Season-2 2019.</w:t>
      </w:r>
      <w:r w:rsidR="008D1CB0" w:rsidRPr="0092758B">
        <w:rPr>
          <w:rFonts w:ascii="Times New Roman" w:eastAsia="Times New Roman" w:hAnsi="Times New Roman" w:cs="Times New Roman"/>
          <w:sz w:val="24"/>
          <w:szCs w:val="24"/>
        </w:rPr>
        <w:t xml:space="preserve"> </w:t>
      </w:r>
      <w:r w:rsidR="001E5F9B" w:rsidRPr="0092758B">
        <w:rPr>
          <w:rFonts w:ascii="Times New Roman" w:eastAsia="Times New Roman" w:hAnsi="Times New Roman" w:cs="Times New Roman"/>
          <w:sz w:val="24"/>
          <w:szCs w:val="24"/>
        </w:rPr>
        <w:t xml:space="preserve">In this case, the observation was conducted in two different seasons which is </w:t>
      </w:r>
      <w:r w:rsidR="008D1CB0" w:rsidRPr="0092758B">
        <w:rPr>
          <w:rFonts w:ascii="Times New Roman" w:eastAsia="Times New Roman" w:hAnsi="Times New Roman" w:cs="Times New Roman"/>
          <w:sz w:val="24"/>
          <w:szCs w:val="24"/>
        </w:rPr>
        <w:t>wet season occurs from May 2019 until August 2019, while dry season occurs from Oct 2019 until Jan 2020.</w:t>
      </w:r>
    </w:p>
    <w:p w14:paraId="23021238" w14:textId="77777777"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6FC7964" w14:textId="0471E6D5" w:rsidR="0071126D" w:rsidRPr="0092758B" w:rsidRDefault="00247355"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92758B">
        <w:rPr>
          <w:noProof/>
          <w:lang w:val="en-MY" w:eastAsia="en-MY"/>
        </w:rPr>
        <w:drawing>
          <wp:inline distT="0" distB="0" distL="0" distR="0" wp14:anchorId="20B11F38" wp14:editId="38F3BE72">
            <wp:extent cx="4056434" cy="2354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0889" cy="2398212"/>
                    </a:xfrm>
                    <a:prstGeom prst="rect">
                      <a:avLst/>
                    </a:prstGeom>
                  </pic:spPr>
                </pic:pic>
              </a:graphicData>
            </a:graphic>
          </wp:inline>
        </w:drawing>
      </w:r>
    </w:p>
    <w:p w14:paraId="2EC9C600" w14:textId="698003E9" w:rsidR="0071126D" w:rsidRPr="0092758B" w:rsidRDefault="0071126D" w:rsidP="004E52E3">
      <w:pPr>
        <w:pBdr>
          <w:top w:val="nil"/>
          <w:left w:val="nil"/>
          <w:bottom w:val="nil"/>
          <w:right w:val="nil"/>
          <w:between w:val="nil"/>
        </w:pBdr>
        <w:spacing w:before="120" w:after="0" w:line="240" w:lineRule="auto"/>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t>Figure 4.</w:t>
      </w:r>
      <w:r w:rsidR="00590DFD">
        <w:rPr>
          <w:rFonts w:ascii="Times New Roman" w:eastAsia="Times New Roman" w:hAnsi="Times New Roman" w:cs="Times New Roman"/>
          <w:sz w:val="20"/>
          <w:szCs w:val="20"/>
        </w:rPr>
        <w:t xml:space="preserve"> Mean temperature and average monthly r</w:t>
      </w:r>
      <w:r w:rsidRPr="0092758B">
        <w:rPr>
          <w:rFonts w:ascii="Times New Roman" w:eastAsia="Times New Roman" w:hAnsi="Times New Roman" w:cs="Times New Roman"/>
          <w:sz w:val="20"/>
          <w:szCs w:val="20"/>
        </w:rPr>
        <w:t>ainfall</w:t>
      </w:r>
      <w:r w:rsidR="00135C76">
        <w:rPr>
          <w:rFonts w:ascii="Times New Roman" w:eastAsia="Times New Roman" w:hAnsi="Times New Roman" w:cs="Times New Roman"/>
          <w:sz w:val="20"/>
          <w:szCs w:val="20"/>
        </w:rPr>
        <w:t>.</w:t>
      </w:r>
    </w:p>
    <w:p w14:paraId="4F17A3E9" w14:textId="6C5C767E" w:rsidR="00A3720B" w:rsidRPr="0092758B" w:rsidRDefault="00A3720B"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C990450" w14:textId="11FD0856" w:rsidR="00C378F7" w:rsidRPr="0092758B" w:rsidRDefault="001B50BA"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Subsequently, </w:t>
      </w:r>
      <w:r w:rsidR="00CE2C87" w:rsidRPr="0092758B">
        <w:rPr>
          <w:rFonts w:ascii="Times New Roman" w:eastAsia="Times New Roman" w:hAnsi="Times New Roman" w:cs="Times New Roman"/>
          <w:sz w:val="24"/>
          <w:szCs w:val="24"/>
        </w:rPr>
        <w:t xml:space="preserve">a </w:t>
      </w:r>
      <w:r w:rsidRPr="0092758B">
        <w:rPr>
          <w:rFonts w:ascii="Times New Roman" w:eastAsia="Times New Roman" w:hAnsi="Times New Roman" w:cs="Times New Roman"/>
          <w:sz w:val="24"/>
          <w:szCs w:val="24"/>
        </w:rPr>
        <w:t>tidal events pattern was observed during Season 1 2019 and Season 2 2019. This data was extracted from Tide Table 2019 by National Hydrographic Centre, Malaysia.      Figure 5</w:t>
      </w:r>
      <w:r w:rsidR="00B96AC0" w:rsidRPr="0092758B">
        <w:rPr>
          <w:rFonts w:ascii="Times New Roman" w:eastAsia="Times New Roman" w:hAnsi="Times New Roman" w:cs="Times New Roman"/>
          <w:sz w:val="24"/>
          <w:szCs w:val="24"/>
        </w:rPr>
        <w:t>a</w:t>
      </w:r>
      <w:r w:rsidRPr="0092758B">
        <w:rPr>
          <w:rFonts w:ascii="Times New Roman" w:eastAsia="Times New Roman" w:hAnsi="Times New Roman" w:cs="Times New Roman"/>
          <w:sz w:val="24"/>
          <w:szCs w:val="24"/>
        </w:rPr>
        <w:t xml:space="preserve"> shows the pattern with maximum height recorded on </w:t>
      </w:r>
      <w:r w:rsidR="001558DB" w:rsidRPr="0092758B">
        <w:rPr>
          <w:rFonts w:ascii="Times New Roman" w:eastAsia="Times New Roman" w:hAnsi="Times New Roman" w:cs="Times New Roman"/>
          <w:sz w:val="24"/>
          <w:szCs w:val="24"/>
        </w:rPr>
        <w:t>19</w:t>
      </w:r>
      <w:r w:rsidR="001558DB" w:rsidRPr="0092758B">
        <w:rPr>
          <w:rFonts w:ascii="Times New Roman" w:eastAsia="Times New Roman" w:hAnsi="Times New Roman" w:cs="Times New Roman"/>
          <w:sz w:val="24"/>
          <w:szCs w:val="24"/>
          <w:vertAlign w:val="superscript"/>
        </w:rPr>
        <w:t>th</w:t>
      </w:r>
      <w:r w:rsidR="001558DB" w:rsidRPr="0092758B">
        <w:rPr>
          <w:rFonts w:ascii="Times New Roman" w:eastAsia="Times New Roman" w:hAnsi="Times New Roman" w:cs="Times New Roman"/>
          <w:sz w:val="24"/>
          <w:szCs w:val="24"/>
        </w:rPr>
        <w:t xml:space="preserve"> May</w:t>
      </w:r>
      <w:r w:rsidRPr="0092758B">
        <w:rPr>
          <w:rFonts w:ascii="Times New Roman" w:eastAsia="Times New Roman" w:hAnsi="Times New Roman" w:cs="Times New Roman"/>
          <w:sz w:val="24"/>
          <w:szCs w:val="24"/>
        </w:rPr>
        <w:t xml:space="preserve"> 2019</w:t>
      </w:r>
      <w:r w:rsidR="001558DB" w:rsidRPr="0092758B">
        <w:rPr>
          <w:rFonts w:ascii="Times New Roman" w:eastAsia="Times New Roman" w:hAnsi="Times New Roman" w:cs="Times New Roman"/>
          <w:sz w:val="24"/>
          <w:szCs w:val="24"/>
        </w:rPr>
        <w:t xml:space="preserve"> and 04</w:t>
      </w:r>
      <w:r w:rsidR="001558DB" w:rsidRPr="0092758B">
        <w:rPr>
          <w:rFonts w:ascii="Times New Roman" w:eastAsia="Times New Roman" w:hAnsi="Times New Roman" w:cs="Times New Roman"/>
          <w:sz w:val="24"/>
          <w:szCs w:val="24"/>
          <w:vertAlign w:val="superscript"/>
        </w:rPr>
        <w:t>th</w:t>
      </w:r>
      <w:r w:rsidR="001558DB" w:rsidRPr="0092758B">
        <w:rPr>
          <w:rFonts w:ascii="Times New Roman" w:eastAsia="Times New Roman" w:hAnsi="Times New Roman" w:cs="Times New Roman"/>
          <w:sz w:val="24"/>
          <w:szCs w:val="24"/>
        </w:rPr>
        <w:t xml:space="preserve"> July 2019</w:t>
      </w:r>
      <w:r w:rsidRPr="0092758B">
        <w:rPr>
          <w:rFonts w:ascii="Times New Roman" w:eastAsia="Times New Roman" w:hAnsi="Times New Roman" w:cs="Times New Roman"/>
          <w:sz w:val="24"/>
          <w:szCs w:val="24"/>
        </w:rPr>
        <w:t xml:space="preserve"> at 1</w:t>
      </w:r>
      <w:r w:rsidR="001558DB" w:rsidRPr="0092758B">
        <w:rPr>
          <w:rFonts w:ascii="Times New Roman" w:eastAsia="Times New Roman" w:hAnsi="Times New Roman" w:cs="Times New Roman"/>
          <w:sz w:val="24"/>
          <w:szCs w:val="24"/>
        </w:rPr>
        <w:t xml:space="preserve">235hrs and 1319hrs, respectively </w:t>
      </w:r>
      <w:r w:rsidR="00DF3872" w:rsidRPr="0092758B">
        <w:rPr>
          <w:rFonts w:ascii="Times New Roman" w:eastAsia="Times New Roman" w:hAnsi="Times New Roman" w:cs="Times New Roman"/>
          <w:sz w:val="24"/>
          <w:szCs w:val="24"/>
        </w:rPr>
        <w:t>with 3.1</w:t>
      </w:r>
      <w:r w:rsidR="001558DB" w:rsidRPr="0092758B">
        <w:rPr>
          <w:rFonts w:ascii="Times New Roman" w:eastAsia="Times New Roman" w:hAnsi="Times New Roman" w:cs="Times New Roman"/>
          <w:sz w:val="24"/>
          <w:szCs w:val="24"/>
        </w:rPr>
        <w:t>1</w:t>
      </w:r>
      <w:r w:rsidR="00DF3872" w:rsidRPr="0092758B">
        <w:rPr>
          <w:rFonts w:ascii="Times New Roman" w:eastAsia="Times New Roman" w:hAnsi="Times New Roman" w:cs="Times New Roman"/>
          <w:sz w:val="24"/>
          <w:szCs w:val="24"/>
        </w:rPr>
        <w:t xml:space="preserve"> m height while the minimum height recorded on </w:t>
      </w:r>
      <w:r w:rsidR="001E62FC" w:rsidRPr="0092758B">
        <w:rPr>
          <w:rFonts w:ascii="Times New Roman" w:eastAsia="Times New Roman" w:hAnsi="Times New Roman" w:cs="Times New Roman"/>
          <w:sz w:val="24"/>
          <w:szCs w:val="24"/>
        </w:rPr>
        <w:t>05</w:t>
      </w:r>
      <w:r w:rsidR="001E62FC" w:rsidRPr="0092758B">
        <w:rPr>
          <w:rFonts w:ascii="Times New Roman" w:eastAsia="Times New Roman" w:hAnsi="Times New Roman" w:cs="Times New Roman"/>
          <w:sz w:val="24"/>
          <w:szCs w:val="24"/>
          <w:vertAlign w:val="superscript"/>
        </w:rPr>
        <w:t>th</w:t>
      </w:r>
      <w:r w:rsidR="001E62FC" w:rsidRPr="0092758B">
        <w:rPr>
          <w:rFonts w:ascii="Times New Roman" w:eastAsia="Times New Roman" w:hAnsi="Times New Roman" w:cs="Times New Roman"/>
          <w:sz w:val="24"/>
          <w:szCs w:val="24"/>
        </w:rPr>
        <w:t xml:space="preserve"> and 19</w:t>
      </w:r>
      <w:r w:rsidR="001E62FC" w:rsidRPr="0092758B">
        <w:rPr>
          <w:rFonts w:ascii="Times New Roman" w:eastAsia="Times New Roman" w:hAnsi="Times New Roman" w:cs="Times New Roman"/>
          <w:sz w:val="24"/>
          <w:szCs w:val="24"/>
          <w:vertAlign w:val="superscript"/>
        </w:rPr>
        <w:t>th</w:t>
      </w:r>
      <w:r w:rsidR="001E62FC" w:rsidRPr="0092758B">
        <w:rPr>
          <w:rFonts w:ascii="Times New Roman" w:eastAsia="Times New Roman" w:hAnsi="Times New Roman" w:cs="Times New Roman"/>
          <w:sz w:val="24"/>
          <w:szCs w:val="24"/>
        </w:rPr>
        <w:t xml:space="preserve"> May 2019</w:t>
      </w:r>
      <w:r w:rsidR="00DF3872" w:rsidRPr="0092758B">
        <w:rPr>
          <w:rFonts w:ascii="Times New Roman" w:eastAsia="Times New Roman" w:hAnsi="Times New Roman" w:cs="Times New Roman"/>
          <w:sz w:val="24"/>
          <w:szCs w:val="24"/>
        </w:rPr>
        <w:t xml:space="preserve"> at </w:t>
      </w:r>
      <w:r w:rsidR="001E62FC" w:rsidRPr="0092758B">
        <w:rPr>
          <w:rFonts w:ascii="Times New Roman" w:eastAsia="Times New Roman" w:hAnsi="Times New Roman" w:cs="Times New Roman"/>
          <w:sz w:val="24"/>
          <w:szCs w:val="24"/>
        </w:rPr>
        <w:t>0619</w:t>
      </w:r>
      <w:r w:rsidR="00DF3872" w:rsidRPr="0092758B">
        <w:rPr>
          <w:rFonts w:ascii="Times New Roman" w:eastAsia="Times New Roman" w:hAnsi="Times New Roman" w:cs="Times New Roman"/>
          <w:sz w:val="24"/>
          <w:szCs w:val="24"/>
        </w:rPr>
        <w:t>hrs</w:t>
      </w:r>
      <w:r w:rsidR="001E62FC" w:rsidRPr="0092758B">
        <w:rPr>
          <w:rFonts w:ascii="Times New Roman" w:eastAsia="Times New Roman" w:hAnsi="Times New Roman" w:cs="Times New Roman"/>
          <w:sz w:val="24"/>
          <w:szCs w:val="24"/>
        </w:rPr>
        <w:t xml:space="preserve"> and</w:t>
      </w:r>
      <w:r w:rsidR="00DF3872" w:rsidRPr="0092758B">
        <w:rPr>
          <w:rFonts w:ascii="Times New Roman" w:eastAsia="Times New Roman" w:hAnsi="Times New Roman" w:cs="Times New Roman"/>
          <w:sz w:val="24"/>
          <w:szCs w:val="24"/>
        </w:rPr>
        <w:t xml:space="preserve"> </w:t>
      </w:r>
      <w:r w:rsidR="001E62FC" w:rsidRPr="0092758B">
        <w:rPr>
          <w:rFonts w:ascii="Times New Roman" w:eastAsia="Times New Roman" w:hAnsi="Times New Roman" w:cs="Times New Roman"/>
          <w:sz w:val="24"/>
          <w:szCs w:val="24"/>
        </w:rPr>
        <w:t xml:space="preserve">0643hrs </w:t>
      </w:r>
      <w:r w:rsidR="00DF3872" w:rsidRPr="0092758B">
        <w:rPr>
          <w:rFonts w:ascii="Times New Roman" w:eastAsia="Times New Roman" w:hAnsi="Times New Roman" w:cs="Times New Roman"/>
          <w:sz w:val="24"/>
          <w:szCs w:val="24"/>
        </w:rPr>
        <w:t xml:space="preserve">with </w:t>
      </w:r>
      <w:r w:rsidR="001E62FC" w:rsidRPr="0092758B">
        <w:rPr>
          <w:rFonts w:ascii="Times New Roman" w:eastAsia="Times New Roman" w:hAnsi="Times New Roman" w:cs="Times New Roman"/>
          <w:sz w:val="24"/>
          <w:szCs w:val="24"/>
        </w:rPr>
        <w:t>0.24</w:t>
      </w:r>
      <w:r w:rsidR="00DF3872" w:rsidRPr="0092758B">
        <w:rPr>
          <w:rFonts w:ascii="Times New Roman" w:eastAsia="Times New Roman" w:hAnsi="Times New Roman" w:cs="Times New Roman"/>
          <w:sz w:val="24"/>
          <w:szCs w:val="24"/>
        </w:rPr>
        <w:t xml:space="preserve"> m height.</w:t>
      </w:r>
    </w:p>
    <w:p w14:paraId="07B9297A" w14:textId="65F1096C" w:rsidR="0071126D" w:rsidRPr="0092758B" w:rsidRDefault="00C378F7"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lastRenderedPageBreak/>
        <w:t>However, during Season 2 2019, the maximum and minimum height was spotted on 29</w:t>
      </w:r>
      <w:r w:rsidRPr="0092758B">
        <w:rPr>
          <w:rFonts w:ascii="Times New Roman" w:eastAsia="Times New Roman" w:hAnsi="Times New Roman" w:cs="Times New Roman"/>
          <w:sz w:val="24"/>
          <w:szCs w:val="24"/>
          <w:vertAlign w:val="superscript"/>
        </w:rPr>
        <w:t>th</w:t>
      </w:r>
      <w:r w:rsidRPr="0092758B">
        <w:rPr>
          <w:rFonts w:ascii="Times New Roman" w:eastAsia="Times New Roman" w:hAnsi="Times New Roman" w:cs="Times New Roman"/>
          <w:sz w:val="24"/>
          <w:szCs w:val="24"/>
        </w:rPr>
        <w:t xml:space="preserve"> Oct 2019 at 0036hrs with 3.18 m height and the minimum height was spotted on 28</w:t>
      </w:r>
      <w:r w:rsidRPr="0092758B">
        <w:rPr>
          <w:rFonts w:ascii="Times New Roman" w:eastAsia="Times New Roman" w:hAnsi="Times New Roman" w:cs="Times New Roman"/>
          <w:sz w:val="24"/>
          <w:szCs w:val="24"/>
          <w:vertAlign w:val="superscript"/>
        </w:rPr>
        <w:t>th</w:t>
      </w:r>
      <w:r w:rsidRPr="0092758B">
        <w:rPr>
          <w:rFonts w:ascii="Times New Roman" w:eastAsia="Times New Roman" w:hAnsi="Times New Roman" w:cs="Times New Roman"/>
          <w:sz w:val="24"/>
          <w:szCs w:val="24"/>
        </w:rPr>
        <w:t xml:space="preserve"> October 2020 at 1821hrs with 0.04 m height</w:t>
      </w:r>
      <w:r w:rsidR="00B96AC0" w:rsidRPr="0092758B">
        <w:rPr>
          <w:rFonts w:ascii="Times New Roman" w:eastAsia="Times New Roman" w:hAnsi="Times New Roman" w:cs="Times New Roman"/>
          <w:sz w:val="24"/>
          <w:szCs w:val="24"/>
        </w:rPr>
        <w:t xml:space="preserve"> as shown in Figure 5b</w:t>
      </w:r>
      <w:r w:rsidRPr="0092758B">
        <w:rPr>
          <w:rFonts w:ascii="Times New Roman" w:eastAsia="Times New Roman" w:hAnsi="Times New Roman" w:cs="Times New Roman"/>
          <w:sz w:val="24"/>
          <w:szCs w:val="24"/>
        </w:rPr>
        <w:t>.</w:t>
      </w:r>
    </w:p>
    <w:p w14:paraId="4D166AB1" w14:textId="77777777" w:rsidR="001B50BA" w:rsidRPr="0092758B" w:rsidRDefault="001B50BA" w:rsidP="004E52E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p>
    <w:p w14:paraId="77ECF869" w14:textId="181EEFFE" w:rsidR="001B50BA" w:rsidRPr="0092758B" w:rsidRDefault="001E62FC" w:rsidP="004E52E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4"/>
          <w:szCs w:val="24"/>
        </w:rPr>
      </w:pPr>
      <w:r w:rsidRPr="0092758B">
        <w:rPr>
          <w:noProof/>
          <w:lang w:val="en-MY" w:eastAsia="en-MY"/>
        </w:rPr>
        <w:drawing>
          <wp:inline distT="0" distB="0" distL="0" distR="0" wp14:anchorId="75E99061" wp14:editId="32B9D704">
            <wp:extent cx="4037761" cy="252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7761" cy="2523600"/>
                    </a:xfrm>
                    <a:prstGeom prst="rect">
                      <a:avLst/>
                    </a:prstGeom>
                  </pic:spPr>
                </pic:pic>
              </a:graphicData>
            </a:graphic>
          </wp:inline>
        </w:drawing>
      </w:r>
    </w:p>
    <w:p w14:paraId="6582B405" w14:textId="4F14BC13" w:rsidR="00B96AC0" w:rsidRPr="0092758B" w:rsidRDefault="00B96AC0" w:rsidP="004E52E3">
      <w:pPr>
        <w:pStyle w:val="ListParagraph"/>
        <w:numPr>
          <w:ilvl w:val="0"/>
          <w:numId w:val="1"/>
        </w:numPr>
        <w:pBdr>
          <w:top w:val="nil"/>
          <w:left w:val="nil"/>
          <w:bottom w:val="nil"/>
          <w:right w:val="nil"/>
          <w:between w:val="nil"/>
        </w:pBdr>
        <w:spacing w:before="120" w:after="0" w:line="240" w:lineRule="auto"/>
        <w:ind w:leftChars="0" w:left="0" w:firstLineChars="0" w:hanging="357"/>
        <w:jc w:val="center"/>
        <w:rPr>
          <w:rFonts w:ascii="Times New Roman" w:eastAsia="Times New Roman" w:hAnsi="Times New Roman" w:cs="Times New Roman"/>
          <w:bCs/>
          <w:sz w:val="20"/>
          <w:szCs w:val="20"/>
        </w:rPr>
      </w:pPr>
      <w:r w:rsidRPr="0092758B">
        <w:rPr>
          <w:rFonts w:ascii="Times New Roman" w:eastAsia="Times New Roman" w:hAnsi="Times New Roman" w:cs="Times New Roman"/>
          <w:bCs/>
          <w:sz w:val="20"/>
          <w:szCs w:val="20"/>
        </w:rPr>
        <w:t>Season 1 2019</w:t>
      </w:r>
    </w:p>
    <w:p w14:paraId="0C8F40BA" w14:textId="77777777" w:rsidR="00DF3872" w:rsidRPr="0092758B" w:rsidRDefault="00DF3872" w:rsidP="004E52E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p w14:paraId="4F8A10DB" w14:textId="5B7EBD94" w:rsidR="001B50BA" w:rsidRPr="0092758B" w:rsidRDefault="001E62FC" w:rsidP="004E52E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0"/>
          <w:szCs w:val="20"/>
        </w:rPr>
      </w:pPr>
      <w:r w:rsidRPr="0092758B">
        <w:rPr>
          <w:noProof/>
          <w:lang w:val="en-MY" w:eastAsia="en-MY"/>
        </w:rPr>
        <w:drawing>
          <wp:inline distT="0" distB="0" distL="0" distR="0" wp14:anchorId="283BBA92" wp14:editId="19634106">
            <wp:extent cx="4046706" cy="2525300"/>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6033" cy="2531120"/>
                    </a:xfrm>
                    <a:prstGeom prst="rect">
                      <a:avLst/>
                    </a:prstGeom>
                  </pic:spPr>
                </pic:pic>
              </a:graphicData>
            </a:graphic>
          </wp:inline>
        </w:drawing>
      </w:r>
    </w:p>
    <w:p w14:paraId="1CE90816" w14:textId="0BA7B763" w:rsidR="00B96AC0" w:rsidRPr="0092758B" w:rsidRDefault="00B96AC0" w:rsidP="004E52E3">
      <w:pPr>
        <w:pStyle w:val="ListParagraph"/>
        <w:numPr>
          <w:ilvl w:val="0"/>
          <w:numId w:val="1"/>
        </w:numPr>
        <w:pBdr>
          <w:top w:val="nil"/>
          <w:left w:val="nil"/>
          <w:bottom w:val="nil"/>
          <w:right w:val="nil"/>
          <w:between w:val="nil"/>
        </w:pBdr>
        <w:spacing w:before="120" w:after="0" w:line="240" w:lineRule="auto"/>
        <w:ind w:leftChars="0" w:left="0" w:firstLineChars="0" w:hanging="357"/>
        <w:jc w:val="center"/>
        <w:rPr>
          <w:rFonts w:ascii="Times New Roman" w:eastAsia="Times New Roman" w:hAnsi="Times New Roman" w:cs="Times New Roman"/>
          <w:bCs/>
          <w:sz w:val="20"/>
          <w:szCs w:val="20"/>
        </w:rPr>
      </w:pPr>
      <w:r w:rsidRPr="0092758B">
        <w:rPr>
          <w:rFonts w:ascii="Times New Roman" w:eastAsia="Times New Roman" w:hAnsi="Times New Roman" w:cs="Times New Roman"/>
          <w:bCs/>
          <w:sz w:val="20"/>
          <w:szCs w:val="20"/>
        </w:rPr>
        <w:t>Season 2 2019</w:t>
      </w:r>
    </w:p>
    <w:p w14:paraId="3A765231" w14:textId="77777777" w:rsidR="007F0D85" w:rsidRDefault="007F0D85" w:rsidP="004E52E3">
      <w:pPr>
        <w:pStyle w:val="ListParagraph"/>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0"/>
          <w:szCs w:val="20"/>
        </w:rPr>
      </w:pPr>
    </w:p>
    <w:p w14:paraId="792C010A" w14:textId="571A9311" w:rsidR="007F0D85" w:rsidRPr="007F0D85" w:rsidRDefault="007F0D85" w:rsidP="004E52E3">
      <w:pPr>
        <w:pStyle w:val="ListParagraph"/>
        <w:pBdr>
          <w:top w:val="nil"/>
          <w:left w:val="nil"/>
          <w:bottom w:val="nil"/>
          <w:right w:val="nil"/>
          <w:between w:val="nil"/>
        </w:pBdr>
        <w:spacing w:after="0" w:line="240" w:lineRule="auto"/>
        <w:ind w:leftChars="0" w:firstLineChars="0" w:firstLine="720"/>
        <w:rPr>
          <w:rFonts w:ascii="Times New Roman" w:eastAsia="Times New Roman" w:hAnsi="Times New Roman" w:cs="Times New Roman"/>
          <w:sz w:val="20"/>
          <w:szCs w:val="20"/>
        </w:rPr>
      </w:pPr>
      <w:r w:rsidRPr="007F0D85">
        <w:rPr>
          <w:rFonts w:ascii="Times New Roman" w:eastAsia="Times New Roman" w:hAnsi="Times New Roman" w:cs="Times New Roman"/>
          <w:sz w:val="20"/>
          <w:szCs w:val="20"/>
        </w:rPr>
        <w:t>Source</w:t>
      </w:r>
      <w:r>
        <w:rPr>
          <w:rFonts w:ascii="Times New Roman" w:eastAsia="Times New Roman" w:hAnsi="Times New Roman" w:cs="Times New Roman"/>
          <w:sz w:val="20"/>
          <w:szCs w:val="20"/>
        </w:rPr>
        <w:t>: National Hydrographic Centre (</w:t>
      </w:r>
      <w:r w:rsidRPr="007F0D85">
        <w:rPr>
          <w:rFonts w:ascii="Times New Roman" w:eastAsia="Times New Roman" w:hAnsi="Times New Roman" w:cs="Times New Roman"/>
          <w:sz w:val="20"/>
          <w:szCs w:val="20"/>
        </w:rPr>
        <w:t>2019)</w:t>
      </w:r>
    </w:p>
    <w:p w14:paraId="3C33057D" w14:textId="77777777" w:rsidR="00B96AC0" w:rsidRPr="0092758B" w:rsidRDefault="00B96AC0" w:rsidP="004E52E3">
      <w:pPr>
        <w:pStyle w:val="ListParagraph"/>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Cs/>
          <w:sz w:val="20"/>
          <w:szCs w:val="20"/>
        </w:rPr>
      </w:pPr>
    </w:p>
    <w:p w14:paraId="5F626EFF" w14:textId="02C075C6" w:rsidR="00DF3872" w:rsidRPr="0092758B" w:rsidRDefault="00B96AC0" w:rsidP="004E52E3">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i/>
          <w:sz w:val="20"/>
          <w:szCs w:val="20"/>
        </w:rPr>
      </w:pPr>
      <w:r w:rsidRPr="0092758B">
        <w:rPr>
          <w:rFonts w:ascii="Times New Roman" w:eastAsia="Times New Roman" w:hAnsi="Times New Roman" w:cs="Times New Roman"/>
          <w:b/>
          <w:bCs/>
          <w:sz w:val="20"/>
          <w:szCs w:val="20"/>
        </w:rPr>
        <w:t>Figure 5</w:t>
      </w:r>
      <w:r w:rsidR="00DF3872" w:rsidRPr="0092758B">
        <w:rPr>
          <w:rFonts w:ascii="Times New Roman" w:eastAsia="Times New Roman" w:hAnsi="Times New Roman" w:cs="Times New Roman"/>
          <w:b/>
          <w:bCs/>
          <w:sz w:val="20"/>
          <w:szCs w:val="20"/>
        </w:rPr>
        <w:t xml:space="preserve">. </w:t>
      </w:r>
      <w:r w:rsidR="00DF3872" w:rsidRPr="0092758B">
        <w:rPr>
          <w:rFonts w:ascii="Times New Roman" w:eastAsia="Times New Roman" w:hAnsi="Times New Roman" w:cs="Times New Roman"/>
          <w:sz w:val="20"/>
          <w:szCs w:val="20"/>
        </w:rPr>
        <w:t xml:space="preserve">Tidal pattern </w:t>
      </w:r>
      <w:r w:rsidRPr="0092758B">
        <w:rPr>
          <w:rFonts w:ascii="Times New Roman" w:eastAsia="Times New Roman" w:hAnsi="Times New Roman" w:cs="Times New Roman"/>
          <w:sz w:val="20"/>
          <w:szCs w:val="20"/>
        </w:rPr>
        <w:t xml:space="preserve">for year </w:t>
      </w:r>
      <w:r w:rsidR="00DF3872" w:rsidRPr="0092758B">
        <w:rPr>
          <w:rFonts w:ascii="Times New Roman" w:eastAsia="Times New Roman" w:hAnsi="Times New Roman" w:cs="Times New Roman"/>
          <w:sz w:val="20"/>
          <w:szCs w:val="20"/>
        </w:rPr>
        <w:t>2019</w:t>
      </w:r>
      <w:r w:rsidR="00135C76">
        <w:rPr>
          <w:rFonts w:ascii="Times New Roman" w:eastAsia="Times New Roman" w:hAnsi="Times New Roman" w:cs="Times New Roman"/>
          <w:sz w:val="20"/>
          <w:szCs w:val="20"/>
        </w:rPr>
        <w:t>.</w:t>
      </w:r>
    </w:p>
    <w:p w14:paraId="10C0A215" w14:textId="77777777" w:rsidR="001B50BA" w:rsidRPr="0092758B" w:rsidRDefault="001B50BA" w:rsidP="004E52E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275928B0" w14:textId="77777777"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sz w:val="24"/>
          <w:szCs w:val="24"/>
        </w:rPr>
      </w:pPr>
      <w:r w:rsidRPr="0092758B">
        <w:rPr>
          <w:rFonts w:ascii="Times New Roman" w:eastAsia="Times New Roman" w:hAnsi="Times New Roman" w:cs="Times New Roman"/>
          <w:i/>
          <w:iCs/>
          <w:sz w:val="24"/>
          <w:szCs w:val="24"/>
        </w:rPr>
        <w:t>Salinity Variability Maps for Season 1 and Season 2 2019</w:t>
      </w:r>
    </w:p>
    <w:p w14:paraId="3BEABC0E" w14:textId="1EC657F9" w:rsidR="00A3720B" w:rsidRPr="0092758B" w:rsidRDefault="00A3720B"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41D0136" w14:textId="1C2CEC16" w:rsidR="00C378F7" w:rsidRPr="0092758B" w:rsidRDefault="00AA2418"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Salinity variability maps were produced using ArcGIS 10.7.1 by using </w:t>
      </w:r>
      <w:r w:rsidR="00CE2C87" w:rsidRPr="0092758B">
        <w:rPr>
          <w:rFonts w:ascii="Times New Roman" w:eastAsia="Times New Roman" w:hAnsi="Times New Roman" w:cs="Times New Roman"/>
          <w:sz w:val="24"/>
          <w:szCs w:val="24"/>
        </w:rPr>
        <w:t xml:space="preserve">the </w:t>
      </w:r>
      <w:r w:rsidRPr="0092758B">
        <w:rPr>
          <w:rFonts w:ascii="Times New Roman" w:eastAsia="Times New Roman" w:hAnsi="Times New Roman" w:cs="Times New Roman"/>
          <w:sz w:val="24"/>
          <w:szCs w:val="24"/>
        </w:rPr>
        <w:t xml:space="preserve">interpolation spatial analyst tool. The salinity concentration was </w:t>
      </w:r>
      <w:r w:rsidR="00105159" w:rsidRPr="0092758B">
        <w:rPr>
          <w:rFonts w:ascii="Times New Roman" w:eastAsia="Times New Roman" w:hAnsi="Times New Roman" w:cs="Times New Roman"/>
          <w:sz w:val="24"/>
          <w:szCs w:val="24"/>
        </w:rPr>
        <w:t>classified</w:t>
      </w:r>
      <w:r w:rsidRPr="0092758B">
        <w:rPr>
          <w:rFonts w:ascii="Times New Roman" w:eastAsia="Times New Roman" w:hAnsi="Times New Roman" w:cs="Times New Roman"/>
          <w:sz w:val="24"/>
          <w:szCs w:val="24"/>
        </w:rPr>
        <w:t xml:space="preserve"> in five main range</w:t>
      </w:r>
      <w:r w:rsidR="00CE2C87" w:rsidRPr="0092758B">
        <w:rPr>
          <w:rFonts w:ascii="Times New Roman" w:eastAsia="Times New Roman" w:hAnsi="Times New Roman" w:cs="Times New Roman"/>
          <w:sz w:val="24"/>
          <w:szCs w:val="24"/>
        </w:rPr>
        <w:t>s</w:t>
      </w:r>
      <w:r w:rsidRPr="0092758B">
        <w:rPr>
          <w:rFonts w:ascii="Times New Roman" w:eastAsia="Times New Roman" w:hAnsi="Times New Roman" w:cs="Times New Roman"/>
          <w:sz w:val="24"/>
          <w:szCs w:val="24"/>
        </w:rPr>
        <w:t xml:space="preserve"> </w:t>
      </w:r>
      <w:r w:rsidR="00105159" w:rsidRPr="0092758B">
        <w:rPr>
          <w:rFonts w:ascii="Times New Roman" w:eastAsia="Times New Roman" w:hAnsi="Times New Roman" w:cs="Times New Roman"/>
          <w:sz w:val="24"/>
          <w:szCs w:val="24"/>
        </w:rPr>
        <w:t xml:space="preserve">based on </w:t>
      </w:r>
      <w:r w:rsidR="00CE2C87" w:rsidRPr="0092758B">
        <w:rPr>
          <w:rFonts w:ascii="Times New Roman" w:eastAsia="Times New Roman" w:hAnsi="Times New Roman" w:cs="Times New Roman"/>
          <w:sz w:val="24"/>
          <w:szCs w:val="24"/>
        </w:rPr>
        <w:t xml:space="preserve">the </w:t>
      </w:r>
      <w:r w:rsidR="00105159" w:rsidRPr="0092758B">
        <w:rPr>
          <w:rFonts w:ascii="Times New Roman" w:eastAsia="Times New Roman" w:hAnsi="Times New Roman" w:cs="Times New Roman"/>
          <w:sz w:val="24"/>
          <w:szCs w:val="24"/>
        </w:rPr>
        <w:t xml:space="preserve">article by </w:t>
      </w:r>
      <w:r w:rsidR="00105159"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{"citationItems":[{"id":"ITEM-1","itemData":{"author":[{"dropping-particle":"","family":"Prince","given":"Rohan","non-dropping-particle":"","parse-names":false,"suffix":""}],"container-title":"Department of Primary Industries and Regional Development's Agriculture and Food Australia","id":"ITEM-1","issued":{"date-parts":[["2019"]]},"title":"Water salinity and plant irrigation Direct adsorption through leaves","type":"webpage"},"uris":["http://www.mendeley.com/documents/?uuid=14681ad0-28c2-451d-909a-8075d3935efc"]}],"mendeley":{"formattedCitation":"(Prince, 2019)","manualFormatting":"Prince (2019)","plainTextFormattedCitation":"(Prince, 2019)","previouslyFormattedCitation":"(Prince, 2019)"},"properties":{"noteIndex":0},"schema":"https://github.com/citation-style-language/schema/raw/master/csl-citation.json"}</w:instrText>
      </w:r>
      <w:r w:rsidR="00105159" w:rsidRPr="0092758B">
        <w:rPr>
          <w:rFonts w:ascii="Times New Roman" w:eastAsia="Times New Roman" w:hAnsi="Times New Roman" w:cs="Times New Roman"/>
          <w:sz w:val="24"/>
          <w:szCs w:val="24"/>
        </w:rPr>
        <w:fldChar w:fldCharType="separate"/>
      </w:r>
      <w:r w:rsidR="00105159" w:rsidRPr="0092758B">
        <w:rPr>
          <w:rFonts w:ascii="Times New Roman" w:eastAsia="Times New Roman" w:hAnsi="Times New Roman" w:cs="Times New Roman"/>
          <w:noProof/>
          <w:sz w:val="24"/>
          <w:szCs w:val="24"/>
        </w:rPr>
        <w:t>Prince (2019)</w:t>
      </w:r>
      <w:r w:rsidR="00105159" w:rsidRPr="0092758B">
        <w:rPr>
          <w:rFonts w:ascii="Times New Roman" w:eastAsia="Times New Roman" w:hAnsi="Times New Roman" w:cs="Times New Roman"/>
          <w:sz w:val="24"/>
          <w:szCs w:val="24"/>
        </w:rPr>
        <w:fldChar w:fldCharType="end"/>
      </w:r>
      <w:r w:rsidR="00105159"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as illustrates in Table </w:t>
      </w:r>
      <w:r w:rsidR="005D2EFE" w:rsidRPr="0092758B">
        <w:rPr>
          <w:rFonts w:ascii="Times New Roman" w:eastAsia="Times New Roman" w:hAnsi="Times New Roman" w:cs="Times New Roman"/>
          <w:sz w:val="24"/>
          <w:szCs w:val="24"/>
        </w:rPr>
        <w:t>2</w:t>
      </w:r>
      <w:r w:rsidRPr="0092758B">
        <w:rPr>
          <w:rFonts w:ascii="Times New Roman" w:eastAsia="Times New Roman" w:hAnsi="Times New Roman" w:cs="Times New Roman"/>
          <w:sz w:val="24"/>
          <w:szCs w:val="24"/>
        </w:rPr>
        <w:t>.</w:t>
      </w:r>
    </w:p>
    <w:p w14:paraId="48371E73" w14:textId="77777777" w:rsidR="00C378F7" w:rsidRDefault="00C378F7"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22EF34D" w14:textId="0B5CACBD" w:rsidR="00C378F7" w:rsidRDefault="00C378F7"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lastRenderedPageBreak/>
        <w:t>Table 2.</w:t>
      </w:r>
      <w:r w:rsidRPr="0092758B">
        <w:rPr>
          <w:rFonts w:ascii="Times New Roman" w:eastAsia="Times New Roman" w:hAnsi="Times New Roman" w:cs="Times New Roman"/>
          <w:sz w:val="20"/>
          <w:szCs w:val="20"/>
        </w:rPr>
        <w:t xml:space="preserve"> General salinit</w:t>
      </w:r>
      <w:r w:rsidR="004E52E3">
        <w:rPr>
          <w:rFonts w:ascii="Times New Roman" w:eastAsia="Times New Roman" w:hAnsi="Times New Roman" w:cs="Times New Roman"/>
          <w:sz w:val="20"/>
          <w:szCs w:val="20"/>
        </w:rPr>
        <w:t xml:space="preserve">y concentration </w:t>
      </w:r>
      <w:proofErr w:type="gramStart"/>
      <w:r w:rsidR="004E52E3">
        <w:rPr>
          <w:rFonts w:ascii="Times New Roman" w:eastAsia="Times New Roman" w:hAnsi="Times New Roman" w:cs="Times New Roman"/>
          <w:sz w:val="20"/>
          <w:szCs w:val="20"/>
        </w:rPr>
        <w:t>range</w:t>
      </w:r>
      <w:proofErr w:type="gramEnd"/>
      <w:r w:rsidR="004E52E3">
        <w:rPr>
          <w:rFonts w:ascii="Times New Roman" w:eastAsia="Times New Roman" w:hAnsi="Times New Roman" w:cs="Times New Roman"/>
          <w:sz w:val="20"/>
          <w:szCs w:val="20"/>
        </w:rPr>
        <w:t xml:space="preserve"> for water.</w:t>
      </w:r>
    </w:p>
    <w:p w14:paraId="4483B251" w14:textId="77777777" w:rsidR="004E52E3" w:rsidRPr="0092758B" w:rsidRDefault="004E52E3"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2549"/>
        <w:gridCol w:w="2410"/>
      </w:tblGrid>
      <w:tr w:rsidR="0092758B" w:rsidRPr="0092758B" w14:paraId="61F8852B" w14:textId="77777777" w:rsidTr="004E52E3">
        <w:tc>
          <w:tcPr>
            <w:tcW w:w="1845" w:type="dxa"/>
            <w:tcBorders>
              <w:top w:val="single" w:sz="4" w:space="0" w:color="auto"/>
              <w:bottom w:val="single" w:sz="4" w:space="0" w:color="auto"/>
            </w:tcBorders>
            <w:shd w:val="clear" w:color="auto" w:fill="8DB3E2" w:themeFill="text2" w:themeFillTint="66"/>
          </w:tcPr>
          <w:p w14:paraId="0E38D41A"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Group</w:t>
            </w:r>
          </w:p>
        </w:tc>
        <w:tc>
          <w:tcPr>
            <w:tcW w:w="2549" w:type="dxa"/>
            <w:tcBorders>
              <w:top w:val="single" w:sz="4" w:space="0" w:color="auto"/>
              <w:bottom w:val="single" w:sz="4" w:space="0" w:color="auto"/>
            </w:tcBorders>
            <w:shd w:val="clear" w:color="auto" w:fill="8DB3E2" w:themeFill="text2" w:themeFillTint="66"/>
          </w:tcPr>
          <w:p w14:paraId="352D9820"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Concentration (mg/L)</w:t>
            </w:r>
          </w:p>
        </w:tc>
        <w:tc>
          <w:tcPr>
            <w:tcW w:w="2410" w:type="dxa"/>
            <w:tcBorders>
              <w:top w:val="single" w:sz="4" w:space="0" w:color="auto"/>
              <w:bottom w:val="single" w:sz="4" w:space="0" w:color="auto"/>
            </w:tcBorders>
            <w:shd w:val="clear" w:color="auto" w:fill="8DB3E2" w:themeFill="text2" w:themeFillTint="66"/>
          </w:tcPr>
          <w:p w14:paraId="3131E3AF"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Status</w:t>
            </w:r>
          </w:p>
        </w:tc>
      </w:tr>
      <w:tr w:rsidR="0092758B" w:rsidRPr="0092758B" w14:paraId="3E33118F" w14:textId="77777777" w:rsidTr="00882FD8">
        <w:tc>
          <w:tcPr>
            <w:tcW w:w="1845" w:type="dxa"/>
            <w:tcBorders>
              <w:top w:val="single" w:sz="4" w:space="0" w:color="auto"/>
            </w:tcBorders>
          </w:tcPr>
          <w:p w14:paraId="16199F3C"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1</w:t>
            </w:r>
          </w:p>
        </w:tc>
        <w:tc>
          <w:tcPr>
            <w:tcW w:w="2549" w:type="dxa"/>
            <w:tcBorders>
              <w:top w:val="single" w:sz="4" w:space="0" w:color="auto"/>
            </w:tcBorders>
          </w:tcPr>
          <w:p w14:paraId="6FFE87C0"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0 - 456</w:t>
            </w:r>
          </w:p>
        </w:tc>
        <w:tc>
          <w:tcPr>
            <w:tcW w:w="2410" w:type="dxa"/>
            <w:tcBorders>
              <w:top w:val="single" w:sz="4" w:space="0" w:color="auto"/>
            </w:tcBorders>
          </w:tcPr>
          <w:p w14:paraId="12AAD17B"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Very Low</w:t>
            </w:r>
          </w:p>
        </w:tc>
      </w:tr>
      <w:tr w:rsidR="0092758B" w:rsidRPr="0092758B" w14:paraId="18D819FB" w14:textId="77777777" w:rsidTr="00882FD8">
        <w:tc>
          <w:tcPr>
            <w:tcW w:w="1845" w:type="dxa"/>
          </w:tcPr>
          <w:p w14:paraId="4835656E"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2</w:t>
            </w:r>
          </w:p>
        </w:tc>
        <w:tc>
          <w:tcPr>
            <w:tcW w:w="2549" w:type="dxa"/>
          </w:tcPr>
          <w:p w14:paraId="4380F591"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457 - 700</w:t>
            </w:r>
          </w:p>
        </w:tc>
        <w:tc>
          <w:tcPr>
            <w:tcW w:w="2410" w:type="dxa"/>
          </w:tcPr>
          <w:p w14:paraId="455995E4"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Low</w:t>
            </w:r>
          </w:p>
        </w:tc>
      </w:tr>
      <w:tr w:rsidR="0092758B" w:rsidRPr="0092758B" w14:paraId="68CF9EBD" w14:textId="77777777" w:rsidTr="00882FD8">
        <w:tc>
          <w:tcPr>
            <w:tcW w:w="1845" w:type="dxa"/>
          </w:tcPr>
          <w:p w14:paraId="356976F8"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3</w:t>
            </w:r>
          </w:p>
        </w:tc>
        <w:tc>
          <w:tcPr>
            <w:tcW w:w="2549" w:type="dxa"/>
          </w:tcPr>
          <w:p w14:paraId="2A05D832"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701 - 1100</w:t>
            </w:r>
          </w:p>
        </w:tc>
        <w:tc>
          <w:tcPr>
            <w:tcW w:w="2410" w:type="dxa"/>
          </w:tcPr>
          <w:p w14:paraId="3D43B04F"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Moderate</w:t>
            </w:r>
          </w:p>
        </w:tc>
      </w:tr>
      <w:tr w:rsidR="0092758B" w:rsidRPr="0092758B" w14:paraId="6299C229" w14:textId="77777777" w:rsidTr="00882FD8">
        <w:tc>
          <w:tcPr>
            <w:tcW w:w="1845" w:type="dxa"/>
          </w:tcPr>
          <w:p w14:paraId="0009A2EA"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4</w:t>
            </w:r>
          </w:p>
        </w:tc>
        <w:tc>
          <w:tcPr>
            <w:tcW w:w="2549" w:type="dxa"/>
          </w:tcPr>
          <w:p w14:paraId="0CBB8DDA"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1100 - 1500</w:t>
            </w:r>
          </w:p>
        </w:tc>
        <w:tc>
          <w:tcPr>
            <w:tcW w:w="2410" w:type="dxa"/>
          </w:tcPr>
          <w:p w14:paraId="123DA96F"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High</w:t>
            </w:r>
          </w:p>
        </w:tc>
      </w:tr>
      <w:tr w:rsidR="0092758B" w:rsidRPr="0092758B" w14:paraId="21C75898" w14:textId="77777777" w:rsidTr="00882FD8">
        <w:tc>
          <w:tcPr>
            <w:tcW w:w="1845" w:type="dxa"/>
            <w:tcBorders>
              <w:bottom w:val="single" w:sz="4" w:space="0" w:color="auto"/>
            </w:tcBorders>
          </w:tcPr>
          <w:p w14:paraId="3FBA8770"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5</w:t>
            </w:r>
          </w:p>
        </w:tc>
        <w:tc>
          <w:tcPr>
            <w:tcW w:w="2549" w:type="dxa"/>
            <w:tcBorders>
              <w:bottom w:val="single" w:sz="4" w:space="0" w:color="auto"/>
            </w:tcBorders>
          </w:tcPr>
          <w:p w14:paraId="71EAB491"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&gt; 1500</w:t>
            </w:r>
          </w:p>
        </w:tc>
        <w:tc>
          <w:tcPr>
            <w:tcW w:w="2410" w:type="dxa"/>
            <w:tcBorders>
              <w:bottom w:val="single" w:sz="4" w:space="0" w:color="auto"/>
            </w:tcBorders>
          </w:tcPr>
          <w:p w14:paraId="541E198F" w14:textId="77777777" w:rsidR="00C378F7" w:rsidRPr="0092758B" w:rsidRDefault="00C378F7" w:rsidP="004E52E3">
            <w:pPr>
              <w:ind w:leftChars="0" w:left="0" w:firstLineChars="0" w:firstLine="0"/>
              <w:jc w:val="center"/>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Very High</w:t>
            </w:r>
          </w:p>
        </w:tc>
      </w:tr>
    </w:tbl>
    <w:p w14:paraId="259B8B1E" w14:textId="0B6919F7" w:rsidR="00C378F7" w:rsidRPr="0092758B" w:rsidRDefault="00C378F7" w:rsidP="004E52E3">
      <w:pPr>
        <w:pBdr>
          <w:top w:val="nil"/>
          <w:left w:val="nil"/>
          <w:bottom w:val="nil"/>
          <w:right w:val="nil"/>
          <w:between w:val="nil"/>
        </w:pBdr>
        <w:spacing w:after="0" w:line="240" w:lineRule="auto"/>
        <w:ind w:leftChars="0" w:left="722" w:firstLineChars="0" w:firstLine="718"/>
        <w:rPr>
          <w:rFonts w:ascii="Times New Roman" w:eastAsia="Times New Roman" w:hAnsi="Times New Roman" w:cs="Times New Roman"/>
          <w:sz w:val="20"/>
          <w:szCs w:val="20"/>
        </w:rPr>
      </w:pPr>
      <w:r w:rsidRPr="0092758B">
        <w:rPr>
          <w:rFonts w:ascii="Times New Roman" w:eastAsia="Times New Roman" w:hAnsi="Times New Roman" w:cs="Times New Roman"/>
          <w:sz w:val="20"/>
          <w:szCs w:val="20"/>
        </w:rPr>
        <w:t xml:space="preserve">Source: </w:t>
      </w:r>
      <w:r w:rsidRPr="0092758B">
        <w:rPr>
          <w:rFonts w:ascii="Times New Roman" w:eastAsia="Times New Roman" w:hAnsi="Times New Roman" w:cs="Times New Roman"/>
          <w:sz w:val="20"/>
          <w:szCs w:val="20"/>
        </w:rPr>
        <w:fldChar w:fldCharType="begin" w:fldLock="1"/>
      </w:r>
      <w:r w:rsidRPr="0092758B">
        <w:rPr>
          <w:rFonts w:ascii="Times New Roman" w:eastAsia="Times New Roman" w:hAnsi="Times New Roman" w:cs="Times New Roman"/>
          <w:sz w:val="20"/>
          <w:szCs w:val="20"/>
        </w:rPr>
        <w:instrText>ADDIN CSL_CITATION {"citationItems":[{"id":"ITEM-1","itemData":{"author":[{"dropping-particle":"","family":"Prince","given":"Rohan","non-dropping-particle":"","parse-names":false,"suffix":""}],"container-title":"Department of Primary Industries and Regional Development's Agriculture and Food Australia","id":"ITEM-1","issued":{"date-parts":[["2019"]]},"title":"Water salinity and plant irrigation Direct adsorption through leaves","type":"webpage"},"uris":["http://www.mendeley.com/documents/?uuid=14681ad0-28c2-451d-909a-8075d3935efc"]}],"mendeley":{"formattedCitation":"(Prince, 2019)","plainTextFormattedCitation":"(Prince, 2019)","previouslyFormattedCitation":"(Prince, 2019)"},"properties":{"noteIndex":0},"schema":"https://github.com/citation-style-language/schema/raw/master/csl-citation.json"}</w:instrText>
      </w:r>
      <w:r w:rsidRPr="0092758B">
        <w:rPr>
          <w:rFonts w:ascii="Times New Roman" w:eastAsia="Times New Roman" w:hAnsi="Times New Roman" w:cs="Times New Roman"/>
          <w:sz w:val="20"/>
          <w:szCs w:val="20"/>
        </w:rPr>
        <w:fldChar w:fldCharType="separate"/>
      </w:r>
      <w:r w:rsidRPr="0092758B">
        <w:rPr>
          <w:rFonts w:ascii="Times New Roman" w:eastAsia="Times New Roman" w:hAnsi="Times New Roman" w:cs="Times New Roman"/>
          <w:noProof/>
          <w:sz w:val="20"/>
          <w:szCs w:val="20"/>
        </w:rPr>
        <w:t xml:space="preserve">Prince </w:t>
      </w:r>
      <w:r w:rsidR="007F0D85">
        <w:rPr>
          <w:rFonts w:ascii="Times New Roman" w:eastAsia="Times New Roman" w:hAnsi="Times New Roman" w:cs="Times New Roman"/>
          <w:noProof/>
          <w:sz w:val="20"/>
          <w:szCs w:val="20"/>
        </w:rPr>
        <w:t>(</w:t>
      </w:r>
      <w:r w:rsidRPr="0092758B">
        <w:rPr>
          <w:rFonts w:ascii="Times New Roman" w:eastAsia="Times New Roman" w:hAnsi="Times New Roman" w:cs="Times New Roman"/>
          <w:noProof/>
          <w:sz w:val="20"/>
          <w:szCs w:val="20"/>
        </w:rPr>
        <w:t>2019)</w:t>
      </w:r>
      <w:r w:rsidRPr="0092758B">
        <w:rPr>
          <w:rFonts w:ascii="Times New Roman" w:eastAsia="Times New Roman" w:hAnsi="Times New Roman" w:cs="Times New Roman"/>
          <w:sz w:val="20"/>
          <w:szCs w:val="20"/>
        </w:rPr>
        <w:fldChar w:fldCharType="end"/>
      </w:r>
    </w:p>
    <w:p w14:paraId="1CFEF6B8" w14:textId="77777777" w:rsidR="00C378F7" w:rsidRPr="0092758B" w:rsidRDefault="00C378F7"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D405F0A" w14:textId="4A781875" w:rsidR="00E03A8D" w:rsidRDefault="0071126D"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Figure </w:t>
      </w:r>
      <w:r w:rsidR="00B96AC0" w:rsidRPr="0092758B">
        <w:rPr>
          <w:rFonts w:ascii="Times New Roman" w:eastAsia="Times New Roman" w:hAnsi="Times New Roman" w:cs="Times New Roman"/>
          <w:sz w:val="24"/>
          <w:szCs w:val="24"/>
        </w:rPr>
        <w:t>6</w:t>
      </w:r>
      <w:r w:rsidR="001E62FC"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and Figure </w:t>
      </w:r>
      <w:r w:rsidR="00B96AC0" w:rsidRPr="0092758B">
        <w:rPr>
          <w:rFonts w:ascii="Times New Roman" w:eastAsia="Times New Roman" w:hAnsi="Times New Roman" w:cs="Times New Roman"/>
          <w:sz w:val="24"/>
          <w:szCs w:val="24"/>
        </w:rPr>
        <w:t>7</w:t>
      </w:r>
      <w:r w:rsidR="001E62FC"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show the distribution of salinity concentration during low and high tide events for Season 1 2019, respectively. This clearly indicates that the salinity concentration decreases from the early stage to the later stage of paddy growth. The 10 DAS maps show </w:t>
      </w:r>
      <w:r w:rsidR="0060699E" w:rsidRPr="0092758B">
        <w:rPr>
          <w:rFonts w:ascii="Times New Roman" w:eastAsia="Times New Roman" w:hAnsi="Times New Roman" w:cs="Times New Roman"/>
          <w:sz w:val="24"/>
          <w:szCs w:val="24"/>
        </w:rPr>
        <w:t>more than 7</w:t>
      </w:r>
      <w:r w:rsidRPr="0092758B">
        <w:rPr>
          <w:rFonts w:ascii="Times New Roman" w:eastAsia="Times New Roman" w:hAnsi="Times New Roman" w:cs="Times New Roman"/>
          <w:sz w:val="24"/>
          <w:szCs w:val="24"/>
        </w:rPr>
        <w:t xml:space="preserve">0% of the study area faced very high salinity concentration with a value of more than 1100 ppm, which is represented by </w:t>
      </w:r>
      <w:r w:rsidR="000716F3" w:rsidRPr="0092758B">
        <w:rPr>
          <w:rFonts w:ascii="Times New Roman" w:eastAsia="Times New Roman" w:hAnsi="Times New Roman" w:cs="Times New Roman"/>
          <w:sz w:val="24"/>
          <w:szCs w:val="24"/>
        </w:rPr>
        <w:t>brown and pink</w:t>
      </w:r>
      <w:r w:rsidRPr="0092758B">
        <w:rPr>
          <w:rFonts w:ascii="Times New Roman" w:eastAsia="Times New Roman" w:hAnsi="Times New Roman" w:cs="Times New Roman"/>
          <w:sz w:val="24"/>
          <w:szCs w:val="24"/>
        </w:rPr>
        <w:t xml:space="preserve"> color range</w:t>
      </w:r>
      <w:r w:rsidR="00924838" w:rsidRPr="0092758B">
        <w:rPr>
          <w:rFonts w:ascii="Times New Roman" w:eastAsia="Times New Roman" w:hAnsi="Times New Roman" w:cs="Times New Roman"/>
          <w:sz w:val="24"/>
          <w:szCs w:val="24"/>
        </w:rPr>
        <w:t>.</w:t>
      </w:r>
      <w:r w:rsidR="001E62FC" w:rsidRPr="0092758B">
        <w:rPr>
          <w:rFonts w:ascii="Times New Roman" w:eastAsia="Times New Roman" w:hAnsi="Times New Roman" w:cs="Times New Roman"/>
          <w:sz w:val="24"/>
          <w:szCs w:val="24"/>
        </w:rPr>
        <w:t xml:space="preserve"> </w:t>
      </w:r>
      <w:r w:rsidR="00C378F7" w:rsidRPr="0092758B">
        <w:rPr>
          <w:rFonts w:ascii="Times New Roman" w:eastAsia="Times New Roman" w:hAnsi="Times New Roman" w:cs="Times New Roman"/>
          <w:sz w:val="24"/>
          <w:szCs w:val="24"/>
        </w:rPr>
        <w:t>This situation illustrates that the existence of saltwater in paddy fields is due to tidal events and also the driving factor which is heavy rain due to the highest tide height and the amount of rainfall recorded in May 2019 which fell during the 10 DAS period</w:t>
      </w:r>
      <w:r w:rsidR="00882FD8" w:rsidRPr="0092758B">
        <w:rPr>
          <w:rFonts w:ascii="Times New Roman" w:eastAsia="Times New Roman" w:hAnsi="Times New Roman" w:cs="Times New Roman"/>
          <w:sz w:val="24"/>
          <w:szCs w:val="24"/>
        </w:rPr>
        <w:t xml:space="preserve"> as reported by </w:t>
      </w:r>
      <w:r w:rsidR="00882FD8" w:rsidRPr="0092758B">
        <w:rPr>
          <w:rFonts w:ascii="Times New Roman" w:eastAsia="Times New Roman" w:hAnsi="Times New Roman" w:cs="Times New Roman"/>
          <w:sz w:val="24"/>
          <w:szCs w:val="24"/>
        </w:rPr>
        <w:fldChar w:fldCharType="begin" w:fldLock="1"/>
      </w:r>
      <w:r w:rsidR="00263400" w:rsidRPr="0092758B">
        <w:rPr>
          <w:rFonts w:ascii="Times New Roman" w:eastAsia="Times New Roman" w:hAnsi="Times New Roman" w:cs="Times New Roman"/>
          <w:sz w:val="24"/>
          <w:szCs w:val="24"/>
        </w:rPr>
        <w:instrText>ADDIN CSL_CITATION {"citationItems":[{"id":"ITEM-1","itemData":{"DOI":"10.2112/JCOASTRES-D-12-00135.1","ISSN":"07490208","abstract":"Salinity intrusion is one of the major problems in the Sumjin River Estuary (SRE). An unstructured-grid finite-volume coastal ocean model (FVCOM) was used to investigate the influence of different river discharges and tide driven sea level variation on salinity intrusion in the SRE. The variation of salt intrusion was predicted according to the variation of sea level driven by tide along the open boundary and the river discharge upstream. The model simulation results are in qualitative agreement with the available field data. The model provided a skilled reproduction of the observed temporal and spatial variability in salinity. The ebb flow is seaward from upstream to the mouth of the SRE. The river discharge is a dominant factor affecting salinity intrusion in this estuarine system during the wet season. A power law function has been established between the distance of salt intrusion and river discharge. The salt intrusion length responding to constant river discharges generally follows a power law of-0.14. In contrast, the salt intrusion length shows a better relationship with intratidal sea level variation at low river discharge. This model result allows us to predict salt intrusion in an estuary according to the variation of sea level and river discharge with climate change. © Coastal Education &amp; Research Foundation 2013.","author":[{"dropping-particle":"","family":"Shaha","given":"Dinesh Chandra","non-dropping-particle":"","parse-names":false,"suffix":""},{"dropping-particle":"","family":"Cho","given":"Yang Ki","non-dropping-particle":"","parse-names":false,"suffix":""},{"dropping-particle":"","family":"Kim","given":"Tae Wan","non-dropping-particle":"","parse-names":false,"suffix":""}],"container-title":"Journal of Coastal Research","id":"ITEM-1","issue":"2","issued":{"date-parts":[["2013"]]},"page":"460-470","title":"Effects of river discharge and tide driven sea level variation on saltwater intrusion in sumjin river estuary: An application of finite-volume coastal ocean model","type":"article-journal","volume":"29"},"uris":["http://www.mendeley.com/documents/?uuid=a1a08d41-b404-4bef-8267-a2388e156e86"]},{"id":"ITEM-2","itemData":{"DOI":"10.5194/hess-17-679-2013","ISSN":"10275606","abstract":"Coastal cities are particularly vulnerable to flood under multivariable conditions, such as heavy precipitation, high sea levels, and storms. The combined effect of multiple sources and the joint probability of extremes should be considered to assess and manage flood risk better. This paper aims to study the combined effect of rainfall and the tidal level of the receiving water body on flood probability and severity in Fuzhou City, which has a complex river network. Flood severity under a range of precipitation intensities, with return periods (RPs) of 5 yr to 100 yr, and tidal levels was assessed through a hydrodynamic model verified by data observed during Typhoon Longwang in 2005. According to the percentages of the river network where flooding occurred, the threshold conditions for flood severity were estimated in two scenarios: with and without working pumps. In Fuzhou City, working pumps efficiently reduce flood risk from precipitation within a 20-yr RP. However, the pumps may not work efficiently when rainfall exceeds a 100-yr RP because of the limited conveyance capacity of the river network. Joint risk probability was estimated through the optimal copula. The joint probability of rainfall and tidal level both exceeding their threshold values is very low, and the greatest threat in Fuzhou comes from heavy rainfall. However, the tidal level poses an extra risk of flood. Given that this extra risk is ignored in the design of flood defense in Fuzhou, flood frequency and severity may be higher than understood during design. © Author(s) 2013. CC Attribution 3.0 License.","author":[{"dropping-particle":"","family":"Lian","given":"J. J.","non-dropping-particle":"","parse-names":false,"suffix":""},{"dropping-particle":"","family":"Xu","given":"K.","non-dropping-particle":"","parse-names":false,"suffix":""},{"dropping-particle":"","family":"Ma","given":"C.","non-dropping-particle":"","parse-names":false,"suffix":""}],"container-title":"Hydrology and Earth System Sciences","id":"ITEM-2","issue":"2","issued":{"date-parts":[["2013"]]},"page":"679-689","title":"Joint impact of rainfall and tidal level on flood risk in a coastal city with a complex river network: A case study of Fuzhou City, China","type":"article-journal","volume":"17"},"uris":["http://www.mendeley.com/documents/?uuid=250ddc18-879e-4944-a1ba-aad3b6c9eecd"]}],"mendeley":{"formattedCitation":"(Lian, Xu, &amp; Ma, 2013; Shaha, Cho, &amp; Kim, 2013)","plainTextFormattedCitation":"(Lian, Xu, &amp; Ma, 2013; Shaha, Cho, &amp; Kim, 2013)","previouslyFormattedCitation":"(Lian, Xu, &amp; Ma, 2013; Shaha, Cho, &amp; Kim, 2013)"},"properties":{"noteIndex":0},"schema":"https://github.com/citation-style-language/schema/raw/master/csl-citation.json"}</w:instrText>
      </w:r>
      <w:r w:rsidR="00882FD8" w:rsidRPr="0092758B">
        <w:rPr>
          <w:rFonts w:ascii="Times New Roman" w:eastAsia="Times New Roman" w:hAnsi="Times New Roman" w:cs="Times New Roman"/>
          <w:sz w:val="24"/>
          <w:szCs w:val="24"/>
        </w:rPr>
        <w:fldChar w:fldCharType="separate"/>
      </w:r>
      <w:r w:rsidR="00882FD8" w:rsidRPr="0092758B">
        <w:rPr>
          <w:rFonts w:ascii="Times New Roman" w:eastAsia="Times New Roman" w:hAnsi="Times New Roman" w:cs="Times New Roman"/>
          <w:noProof/>
          <w:sz w:val="24"/>
          <w:szCs w:val="24"/>
        </w:rPr>
        <w:t>(Lian, Xu, &amp; Ma, 2013; Shaha, Cho, &amp; Kim, 2013)</w:t>
      </w:r>
      <w:r w:rsidR="00882FD8" w:rsidRPr="0092758B">
        <w:rPr>
          <w:rFonts w:ascii="Times New Roman" w:eastAsia="Times New Roman" w:hAnsi="Times New Roman" w:cs="Times New Roman"/>
          <w:sz w:val="24"/>
          <w:szCs w:val="24"/>
        </w:rPr>
        <w:fldChar w:fldCharType="end"/>
      </w:r>
      <w:r w:rsidR="00882FD8" w:rsidRPr="0092758B">
        <w:rPr>
          <w:rFonts w:ascii="Times New Roman" w:eastAsia="Times New Roman" w:hAnsi="Times New Roman" w:cs="Times New Roman"/>
          <w:sz w:val="24"/>
          <w:szCs w:val="24"/>
        </w:rPr>
        <w:t xml:space="preserve">. They found that </w:t>
      </w:r>
      <w:r w:rsidR="00CE2C87" w:rsidRPr="0092758B">
        <w:rPr>
          <w:rFonts w:ascii="Times New Roman" w:eastAsia="Times New Roman" w:hAnsi="Times New Roman" w:cs="Times New Roman"/>
          <w:sz w:val="24"/>
          <w:szCs w:val="24"/>
        </w:rPr>
        <w:t xml:space="preserve">these </w:t>
      </w:r>
      <w:r w:rsidR="00882FD8" w:rsidRPr="0092758B">
        <w:rPr>
          <w:rFonts w:ascii="Times New Roman" w:eastAsia="Times New Roman" w:hAnsi="Times New Roman" w:cs="Times New Roman"/>
          <w:sz w:val="24"/>
          <w:szCs w:val="24"/>
        </w:rPr>
        <w:t xml:space="preserve">two factors played a </w:t>
      </w:r>
      <w:r w:rsidR="00CE2C87" w:rsidRPr="0092758B">
        <w:rPr>
          <w:rFonts w:ascii="Times New Roman" w:eastAsia="Times New Roman" w:hAnsi="Times New Roman" w:cs="Times New Roman"/>
          <w:sz w:val="24"/>
          <w:szCs w:val="24"/>
        </w:rPr>
        <w:t xml:space="preserve">significant </w:t>
      </w:r>
      <w:r w:rsidR="00882FD8" w:rsidRPr="0092758B">
        <w:rPr>
          <w:rFonts w:ascii="Times New Roman" w:eastAsia="Times New Roman" w:hAnsi="Times New Roman" w:cs="Times New Roman"/>
          <w:sz w:val="24"/>
          <w:szCs w:val="24"/>
        </w:rPr>
        <w:t>role in the flood phenomenon</w:t>
      </w:r>
      <w:r w:rsidR="00CE2C87" w:rsidRPr="0092758B">
        <w:rPr>
          <w:rFonts w:ascii="Times New Roman" w:eastAsia="Times New Roman" w:hAnsi="Times New Roman" w:cs="Times New Roman"/>
          <w:sz w:val="24"/>
          <w:szCs w:val="24"/>
        </w:rPr>
        <w:t>,</w:t>
      </w:r>
      <w:r w:rsidR="00882FD8" w:rsidRPr="0092758B">
        <w:rPr>
          <w:rFonts w:ascii="Times New Roman" w:eastAsia="Times New Roman" w:hAnsi="Times New Roman" w:cs="Times New Roman"/>
          <w:sz w:val="24"/>
          <w:szCs w:val="24"/>
        </w:rPr>
        <w:t xml:space="preserve"> especially in the estuary and coastal areas.</w:t>
      </w:r>
    </w:p>
    <w:p w14:paraId="7D5B83EE" w14:textId="77777777" w:rsidR="004E52E3" w:rsidRPr="0092758B" w:rsidRDefault="004E52E3"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0"/>
          <w:szCs w:val="20"/>
        </w:rPr>
      </w:pPr>
    </w:p>
    <w:p w14:paraId="3097F42F" w14:textId="79056ACD" w:rsidR="00E03A8D" w:rsidRPr="0092758B" w:rsidRDefault="00E7658E"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61312" behindDoc="0" locked="0" layoutInCell="1" allowOverlap="1" wp14:anchorId="5FDF2A6A" wp14:editId="1C4AD2E1">
                <wp:simplePos x="0" y="0"/>
                <wp:positionH relativeFrom="column">
                  <wp:posOffset>228600</wp:posOffset>
                </wp:positionH>
                <wp:positionV relativeFrom="paragraph">
                  <wp:posOffset>260350</wp:posOffset>
                </wp:positionV>
                <wp:extent cx="4371975" cy="476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719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00ADB" w14:textId="77777777"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DF2A6A" id="_x0000_t202" coordsize="21600,21600" o:spt="202" path="m,l,21600r21600,l21600,xe">
                <v:stroke joinstyle="miter"/>
                <v:path gradientshapeok="t" o:connecttype="rect"/>
              </v:shapetype>
              <v:shape id="Text Box 9" o:spid="_x0000_s1026" type="#_x0000_t202" style="position:absolute;left:0;text-align:left;margin-left:18pt;margin-top:20.5pt;width:344.2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" filled="f" stroked="f" strokeweight=".5pt">
                <v:textbox>
                  <w:txbxContent>
                    <w:p w14:paraId="52C00ADB" w14:textId="77777777"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v:textbox>
              </v:shape>
            </w:pict>
          </mc:Fallback>
        </mc:AlternateContent>
      </w:r>
      <w:r w:rsidR="00E03A8D" w:rsidRPr="0092758B">
        <w:rPr>
          <w:rFonts w:ascii="Times New Roman" w:eastAsia="Times New Roman" w:hAnsi="Times New Roman" w:cs="Times New Roman"/>
          <w:noProof/>
          <w:sz w:val="24"/>
          <w:szCs w:val="24"/>
          <w:lang w:val="en-MY" w:eastAsia="en-MY"/>
        </w:rPr>
        <w:drawing>
          <wp:inline distT="0" distB="0" distL="0" distR="0" wp14:anchorId="4B2DD0A2" wp14:editId="5EE780DE">
            <wp:extent cx="4941570" cy="24998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964" t="2672" r="2122" b="28662"/>
                    <a:stretch/>
                  </pic:blipFill>
                  <pic:spPr bwMode="auto">
                    <a:xfrm>
                      <a:off x="0" y="0"/>
                      <a:ext cx="4941570" cy="2499839"/>
                    </a:xfrm>
                    <a:prstGeom prst="rect">
                      <a:avLst/>
                    </a:prstGeom>
                    <a:ln>
                      <a:noFill/>
                    </a:ln>
                    <a:extLst>
                      <a:ext uri="{53640926-AAD7-44D8-BBD7-CCE9431645EC}">
                        <a14:shadowObscured xmlns:a14="http://schemas.microsoft.com/office/drawing/2010/main"/>
                      </a:ext>
                    </a:extLst>
                  </pic:spPr>
                </pic:pic>
              </a:graphicData>
            </a:graphic>
          </wp:inline>
        </w:drawing>
      </w:r>
      <w:r w:rsidR="00E03A8D" w:rsidRPr="0092758B">
        <w:rPr>
          <w:rFonts w:ascii="Times New Roman" w:eastAsia="Times New Roman" w:hAnsi="Times New Roman" w:cs="Times New Roman"/>
          <w:noProof/>
          <w:sz w:val="24"/>
          <w:szCs w:val="24"/>
          <w:lang w:val="en-MY" w:eastAsia="en-MY"/>
        </w:rPr>
        <w:drawing>
          <wp:inline distT="0" distB="0" distL="0" distR="0" wp14:anchorId="515116B4" wp14:editId="0C701222">
            <wp:extent cx="985020" cy="2324352"/>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a:extLst>
                        <a:ext uri="{28A0092B-C50C-407E-A947-70E740481C1C}">
                          <a14:useLocalDpi xmlns:a14="http://schemas.microsoft.com/office/drawing/2010/main" val="0"/>
                        </a:ext>
                      </a:extLst>
                    </a:blip>
                    <a:srcRect l="12902"/>
                    <a:stretch/>
                  </pic:blipFill>
                  <pic:spPr bwMode="auto">
                    <a:xfrm>
                      <a:off x="0" y="0"/>
                      <a:ext cx="985020" cy="2324352"/>
                    </a:xfrm>
                    <a:prstGeom prst="rect">
                      <a:avLst/>
                    </a:prstGeom>
                    <a:ln>
                      <a:noFill/>
                    </a:ln>
                    <a:extLst>
                      <a:ext uri="{53640926-AAD7-44D8-BBD7-CCE9431645EC}">
                        <a14:shadowObscured xmlns:a14="http://schemas.microsoft.com/office/drawing/2010/main"/>
                      </a:ext>
                    </a:extLst>
                  </pic:spPr>
                </pic:pic>
              </a:graphicData>
            </a:graphic>
          </wp:inline>
        </w:drawing>
      </w:r>
    </w:p>
    <w:p w14:paraId="72F239DE" w14:textId="06F57779" w:rsidR="0071126D" w:rsidRPr="0092758B" w:rsidRDefault="0071126D"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t xml:space="preserve">Figure </w:t>
      </w:r>
      <w:r w:rsidR="00B96AC0" w:rsidRPr="0092758B">
        <w:rPr>
          <w:rFonts w:ascii="Times New Roman" w:eastAsia="Times New Roman" w:hAnsi="Times New Roman" w:cs="Times New Roman"/>
          <w:b/>
          <w:bCs/>
          <w:sz w:val="20"/>
          <w:szCs w:val="20"/>
        </w:rPr>
        <w:t>6</w:t>
      </w:r>
      <w:r w:rsidRPr="0092758B">
        <w:rPr>
          <w:rFonts w:ascii="Times New Roman" w:eastAsia="Times New Roman" w:hAnsi="Times New Roman" w:cs="Times New Roman"/>
          <w:b/>
          <w:bCs/>
          <w:sz w:val="20"/>
          <w:szCs w:val="20"/>
        </w:rPr>
        <w:t>.</w:t>
      </w:r>
      <w:r w:rsidRPr="0092758B">
        <w:rPr>
          <w:rFonts w:ascii="Times New Roman" w:eastAsia="Times New Roman" w:hAnsi="Times New Roman" w:cs="Times New Roman"/>
          <w:sz w:val="20"/>
          <w:szCs w:val="20"/>
        </w:rPr>
        <w:t xml:space="preserve"> Water salinity variability maps during low tide events on (a) 10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(b) 40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and (c) 60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for Season 1-2019</w:t>
      </w:r>
      <w:r w:rsidR="00135C76">
        <w:rPr>
          <w:rFonts w:ascii="Times New Roman" w:eastAsia="Times New Roman" w:hAnsi="Times New Roman" w:cs="Times New Roman"/>
          <w:sz w:val="20"/>
          <w:szCs w:val="20"/>
        </w:rPr>
        <w:t>.</w:t>
      </w:r>
    </w:p>
    <w:p w14:paraId="51A2DC7A" w14:textId="1E8111AF" w:rsidR="0071126D" w:rsidRPr="0092758B" w:rsidRDefault="00727D39"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w:lastRenderedPageBreak/>
        <mc:AlternateContent>
          <mc:Choice Requires="wps">
            <w:drawing>
              <wp:anchor distT="0" distB="0" distL="114300" distR="114300" simplePos="0" relativeHeight="251659264" behindDoc="0" locked="0" layoutInCell="1" allowOverlap="1" wp14:anchorId="58903061" wp14:editId="125DEA2E">
                <wp:simplePos x="0" y="0"/>
                <wp:positionH relativeFrom="column">
                  <wp:posOffset>190500</wp:posOffset>
                </wp:positionH>
                <wp:positionV relativeFrom="paragraph">
                  <wp:posOffset>257175</wp:posOffset>
                </wp:positionV>
                <wp:extent cx="4371975" cy="476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3719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F8246" w14:textId="63AFBA73" w:rsidR="00727D39" w:rsidRPr="00E7658E" w:rsidRDefault="00727D39">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903061" id="Text Box 8" o:spid="_x0000_s1027" type="#_x0000_t202" style="position:absolute;left:0;text-align:left;margin-left:15pt;margin-top:20.25pt;width:344.2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" filled="f" stroked="f" strokeweight=".5pt">
                <v:textbox>
                  <w:txbxContent>
                    <w:p w14:paraId="1FCF8246" w14:textId="63AFBA73" w:rsidR="00727D39" w:rsidRPr="00E7658E" w:rsidRDefault="00727D39">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v:textbox>
              </v:shape>
            </w:pict>
          </mc:Fallback>
        </mc:AlternateContent>
      </w:r>
      <w:r w:rsidR="009544E0" w:rsidRPr="0092758B">
        <w:rPr>
          <w:rFonts w:ascii="Times New Roman" w:eastAsia="Times New Roman" w:hAnsi="Times New Roman" w:cs="Times New Roman"/>
          <w:noProof/>
          <w:sz w:val="24"/>
          <w:szCs w:val="24"/>
          <w:lang w:val="en-MY" w:eastAsia="en-MY"/>
        </w:rPr>
        <w:drawing>
          <wp:inline distT="0" distB="0" distL="0" distR="0" wp14:anchorId="7CB7DB09" wp14:editId="354D1805">
            <wp:extent cx="4939200" cy="2494800"/>
            <wp:effectExtent l="0" t="0" r="127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9">
                      <a:extLst>
                        <a:ext uri="{28A0092B-C50C-407E-A947-70E740481C1C}">
                          <a14:useLocalDpi xmlns:a14="http://schemas.microsoft.com/office/drawing/2010/main" val="0"/>
                        </a:ext>
                      </a:extLst>
                    </a:blip>
                    <a:srcRect l="1636" t="2780" r="1629" b="29588"/>
                    <a:stretch/>
                  </pic:blipFill>
                  <pic:spPr bwMode="auto">
                    <a:xfrm>
                      <a:off x="0" y="0"/>
                      <a:ext cx="4939200" cy="2494800"/>
                    </a:xfrm>
                    <a:prstGeom prst="rect">
                      <a:avLst/>
                    </a:prstGeom>
                    <a:ln>
                      <a:noFill/>
                    </a:ln>
                    <a:extLst>
                      <a:ext uri="{53640926-AAD7-44D8-BBD7-CCE9431645EC}">
                        <a14:shadowObscured xmlns:a14="http://schemas.microsoft.com/office/drawing/2010/main"/>
                      </a:ext>
                    </a:extLst>
                  </pic:spPr>
                </pic:pic>
              </a:graphicData>
            </a:graphic>
          </wp:inline>
        </w:drawing>
      </w:r>
      <w:r w:rsidR="00E03A8D" w:rsidRPr="0092758B">
        <w:rPr>
          <w:rFonts w:ascii="Times New Roman" w:eastAsia="Times New Roman" w:hAnsi="Times New Roman" w:cs="Times New Roman"/>
          <w:noProof/>
          <w:sz w:val="24"/>
          <w:szCs w:val="24"/>
          <w:lang w:val="en-MY" w:eastAsia="en-MY"/>
        </w:rPr>
        <w:drawing>
          <wp:inline distT="0" distB="0" distL="0" distR="0" wp14:anchorId="2897807C" wp14:editId="198F8AB5">
            <wp:extent cx="984885" cy="241246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a:extLst>
                        <a:ext uri="{28A0092B-C50C-407E-A947-70E740481C1C}">
                          <a14:useLocalDpi xmlns:a14="http://schemas.microsoft.com/office/drawing/2010/main" val="0"/>
                        </a:ext>
                      </a:extLst>
                    </a:blip>
                    <a:srcRect l="12902" b="-3805"/>
                    <a:stretch/>
                  </pic:blipFill>
                  <pic:spPr bwMode="auto">
                    <a:xfrm>
                      <a:off x="0" y="0"/>
                      <a:ext cx="985020" cy="2412791"/>
                    </a:xfrm>
                    <a:prstGeom prst="rect">
                      <a:avLst/>
                    </a:prstGeom>
                    <a:ln>
                      <a:noFill/>
                    </a:ln>
                    <a:extLst>
                      <a:ext uri="{53640926-AAD7-44D8-BBD7-CCE9431645EC}">
                        <a14:shadowObscured xmlns:a14="http://schemas.microsoft.com/office/drawing/2010/main"/>
                      </a:ext>
                    </a:extLst>
                  </pic:spPr>
                </pic:pic>
              </a:graphicData>
            </a:graphic>
          </wp:inline>
        </w:drawing>
      </w:r>
    </w:p>
    <w:p w14:paraId="6FF124A3" w14:textId="6814F485" w:rsidR="0071126D" w:rsidRPr="0092758B" w:rsidRDefault="0071126D"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t xml:space="preserve">Figure </w:t>
      </w:r>
      <w:r w:rsidR="00B96AC0" w:rsidRPr="0092758B">
        <w:rPr>
          <w:rFonts w:ascii="Times New Roman" w:eastAsia="Times New Roman" w:hAnsi="Times New Roman" w:cs="Times New Roman"/>
          <w:b/>
          <w:bCs/>
          <w:sz w:val="20"/>
          <w:szCs w:val="20"/>
        </w:rPr>
        <w:t>7</w:t>
      </w:r>
      <w:r w:rsidRPr="0092758B">
        <w:rPr>
          <w:rFonts w:ascii="Times New Roman" w:eastAsia="Times New Roman" w:hAnsi="Times New Roman" w:cs="Times New Roman"/>
          <w:b/>
          <w:bCs/>
          <w:sz w:val="20"/>
          <w:szCs w:val="20"/>
        </w:rPr>
        <w:t>.</w:t>
      </w:r>
      <w:r w:rsidRPr="0092758B">
        <w:rPr>
          <w:rFonts w:ascii="Times New Roman" w:eastAsia="Times New Roman" w:hAnsi="Times New Roman" w:cs="Times New Roman"/>
          <w:sz w:val="20"/>
          <w:szCs w:val="20"/>
        </w:rPr>
        <w:t xml:space="preserve"> Water salinity variability maps during high tide events on (a) 10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(b) 40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and (c) 60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for Season 1-2019</w:t>
      </w:r>
      <w:r w:rsidR="00135C76">
        <w:rPr>
          <w:rFonts w:ascii="Times New Roman" w:eastAsia="Times New Roman" w:hAnsi="Times New Roman" w:cs="Times New Roman"/>
          <w:sz w:val="20"/>
          <w:szCs w:val="20"/>
        </w:rPr>
        <w:t>.</w:t>
      </w:r>
    </w:p>
    <w:p w14:paraId="111765C6" w14:textId="77777777"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9A8076A" w14:textId="344080DA" w:rsidR="0071126D" w:rsidRPr="0092758B" w:rsidRDefault="0071126D"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However, during Season 2 2019, the trend changed as salinity concentrations increased throughout the rice cultivation cycle. According to Figure </w:t>
      </w:r>
      <w:r w:rsidR="00B96AC0" w:rsidRPr="0092758B">
        <w:rPr>
          <w:rFonts w:ascii="Times New Roman" w:eastAsia="Times New Roman" w:hAnsi="Times New Roman" w:cs="Times New Roman"/>
          <w:sz w:val="24"/>
          <w:szCs w:val="24"/>
        </w:rPr>
        <w:t>8</w:t>
      </w:r>
      <w:r w:rsidRPr="0092758B">
        <w:rPr>
          <w:rFonts w:ascii="Times New Roman" w:eastAsia="Times New Roman" w:hAnsi="Times New Roman" w:cs="Times New Roman"/>
          <w:sz w:val="24"/>
          <w:szCs w:val="24"/>
        </w:rPr>
        <w:t xml:space="preserve"> and Figure </w:t>
      </w:r>
      <w:r w:rsidR="00B96AC0" w:rsidRPr="0092758B">
        <w:rPr>
          <w:rFonts w:ascii="Times New Roman" w:eastAsia="Times New Roman" w:hAnsi="Times New Roman" w:cs="Times New Roman"/>
          <w:sz w:val="24"/>
          <w:szCs w:val="24"/>
        </w:rPr>
        <w:t>9</w:t>
      </w:r>
      <w:r w:rsidR="001E62FC" w:rsidRPr="0092758B">
        <w:rPr>
          <w:rFonts w:ascii="Times New Roman" w:eastAsia="Times New Roman" w:hAnsi="Times New Roman" w:cs="Times New Roman"/>
          <w:sz w:val="24"/>
          <w:szCs w:val="24"/>
        </w:rPr>
        <w:t>,</w:t>
      </w:r>
      <w:r w:rsidRPr="0092758B">
        <w:rPr>
          <w:rFonts w:ascii="Times New Roman" w:eastAsia="Times New Roman" w:hAnsi="Times New Roman" w:cs="Times New Roman"/>
          <w:sz w:val="24"/>
          <w:szCs w:val="24"/>
        </w:rPr>
        <w:t xml:space="preserve"> the highest salinity concentrations were spotted on 60 DAS for both tidal events</w:t>
      </w:r>
      <w:r w:rsidR="00882FD8" w:rsidRPr="0092758B">
        <w:rPr>
          <w:rFonts w:ascii="Times New Roman" w:eastAsia="Times New Roman" w:hAnsi="Times New Roman" w:cs="Times New Roman"/>
          <w:sz w:val="24"/>
          <w:szCs w:val="24"/>
        </w:rPr>
        <w:t xml:space="preserve"> which is contradict</w:t>
      </w:r>
      <w:r w:rsidR="00CE2C87" w:rsidRPr="0092758B">
        <w:rPr>
          <w:rFonts w:ascii="Times New Roman" w:eastAsia="Times New Roman" w:hAnsi="Times New Roman" w:cs="Times New Roman"/>
          <w:sz w:val="24"/>
          <w:szCs w:val="24"/>
        </w:rPr>
        <w:t>ing</w:t>
      </w:r>
      <w:r w:rsidR="00882FD8" w:rsidRPr="0092758B">
        <w:rPr>
          <w:rFonts w:ascii="Times New Roman" w:eastAsia="Times New Roman" w:hAnsi="Times New Roman" w:cs="Times New Roman"/>
          <w:sz w:val="24"/>
          <w:szCs w:val="24"/>
        </w:rPr>
        <w:t xml:space="preserve"> with the high tide events occurred on 10 DAS period (October 2019). This situation occurred due to the lower rainfall intensity on 60 DAS </w:t>
      </w:r>
      <w:r w:rsidR="00263400" w:rsidRPr="0092758B">
        <w:rPr>
          <w:rFonts w:ascii="Times New Roman" w:eastAsia="Times New Roman" w:hAnsi="Times New Roman" w:cs="Times New Roman"/>
          <w:sz w:val="24"/>
          <w:szCs w:val="24"/>
        </w:rPr>
        <w:t>that produces</w:t>
      </w:r>
      <w:r w:rsidR="00882FD8" w:rsidRPr="0092758B">
        <w:rPr>
          <w:rFonts w:ascii="Times New Roman" w:eastAsia="Times New Roman" w:hAnsi="Times New Roman" w:cs="Times New Roman"/>
          <w:sz w:val="24"/>
          <w:szCs w:val="24"/>
        </w:rPr>
        <w:t xml:space="preserve"> higher salinity concentration </w:t>
      </w:r>
      <w:r w:rsidR="00263400" w:rsidRPr="0092758B">
        <w:rPr>
          <w:rFonts w:ascii="Times New Roman" w:eastAsia="Times New Roman" w:hAnsi="Times New Roman" w:cs="Times New Roman"/>
          <w:sz w:val="24"/>
          <w:szCs w:val="24"/>
        </w:rPr>
        <w:t xml:space="preserve">in this area. The salinity concentration in water significantly affected by </w:t>
      </w:r>
      <w:r w:rsidR="00CE2C87" w:rsidRPr="0092758B">
        <w:rPr>
          <w:rFonts w:ascii="Times New Roman" w:eastAsia="Times New Roman" w:hAnsi="Times New Roman" w:cs="Times New Roman"/>
          <w:sz w:val="24"/>
          <w:szCs w:val="24"/>
        </w:rPr>
        <w:t xml:space="preserve">the </w:t>
      </w:r>
      <w:r w:rsidR="00263400" w:rsidRPr="0092758B">
        <w:rPr>
          <w:rFonts w:ascii="Times New Roman" w:eastAsia="Times New Roman" w:hAnsi="Times New Roman" w:cs="Times New Roman"/>
          <w:sz w:val="24"/>
          <w:szCs w:val="24"/>
        </w:rPr>
        <w:t xml:space="preserve">dry season as claimed by </w:t>
      </w:r>
      <w:r w:rsidR="00263400" w:rsidRPr="0092758B">
        <w:rPr>
          <w:rFonts w:ascii="Times New Roman" w:eastAsia="Times New Roman" w:hAnsi="Times New Roman" w:cs="Times New Roman"/>
          <w:sz w:val="24"/>
          <w:szCs w:val="24"/>
        </w:rPr>
        <w:fldChar w:fldCharType="begin" w:fldLock="1"/>
      </w:r>
      <w:r w:rsidR="00263400" w:rsidRPr="0092758B">
        <w:rPr>
          <w:rFonts w:ascii="Times New Roman" w:eastAsia="Times New Roman" w:hAnsi="Times New Roman" w:cs="Times New Roman"/>
          <w:sz w:val="24"/>
          <w:szCs w:val="24"/>
        </w:rPr>
        <w:instrText>ADDIN CSL_CITATION {"citationItems":[{"id":"ITEM-1","itemData":{"ISSN":"18449166","abstract":"This study aimed to monitor the water quality in Sri Tujuh lagoon during monsoon and dry seasons, as well as the impact of the two seasons on the production of Asian seabass (Lates calcarifer). The water quality parameters such as temperature, pH, dissolved oxygen (DO), salinity, conductivity, turbidity and total dissolved solid of Sri Tujuh lagoon were assessed using water samples collected from 13 sampling points at 1ft, 4ft and 7ft water depth during dry season (March-August 2014) and monsoon (September-November 2014). Fish mortality was recorded from Asian seabass farmers in the lagoon. Water quality data during dry seasoon and monsoon was compared using T-Test and data from 3 different depths was analysed by using One Way Anova followed by Tukey test at p &lt; 0.05. The water parameters in dry season, monsoon season, combination of dry and monsoon season were subjected to Pearson correlation analysis separately and a matrix was tabulated. Water parameters were also subjected to cluster analysis by using Ward’s method with squared Euclidean distances as a measure of similarity. In the present study Ward’s method was used ANOVA followed by Tukey post hoc in order to minimize the sum of squares. The result was represented by a dendrogram. The findings of the present study showed water parameters such as DO, salinity and turbidity were significantly different between dry and monsoon seasons. However no significant difference was found in term of fish mortality. The water parameters of Sri Tujuh lagoon during the study were as follow: temperature 29.4-33.3 oC; pH 7.0-9.3; DO 0.8-6.8 mg L-1; salinity 10.7-31.3 ppt; conductivity 17.5-50.5 μs cm-1; turbidity 5.4-59.8 NTU; TDS 23.3-32 ppt. The fish mortality was recorded ranging from 9.3 to 15.5% from March to November, 2014. The positive and significance (p &lt; 0.01) correlation was recorded between temperature and pH (0.434), temperature and DO (0.472), DO and pH (0.315), salinity and pH (0.615), conductivity and pH (0.595), conductivity and salinity (0.992), TDS and pH (0.340), TDS and salinity (0.322) and TDS and conductivity (0.322). Fish mortality showed no correlation with all water parameters changing in the whole study at Sri Tujuh lagoon. Based on the water parameter records from 13 sampling stations, the sampling stations can be divided into 5 clusters. Cluster 1 possesses the greatest number of stations namely S3, S4, S6, S7, S8, S11 and S12 whereas Cluster 2 has S1, S10 and S13. Only one station was…","author":[{"dropping-particle":"","family":"Abdullah","given":"Hamidi Husnin","non-dropping-particle":"","parse-names":false,"suffix":""},{"dropping-particle":"","family":"Rak","given":"Aweng Eh","non-dropping-particle":"","parse-names":false,"suffix":""},{"dropping-particle":"","family":"Wei","given":"Lee Seong","non-dropping-particle":"","parse-names":false,"suffix":""}],"container-title":"AACL Bioflux","id":"ITEM-1","issue":"1","issued":{"date-parts":[["2018"]]},"page":"167-183","title":"The impacts of monsoon and dry seasons on physical water quality changes and farmed Asian seabass Lates calcarifer (Bloch, 1790) mortality at Sri Tujuh lagoon, Tumpat, Kelantan, Malaysia","type":"article-journal","volume":"11"},"uris":["http://www.mendeley.com/documents/?uuid=f949e01d-60b6-40a5-b72f-d26326423cd2"]},{"id":"ITEM-2","itemData":{"DOI":"10.1155/2015/905190","ISSN":"20909071","abstract":"The coastline of China is approximately 18,000 km long. In most coastal cities, seawater intrusion is a serious threat to groundwater resources. Nine shallow monitoring wells were constructed to study the dynamics of shallow groundwater level and salinity in the coastal plain region of Jiangsu province, China. Results showed that precipitation, evaporation, and river stage affected the groundwater level in our study area. Positive correlations were observed among the groundwater level, precipitation, and river stage; then negative correlation existed between the groundwater level and evaporation. The influencing factors on the groundwater level were in the order precipitation &gt; river stage &gt; evaporation. Sufficient precipitation during the wet season diluted the groundwater salinity. After the dilution, between two continuous precipitation events, the groundwater salinity increased as the groundwater level decreased. During the dry season, the groundwater salinity rapidly increased and reached its peak in December. The groundwater salinity in December was 23 times higher than that in July. The groundwater level and salinity in this study were generally associated with the season. Climate factors led to fluctuation of groundwater levels and salinity during the wet season, and seawater intrusion increased the groundwater salinity during the dry season.","author":[{"dropping-particle":"","family":"Yan","given":"Shao Feng","non-dropping-particle":"","parse-names":false,"suffix":""},{"dropping-particle":"","family":"Yu","given":"Shuang En","non-dropping-particle":"","parse-names":false,"suffix":""},{"dropping-particle":"","family":"Wu","given":"Yu Bai","non-dropping-particle":"","parse-names":false,"suffix":""},{"dropping-particle":"","family":"Pan","given":"De Feng","non-dropping-particle":"","parse-names":false,"suffix":""},{"dropping-particle":"","family":"She","given":"Dong Li","non-dropping-particle":"","parse-names":false,"suffix":""},{"dropping-particle":"","family":"Ji","given":"Jianzhong","non-dropping-particle":"","parse-names":false,"suffix":""}],"container-title":"Journal of Chemistry","id":"ITEM-2","issued":{"date-parts":[["2015"]]},"title":"Seasonal Variations in Groundwater Level and Salinity in Coastal Plain of Eastern China Influenced by Climate","type":"article-journal","volume":"2015"},"uris":["http://www.mendeley.com/documents/?uuid=fe2222f8-ff14-4fdf-a71f-1152344ccacf"]}],"mendeley":{"formattedCitation":"(Abdullah, Rak, &amp; Wei, 2018; Yan et al., 2015)","manualFormatting":"Abdullah, Rak, &amp; Wei, (2018) and Yan et al., (2015)","plainTextFormattedCitation":"(Abdullah, Rak, &amp; Wei, 2018; Yan et al., 2015)"},"properties":{"noteIndex":0},"schema":"https://github.com/citation-style-language/schema/raw/master/csl-citation.json"}</w:instrText>
      </w:r>
      <w:r w:rsidR="00263400" w:rsidRPr="0092758B">
        <w:rPr>
          <w:rFonts w:ascii="Times New Roman" w:eastAsia="Times New Roman" w:hAnsi="Times New Roman" w:cs="Times New Roman"/>
          <w:sz w:val="24"/>
          <w:szCs w:val="24"/>
        </w:rPr>
        <w:fldChar w:fldCharType="separate"/>
      </w:r>
      <w:r w:rsidR="00590DFD">
        <w:rPr>
          <w:rFonts w:ascii="Times New Roman" w:eastAsia="Times New Roman" w:hAnsi="Times New Roman" w:cs="Times New Roman"/>
          <w:noProof/>
          <w:sz w:val="24"/>
          <w:szCs w:val="24"/>
        </w:rPr>
        <w:t>Abdullah, Rak and Wei, (2018) and Yan et al.</w:t>
      </w:r>
      <w:r w:rsidR="00263400" w:rsidRPr="0092758B">
        <w:rPr>
          <w:rFonts w:ascii="Times New Roman" w:eastAsia="Times New Roman" w:hAnsi="Times New Roman" w:cs="Times New Roman"/>
          <w:noProof/>
          <w:sz w:val="24"/>
          <w:szCs w:val="24"/>
        </w:rPr>
        <w:t xml:space="preserve"> (2015)</w:t>
      </w:r>
      <w:r w:rsidR="00263400" w:rsidRPr="0092758B">
        <w:rPr>
          <w:rFonts w:ascii="Times New Roman" w:eastAsia="Times New Roman" w:hAnsi="Times New Roman" w:cs="Times New Roman"/>
          <w:sz w:val="24"/>
          <w:szCs w:val="24"/>
        </w:rPr>
        <w:fldChar w:fldCharType="end"/>
      </w:r>
      <w:r w:rsidR="00263400" w:rsidRPr="0092758B">
        <w:rPr>
          <w:rFonts w:ascii="Times New Roman" w:eastAsia="Times New Roman" w:hAnsi="Times New Roman" w:cs="Times New Roman"/>
          <w:sz w:val="24"/>
          <w:szCs w:val="24"/>
        </w:rPr>
        <w:t>.</w:t>
      </w:r>
    </w:p>
    <w:p w14:paraId="7E91BE4B" w14:textId="77777777" w:rsidR="009544E0" w:rsidRPr="0092758B" w:rsidRDefault="009544E0"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p>
    <w:p w14:paraId="4E3146F9" w14:textId="5929F1FF" w:rsidR="0071126D" w:rsidRPr="0092758B" w:rsidRDefault="00E7658E"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63360" behindDoc="0" locked="0" layoutInCell="1" allowOverlap="1" wp14:anchorId="39359E00" wp14:editId="489AF85B">
                <wp:simplePos x="0" y="0"/>
                <wp:positionH relativeFrom="column">
                  <wp:posOffset>200025</wp:posOffset>
                </wp:positionH>
                <wp:positionV relativeFrom="paragraph">
                  <wp:posOffset>219075</wp:posOffset>
                </wp:positionV>
                <wp:extent cx="4371975" cy="476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719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0F389" w14:textId="77777777"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59E00" id="Text Box 10" o:spid="_x0000_s1028" type="#_x0000_t202" style="position:absolute;left:0;text-align:left;margin-left:15.75pt;margin-top:17.25pt;width:344.2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1V2fwIAAGsFAAAOAAAAZHJzL2Uyb0RvYy54bWysVE1PGzEQvVfqf7B8L5uEQEr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" filled="f" stroked="f" strokeweight=".5pt">
                <v:textbox>
                  <w:txbxContent>
                    <w:p w14:paraId="7690F389" w14:textId="77777777"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v:textbox>
              </v:shape>
            </w:pict>
          </mc:Fallback>
        </mc:AlternateContent>
      </w:r>
      <w:r w:rsidR="009544E0" w:rsidRPr="0092758B">
        <w:rPr>
          <w:rFonts w:ascii="Times New Roman" w:eastAsia="Times New Roman" w:hAnsi="Times New Roman" w:cs="Times New Roman"/>
          <w:noProof/>
          <w:sz w:val="24"/>
          <w:szCs w:val="24"/>
          <w:lang w:val="en-MY" w:eastAsia="en-MY"/>
        </w:rPr>
        <w:drawing>
          <wp:inline distT="0" distB="0" distL="0" distR="0" wp14:anchorId="4868D5ED" wp14:editId="453C205F">
            <wp:extent cx="4939200" cy="2494800"/>
            <wp:effectExtent l="0" t="0" r="127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0">
                      <a:extLst>
                        <a:ext uri="{28A0092B-C50C-407E-A947-70E740481C1C}">
                          <a14:useLocalDpi xmlns:a14="http://schemas.microsoft.com/office/drawing/2010/main" val="0"/>
                        </a:ext>
                      </a:extLst>
                    </a:blip>
                    <a:srcRect l="2620" t="2085" r="2107" b="32831"/>
                    <a:stretch/>
                  </pic:blipFill>
                  <pic:spPr bwMode="auto">
                    <a:xfrm>
                      <a:off x="0" y="0"/>
                      <a:ext cx="4939200" cy="2494800"/>
                    </a:xfrm>
                    <a:prstGeom prst="rect">
                      <a:avLst/>
                    </a:prstGeom>
                    <a:ln>
                      <a:noFill/>
                    </a:ln>
                    <a:extLst>
                      <a:ext uri="{53640926-AAD7-44D8-BBD7-CCE9431645EC}">
                        <a14:shadowObscured xmlns:a14="http://schemas.microsoft.com/office/drawing/2010/main"/>
                      </a:ext>
                    </a:extLst>
                  </pic:spPr>
                </pic:pic>
              </a:graphicData>
            </a:graphic>
          </wp:inline>
        </w:drawing>
      </w:r>
      <w:r w:rsidR="00E03A8D" w:rsidRPr="0092758B">
        <w:rPr>
          <w:rFonts w:ascii="Times New Roman" w:eastAsia="Times New Roman" w:hAnsi="Times New Roman" w:cs="Times New Roman"/>
          <w:noProof/>
          <w:sz w:val="24"/>
          <w:szCs w:val="24"/>
          <w:lang w:val="en-MY" w:eastAsia="en-MY"/>
        </w:rPr>
        <w:drawing>
          <wp:inline distT="0" distB="0" distL="0" distR="0" wp14:anchorId="70A6AD4F" wp14:editId="45539A79">
            <wp:extent cx="985020" cy="232435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a:extLst>
                        <a:ext uri="{28A0092B-C50C-407E-A947-70E740481C1C}">
                          <a14:useLocalDpi xmlns:a14="http://schemas.microsoft.com/office/drawing/2010/main" val="0"/>
                        </a:ext>
                      </a:extLst>
                    </a:blip>
                    <a:srcRect l="12902"/>
                    <a:stretch/>
                  </pic:blipFill>
                  <pic:spPr bwMode="auto">
                    <a:xfrm>
                      <a:off x="0" y="0"/>
                      <a:ext cx="985020" cy="2324352"/>
                    </a:xfrm>
                    <a:prstGeom prst="rect">
                      <a:avLst/>
                    </a:prstGeom>
                    <a:ln>
                      <a:noFill/>
                    </a:ln>
                    <a:extLst>
                      <a:ext uri="{53640926-AAD7-44D8-BBD7-CCE9431645EC}">
                        <a14:shadowObscured xmlns:a14="http://schemas.microsoft.com/office/drawing/2010/main"/>
                      </a:ext>
                    </a:extLst>
                  </pic:spPr>
                </pic:pic>
              </a:graphicData>
            </a:graphic>
          </wp:inline>
        </w:drawing>
      </w:r>
    </w:p>
    <w:p w14:paraId="537C93A6" w14:textId="4B50713C" w:rsidR="0071126D" w:rsidRPr="0092758B" w:rsidRDefault="0071126D"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t xml:space="preserve">Figure </w:t>
      </w:r>
      <w:r w:rsidR="00B96AC0" w:rsidRPr="0092758B">
        <w:rPr>
          <w:rFonts w:ascii="Times New Roman" w:eastAsia="Times New Roman" w:hAnsi="Times New Roman" w:cs="Times New Roman"/>
          <w:b/>
          <w:bCs/>
          <w:sz w:val="20"/>
          <w:szCs w:val="20"/>
        </w:rPr>
        <w:t>8</w:t>
      </w:r>
      <w:r w:rsidRPr="0092758B">
        <w:rPr>
          <w:rFonts w:ascii="Times New Roman" w:eastAsia="Times New Roman" w:hAnsi="Times New Roman" w:cs="Times New Roman"/>
          <w:b/>
          <w:bCs/>
          <w:sz w:val="20"/>
          <w:szCs w:val="20"/>
        </w:rPr>
        <w:t>.</w:t>
      </w:r>
      <w:r w:rsidRPr="0092758B">
        <w:rPr>
          <w:rFonts w:ascii="Times New Roman" w:eastAsia="Times New Roman" w:hAnsi="Times New Roman" w:cs="Times New Roman"/>
          <w:sz w:val="20"/>
          <w:szCs w:val="20"/>
        </w:rPr>
        <w:t xml:space="preserve"> Water salinity variability maps during low tide events on (a) 10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(b) 40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and (c) 60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for Season 2 2019</w:t>
      </w:r>
      <w:r w:rsidR="00135C76">
        <w:rPr>
          <w:rFonts w:ascii="Times New Roman" w:eastAsia="Times New Roman" w:hAnsi="Times New Roman" w:cs="Times New Roman"/>
          <w:sz w:val="20"/>
          <w:szCs w:val="20"/>
        </w:rPr>
        <w:t>.</w:t>
      </w:r>
    </w:p>
    <w:p w14:paraId="6D39354C" w14:textId="77777777"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6BE9753" w14:textId="2C3A91D1" w:rsidR="0071126D" w:rsidRPr="0092758B" w:rsidRDefault="00E7658E"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eastAsia="en-MY"/>
        </w:rPr>
        <w:lastRenderedPageBreak/>
        <mc:AlternateContent>
          <mc:Choice Requires="wps">
            <w:drawing>
              <wp:anchor distT="0" distB="0" distL="114300" distR="114300" simplePos="0" relativeHeight="251665408" behindDoc="0" locked="0" layoutInCell="1" allowOverlap="1" wp14:anchorId="5DF8C20F" wp14:editId="3813E810">
                <wp:simplePos x="0" y="0"/>
                <wp:positionH relativeFrom="column">
                  <wp:posOffset>219075</wp:posOffset>
                </wp:positionH>
                <wp:positionV relativeFrom="paragraph">
                  <wp:posOffset>209550</wp:posOffset>
                </wp:positionV>
                <wp:extent cx="4371975" cy="476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71975" cy="476250"/>
                        </a:xfrm>
                        <a:prstGeom prst="rect">
                          <a:avLst/>
                        </a:prstGeom>
                        <a:noFill/>
                        <a:ln w="6350">
                          <a:noFill/>
                        </a:ln>
                        <a:effectLst/>
                      </wps:spPr>
                      <wps:txbx>
                        <w:txbxContent>
                          <w:p w14:paraId="7D88C89E" w14:textId="77777777"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8C20F" id="Text Box 11" o:spid="_x0000_s1029" type="#_x0000_t202" style="position:absolute;left:0;text-align:left;margin-left:17.25pt;margin-top:16.5pt;width:344.2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" filled="f" stroked="f" strokeweight=".5pt">
                <v:textbox>
                  <w:txbxContent>
                    <w:p w14:paraId="7D88C89E" w14:textId="77777777"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proofErr w:type="gramStart"/>
                      <w:r w:rsidRPr="00E7658E">
                        <w:rPr>
                          <w:rFonts w:ascii="Times New Roman" w:hAnsi="Times New Roman" w:cs="Times New Roman"/>
                          <w:sz w:val="20"/>
                          <w:szCs w:val="20"/>
                          <w:lang w:val="en-MY"/>
                        </w:rPr>
                        <w:t xml:space="preserve">   (</w:t>
                      </w:r>
                      <w:proofErr w:type="gramEnd"/>
                      <w:r w:rsidRPr="00E7658E">
                        <w:rPr>
                          <w:rFonts w:ascii="Times New Roman" w:hAnsi="Times New Roman" w:cs="Times New Roman"/>
                          <w:sz w:val="20"/>
                          <w:szCs w:val="20"/>
                          <w:lang w:val="en-MY"/>
                        </w:rPr>
                        <w:t>b)                                             (c)</w:t>
                      </w:r>
                    </w:p>
                  </w:txbxContent>
                </v:textbox>
              </v:shape>
            </w:pict>
          </mc:Fallback>
        </mc:AlternateContent>
      </w:r>
      <w:r w:rsidR="009544E0" w:rsidRPr="0092758B">
        <w:rPr>
          <w:rFonts w:ascii="Times New Roman" w:eastAsia="Times New Roman" w:hAnsi="Times New Roman" w:cs="Times New Roman"/>
          <w:noProof/>
          <w:sz w:val="24"/>
          <w:szCs w:val="24"/>
          <w:lang w:val="en-MY" w:eastAsia="en-MY"/>
        </w:rPr>
        <w:drawing>
          <wp:inline distT="0" distB="0" distL="0" distR="0" wp14:anchorId="285E6145" wp14:editId="0DC496DE">
            <wp:extent cx="4939200" cy="2494800"/>
            <wp:effectExtent l="0" t="0" r="127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a:extLst>
                        <a:ext uri="{28A0092B-C50C-407E-A947-70E740481C1C}">
                          <a14:useLocalDpi xmlns:a14="http://schemas.microsoft.com/office/drawing/2010/main" val="0"/>
                        </a:ext>
                      </a:extLst>
                    </a:blip>
                    <a:srcRect l="2782" t="2317" r="2111" b="32098"/>
                    <a:stretch/>
                  </pic:blipFill>
                  <pic:spPr bwMode="auto">
                    <a:xfrm>
                      <a:off x="0" y="0"/>
                      <a:ext cx="4939200" cy="2494800"/>
                    </a:xfrm>
                    <a:prstGeom prst="rect">
                      <a:avLst/>
                    </a:prstGeom>
                    <a:ln>
                      <a:noFill/>
                    </a:ln>
                    <a:extLst>
                      <a:ext uri="{53640926-AAD7-44D8-BBD7-CCE9431645EC}">
                        <a14:shadowObscured xmlns:a14="http://schemas.microsoft.com/office/drawing/2010/main"/>
                      </a:ext>
                    </a:extLst>
                  </pic:spPr>
                </pic:pic>
              </a:graphicData>
            </a:graphic>
          </wp:inline>
        </w:drawing>
      </w:r>
      <w:r w:rsidR="00E03A8D" w:rsidRPr="0092758B">
        <w:rPr>
          <w:rFonts w:ascii="Times New Roman" w:eastAsia="Times New Roman" w:hAnsi="Times New Roman" w:cs="Times New Roman"/>
          <w:noProof/>
          <w:sz w:val="24"/>
          <w:szCs w:val="24"/>
          <w:lang w:val="en-MY" w:eastAsia="en-MY"/>
        </w:rPr>
        <w:drawing>
          <wp:inline distT="0" distB="0" distL="0" distR="0" wp14:anchorId="052AAB03" wp14:editId="50EF3F6C">
            <wp:extent cx="985020" cy="232435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a:extLst>
                        <a:ext uri="{28A0092B-C50C-407E-A947-70E740481C1C}">
                          <a14:useLocalDpi xmlns:a14="http://schemas.microsoft.com/office/drawing/2010/main" val="0"/>
                        </a:ext>
                      </a:extLst>
                    </a:blip>
                    <a:srcRect l="12902"/>
                    <a:stretch/>
                  </pic:blipFill>
                  <pic:spPr bwMode="auto">
                    <a:xfrm>
                      <a:off x="0" y="0"/>
                      <a:ext cx="985020" cy="2324352"/>
                    </a:xfrm>
                    <a:prstGeom prst="rect">
                      <a:avLst/>
                    </a:prstGeom>
                    <a:ln>
                      <a:noFill/>
                    </a:ln>
                    <a:extLst>
                      <a:ext uri="{53640926-AAD7-44D8-BBD7-CCE9431645EC}">
                        <a14:shadowObscured xmlns:a14="http://schemas.microsoft.com/office/drawing/2010/main"/>
                      </a:ext>
                    </a:extLst>
                  </pic:spPr>
                </pic:pic>
              </a:graphicData>
            </a:graphic>
          </wp:inline>
        </w:drawing>
      </w:r>
    </w:p>
    <w:p w14:paraId="18C02897" w14:textId="70BE3050" w:rsidR="0071126D" w:rsidRPr="0092758B" w:rsidRDefault="0071126D" w:rsidP="004E52E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92758B">
        <w:rPr>
          <w:rFonts w:ascii="Times New Roman" w:eastAsia="Times New Roman" w:hAnsi="Times New Roman" w:cs="Times New Roman"/>
          <w:b/>
          <w:bCs/>
          <w:sz w:val="20"/>
          <w:szCs w:val="20"/>
        </w:rPr>
        <w:t xml:space="preserve">Figure </w:t>
      </w:r>
      <w:r w:rsidR="00B96AC0" w:rsidRPr="0092758B">
        <w:rPr>
          <w:rFonts w:ascii="Times New Roman" w:eastAsia="Times New Roman" w:hAnsi="Times New Roman" w:cs="Times New Roman"/>
          <w:b/>
          <w:bCs/>
          <w:sz w:val="20"/>
          <w:szCs w:val="20"/>
        </w:rPr>
        <w:t>9</w:t>
      </w:r>
      <w:r w:rsidRPr="0092758B">
        <w:rPr>
          <w:rFonts w:ascii="Times New Roman" w:eastAsia="Times New Roman" w:hAnsi="Times New Roman" w:cs="Times New Roman"/>
          <w:b/>
          <w:bCs/>
          <w:sz w:val="20"/>
          <w:szCs w:val="20"/>
        </w:rPr>
        <w:t>.</w:t>
      </w:r>
      <w:r w:rsidRPr="0092758B">
        <w:rPr>
          <w:rFonts w:ascii="Times New Roman" w:eastAsia="Times New Roman" w:hAnsi="Times New Roman" w:cs="Times New Roman"/>
          <w:sz w:val="20"/>
          <w:szCs w:val="20"/>
        </w:rPr>
        <w:t xml:space="preserve"> Water salinity variability maps during high tide events on (a) 10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(b) 40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and (c) 60</w:t>
      </w:r>
      <w:r w:rsidR="00D71594" w:rsidRPr="0092758B">
        <w:rPr>
          <w:rFonts w:ascii="Times New Roman" w:eastAsia="Times New Roman" w:hAnsi="Times New Roman" w:cs="Times New Roman"/>
          <w:sz w:val="20"/>
          <w:szCs w:val="20"/>
        </w:rPr>
        <w:t xml:space="preserve"> </w:t>
      </w:r>
      <w:r w:rsidRPr="0092758B">
        <w:rPr>
          <w:rFonts w:ascii="Times New Roman" w:eastAsia="Times New Roman" w:hAnsi="Times New Roman" w:cs="Times New Roman"/>
          <w:sz w:val="20"/>
          <w:szCs w:val="20"/>
        </w:rPr>
        <w:t>DAS for Season 2 2019</w:t>
      </w:r>
      <w:r w:rsidR="00135C76">
        <w:rPr>
          <w:rFonts w:ascii="Times New Roman" w:eastAsia="Times New Roman" w:hAnsi="Times New Roman" w:cs="Times New Roman"/>
          <w:sz w:val="20"/>
          <w:szCs w:val="20"/>
        </w:rPr>
        <w:t>.</w:t>
      </w:r>
    </w:p>
    <w:p w14:paraId="7C723804" w14:textId="77777777" w:rsidR="004767C0" w:rsidRPr="0092758B" w:rsidRDefault="004767C0"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p>
    <w:p w14:paraId="5EE8535B" w14:textId="61E6B8CB" w:rsidR="00924838" w:rsidRPr="0092758B" w:rsidRDefault="00924838"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Generally, during the 10</w:t>
      </w:r>
      <w:r w:rsidR="00280228"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DAS period for both seasons and tidal events, the highest salinity concentrations are spotted in the downstream area of the Kedah River estuary. </w:t>
      </w:r>
      <w:r w:rsidR="0004199C" w:rsidRPr="0092758B">
        <w:rPr>
          <w:rFonts w:ascii="Times New Roman" w:eastAsia="Times New Roman" w:hAnsi="Times New Roman" w:cs="Times New Roman"/>
          <w:sz w:val="24"/>
          <w:szCs w:val="24"/>
        </w:rPr>
        <w:t>There are tidal gates that are commonly used to prevent seawater from entering the body of water nearby and also used to drain the highlands if it receives heavy rainfall</w:t>
      </w:r>
      <w:r w:rsidR="00606E88" w:rsidRPr="0092758B">
        <w:rPr>
          <w:rFonts w:ascii="Times New Roman" w:eastAsia="Times New Roman" w:hAnsi="Times New Roman" w:cs="Times New Roman"/>
          <w:sz w:val="24"/>
          <w:szCs w:val="24"/>
        </w:rPr>
        <w:t xml:space="preserve"> </w:t>
      </w:r>
      <w:r w:rsidR="00606E88"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{"citationItems":[{"id":"ITEM-1","itemData":{"DOI":"10.1080/10934529.2013.729924","ISSN":"10934529","PMID":"23379951","abstract":"Sea level rise resulting from climate change and land subsidence is expected to severely impact the duration and associated damage resulting from flooding events in tidal communities. These communities must continuously invest resources for the maintenance of existing structures and installation of new flood prevention infrastructure. Tide gates are a common flood prevention structure for low-lying communities in the tidal zone. Tide gates close during incoming tides to prevent inundation from downstream water propagating inland and open during outgoing tides to drain upland areas. Higher downstream mean sea level elevations reduce the effectiveness of tide gates by impacting the hydraulics of the system. This project developed a HEC-RAS and HEC-HMS model of an existing tide gate structure and its upland drainage area in the New Jersey Meadowlands to simulate the impact of rising mean sea level elevations on the tide gate's ability to prevent upstream flooding. Model predictions indicate that sea level rise will reduce the tide gate effectiveness resulting in longer lasting and deeper flood events. The results indicate that there is a critical point in the sea level elevation for this local area, beyond which flooding scenarios become dramatically worse and would have a significantly negative impact on the standard of living and ability to do business in one of the most densely populated areas of America. © 2013 Copyright Taylor and Francis Group, LLC.","author":[{"dropping-particle":"","family":"Walsh","given":"Sean","non-dropping-particle":"","parse-names":false,"suffix":""},{"dropping-particle":"","family":"Miskewitz","given":"Robert","non-dropping-particle":"","parse-names":false,"suffix":""}],"container-title":"Journal of Environmental Science and Health - Part A Toxic/Hazardous Substances and Environmental Engineering","id":"ITEM-1","issue":"4","issued":{"date-parts":[["2013"]]},"page":"453-463","title":"Impact of sea level rise on tide gate function","type":"article-journal","volume":"48"},"uris":["http://www.mendeley.com/documents/?uuid=fc5bcb94-307c-4fa2-a101-072c0b2c22fa"]}],"mendeley":{"formattedCitation":"(Walsh &amp; Miskewitz, 2013)","plainTextFormattedCitation":"(Walsh &amp; Miskewitz, 2013)","previouslyFormattedCitation":"(Walsh &amp; Miskewitz, 2013)"},"properties":{"noteIndex":0},"schema":"https://github.com/citation-style-language/schema/raw/master/csl-citation.json"}</w:instrText>
      </w:r>
      <w:r w:rsidR="00606E88"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(Walsh &amp; Miskewitz, 2013)</w:t>
      </w:r>
      <w:r w:rsidR="00606E88" w:rsidRPr="0092758B">
        <w:rPr>
          <w:rFonts w:ascii="Times New Roman" w:eastAsia="Times New Roman" w:hAnsi="Times New Roman" w:cs="Times New Roman"/>
          <w:sz w:val="24"/>
          <w:szCs w:val="24"/>
        </w:rPr>
        <w:fldChar w:fldCharType="end"/>
      </w:r>
      <w:r w:rsidR="0004199C" w:rsidRPr="0092758B">
        <w:rPr>
          <w:rFonts w:ascii="Times New Roman" w:eastAsia="Times New Roman" w:hAnsi="Times New Roman" w:cs="Times New Roman"/>
          <w:sz w:val="24"/>
          <w:szCs w:val="24"/>
        </w:rPr>
        <w:t>. However, w</w:t>
      </w:r>
      <w:r w:rsidRPr="0092758B">
        <w:rPr>
          <w:rFonts w:ascii="Times New Roman" w:eastAsia="Times New Roman" w:hAnsi="Times New Roman" w:cs="Times New Roman"/>
          <w:sz w:val="24"/>
          <w:szCs w:val="24"/>
        </w:rPr>
        <w:t>hen heavy rains and high tides occur, the possibility for seawater to enter the river is very high</w:t>
      </w:r>
      <w:r w:rsidR="0004199C" w:rsidRPr="0092758B">
        <w:rPr>
          <w:rFonts w:ascii="Times New Roman" w:eastAsia="Times New Roman" w:hAnsi="Times New Roman" w:cs="Times New Roman"/>
          <w:sz w:val="24"/>
          <w:szCs w:val="24"/>
        </w:rPr>
        <w:t xml:space="preserve"> due to rising sea levels. </w:t>
      </w:r>
      <w:r w:rsidRPr="0092758B">
        <w:rPr>
          <w:rFonts w:ascii="Times New Roman" w:eastAsia="Times New Roman" w:hAnsi="Times New Roman" w:cs="Times New Roman"/>
          <w:sz w:val="24"/>
          <w:szCs w:val="24"/>
        </w:rPr>
        <w:t>That is caused</w:t>
      </w:r>
      <w:r w:rsidR="00505A09" w:rsidRPr="0092758B">
        <w:rPr>
          <w:rFonts w:ascii="Times New Roman" w:eastAsia="Times New Roman" w:hAnsi="Times New Roman" w:cs="Times New Roman"/>
          <w:sz w:val="24"/>
          <w:szCs w:val="24"/>
        </w:rPr>
        <w:t xml:space="preserve"> by</w:t>
      </w:r>
      <w:r w:rsidRPr="0092758B">
        <w:rPr>
          <w:rFonts w:ascii="Times New Roman" w:eastAsia="Times New Roman" w:hAnsi="Times New Roman" w:cs="Times New Roman"/>
          <w:sz w:val="24"/>
          <w:szCs w:val="24"/>
        </w:rPr>
        <w:t xml:space="preserve"> the concentration of salinity is higher in this area </w:t>
      </w:r>
      <w:r w:rsidRPr="0092758B">
        <w:rPr>
          <w:rFonts w:ascii="Times New Roman" w:eastAsia="Times New Roman" w:hAnsi="Times New Roman" w:cs="Times New Roman"/>
          <w:sz w:val="24"/>
          <w:szCs w:val="24"/>
        </w:rPr>
        <w:fldChar w:fldCharType="begin" w:fldLock="1"/>
      </w:r>
      <w:r w:rsidR="00263400" w:rsidRPr="0092758B">
        <w:rPr>
          <w:rFonts w:ascii="Times New Roman" w:eastAsia="Times New Roman" w:hAnsi="Times New Roman" w:cs="Times New Roman"/>
          <w:sz w:val="24"/>
          <w:szCs w:val="24"/>
        </w:rPr>
        <w:instrText>ADDIN CSL_CITATION {"citationItems":[{"id":"ITEM-1","itemData":{"DOI":"10.3329/jesnr.v8i2.26858","ISSN":"1999-7361","abstract":"This study was carried out to observe effects of tidal events on the water quality parameters at Merbok estuary, Kedah, Malaysia. Twenty four hours sampling were conducted at Station 1, 2 and 3 from 12th November (spring tide) to 3rd December (neap tide) 2011 on weekly interval. Results showed that water quality parameters varied with the following ranges: temperature (26.10 - 30.7°C), pH (6.29 - 7.22), dissolved oxygen (0.65 - 5.48 mgL-1), salinity (0.50  35PSU), nitrate (0.037 - 0.647mgL-1), nitrite (0.09 - 0.36 mgL-1), ammonia  N (0.03 - 3.05 mgL-1), phosphate (0.03 - 0.10mgL-1). Kruskal Wallis H test showed that water quality parameters were significantly different among sampling stations (p&lt;0.01). Mann-Whitney U test result showed that water quality parameters were significantly different between spring and neap tides (p&lt;0.01) except temperature and nitrate. Parameters such as temperature, salinity, nitrate, ammonia  N and phosphate recorded higher in spring tide while, DO, pH and nitrite were higher in neap tide.J. Environ. Sci. &amp; Natural Resources, 8(2): 15-19 2015","author":[{"dropping-particle":"","family":"Fatema","given":"K","non-dropping-particle":"","parse-names":false,"suffix":""},{"dropping-particle":"","family":"Omar","given":"WMW","non-dropping-particle":"","parse-names":false,"suffix":""},{"dropping-particle":"","family":"Isa","given":"MM","non-dropping-particle":"","parse-names":false,"suffix":""}],"container-title":"Journal of Environmental Science and Natural Resources","id":"ITEM-1","issue":"2","issued":{"date-parts":[["2016"]]},"page":"15-19","title":"Effects of Tidal Events on the Water Quality in the Merbok Estuary, Kedah, Malaysia","type":"article-journal","volume":"8"},"uris":["http://www.mendeley.com/documents/?uuid=2ede99d7-2d1d-4dea-82a3-58a84f3db400"]}],"mendeley":{"formattedCitation":"(Fatema, Omar, &amp; Isa, 2016)","plainTextFormattedCitation":"(Fatema, Omar, &amp; Isa, 2016)","previouslyFormattedCitation":"(Fatema, Omar, &amp; Isa, 2016)"},"properties":{"noteIndex":0},"schema":"https://github.com/citation-style-language/schema/raw/master/csl-citation.json"}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(Fatema, Omar, &amp; Isa, 2016)</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In addition, </w:t>
      </w:r>
      <w:r w:rsidR="0004199C" w:rsidRPr="0092758B">
        <w:rPr>
          <w:rFonts w:ascii="Times New Roman" w:eastAsia="Times New Roman" w:hAnsi="Times New Roman" w:cs="Times New Roman"/>
          <w:sz w:val="24"/>
          <w:szCs w:val="24"/>
        </w:rPr>
        <w:t xml:space="preserve">during this period, </w:t>
      </w:r>
      <w:r w:rsidRPr="0092758B">
        <w:rPr>
          <w:rFonts w:ascii="Times New Roman" w:eastAsia="Times New Roman" w:hAnsi="Times New Roman" w:cs="Times New Roman"/>
          <w:sz w:val="24"/>
          <w:szCs w:val="24"/>
        </w:rPr>
        <w:t>the river is used directly for the purpose of irrigating rice plants in the area.</w:t>
      </w:r>
    </w:p>
    <w:p w14:paraId="5CB6F90E" w14:textId="38033D05" w:rsidR="0071126D" w:rsidRPr="0092758B" w:rsidRDefault="0004199C"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Nevertheless, during the 40 DAS and 60 DAS, salinity concentrations were seen concentrated on the left side of the diagram for both seasonal and tidal events. This area </w:t>
      </w:r>
      <w:r w:rsidR="004767C0" w:rsidRPr="0092758B">
        <w:rPr>
          <w:rFonts w:ascii="Times New Roman" w:eastAsia="Times New Roman" w:hAnsi="Times New Roman" w:cs="Times New Roman"/>
          <w:sz w:val="24"/>
          <w:szCs w:val="24"/>
        </w:rPr>
        <w:t>is located closest to the coastal line</w:t>
      </w:r>
      <w:r w:rsidRPr="0092758B">
        <w:rPr>
          <w:rFonts w:ascii="Times New Roman" w:eastAsia="Times New Roman" w:hAnsi="Times New Roman" w:cs="Times New Roman"/>
          <w:sz w:val="24"/>
          <w:szCs w:val="24"/>
        </w:rPr>
        <w:t xml:space="preserve"> and </w:t>
      </w:r>
      <w:r w:rsidR="00F84C57" w:rsidRPr="0092758B">
        <w:rPr>
          <w:rFonts w:ascii="Times New Roman" w:eastAsia="Times New Roman" w:hAnsi="Times New Roman" w:cs="Times New Roman"/>
          <w:sz w:val="24"/>
          <w:szCs w:val="24"/>
        </w:rPr>
        <w:t>indicates that seawater penetration occurs while the area receives high rainfall</w:t>
      </w:r>
      <w:r w:rsidRPr="0092758B">
        <w:rPr>
          <w:rFonts w:ascii="Times New Roman" w:eastAsia="Times New Roman" w:hAnsi="Times New Roman" w:cs="Times New Roman"/>
          <w:sz w:val="24"/>
          <w:szCs w:val="24"/>
        </w:rPr>
        <w:t xml:space="preserve">. </w:t>
      </w:r>
      <w:r w:rsidR="0071126D" w:rsidRPr="0092758B">
        <w:rPr>
          <w:rFonts w:ascii="Times New Roman" w:eastAsia="Times New Roman" w:hAnsi="Times New Roman" w:cs="Times New Roman"/>
          <w:sz w:val="24"/>
          <w:szCs w:val="24"/>
        </w:rPr>
        <w:t xml:space="preserve">This result aligned with the report by </w:t>
      </w:r>
      <w:r w:rsidR="0071126D"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{"citationItems":[{"id":"ITEM-1","itemData":{"DOI":"10.1002/ 2016WR020344","abstract":"Evaporation has been recognized as a major driving force affecting coastal aquifer systems. However, its effects on subsurface flow and salinity structure have not been investigated in sufficient detail. This paper presents field measurements and numerical simulations of pore water flow and subsurface salinity structure in the supratidal zone of a sandy beach subjected to evaporation as well as rainfall. It was found that evaporation significantly increased pore water salinity, up to 85 g/L, within a shallow layer, approximately 10 cm below the beach surface. The induced density gradient generated salt fingers near the beach surface, which caused local groundwater circulation (i.e., fingering flow). However, unlike inland aquifers, the salt fingering was significantly diminished by tidal action that prompted the horizontal mixing of salt in the beach. The subsequent precipitation (e.g., rainfall) diluted the evaporation-induced high saline plume near the beach surface and drove the plume to migrate downward; the plume gradually dispersed and was diluted along the groundwater pathways. The simulation results indicated that evaporation as well as precipitation at the beach surface induced complex driving mechanisms for supratidal groundwater flow. Depending on the intensity at the beach surface, evaporation and rainfall significantly altered the pore water flow and associate solute transport processes in the supratidal zone of the beach.","author":[{"dropping-particle":"","family":"Geng","given":"Xiaolong","non-dropping-particle":"","parse-names":false,"suffix":""},{"dropping-particle":"","family":"Boufadel","given":"M.C.","non-dropping-particle":"","parse-names":false,"suffix":""}],"container-title":"Water Resources Research","id":"ITEM-1","issued":{"date-parts":[["2017"]]},"page":"6218-6238","title":"The influence of evaporation and rainfall on supratidal groundwater dynamics and salinity structure in a sandy beach","type":"article-journal","volume":"53"},"uris":["http://www.mendeley.com/documents/?uuid=e1fd63f7-be53-4782-9d66-b7a2f817d5e2"]}],"mendeley":{"formattedCitation":"(Geng &amp; Boufadel, 2017)","manualFormatting":"Geng &amp; Boufadel (2017)","plainTextFormattedCitation":"(Geng &amp; Boufadel, 2017)","previouslyFormattedCitation":"(Geng &amp; Boufadel, 2017)"},"properties":{"noteIndex":0},"schema":"https://github.com/citation-style-language/schema/raw/master/csl-citation.json"}</w:instrText>
      </w:r>
      <w:r w:rsidR="0071126D" w:rsidRPr="0092758B">
        <w:rPr>
          <w:rFonts w:ascii="Times New Roman" w:eastAsia="Times New Roman" w:hAnsi="Times New Roman" w:cs="Times New Roman"/>
          <w:sz w:val="24"/>
          <w:szCs w:val="24"/>
        </w:rPr>
        <w:fldChar w:fldCharType="separate"/>
      </w:r>
      <w:r w:rsidR="0071126D" w:rsidRPr="0092758B">
        <w:rPr>
          <w:rFonts w:ascii="Times New Roman" w:eastAsia="Times New Roman" w:hAnsi="Times New Roman" w:cs="Times New Roman"/>
          <w:noProof/>
          <w:sz w:val="24"/>
          <w:szCs w:val="24"/>
        </w:rPr>
        <w:t>Geng &amp; Boufadel (2017)</w:t>
      </w:r>
      <w:r w:rsidR="0071126D" w:rsidRPr="0092758B">
        <w:rPr>
          <w:rFonts w:ascii="Times New Roman" w:eastAsia="Times New Roman" w:hAnsi="Times New Roman" w:cs="Times New Roman"/>
          <w:sz w:val="24"/>
          <w:szCs w:val="24"/>
        </w:rPr>
        <w:fldChar w:fldCharType="end"/>
      </w:r>
      <w:r w:rsidR="0071126D" w:rsidRPr="0092758B">
        <w:rPr>
          <w:rFonts w:ascii="Times New Roman" w:eastAsia="Times New Roman" w:hAnsi="Times New Roman" w:cs="Times New Roman"/>
          <w:sz w:val="24"/>
          <w:szCs w:val="24"/>
        </w:rPr>
        <w:t xml:space="preserve"> were found that </w:t>
      </w:r>
      <w:r w:rsidR="0071126D" w:rsidRPr="0092758B">
        <w:rPr>
          <w:rFonts w:eastAsia="Times New Roman"/>
          <w:sz w:val="24"/>
          <w:szCs w:val="24"/>
        </w:rPr>
        <w:t>﻿</w:t>
      </w:r>
      <w:r w:rsidR="0071126D" w:rsidRPr="0092758B">
        <w:rPr>
          <w:rFonts w:ascii="Times New Roman" w:eastAsia="Times New Roman" w:hAnsi="Times New Roman" w:cs="Times New Roman"/>
          <w:sz w:val="24"/>
          <w:szCs w:val="24"/>
        </w:rPr>
        <w:t>rainfall intensity significantly affected pore water salinity near the beach surface. The movement of salinity particles to the supratidal zone occurs more rapidly when receiving more rainfall at one time</w:t>
      </w:r>
      <w:r w:rsidR="00606E88" w:rsidRPr="0092758B">
        <w:rPr>
          <w:rFonts w:ascii="Times New Roman" w:eastAsia="Times New Roman" w:hAnsi="Times New Roman" w:cs="Times New Roman"/>
          <w:sz w:val="24"/>
          <w:szCs w:val="24"/>
        </w:rPr>
        <w:t xml:space="preserve"> </w:t>
      </w:r>
      <w:r w:rsidR="00606E88" w:rsidRPr="0092758B">
        <w:rPr>
          <w:rFonts w:ascii="Times New Roman" w:eastAsia="Times New Roman" w:hAnsi="Times New Roman" w:cs="Times New Roman"/>
          <w:sz w:val="24"/>
          <w:szCs w:val="24"/>
        </w:rPr>
        <w:fldChar w:fldCharType="begin" w:fldLock="1"/>
      </w:r>
      <w:r w:rsidR="00606E88" w:rsidRPr="0092758B">
        <w:rPr>
          <w:rFonts w:ascii="Times New Roman" w:eastAsia="Times New Roman" w:hAnsi="Times New Roman" w:cs="Times New Roman"/>
          <w:sz w:val="24"/>
          <w:szCs w:val="24"/>
        </w:rPr>
        <w:instrText>ADDIN CSL_CITATION {"citationItems":[{"id":"ITEM-1","itemData":{"DOI":"10.1080/1064119X.2019.1640321","ISSN":"15210618","abstract":"Tidal waterways perform as the paths through which seawater invades. Their spatial-temporal variation with the shift in Yellow River’s route requires the accurate measurement of their status. Visual interpretation for delineating tidal waterways is inefficient due to a substantial amount of work. Buffer analysis provides an alternative to visual interpretation. However, it is difficult to use the buffer distance threshold to identify tidal waterways from other freshwater bodies. In this study, we present a straightforward method for mapping tidal waterways. First, we adopted the normalized difference water body index (NDWI) to extract water bodies. Waterlines were subsequently delineated based on a morphological opening filter with a kernel of 9 × 9. Finally, tidal waterways were mapped based on the proposed topological relation in ArcGIS. We showed the utility of this approach by mapping tidal waterways in the Yellow River Delta, China. The proposed method enables tidal waterways be mapped precisely and was replicable and universal in other similar studies.","author":[{"dropping-particle":"","family":"Yu","given":"Xiang","non-dropping-particle":"","parse-names":false,"suffix":""},{"dropping-particle":"","family":"Zhan","given":"Chao","non-dropping-particle":"","parse-names":false,"suffix":""},{"dropping-particle":"","family":"Wu","given":"Mengquan","non-dropping-particle":"","parse-names":false,"suffix":""},{"dropping-particle":"","family":"Niu","given":"Xueli","non-dropping-particle":"","parse-names":false,"suffix":""},{"dropping-particle":"","family":"Zhang","given":"Xueyu","non-dropping-particle":"","parse-names":false,"suffix":""},{"dropping-particle":"","family":"Wang","given":"Qing","non-dropping-particle":"","parse-names":false,"suffix":""},{"dropping-particle":"","family":"Cui","given":"Buli","non-dropping-particle":"","parse-names":false,"suffix":""}],"container-title":"Marine Georesources and Geotechnology","id":"ITEM-1","issue":"8","issued":{"date-parts":[["2020"]]},"page":"887-895","title":"An improved method for mapping tidal waterways based on remotely sensed waterlines: A case study in the Yellow River Delta, China","type":"article-journal","volume":"38"},"uris":["http://www.mendeley.com/documents/?uuid=e8a3e8b8-6945-417c-9e1a-b4bda92be4ce"]}],"mendeley":{"formattedCitation":"(Yu et al., 2020)","plainTextFormattedCitation":"(Yu et al., 2020)","previouslyFormattedCitation":"(Yu et al., 2020)"},"properties":{"noteIndex":0},"schema":"https://github.com/citation-style-language/schema/raw/master/csl-citation.json"}</w:instrText>
      </w:r>
      <w:r w:rsidR="00606E88" w:rsidRPr="0092758B">
        <w:rPr>
          <w:rFonts w:ascii="Times New Roman" w:eastAsia="Times New Roman" w:hAnsi="Times New Roman" w:cs="Times New Roman"/>
          <w:sz w:val="24"/>
          <w:szCs w:val="24"/>
        </w:rPr>
        <w:fldChar w:fldCharType="separate"/>
      </w:r>
      <w:r w:rsidR="00606E88" w:rsidRPr="0092758B">
        <w:rPr>
          <w:rFonts w:ascii="Times New Roman" w:eastAsia="Times New Roman" w:hAnsi="Times New Roman" w:cs="Times New Roman"/>
          <w:noProof/>
          <w:sz w:val="24"/>
          <w:szCs w:val="24"/>
        </w:rPr>
        <w:t>(Yu et al., 2020)</w:t>
      </w:r>
      <w:r w:rsidR="00606E88" w:rsidRPr="0092758B">
        <w:rPr>
          <w:rFonts w:ascii="Times New Roman" w:eastAsia="Times New Roman" w:hAnsi="Times New Roman" w:cs="Times New Roman"/>
          <w:sz w:val="24"/>
          <w:szCs w:val="24"/>
        </w:rPr>
        <w:fldChar w:fldCharType="end"/>
      </w:r>
      <w:r w:rsidR="00606E88" w:rsidRPr="0092758B">
        <w:rPr>
          <w:rFonts w:ascii="Times New Roman" w:eastAsia="Times New Roman" w:hAnsi="Times New Roman" w:cs="Times New Roman"/>
          <w:sz w:val="24"/>
          <w:szCs w:val="24"/>
        </w:rPr>
        <w:t>.</w:t>
      </w:r>
    </w:p>
    <w:p w14:paraId="727D6E4B" w14:textId="264969F4" w:rsidR="0071126D" w:rsidRPr="0092758B" w:rsidRDefault="0071126D"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In general, the supratidal zone known as spray zone was defined as a zone near the coastal but higher than the level of high tide. It is sometimes splashed but not inundated or submerged by seawater </w:t>
      </w:r>
      <w:r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{"citationItems":[{"id":"ITEM-1","itemData":{"DOI":"10.1088/1755-1315/137/1/012091","ISSN":"17551315","abstract":"Turtles, the most threatened coastal-marine fauna, are protected through both national and global regulations. However, many of their nesting sites have been degraded in the past years. Completing natal homing, adult females emerged at night to lay-down eggs in the upper intertidal and supra-tidal zone of sandy beach from where they hatched. This study explained coastal topology of beaches usually used for nesting sites, covering 117 km coastline at Pacitan Regency, Southern Java Sea. The shift in beach morphology through times was figured out based on Landsat 8 and Sentinel 2a satellite imagery and remote sensing (GIS methods). This was combined with in-situ data on current coastline features, slope, and tide variations. Results showed a typical sandy beach, called Taman Ria Beach, a long time identified as nesting site for Lepidochelys olivacea, locally named as Penyu Lekang. Also, there was approximatelly 3.49 ha of supratidal area predicted in Taman Ria Beach according this study.","author":[{"dropping-particle":"","family":"Darmawan","given":"A.","non-dropping-particle":"","parse-names":false,"suffix":""},{"dropping-particle":"","family":"Saputra","given":"D. K.","non-dropping-particle":"","parse-names":false,"suffix":""},{"dropping-particle":"","family":"Wiadnya","given":"D. G.R.","non-dropping-particle":"","parse-names":false,"suffix":""},{"dropping-particle":"","family":"Gusmida","given":"A. M.","non-dropping-particle":"","parse-names":false,"suffix":""}],"container-title":"IOP Conference Series: Earth and Environmental Science","id":"ITEM-1","issue":"1","issued":{"date-parts":[["2018"]]},"title":"Prediction of supratidal zones as turtle nesting sites using remote sensing and geographic information system, a case study in Pacitan, Southern Java Sea","type":"article-journal","volume":"137"},"uris":["http://www.mendeley.com/documents/?uuid=a7c8985b-90fd-438e-ab24-f57b7cf6fe1d"]}],"mendeley":{"formattedCitation":"(Darmawan, Saputra, Wiadnya, &amp; Gusmida, 2018)","plainTextFormattedCitation":"(Darmawan, Saputra, Wiadnya, &amp; Gusmida, 2018)","previouslyFormattedCitation":"(Darmawan, Saputra, Wiadnya, &amp; Gusmida, 2018)"},"properties":{"noteIndex":0},"schema":"https://github.com/citation-style-language/schema/raw/master/csl-citation.json"}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(Darmawan, Saputra, Wiadnya, &amp; Gusmida, 2018)</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This zone is only flooded by seawater during </w:t>
      </w:r>
      <w:r w:rsidR="00B1439B" w:rsidRPr="0092758B">
        <w:rPr>
          <w:rFonts w:ascii="Times New Roman" w:eastAsia="Times New Roman" w:hAnsi="Times New Roman" w:cs="Times New Roman"/>
          <w:sz w:val="24"/>
          <w:szCs w:val="24"/>
        </w:rPr>
        <w:t>spring</w:t>
      </w:r>
      <w:r w:rsidRPr="0092758B">
        <w:rPr>
          <w:rFonts w:ascii="Times New Roman" w:eastAsia="Times New Roman" w:hAnsi="Times New Roman" w:cs="Times New Roman"/>
          <w:sz w:val="24"/>
          <w:szCs w:val="24"/>
        </w:rPr>
        <w:t xml:space="preserve"> tides or possibly large storm waves splash over the coastal zone. Therefore, salinity concentrations should be monitored and controlled to avoid yield loss as reported by </w:t>
      </w:r>
      <w:r w:rsidRPr="0092758B">
        <w:rPr>
          <w:rFonts w:ascii="Times New Roman" w:eastAsia="Times New Roman" w:hAnsi="Times New Roman" w:cs="Times New Roman"/>
          <w:sz w:val="24"/>
          <w:szCs w:val="24"/>
        </w:rPr>
        <w:fldChar w:fldCharType="begin" w:fldLock="1"/>
      </w:r>
      <w:r w:rsidRPr="0092758B">
        <w:rPr>
          <w:rFonts w:ascii="Times New Roman" w:eastAsia="Times New Roman" w:hAnsi="Times New Roman" w:cs="Times New Roman"/>
          <w:sz w:val="24"/>
          <w:szCs w:val="24"/>
        </w:rPr>
        <w:instrText>ADDIN CSL_CITATION {"citationItems":[{"id":"ITEM-1","itemData":{"DOI":"10.1016/j.rsci.2016.09.004","ISSN":"16726308","abstract":"Salt tolerance is an important constrain for rice, which is generally categorized as a typical glycophyte. Soil salinity is one of the major constraints affecting rice production worldwide, especially in the coastal areas. Susceptibility or tolerance of rice plants to high salinity is a coordinated action of multiple stress responsive genes, which also interacts with other components of stress signal transduction pathways. Salt tolerant varieties can be produced by marker-assisted selection or genetic engineering by introducing salt-tolerance genes. In this review, we have updated on mechanisms and genes which can help in transferring of the salt tolerance into high-yielding rice varieties. We have focused on the need for integrating phenotyping, genomics, metabolic profiling and phenomics into transgenic and breeding approaches to develop high-yielding as well as salt tolerant rice varieties.","author":[{"dropping-particle":"","family":"Reddy","given":"Inja Naga Bheema Lingeswara","non-dropping-particle":"","parse-names":false,"suffix":""},{"dropping-particle":"","family":"Kim","given":"Beom Ki","non-dropping-particle":"","parse-names":false,"suffix":""},{"dropping-particle":"","family":"Yoon","given":"In Sun","non-dropping-particle":"","parse-names":false,"suffix":""},{"dropping-particle":"","family":"Kim","given":"Kyung Hwan","non-dropping-particle":"","parse-names":false,"suffix":""},{"dropping-particle":"","family":"Kwon","given":"Taek Ryoun","non-dropping-particle":"","parse-names":false,"suffix":""}],"container-title":"Rice Science","id":"ITEM-1","issue":"3","issued":{"date-parts":[["2017"]]},"page":"123-144","title":"Salt Tolerance in Rice: Focus on Mechanisms and Approaches","type":"article-journal","volume":"24"},"uris":["http://www.mendeley.com/documents/?uuid=f695ee08-a87c-4d3b-bc75-7c4a5a2fee57"]},{"id":"ITEM-2","itemData":{"DOI":"10.1016/j.eja.2018.01.015","abstract":"Development and testing of reliable tools for simulating rice production in salt-affected areas are presented in this paper. New functions were implemented in existing crop models ORYZA v3 and the cropping systems modelling framework APSIM. Field experiments covering two years, two different sites, and three varieties were used to validate both improved models. We used the salt balance module in the systems model APSIM to si- mulate the observed daily soil salinity with acceptable accuracy (RMSEn&lt;35%), whereas ORYZA v3 used measured soil salinity at a given interval of days as a model input. Both models presented similarly good ac- curacy in simulating aboveground biomass, leaf area index, and grain yield for IR64 over a gradient of salinity conditions. The model index of agreement ranged from 0.86 to 0.99. Variability of yield under stressed and non- stressed conditions was simulated with a RMSE, of 191 kg ha−1 and 222 kg ha−1 respectively, for ORYZA v3 and , APSIM-Oryza, corresponding to an RMSEn of 14.8% and 17.3%. These values are within the bounds of ex- perimental error, therefore indicating acceptable model performance. The model test simulating genotypic variability of rice crop responses resulted in similar levels of acceptable model performance with RMSEn ranging from 11.3 to 39.9% for observed total above ground biomass for IR64 and panicle biomass for IR29, respectively. With the improved models, more reliable tools are now available for use in risk assessment and evaluation of suitable management options for rice production in salt-affected areas. The approach presented may also be applied in improving other non-rice crop models to integrate a response to soil salinity − particularly in process- based models which capture stage-related stress tolerance variability and resource use efficien","author":[{"dropping-particle":"","family":"Radanielson","given":"A M","non-dropping-particle":"","parse-names":false,"suffix":""},{"dropping-particle":"","family":"Gaydon","given":"D S","non-dropping-particle":"","parse-names":false,"suffix":""},{"dropping-particle":"","family":"Li","given":"T","non-dropping-particle":"","parse-names":false,"suffix":""},{"dropping-particle":"","family":"Angeles","given":"O","non-dropping-particle":"","parse-names":false,"suffix":""},{"dropping-particle":"","family":"Roth","given":"C H","non-dropping-particle":"","parse-names":false,"suffix":""}],"id":"ITEM-2","issue":"March","issued":{"date-parts":[["2018"]]},"page":"44-55","title":"Modeling salinity e ff ect on rice growth and grain yield with ORYZA v3 and APSIM-Oryza","type":"article-journal","volume":"100"},"uris":["http://www.mendeley.com/documents/?uuid=b1d87fac-a3b8-428d-aba7-c46b968d5b75"]}],"mendeley":{"formattedCitation":"(Radanielson et al., 2018; Reddy et al., 2017)","manualFormatting":"Radanielson et al., (2018) and Reddy et al., (2017)","plainTextFormattedCitation":"(Radanielson et al., 2018; Reddy et al., 2017)","previouslyFormattedCitation":"(Radanielson et al., 2018; Reddy et al., 2017)"},"properties":{"noteIndex":0},"schema":"https://github.com/citation-style-language/schema/raw/master/csl-citation.json"}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377C23">
        <w:rPr>
          <w:rFonts w:ascii="Times New Roman" w:eastAsia="Times New Roman" w:hAnsi="Times New Roman" w:cs="Times New Roman"/>
          <w:noProof/>
          <w:sz w:val="24"/>
          <w:szCs w:val="24"/>
        </w:rPr>
        <w:t xml:space="preserve">Radanielson et al. (2018) and Reddy et al. </w:t>
      </w:r>
      <w:r w:rsidRPr="0092758B">
        <w:rPr>
          <w:rFonts w:ascii="Times New Roman" w:eastAsia="Times New Roman" w:hAnsi="Times New Roman" w:cs="Times New Roman"/>
          <w:noProof/>
          <w:sz w:val="24"/>
          <w:szCs w:val="24"/>
        </w:rPr>
        <w:t>(2017)</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with concentrations over 1100 ppm, yield shortages can reach 1 ton for each a hectare area. </w:t>
      </w:r>
    </w:p>
    <w:p w14:paraId="50FD15C7" w14:textId="4E3F8396" w:rsidR="0071126D" w:rsidRPr="0092758B" w:rsidRDefault="0071126D"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Overall, salinity concentration trends for both seasons are different. Based on boxplots in Figure </w:t>
      </w:r>
      <w:r w:rsidR="001E62FC" w:rsidRPr="0092758B">
        <w:rPr>
          <w:rFonts w:ascii="Times New Roman" w:eastAsia="Times New Roman" w:hAnsi="Times New Roman" w:cs="Times New Roman"/>
          <w:sz w:val="24"/>
          <w:szCs w:val="24"/>
        </w:rPr>
        <w:t>1</w:t>
      </w:r>
      <w:r w:rsidR="00B96AC0" w:rsidRPr="0092758B">
        <w:rPr>
          <w:rFonts w:ascii="Times New Roman" w:eastAsia="Times New Roman" w:hAnsi="Times New Roman" w:cs="Times New Roman"/>
          <w:sz w:val="24"/>
          <w:szCs w:val="24"/>
        </w:rPr>
        <w:t>0</w:t>
      </w:r>
      <w:r w:rsidRPr="0092758B">
        <w:rPr>
          <w:rFonts w:ascii="Times New Roman" w:eastAsia="Times New Roman" w:hAnsi="Times New Roman" w:cs="Times New Roman"/>
          <w:sz w:val="24"/>
          <w:szCs w:val="24"/>
        </w:rPr>
        <w:t>, clearly expresses the salinity concentration are decreasing throughout the growth stages for Season 1 2019. On the other hand, Figure 1</w:t>
      </w:r>
      <w:r w:rsidR="00B96AC0" w:rsidRPr="0092758B">
        <w:rPr>
          <w:rFonts w:ascii="Times New Roman" w:eastAsia="Times New Roman" w:hAnsi="Times New Roman" w:cs="Times New Roman"/>
          <w:sz w:val="24"/>
          <w:szCs w:val="24"/>
        </w:rPr>
        <w:t>1</w:t>
      </w:r>
      <w:r w:rsidRPr="0092758B">
        <w:rPr>
          <w:rFonts w:ascii="Times New Roman" w:eastAsia="Times New Roman" w:hAnsi="Times New Roman" w:cs="Times New Roman"/>
          <w:sz w:val="24"/>
          <w:szCs w:val="24"/>
        </w:rPr>
        <w:t xml:space="preserve"> shows the trend for Season 2 2019 is seen as the contrary of the previous season. The concentration of salinity indicates an increase from the early stage to the later.</w:t>
      </w:r>
      <w:r w:rsidR="00B1439B" w:rsidRPr="0092758B">
        <w:rPr>
          <w:rFonts w:ascii="Times New Roman" w:eastAsia="Times New Roman" w:hAnsi="Times New Roman" w:cs="Times New Roman"/>
          <w:sz w:val="24"/>
          <w:szCs w:val="24"/>
        </w:rPr>
        <w:t xml:space="preserve"> As reported by </w:t>
      </w:r>
      <w:r w:rsidR="00B1439B" w:rsidRPr="0092758B">
        <w:rPr>
          <w:rFonts w:ascii="Times New Roman" w:eastAsia="Times New Roman" w:hAnsi="Times New Roman" w:cs="Times New Roman"/>
          <w:sz w:val="24"/>
          <w:szCs w:val="24"/>
        </w:rPr>
        <w:fldChar w:fldCharType="begin" w:fldLock="1"/>
      </w:r>
      <w:r w:rsidR="00263400" w:rsidRPr="0092758B">
        <w:rPr>
          <w:rFonts w:ascii="Times New Roman" w:eastAsia="Times New Roman" w:hAnsi="Times New Roman" w:cs="Times New Roman"/>
          <w:sz w:val="24"/>
          <w:szCs w:val="24"/>
        </w:rPr>
        <w:instrText>ADDIN CSL_CITATION {"citationItems":[{"id":"ITEM-1","itemData":{"DOI":"10.3329/jesnr.v8i2.26858","ISSN":"1999-7361","abstract":"This study was carried out to observe effects of tidal events on the water quality parameters at Merbok estuary, Kedah, Malaysia. Twenty four hours sampling were conducted at Station 1, 2 and 3 from 12th November (spring tide) to 3rd December (neap tide) 2011 on weekly interval. Results showed that water quality parameters varied with the following ranges: temperature (26.10 - 30.7°C), pH (6.29 - 7.22), dissolved oxygen (0.65 - 5.48 mgL-1), salinity (0.50  35PSU), nitrate (0.037 - 0.647mgL-1), nitrite (0.09 - 0.36 mgL-1), ammonia  N (0.03 - 3.05 mgL-1), phosphate (0.03 - 0.10mgL-1). Kruskal Wallis H test showed that water quality parameters were significantly different among sampling stations (p&lt;0.01). Mann-Whitney U test result showed that water quality parameters were significantly different between spring and neap tides (p&lt;0.01) except temperature and nitrate. Parameters such as temperature, salinity, nitrate, ammonia  N and phosphate recorded higher in spring tide while, DO, pH and nitrite were higher in neap tide.J. Environ. Sci. &amp; Natural Resources, 8(2): 15-19 2015","author":[{"dropping-particle":"","family":"Fatema","given":"K","non-dropping-particle":"","parse-names":false,"suffix":""},{"dropping-particle":"","family":"Omar","given":"WMW","non-dropping-particle":"","parse-names":false,"suffix":""},{"dropping-particle":"","family":"Isa","given":"MM","non-dropping-particle":"","parse-names":false,"suffix":""}],"container-title":"Journal of Environmental Science and Natural Resources","id":"ITEM-1","issue":"2","issued":{"date-parts":[["2016"]]},"page":"15-19","title":"Effects of Tidal Events on the Water Quality in the Merbok Estuary, Kedah, Malaysia","type":"article-journal","volume":"8"},"uris":["http://www.mendeley.com/documents/?uuid=8949a50f-b2d5-42c1-aded-a0853f5ddca8"]}],"mendeley":{"formattedCitation":"(Fatema et al., 2016)","manualFormatting":"Fatema et al. (2016)","plainTextFormattedCitation":"(Fatema et al., 2016)","previouslyFormattedCitation":"(Fatema et al., 2016)"},"properties":{"noteIndex":0},"schema":"https://github.com/citation-style-language/schema/raw/master/csl-citation.json"}</w:instrText>
      </w:r>
      <w:r w:rsidR="00B1439B" w:rsidRPr="0092758B">
        <w:rPr>
          <w:rFonts w:ascii="Times New Roman" w:eastAsia="Times New Roman" w:hAnsi="Times New Roman" w:cs="Times New Roman"/>
          <w:sz w:val="24"/>
          <w:szCs w:val="24"/>
        </w:rPr>
        <w:fldChar w:fldCharType="separate"/>
      </w:r>
      <w:r w:rsidR="00B1439B" w:rsidRPr="0092758B">
        <w:rPr>
          <w:rFonts w:ascii="Times New Roman" w:eastAsia="Times New Roman" w:hAnsi="Times New Roman" w:cs="Times New Roman"/>
          <w:noProof/>
          <w:sz w:val="24"/>
          <w:szCs w:val="24"/>
        </w:rPr>
        <w:t>Fatema et al. (2016)</w:t>
      </w:r>
      <w:r w:rsidR="00B1439B" w:rsidRPr="0092758B">
        <w:rPr>
          <w:rFonts w:ascii="Times New Roman" w:eastAsia="Times New Roman" w:hAnsi="Times New Roman" w:cs="Times New Roman"/>
          <w:sz w:val="24"/>
          <w:szCs w:val="24"/>
        </w:rPr>
        <w:fldChar w:fldCharType="end"/>
      </w:r>
      <w:r w:rsidR="00B1439B" w:rsidRPr="0092758B">
        <w:rPr>
          <w:rFonts w:ascii="Times New Roman" w:eastAsia="Times New Roman" w:hAnsi="Times New Roman" w:cs="Times New Roman"/>
          <w:sz w:val="24"/>
          <w:szCs w:val="24"/>
        </w:rPr>
        <w:t xml:space="preserve">, </w:t>
      </w:r>
      <w:r w:rsidR="00D378D8" w:rsidRPr="0092758B">
        <w:rPr>
          <w:rFonts w:ascii="Times New Roman" w:eastAsia="Times New Roman" w:hAnsi="Times New Roman" w:cs="Times New Roman"/>
          <w:sz w:val="24"/>
          <w:szCs w:val="24"/>
        </w:rPr>
        <w:t>the water quality parameters</w:t>
      </w:r>
      <w:r w:rsidR="00CE2C87" w:rsidRPr="0092758B">
        <w:rPr>
          <w:rFonts w:ascii="Times New Roman" w:eastAsia="Times New Roman" w:hAnsi="Times New Roman" w:cs="Times New Roman"/>
          <w:sz w:val="24"/>
          <w:szCs w:val="24"/>
        </w:rPr>
        <w:t>,</w:t>
      </w:r>
      <w:r w:rsidR="00D378D8" w:rsidRPr="0092758B">
        <w:rPr>
          <w:rFonts w:ascii="Times New Roman" w:eastAsia="Times New Roman" w:hAnsi="Times New Roman" w:cs="Times New Roman"/>
          <w:sz w:val="24"/>
          <w:szCs w:val="24"/>
        </w:rPr>
        <w:t xml:space="preserve"> including salinity were significantly </w:t>
      </w:r>
      <w:r w:rsidR="004157A6" w:rsidRPr="0092758B">
        <w:rPr>
          <w:rFonts w:ascii="Times New Roman" w:eastAsia="Times New Roman" w:hAnsi="Times New Roman" w:cs="Times New Roman"/>
          <w:sz w:val="24"/>
          <w:szCs w:val="24"/>
        </w:rPr>
        <w:t xml:space="preserve">different between spring and neap </w:t>
      </w:r>
      <w:r w:rsidR="00D378D8" w:rsidRPr="0092758B">
        <w:rPr>
          <w:rFonts w:ascii="Times New Roman" w:eastAsia="Times New Roman" w:hAnsi="Times New Roman" w:cs="Times New Roman"/>
          <w:sz w:val="24"/>
          <w:szCs w:val="24"/>
        </w:rPr>
        <w:t>tide events.</w:t>
      </w:r>
      <w:r w:rsidR="002B49EA" w:rsidRPr="0092758B">
        <w:rPr>
          <w:rFonts w:ascii="Times New Roman" w:eastAsia="Times New Roman" w:hAnsi="Times New Roman" w:cs="Times New Roman"/>
          <w:sz w:val="24"/>
          <w:szCs w:val="24"/>
        </w:rPr>
        <w:t xml:space="preserve"> This findings also aligned with studies by </w:t>
      </w:r>
      <w:r w:rsidR="002B49EA" w:rsidRPr="0092758B">
        <w:rPr>
          <w:rFonts w:ascii="Times New Roman" w:eastAsia="Times New Roman" w:hAnsi="Times New Roman" w:cs="Times New Roman"/>
          <w:sz w:val="24"/>
          <w:szCs w:val="24"/>
        </w:rPr>
        <w:fldChar w:fldCharType="begin" w:fldLock="1"/>
      </w:r>
      <w:r w:rsidR="002B49EA" w:rsidRPr="0092758B">
        <w:rPr>
          <w:rFonts w:ascii="Times New Roman" w:eastAsia="Times New Roman" w:hAnsi="Times New Roman" w:cs="Times New Roman"/>
          <w:sz w:val="24"/>
          <w:szCs w:val="24"/>
        </w:rPr>
        <w:instrText>ADDIN CSL_CITATION {"citationItems":[{"id":"ITEM-1","itemData":{"DOI":"10.1007/s12237-010-9365-3","ISBN":"1223701093","author":[{"dropping-particle":"","family":"Uncles","given":"Reginald J","non-dropping-particle":"","parse-names":false,"suffix":""},{"dropping-particle":"","family":"Stephens","given":"John A","non-dropping-particle":"","parse-names":false,"suffix":""}],"container-title":"Estuaries and Coasts","id":"ITEM-1","issue":"34","issued":{"date-parts":[["2011"]]},"page":"758-774","title":"The Effects of Wind , Runoff and Tides on Salinity in a Strongly Tidal Sub-estuary","type":"article-journal"},"uris":["http://www.mendeley.com/documents/?uuid=aa942afd-39f6-458b-afac-e8cb981f856b"]}],"mendeley":{"formattedCitation":"(Uncles &amp; Stephens, 2011)","manualFormatting":"Uncles &amp; Stephens, (2011)","plainTextFormattedCitation":"(Uncles &amp; Stephens, 2011)","previouslyFormattedCitation":"(Uncles &amp; Stephens, 2011)"},"properties":{"noteIndex":0},"schema":"https://github.com/citation-style-language/schema/raw/master/csl-citation.json"}</w:instrText>
      </w:r>
      <w:r w:rsidR="002B49EA" w:rsidRPr="0092758B">
        <w:rPr>
          <w:rFonts w:ascii="Times New Roman" w:eastAsia="Times New Roman" w:hAnsi="Times New Roman" w:cs="Times New Roman"/>
          <w:sz w:val="24"/>
          <w:szCs w:val="24"/>
        </w:rPr>
        <w:fldChar w:fldCharType="separate"/>
      </w:r>
      <w:r w:rsidR="00377C23">
        <w:rPr>
          <w:rFonts w:ascii="Times New Roman" w:eastAsia="Times New Roman" w:hAnsi="Times New Roman" w:cs="Times New Roman"/>
          <w:noProof/>
          <w:sz w:val="24"/>
          <w:szCs w:val="24"/>
        </w:rPr>
        <w:t>Uncles and Stephens</w:t>
      </w:r>
      <w:r w:rsidR="002B49EA" w:rsidRPr="0092758B">
        <w:rPr>
          <w:rFonts w:ascii="Times New Roman" w:eastAsia="Times New Roman" w:hAnsi="Times New Roman" w:cs="Times New Roman"/>
          <w:noProof/>
          <w:sz w:val="24"/>
          <w:szCs w:val="24"/>
        </w:rPr>
        <w:t xml:space="preserve"> (2011)</w:t>
      </w:r>
      <w:r w:rsidR="002B49EA" w:rsidRPr="0092758B">
        <w:rPr>
          <w:rFonts w:ascii="Times New Roman" w:eastAsia="Times New Roman" w:hAnsi="Times New Roman" w:cs="Times New Roman"/>
          <w:sz w:val="24"/>
          <w:szCs w:val="24"/>
        </w:rPr>
        <w:fldChar w:fldCharType="end"/>
      </w:r>
      <w:r w:rsidR="002B49EA" w:rsidRPr="0092758B">
        <w:rPr>
          <w:rFonts w:ascii="Times New Roman" w:eastAsia="Times New Roman" w:hAnsi="Times New Roman" w:cs="Times New Roman"/>
          <w:sz w:val="24"/>
          <w:szCs w:val="24"/>
        </w:rPr>
        <w:t xml:space="preserve"> and </w:t>
      </w:r>
      <w:r w:rsidR="002B49EA" w:rsidRPr="0092758B">
        <w:rPr>
          <w:rFonts w:ascii="Times New Roman" w:eastAsia="Times New Roman" w:hAnsi="Times New Roman" w:cs="Times New Roman"/>
          <w:sz w:val="24"/>
          <w:szCs w:val="24"/>
        </w:rPr>
        <w:fldChar w:fldCharType="begin" w:fldLock="1"/>
      </w:r>
      <w:r w:rsidR="00882FD8" w:rsidRPr="0092758B">
        <w:rPr>
          <w:rFonts w:ascii="Times New Roman" w:eastAsia="Times New Roman" w:hAnsi="Times New Roman" w:cs="Times New Roman"/>
          <w:sz w:val="24"/>
          <w:szCs w:val="24"/>
        </w:rPr>
        <w:instrText>ADDIN CSL_CITATION {"citationItems":[{"id":"ITEM-1","itemData":{"DOI":"10.1051/e3sconf/20183104006","author":[{"dropping-particle":"","family":"Purnaini","given":"Rizki","non-dropping-particle":"","parse-names":false,"suffix":""},{"dropping-particle":"","family":"Sudarmadji","given":"","non-dropping-particle":"","parse-names":false,"suffix":""},{"dropping-particle":"","family":"Purwono","given":"Suryo","non-dropping-particle":"","parse-names":false,"suffix":""}],"container-title":"E3S Web of Conferences","id":"ITEM-1","issued":{"date-parts":[["2018"]]},"page":"04006","title":"Tidal Influence on Water Quality of Kapuas Kecil River Downstream","type":"article-journal","volume":"31"},"uris":["http://www.mendeley.com/documents/?uuid=2337288d-be93-40d4-9efd-392ab81ee9f3"]}],"mendeley":{"formattedCitation":"(Purnaini, Sudarmadji, &amp; Purwono, 2018)","manualFormatting":"Purnaini, Sudarmadji, &amp; Purwono, (2018)","plainTextFormattedCitation":"(Purnaini, Sudarmadji, &amp; Purwono, 2018)","previouslyFormattedCitation":"(Purnaini, Sudarmadji, &amp; Purwono, 2018)"},"properties":{"noteIndex":0},"schema":"https://github.com/citation-style-language/schema/raw/master/csl-citation.json"}</w:instrText>
      </w:r>
      <w:r w:rsidR="002B49EA" w:rsidRPr="0092758B">
        <w:rPr>
          <w:rFonts w:ascii="Times New Roman" w:eastAsia="Times New Roman" w:hAnsi="Times New Roman" w:cs="Times New Roman"/>
          <w:sz w:val="24"/>
          <w:szCs w:val="24"/>
        </w:rPr>
        <w:fldChar w:fldCharType="separate"/>
      </w:r>
      <w:r w:rsidR="00377C23">
        <w:rPr>
          <w:rFonts w:ascii="Times New Roman" w:eastAsia="Times New Roman" w:hAnsi="Times New Roman" w:cs="Times New Roman"/>
          <w:noProof/>
          <w:sz w:val="24"/>
          <w:szCs w:val="24"/>
        </w:rPr>
        <w:t>Purnaini, Sudarmadji and Purwono</w:t>
      </w:r>
      <w:r w:rsidR="002B49EA" w:rsidRPr="0092758B">
        <w:rPr>
          <w:rFonts w:ascii="Times New Roman" w:eastAsia="Times New Roman" w:hAnsi="Times New Roman" w:cs="Times New Roman"/>
          <w:noProof/>
          <w:sz w:val="24"/>
          <w:szCs w:val="24"/>
        </w:rPr>
        <w:t xml:space="preserve"> (2018)</w:t>
      </w:r>
      <w:r w:rsidR="002B49EA" w:rsidRPr="0092758B">
        <w:rPr>
          <w:rFonts w:ascii="Times New Roman" w:eastAsia="Times New Roman" w:hAnsi="Times New Roman" w:cs="Times New Roman"/>
          <w:sz w:val="24"/>
          <w:szCs w:val="24"/>
        </w:rPr>
        <w:fldChar w:fldCharType="end"/>
      </w:r>
      <w:r w:rsidR="002B49EA" w:rsidRPr="0092758B">
        <w:rPr>
          <w:rFonts w:ascii="Times New Roman" w:eastAsia="Times New Roman" w:hAnsi="Times New Roman" w:cs="Times New Roman"/>
          <w:sz w:val="24"/>
          <w:szCs w:val="24"/>
        </w:rPr>
        <w:t>.</w:t>
      </w:r>
    </w:p>
    <w:p w14:paraId="69B8AACB" w14:textId="77777777" w:rsidR="00B1439B" w:rsidRPr="0092758B" w:rsidRDefault="00B1439B"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92758B" w:rsidRPr="0092758B" w14:paraId="5B546E71" w14:textId="77777777" w:rsidTr="00914B19">
        <w:trPr>
          <w:jc w:val="center"/>
        </w:trPr>
        <w:tc>
          <w:tcPr>
            <w:tcW w:w="4505" w:type="dxa"/>
          </w:tcPr>
          <w:p w14:paraId="183947BD" w14:textId="77F4D292" w:rsidR="0071126D" w:rsidRPr="0092758B" w:rsidRDefault="00E7658E" w:rsidP="004E52E3">
            <w:pPr>
              <w:pBdr>
                <w:top w:val="nil"/>
                <w:left w:val="nil"/>
                <w:bottom w:val="nil"/>
                <w:right w:val="nil"/>
                <w:between w:val="nil"/>
              </w:pBdr>
              <w:ind w:leftChars="0" w:left="2" w:hanging="2"/>
              <w:jc w:val="both"/>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MY" w:eastAsia="en-MY"/>
              </w:rPr>
              <w:lastRenderedPageBreak/>
              <mc:AlternateContent>
                <mc:Choice Requires="wps">
                  <w:drawing>
                    <wp:anchor distT="0" distB="0" distL="114300" distR="114300" simplePos="0" relativeHeight="251667456" behindDoc="0" locked="0" layoutInCell="1" allowOverlap="1" wp14:anchorId="4161A1A0" wp14:editId="06251EA2">
                      <wp:simplePos x="0" y="0"/>
                      <wp:positionH relativeFrom="column">
                        <wp:posOffset>440690</wp:posOffset>
                      </wp:positionH>
                      <wp:positionV relativeFrom="paragraph">
                        <wp:posOffset>30480</wp:posOffset>
                      </wp:positionV>
                      <wp:extent cx="4371975" cy="4762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719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01A06" w14:textId="15FF0E8C"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r>
                                    <w:rPr>
                                      <w:rFonts w:ascii="Times New Roman" w:hAnsi="Times New Roman" w:cs="Times New Roman"/>
                                      <w:sz w:val="20"/>
                                      <w:szCs w:val="20"/>
                                      <w:lang w:val="en-MY"/>
                                    </w:rPr>
                                    <w:t xml:space="preserve">                                        </w:t>
                                  </w:r>
                                  <w:proofErr w:type="gramStart"/>
                                  <w:r>
                                    <w:rPr>
                                      <w:rFonts w:ascii="Times New Roman" w:hAnsi="Times New Roman" w:cs="Times New Roman"/>
                                      <w:sz w:val="20"/>
                                      <w:szCs w:val="20"/>
                                      <w:lang w:val="en-MY"/>
                                    </w:rPr>
                                    <w:t xml:space="preserve">   (</w:t>
                                  </w:r>
                                  <w:proofErr w:type="gramEnd"/>
                                  <w:r>
                                    <w:rPr>
                                      <w:rFonts w:ascii="Times New Roman" w:hAnsi="Times New Roman" w:cs="Times New Roman"/>
                                      <w:sz w:val="20"/>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1A1A0" id="Text Box 18" o:spid="_x0000_s1030" type="#_x0000_t202" style="position:absolute;left:0;text-align:left;margin-left:34.7pt;margin-top:2.4pt;width:344.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" filled="f" stroked="f" strokeweight=".5pt">
                      <v:textbox>
                        <w:txbxContent>
                          <w:p w14:paraId="51D01A06" w14:textId="15FF0E8C"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r>
                              <w:rPr>
                                <w:rFonts w:ascii="Times New Roman" w:hAnsi="Times New Roman" w:cs="Times New Roman"/>
                                <w:sz w:val="20"/>
                                <w:szCs w:val="20"/>
                                <w:lang w:val="en-MY"/>
                              </w:rPr>
                              <w:t xml:space="preserve">                                        </w:t>
                            </w:r>
                            <w:proofErr w:type="gramStart"/>
                            <w:r>
                              <w:rPr>
                                <w:rFonts w:ascii="Times New Roman" w:hAnsi="Times New Roman" w:cs="Times New Roman"/>
                                <w:sz w:val="20"/>
                                <w:szCs w:val="20"/>
                                <w:lang w:val="en-MY"/>
                              </w:rPr>
                              <w:t xml:space="preserve">   (</w:t>
                            </w:r>
                            <w:proofErr w:type="gramEnd"/>
                            <w:r>
                              <w:rPr>
                                <w:rFonts w:ascii="Times New Roman" w:hAnsi="Times New Roman" w:cs="Times New Roman"/>
                                <w:sz w:val="20"/>
                                <w:szCs w:val="20"/>
                                <w:lang w:val="en-MY"/>
                              </w:rPr>
                              <w:t>b)</w:t>
                            </w:r>
                          </w:p>
                        </w:txbxContent>
                      </v:textbox>
                    </v:shape>
                  </w:pict>
                </mc:Fallback>
              </mc:AlternateContent>
            </w:r>
            <w:r w:rsidR="0071126D" w:rsidRPr="0092758B">
              <w:rPr>
                <w:rFonts w:ascii="Times New Roman" w:eastAsia="Times New Roman" w:hAnsi="Times New Roman" w:cs="Times New Roman"/>
                <w:noProof/>
                <w:sz w:val="24"/>
                <w:szCs w:val="24"/>
                <w:lang w:val="en-MY" w:eastAsia="en-MY"/>
              </w:rPr>
              <w:drawing>
                <wp:inline distT="0" distB="0" distL="0" distR="0" wp14:anchorId="704FA59B" wp14:editId="281E4494">
                  <wp:extent cx="2696637"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637" cy="2160000"/>
                          </a:xfrm>
                          <a:prstGeom prst="rect">
                            <a:avLst/>
                          </a:prstGeom>
                          <a:noFill/>
                          <a:ln>
                            <a:noFill/>
                          </a:ln>
                        </pic:spPr>
                      </pic:pic>
                    </a:graphicData>
                  </a:graphic>
                </wp:inline>
              </w:drawing>
            </w:r>
          </w:p>
        </w:tc>
        <w:tc>
          <w:tcPr>
            <w:tcW w:w="4505" w:type="dxa"/>
          </w:tcPr>
          <w:p w14:paraId="6881EC55" w14:textId="5EAEEE32" w:rsidR="0071126D" w:rsidRPr="0092758B" w:rsidRDefault="0071126D" w:rsidP="004E52E3">
            <w:pPr>
              <w:pBdr>
                <w:top w:val="nil"/>
                <w:left w:val="nil"/>
                <w:bottom w:val="nil"/>
                <w:right w:val="nil"/>
                <w:between w:val="nil"/>
              </w:pBdr>
              <w:ind w:leftChars="0" w:left="2" w:hanging="2"/>
              <w:jc w:val="both"/>
              <w:rPr>
                <w:rFonts w:ascii="Times New Roman" w:eastAsia="Times New Roman" w:hAnsi="Times New Roman" w:cs="Times New Roman"/>
                <w:sz w:val="24"/>
                <w:szCs w:val="24"/>
                <w:lang w:val="en-GB"/>
              </w:rPr>
            </w:pPr>
            <w:r w:rsidRPr="0092758B">
              <w:rPr>
                <w:rFonts w:ascii="Times New Roman" w:eastAsia="Times New Roman" w:hAnsi="Times New Roman" w:cs="Times New Roman"/>
                <w:noProof/>
                <w:sz w:val="24"/>
                <w:szCs w:val="24"/>
                <w:lang w:val="en-MY" w:eastAsia="en-MY"/>
              </w:rPr>
              <w:drawing>
                <wp:inline distT="0" distB="0" distL="0" distR="0" wp14:anchorId="6CF1A156" wp14:editId="0CC75249">
                  <wp:extent cx="2696637"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637" cy="2160000"/>
                          </a:xfrm>
                          <a:prstGeom prst="rect">
                            <a:avLst/>
                          </a:prstGeom>
                          <a:noFill/>
                          <a:ln>
                            <a:noFill/>
                          </a:ln>
                        </pic:spPr>
                      </pic:pic>
                    </a:graphicData>
                  </a:graphic>
                </wp:inline>
              </w:drawing>
            </w:r>
          </w:p>
        </w:tc>
      </w:tr>
    </w:tbl>
    <w:p w14:paraId="24EB2599" w14:textId="7942B9B9" w:rsidR="0071126D" w:rsidRPr="0092758B" w:rsidRDefault="0071126D" w:rsidP="00E7658E">
      <w:pPr>
        <w:pBdr>
          <w:top w:val="nil"/>
          <w:left w:val="nil"/>
          <w:bottom w:val="nil"/>
          <w:right w:val="nil"/>
          <w:between w:val="nil"/>
        </w:pBdr>
        <w:spacing w:before="120" w:after="0" w:line="240" w:lineRule="auto"/>
        <w:ind w:leftChars="0" w:left="2" w:hanging="2"/>
        <w:jc w:val="center"/>
        <w:rPr>
          <w:rFonts w:ascii="Times New Roman" w:eastAsia="Times New Roman" w:hAnsi="Times New Roman" w:cs="Times New Roman"/>
          <w:sz w:val="20"/>
          <w:szCs w:val="20"/>
          <w:lang w:val="en-GB"/>
        </w:rPr>
      </w:pPr>
      <w:r w:rsidRPr="0092758B">
        <w:rPr>
          <w:rFonts w:ascii="Times New Roman" w:eastAsia="Times New Roman" w:hAnsi="Times New Roman" w:cs="Times New Roman"/>
          <w:b/>
          <w:bCs/>
          <w:sz w:val="20"/>
          <w:szCs w:val="20"/>
          <w:lang w:val="en-GB"/>
        </w:rPr>
        <w:t xml:space="preserve">Figure </w:t>
      </w:r>
      <w:r w:rsidR="001E62FC" w:rsidRPr="0092758B">
        <w:rPr>
          <w:rFonts w:ascii="Times New Roman" w:eastAsia="Times New Roman" w:hAnsi="Times New Roman" w:cs="Times New Roman"/>
          <w:b/>
          <w:bCs/>
          <w:sz w:val="20"/>
          <w:szCs w:val="20"/>
          <w:lang w:val="en-GB"/>
        </w:rPr>
        <w:t>1</w:t>
      </w:r>
      <w:r w:rsidR="00B96AC0" w:rsidRPr="0092758B">
        <w:rPr>
          <w:rFonts w:ascii="Times New Roman" w:eastAsia="Times New Roman" w:hAnsi="Times New Roman" w:cs="Times New Roman"/>
          <w:b/>
          <w:bCs/>
          <w:sz w:val="20"/>
          <w:szCs w:val="20"/>
          <w:lang w:val="en-GB"/>
        </w:rPr>
        <w:t>0</w:t>
      </w:r>
      <w:r w:rsidRPr="0092758B">
        <w:rPr>
          <w:rFonts w:ascii="Times New Roman" w:eastAsia="Times New Roman" w:hAnsi="Times New Roman" w:cs="Times New Roman"/>
          <w:b/>
          <w:bCs/>
          <w:sz w:val="20"/>
          <w:szCs w:val="20"/>
          <w:lang w:val="en-GB"/>
        </w:rPr>
        <w:t>.</w:t>
      </w:r>
      <w:r w:rsidRPr="0092758B">
        <w:rPr>
          <w:rFonts w:ascii="Times New Roman" w:eastAsia="Times New Roman" w:hAnsi="Times New Roman" w:cs="Times New Roman"/>
          <w:sz w:val="20"/>
          <w:szCs w:val="20"/>
          <w:lang w:val="en-GB"/>
        </w:rPr>
        <w:t xml:space="preserve"> Boxplots of salinity concentration data during (a) low tide and (b) high tide events on Season 1-2019, respectively</w:t>
      </w:r>
      <w:r w:rsidR="00135C76">
        <w:rPr>
          <w:rFonts w:ascii="Times New Roman" w:eastAsia="Times New Roman" w:hAnsi="Times New Roman" w:cs="Times New Roman"/>
          <w:sz w:val="20"/>
          <w:szCs w:val="20"/>
          <w:lang w:val="en-GB"/>
        </w:rPr>
        <w:t>.</w:t>
      </w:r>
    </w:p>
    <w:p w14:paraId="6C0E1C78" w14:textId="52DFDE14"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92758B" w:rsidRPr="0092758B" w14:paraId="515EBA06" w14:textId="77777777" w:rsidTr="00914B19">
        <w:trPr>
          <w:jc w:val="center"/>
        </w:trPr>
        <w:tc>
          <w:tcPr>
            <w:tcW w:w="4505" w:type="dxa"/>
          </w:tcPr>
          <w:p w14:paraId="74672924" w14:textId="7157889F" w:rsidR="0071126D" w:rsidRPr="0092758B" w:rsidRDefault="00E7658E" w:rsidP="004E52E3">
            <w:pPr>
              <w:pBdr>
                <w:top w:val="nil"/>
                <w:left w:val="nil"/>
                <w:bottom w:val="nil"/>
                <w:right w:val="nil"/>
                <w:between w:val="nil"/>
              </w:pBdr>
              <w:ind w:leftChars="0" w:left="2" w:hanging="2"/>
              <w:jc w:val="both"/>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69504" behindDoc="0" locked="0" layoutInCell="1" allowOverlap="1" wp14:anchorId="3FBB00F5" wp14:editId="5606D628">
                      <wp:simplePos x="0" y="0"/>
                      <wp:positionH relativeFrom="column">
                        <wp:posOffset>467995</wp:posOffset>
                      </wp:positionH>
                      <wp:positionV relativeFrom="paragraph">
                        <wp:posOffset>31750</wp:posOffset>
                      </wp:positionV>
                      <wp:extent cx="4371975" cy="476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719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56F85" w14:textId="6E6DCC50"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r>
                                    <w:rPr>
                                      <w:rFonts w:ascii="Times New Roman" w:hAnsi="Times New Roman" w:cs="Times New Roman"/>
                                      <w:sz w:val="20"/>
                                      <w:szCs w:val="20"/>
                                      <w:lang w:val="en-MY"/>
                                    </w:rPr>
                                    <w:t xml:space="preserve">                                     </w:t>
                                  </w:r>
                                  <w:proofErr w:type="gramStart"/>
                                  <w:r>
                                    <w:rPr>
                                      <w:rFonts w:ascii="Times New Roman" w:hAnsi="Times New Roman" w:cs="Times New Roman"/>
                                      <w:sz w:val="20"/>
                                      <w:szCs w:val="20"/>
                                      <w:lang w:val="en-MY"/>
                                    </w:rPr>
                                    <w:t xml:space="preserve">   (</w:t>
                                  </w:r>
                                  <w:proofErr w:type="gramEnd"/>
                                  <w:r>
                                    <w:rPr>
                                      <w:rFonts w:ascii="Times New Roman" w:hAnsi="Times New Roman" w:cs="Times New Roman"/>
                                      <w:sz w:val="20"/>
                                      <w:szCs w:val="20"/>
                                      <w:lang w:val="en-MY"/>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B00F5" id="Text Box 24" o:spid="_x0000_s1031" type="#_x0000_t202" style="position:absolute;left:0;text-align:left;margin-left:36.85pt;margin-top:2.5pt;width:344.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" filled="f" stroked="f" strokeweight=".5pt">
                      <v:textbox>
                        <w:txbxContent>
                          <w:p w14:paraId="25B56F85" w14:textId="6E6DCC50" w:rsidR="00E7658E" w:rsidRPr="00E7658E" w:rsidRDefault="00E7658E" w:rsidP="00E7658E">
                            <w:pPr>
                              <w:ind w:left="0" w:hanging="2"/>
                              <w:rPr>
                                <w:rFonts w:ascii="Times New Roman" w:hAnsi="Times New Roman" w:cs="Times New Roman"/>
                                <w:sz w:val="20"/>
                                <w:szCs w:val="20"/>
                                <w:lang w:val="en-MY"/>
                              </w:rPr>
                            </w:pPr>
                            <w:r w:rsidRPr="00E7658E">
                              <w:rPr>
                                <w:rFonts w:ascii="Times New Roman" w:hAnsi="Times New Roman" w:cs="Times New Roman"/>
                                <w:sz w:val="20"/>
                                <w:szCs w:val="20"/>
                                <w:lang w:val="en-MY"/>
                              </w:rPr>
                              <w:t xml:space="preserve">(a)                                            </w:t>
                            </w:r>
                            <w:r>
                              <w:rPr>
                                <w:rFonts w:ascii="Times New Roman" w:hAnsi="Times New Roman" w:cs="Times New Roman"/>
                                <w:sz w:val="20"/>
                                <w:szCs w:val="20"/>
                                <w:lang w:val="en-MY"/>
                              </w:rPr>
                              <w:t xml:space="preserve">                                     </w:t>
                            </w:r>
                            <w:proofErr w:type="gramStart"/>
                            <w:r>
                              <w:rPr>
                                <w:rFonts w:ascii="Times New Roman" w:hAnsi="Times New Roman" w:cs="Times New Roman"/>
                                <w:sz w:val="20"/>
                                <w:szCs w:val="20"/>
                                <w:lang w:val="en-MY"/>
                              </w:rPr>
                              <w:t xml:space="preserve">   (</w:t>
                            </w:r>
                            <w:proofErr w:type="gramEnd"/>
                            <w:r>
                              <w:rPr>
                                <w:rFonts w:ascii="Times New Roman" w:hAnsi="Times New Roman" w:cs="Times New Roman"/>
                                <w:sz w:val="20"/>
                                <w:szCs w:val="20"/>
                                <w:lang w:val="en-MY"/>
                              </w:rPr>
                              <w:t xml:space="preserve">b) </w:t>
                            </w:r>
                          </w:p>
                        </w:txbxContent>
                      </v:textbox>
                    </v:shape>
                  </w:pict>
                </mc:Fallback>
              </mc:AlternateContent>
            </w:r>
            <w:r w:rsidR="0071126D" w:rsidRPr="0092758B">
              <w:rPr>
                <w:rFonts w:ascii="Times New Roman" w:eastAsia="Times New Roman" w:hAnsi="Times New Roman" w:cs="Times New Roman"/>
                <w:noProof/>
                <w:sz w:val="24"/>
                <w:szCs w:val="24"/>
                <w:lang w:val="en-MY" w:eastAsia="en-MY"/>
              </w:rPr>
              <w:drawing>
                <wp:inline distT="0" distB="0" distL="0" distR="0" wp14:anchorId="55AC7FAD" wp14:editId="55AB02C9">
                  <wp:extent cx="2696637"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6637" cy="2160000"/>
                          </a:xfrm>
                          <a:prstGeom prst="rect">
                            <a:avLst/>
                          </a:prstGeom>
                          <a:noFill/>
                          <a:ln>
                            <a:noFill/>
                          </a:ln>
                        </pic:spPr>
                      </pic:pic>
                    </a:graphicData>
                  </a:graphic>
                </wp:inline>
              </w:drawing>
            </w:r>
          </w:p>
        </w:tc>
        <w:tc>
          <w:tcPr>
            <w:tcW w:w="4505" w:type="dxa"/>
          </w:tcPr>
          <w:p w14:paraId="34A24C88" w14:textId="77777777" w:rsidR="0071126D" w:rsidRPr="0092758B" w:rsidRDefault="0071126D" w:rsidP="004E52E3">
            <w:pPr>
              <w:pBdr>
                <w:top w:val="nil"/>
                <w:left w:val="nil"/>
                <w:bottom w:val="nil"/>
                <w:right w:val="nil"/>
                <w:between w:val="nil"/>
              </w:pBdr>
              <w:ind w:leftChars="0" w:left="2" w:hanging="2"/>
              <w:jc w:val="both"/>
              <w:rPr>
                <w:rFonts w:ascii="Times New Roman" w:eastAsia="Times New Roman" w:hAnsi="Times New Roman" w:cs="Times New Roman"/>
                <w:sz w:val="24"/>
                <w:szCs w:val="24"/>
                <w:lang w:val="en-GB"/>
              </w:rPr>
            </w:pPr>
            <w:r w:rsidRPr="0092758B">
              <w:rPr>
                <w:rFonts w:ascii="Times New Roman" w:eastAsia="Times New Roman" w:hAnsi="Times New Roman" w:cs="Times New Roman"/>
                <w:noProof/>
                <w:sz w:val="24"/>
                <w:szCs w:val="24"/>
                <w:lang w:val="en-MY" w:eastAsia="en-MY"/>
              </w:rPr>
              <w:drawing>
                <wp:inline distT="0" distB="0" distL="0" distR="0" wp14:anchorId="1C96CB4A" wp14:editId="6001896F">
                  <wp:extent cx="2696637"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6637" cy="2160000"/>
                          </a:xfrm>
                          <a:prstGeom prst="rect">
                            <a:avLst/>
                          </a:prstGeom>
                          <a:noFill/>
                          <a:ln>
                            <a:noFill/>
                          </a:ln>
                        </pic:spPr>
                      </pic:pic>
                    </a:graphicData>
                  </a:graphic>
                </wp:inline>
              </w:drawing>
            </w:r>
          </w:p>
        </w:tc>
      </w:tr>
    </w:tbl>
    <w:p w14:paraId="0DB4483A" w14:textId="53220953" w:rsidR="0071126D" w:rsidRPr="0092758B" w:rsidRDefault="0071126D" w:rsidP="00E7658E">
      <w:pPr>
        <w:pBdr>
          <w:top w:val="nil"/>
          <w:left w:val="nil"/>
          <w:bottom w:val="nil"/>
          <w:right w:val="nil"/>
          <w:between w:val="nil"/>
        </w:pBdr>
        <w:spacing w:before="120" w:after="0" w:line="240" w:lineRule="auto"/>
        <w:ind w:leftChars="0" w:left="2" w:hanging="2"/>
        <w:jc w:val="center"/>
        <w:rPr>
          <w:rFonts w:ascii="Times New Roman" w:eastAsia="Times New Roman" w:hAnsi="Times New Roman" w:cs="Times New Roman"/>
          <w:sz w:val="20"/>
          <w:szCs w:val="20"/>
          <w:lang w:val="en-GB"/>
        </w:rPr>
      </w:pPr>
      <w:r w:rsidRPr="0092758B">
        <w:rPr>
          <w:rFonts w:ascii="Times New Roman" w:eastAsia="Times New Roman" w:hAnsi="Times New Roman" w:cs="Times New Roman"/>
          <w:b/>
          <w:bCs/>
          <w:sz w:val="20"/>
          <w:szCs w:val="20"/>
          <w:lang w:val="en-GB"/>
        </w:rPr>
        <w:t>Figure 1</w:t>
      </w:r>
      <w:r w:rsidR="00B96AC0" w:rsidRPr="0092758B">
        <w:rPr>
          <w:rFonts w:ascii="Times New Roman" w:eastAsia="Times New Roman" w:hAnsi="Times New Roman" w:cs="Times New Roman"/>
          <w:b/>
          <w:bCs/>
          <w:sz w:val="20"/>
          <w:szCs w:val="20"/>
          <w:lang w:val="en-GB"/>
        </w:rPr>
        <w:t>1</w:t>
      </w:r>
      <w:r w:rsidRPr="0092758B">
        <w:rPr>
          <w:rFonts w:ascii="Times New Roman" w:eastAsia="Times New Roman" w:hAnsi="Times New Roman" w:cs="Times New Roman"/>
          <w:b/>
          <w:bCs/>
          <w:sz w:val="20"/>
          <w:szCs w:val="20"/>
          <w:lang w:val="en-GB"/>
        </w:rPr>
        <w:t>.</w:t>
      </w:r>
      <w:r w:rsidRPr="0092758B">
        <w:rPr>
          <w:rFonts w:ascii="Times New Roman" w:eastAsia="Times New Roman" w:hAnsi="Times New Roman" w:cs="Times New Roman"/>
          <w:sz w:val="20"/>
          <w:szCs w:val="20"/>
          <w:lang w:val="en-GB"/>
        </w:rPr>
        <w:t xml:space="preserve"> Boxplots of salinity concentration data during (a) low tide and (b) high tide events on Season 2-2019, respectively</w:t>
      </w:r>
      <w:r w:rsidR="00135C76">
        <w:rPr>
          <w:rFonts w:ascii="Times New Roman" w:eastAsia="Times New Roman" w:hAnsi="Times New Roman" w:cs="Times New Roman"/>
          <w:sz w:val="20"/>
          <w:szCs w:val="20"/>
          <w:lang w:val="en-GB"/>
        </w:rPr>
        <w:t>.</w:t>
      </w:r>
    </w:p>
    <w:p w14:paraId="584390D1" w14:textId="77777777"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33178129" w14:textId="15D7F2A1" w:rsidR="0071126D" w:rsidRPr="0092758B" w:rsidRDefault="0071126D" w:rsidP="004E52E3">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Based on findings by </w:t>
      </w:r>
      <w:r w:rsidRPr="0092758B">
        <w:rPr>
          <w:rFonts w:ascii="Times New Roman" w:eastAsia="Times New Roman" w:hAnsi="Times New Roman" w:cs="Times New Roman"/>
          <w:sz w:val="24"/>
          <w:szCs w:val="24"/>
        </w:rPr>
        <w:fldChar w:fldCharType="begin" w:fldLock="1"/>
      </w:r>
      <w:r w:rsidRPr="0092758B">
        <w:rPr>
          <w:rFonts w:ascii="Times New Roman" w:eastAsia="Times New Roman" w:hAnsi="Times New Roman" w:cs="Times New Roman"/>
          <w:sz w:val="24"/>
          <w:szCs w:val="24"/>
        </w:rPr>
        <w:instrText>ADDIN CSL_CITATION {"citationItems":[{"id":"ITEM-1","itemData":{"DOI":"doi:10.3390/w12020614","abstract":"Using multiple-satellite datasets, in situ observations, and numerical simulations, the influence of typhoon-induced precipitation on the oceanic response to Typhoon Kalmaegi has been discussed. It is found that the convective system and precipitation distribution of Kalmaegi was asymmetric, which leaded to the asymmetric rainfall at observational stations. The sea surface salinity (SSS) of the buoy to the right of storm track increased with a 0.176 practical salinity units (psu) maximal positive anomaly, while the two buoys on the left side underwent several desalination processes, with a maximum decreases of 0.145 psu and 0.278 psu. Numerical simulations with and without precipitation forcing were also performed. Model results showed that typhoon-induced precipitation can weaken sea surface cooling by approximately 0.03–0.40 ◦C and suppress the SSS increase by approximately 0.074–0.152 psu. The effect of precipitation can be divided into the direct effect and indirect effect. On one hand, freshwater from precipitation directly dilutes the salinity. On the other hand, when salinity decreases, the ocean stratification will be enhanced, the vertical mixing will be restrained, and then the temperature and salinity can be further affected by weakened vertical mixing.","author":[{"dropping-particle":"","family":"Liu","given":"Fu","non-dropping-particle":"","parse-names":false,"suffix":""},{"dropping-particle":"","family":"Zhang","given":"Han","non-dropping-particle":"","parse-names":false,"suffix":""},{"dropping-particle":"","family":"Ming","given":"Jie","non-dropping-particle":"","parse-names":false,"suffix":""},{"dropping-particle":"","family":"Zheng","given":"Jiayu","non-dropping-particle":"","parse-names":false,"suffix":""},{"dropping-particle":"","family":"Tian","given":"Di","non-dropping-particle":"","parse-names":false,"suffix":""},{"dropping-particle":"","family":"Chen","given":"Dake","non-dropping-particle":"","parse-names":false,"suffix":""}],"container-title":"Water","id":"ITEM-1","issue":"614","issued":{"date-parts":[["2020"]]},"title":"Importance of Precipitation on the Upper Ocean Salinity Response to Typhoon Kalmaegi (2014)","type":"article-journal","volume":"12"},"uris":["http://www.mendeley.com/documents/?uuid=8cd2064e-976c-44dc-9469-1ffb00bdb474"]}],"mendeley":{"formattedCitation":"(Liu et al., 2020)","manualFormatting":"Liu et al. (2020)","plainTextFormattedCitation":"(Liu et al., 2020)","previouslyFormattedCitation":"(Liu et al., 2020)"},"properties":{"noteIndex":0},"schema":"https://github.com/citation-style-language/schema/raw/master/csl-citation.json"}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Pr="0092758B">
        <w:rPr>
          <w:rFonts w:ascii="Times New Roman" w:eastAsia="Times New Roman" w:hAnsi="Times New Roman" w:cs="Times New Roman"/>
          <w:noProof/>
          <w:sz w:val="24"/>
          <w:szCs w:val="24"/>
        </w:rPr>
        <w:t>Liu et al. (2020)</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salinity concentrations can be directly diluted by rainfall. This means that the salinity concentration will be reduced if it receives high rainfall. Additionally, these researchers also found that salinity was less sensitive to temperature compared to rainfall. However, in this study, the higher rainfall gives a higher value of salinity concentration especially during Season 1 2019 which contrary with the findings reported by </w:t>
      </w:r>
      <w:r w:rsidRPr="0092758B">
        <w:rPr>
          <w:rFonts w:ascii="Times New Roman" w:eastAsia="Times New Roman" w:hAnsi="Times New Roman" w:cs="Times New Roman"/>
          <w:sz w:val="24"/>
          <w:szCs w:val="24"/>
        </w:rPr>
        <w:fldChar w:fldCharType="begin" w:fldLock="1"/>
      </w:r>
      <w:r w:rsidRPr="0092758B">
        <w:rPr>
          <w:rFonts w:ascii="Times New Roman" w:eastAsia="Times New Roman" w:hAnsi="Times New Roman" w:cs="Times New Roman"/>
          <w:sz w:val="24"/>
          <w:szCs w:val="24"/>
        </w:rPr>
        <w:instrText>ADDIN CSL_CITATION {"citationItems":[{"id":"ITEM-1","itemData":{"DOI":"doi:10.3390/w12020614","abstract":"Using multiple-satellite datasets, in situ observations, and numerical simulations, the influence of typhoon-induced precipitation on the oceanic response to Typhoon Kalmaegi has been discussed. It is found that the convective system and precipitation distribution of Kalmaegi was asymmetric, which leaded to the asymmetric rainfall at observational stations. The sea surface salinity (SSS) of the buoy to the right of storm track increased with a 0.176 practical salinity units (psu) maximal positive anomaly, while the two buoys on the left side underwent several desalination processes, with a maximum decreases of 0.145 psu and 0.278 psu. Numerical simulations with and without precipitation forcing were also performed. Model results showed that typhoon-induced precipitation can weaken sea surface cooling by approximately 0.03–0.40 ◦C and suppress the SSS increase by approximately 0.074–0.152 psu. The effect of precipitation can be divided into the direct effect and indirect effect. On one hand, freshwater from precipitation directly dilutes the salinity. On the other hand, when salinity decreases, the ocean stratification will be enhanced, the vertical mixing will be restrained, and then the temperature and salinity can be further affected by weakened vertical mixing.","author":[{"dropping-particle":"","family":"Liu","given":"Fu","non-dropping-particle":"","parse-names":false,"suffix":""},{"dropping-particle":"","family":"Zhang","given":"Han","non-dropping-particle":"","parse-names":false,"suffix":""},{"dropping-particle":"","family":"Ming","given":"Jie","non-dropping-particle":"","parse-names":false,"suffix":""},{"dropping-particle":"","family":"Zheng","given":"Jiayu","non-dropping-particle":"","parse-names":false,"suffix":""},{"dropping-particle":"","family":"Tian","given":"Di","non-dropping-particle":"","parse-names":false,"suffix":""},{"dropping-particle":"","family":"Chen","given":"Dake","non-dropping-particle":"","parse-names":false,"suffix":""}],"container-title":"Water","id":"ITEM-1","issue":"614","issued":{"date-parts":[["2020"]]},"title":"Importance of Precipitation on the Upper Ocean Salinity Response to Typhoon Kalmaegi (2014)","type":"article-journal","volume":"12"},"uris":["http://www.mendeley.com/documents/?uuid=8cd2064e-976c-44dc-9469-1ffb00bdb474"]}],"mendeley":{"formattedCitation":"(Liu et al., 2020)","manualFormatting":"Liu et al., (2020)","plainTextFormattedCitation":"(Liu et al., 2020)","previouslyFormattedCitation":"(Liu et al., 2020)"},"properties":{"noteIndex":0},"schema":"https://github.com/citation-style-language/schema/raw/master/csl-citation.json"}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377C23">
        <w:rPr>
          <w:rFonts w:ascii="Times New Roman" w:eastAsia="Times New Roman" w:hAnsi="Times New Roman" w:cs="Times New Roman"/>
          <w:noProof/>
          <w:sz w:val="24"/>
          <w:szCs w:val="24"/>
        </w:rPr>
        <w:t>Liu et al.</w:t>
      </w:r>
      <w:r w:rsidRPr="0092758B">
        <w:rPr>
          <w:rFonts w:ascii="Times New Roman" w:eastAsia="Times New Roman" w:hAnsi="Times New Roman" w:cs="Times New Roman"/>
          <w:noProof/>
          <w:sz w:val="24"/>
          <w:szCs w:val="24"/>
        </w:rPr>
        <w:t xml:space="preserve"> (2020)</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This is due to the location of the study area which is located approximately 200m from the shoreline and the seawater easily penetrated into the paddy plots during heavy rainfall and also the high tide events, as discussed in earlier paragraphs </w:t>
      </w:r>
      <w:r w:rsidRPr="0092758B">
        <w:rPr>
          <w:rFonts w:ascii="Times New Roman" w:eastAsia="Times New Roman" w:hAnsi="Times New Roman" w:cs="Times New Roman"/>
          <w:sz w:val="24"/>
          <w:szCs w:val="24"/>
        </w:rPr>
        <w:fldChar w:fldCharType="begin" w:fldLock="1"/>
      </w:r>
      <w:r w:rsidR="00B1524D" w:rsidRPr="0092758B">
        <w:rPr>
          <w:rFonts w:ascii="Times New Roman" w:eastAsia="Times New Roman" w:hAnsi="Times New Roman" w:cs="Times New Roman"/>
          <w:sz w:val="24"/>
          <w:szCs w:val="24"/>
        </w:rPr>
        <w:instrText>ADDIN CSL_CITATION {"citationItems":[{"id":"ITEM-1","itemData":{"DOI":"10.1002/ 2016WR020344","abstract":"Evaporation has been recognized as a major driving force affecting coastal aquifer systems. However, its effects on subsurface flow and salinity structure have not been investigated in sufficient detail. This paper presents field measurements and numerical simulations of pore water flow and subsurface salinity structure in the supratidal zone of a sandy beach subjected to evaporation as well as rainfall. It was found that evaporation significantly increased pore water salinity, up to 85 g/L, within a shallow layer, approximately 10 cm below the beach surface. The induced density gradient generated salt fingers near the beach surface, which caused local groundwater circulation (i.e., fingering flow). However, unlike inland aquifers, the salt fingering was significantly diminished by tidal action that prompted the horizontal mixing of salt in the beach. The subsequent precipitation (e.g., rainfall) diluted the evaporation-induced high saline plume near the beach surface and drove the plume to migrate downward; the plume gradually dispersed and was diluted along the groundwater pathways. The simulation results indicated that evaporation as well as precipitation at the beach surface induced complex driving mechanisms for supratidal groundwater flow. Depending on the intensity at the beach surface, evaporation and rainfall significantly altered the pore water flow and associate solute transport processes in the supratidal zone of the beach.","author":[{"dropping-particle":"","family":"Geng","given":"Xiaolong","non-dropping-particle":"","parse-names":false,"suffix":""},{"dropping-particle":"","family":"Boufadel","given":"M.C.","non-dropping-particle":"","parse-names":false,"suffix":""}],"container-title":"Water Resources Research","id":"ITEM-1","issued":{"date-parts":[["2017"]]},"page":"6218-6238","title":"The influence of evaporation and rainfall on supratidal groundwater dynamics and salinity structure in a sandy beach","type":"article-journal","volume":"53"},"uris":["http://www.mendeley.com/documents/?uuid=e1fd63f7-be53-4782-9d66-b7a2f817d5e2"]}],"mendeley":{"formattedCitation":"(Geng &amp; Boufadel, 2017)","plainTextFormattedCitation":"(Geng &amp; Boufadel, 2017)","previouslyFormattedCitation":"(Geng &amp; Boufadel, 2017)"},"properties":{"noteIndex":0},"schema":"https://github.com/citation-style-language/schema/raw/master/csl-citation.json"}</w:instrText>
      </w:r>
      <w:r w:rsidRPr="0092758B">
        <w:rPr>
          <w:rFonts w:ascii="Times New Roman" w:eastAsia="Times New Roman" w:hAnsi="Times New Roman" w:cs="Times New Roman"/>
          <w:sz w:val="24"/>
          <w:szCs w:val="24"/>
        </w:rPr>
        <w:fldChar w:fldCharType="separate"/>
      </w:r>
      <w:r w:rsidR="00B1524D" w:rsidRPr="0092758B">
        <w:rPr>
          <w:rFonts w:ascii="Times New Roman" w:eastAsia="Times New Roman" w:hAnsi="Times New Roman" w:cs="Times New Roman"/>
          <w:noProof/>
          <w:sz w:val="24"/>
          <w:szCs w:val="24"/>
        </w:rPr>
        <w:t>(Geng &amp; Boufadel, 2017)</w:t>
      </w:r>
      <w:r w:rsidRPr="0092758B">
        <w:rPr>
          <w:rFonts w:ascii="Times New Roman" w:eastAsia="Times New Roman" w:hAnsi="Times New Roman" w:cs="Times New Roman"/>
          <w:sz w:val="24"/>
          <w:szCs w:val="24"/>
        </w:rPr>
        <w:fldChar w:fldCharType="end"/>
      </w:r>
      <w:r w:rsidRPr="0092758B">
        <w:rPr>
          <w:rFonts w:ascii="Times New Roman" w:eastAsia="Times New Roman" w:hAnsi="Times New Roman" w:cs="Times New Roman"/>
          <w:sz w:val="24"/>
          <w:szCs w:val="24"/>
        </w:rPr>
        <w:t xml:space="preserve">. </w:t>
      </w:r>
    </w:p>
    <w:p w14:paraId="4113CFBA" w14:textId="1CC0999A" w:rsidR="00A3720B" w:rsidRPr="0092758B" w:rsidRDefault="00A3720B"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23D16E55" w14:textId="34826E00" w:rsidR="0071126D" w:rsidRPr="0092758B" w:rsidRDefault="0071126D" w:rsidP="004E52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31B33783" w14:textId="1DA7734B" w:rsidR="00A3720B" w:rsidRPr="0092758B" w:rsidRDefault="00252EC3" w:rsidP="004E52E3">
      <w:pPr>
        <w:spacing w:after="0" w:line="240" w:lineRule="auto"/>
        <w:ind w:leftChars="0" w:left="0" w:firstLineChars="0" w:firstLine="0"/>
        <w:rPr>
          <w:rFonts w:ascii="Times New Roman" w:eastAsia="Times New Roman" w:hAnsi="Times New Roman" w:cs="Times New Roman"/>
          <w:sz w:val="20"/>
          <w:szCs w:val="20"/>
        </w:rPr>
      </w:pPr>
      <w:r w:rsidRPr="0092758B">
        <w:rPr>
          <w:rFonts w:ascii="Times New Roman" w:eastAsia="Times New Roman" w:hAnsi="Times New Roman" w:cs="Times New Roman"/>
          <w:b/>
          <w:sz w:val="24"/>
          <w:szCs w:val="24"/>
        </w:rPr>
        <w:t xml:space="preserve">Conclusion </w:t>
      </w:r>
    </w:p>
    <w:p w14:paraId="436563D9" w14:textId="77777777" w:rsidR="00A3720B" w:rsidRPr="0092758B" w:rsidRDefault="00A3720B" w:rsidP="004E52E3">
      <w:pPr>
        <w:spacing w:after="0" w:line="240" w:lineRule="auto"/>
        <w:ind w:leftChars="0" w:left="2" w:hanging="2"/>
        <w:rPr>
          <w:rFonts w:ascii="Times New Roman" w:eastAsia="Times New Roman" w:hAnsi="Times New Roman" w:cs="Times New Roman"/>
          <w:sz w:val="24"/>
          <w:szCs w:val="24"/>
        </w:rPr>
      </w:pPr>
    </w:p>
    <w:p w14:paraId="5F36AF19" w14:textId="14F1C700" w:rsidR="0071126D" w:rsidRPr="0092758B" w:rsidRDefault="0071126D" w:rsidP="004E52E3">
      <w:pP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Salinity variability maps have been developed using the Spatial Analyst Tool in ArcGIS for these paddy plots. The highest salinity concentration was recorded on 10 DAS during Season 1 2019 for both tidal events. </w:t>
      </w:r>
      <w:r w:rsidR="00A04EC7" w:rsidRPr="0092758B">
        <w:rPr>
          <w:rFonts w:ascii="Times New Roman" w:eastAsia="Times New Roman" w:hAnsi="Times New Roman" w:cs="Times New Roman"/>
          <w:sz w:val="24"/>
          <w:szCs w:val="24"/>
        </w:rPr>
        <w:t xml:space="preserve">During this period, paddy plots have received water directly from irrigation canals with high concentrations of salinity due to seawater penetration. </w:t>
      </w:r>
      <w:r w:rsidRPr="0092758B">
        <w:rPr>
          <w:rFonts w:ascii="Times New Roman" w:eastAsia="Times New Roman" w:hAnsi="Times New Roman" w:cs="Times New Roman"/>
          <w:sz w:val="24"/>
          <w:szCs w:val="24"/>
        </w:rPr>
        <w:t xml:space="preserve">Conversely, during Season </w:t>
      </w:r>
      <w:r w:rsidRPr="0092758B">
        <w:rPr>
          <w:rFonts w:ascii="Times New Roman" w:eastAsia="Times New Roman" w:hAnsi="Times New Roman" w:cs="Times New Roman"/>
          <w:sz w:val="24"/>
          <w:szCs w:val="24"/>
        </w:rPr>
        <w:lastRenderedPageBreak/>
        <w:t xml:space="preserve">2 2019, the highest reading of salinity concentration was spotted on 60 DAS. This is because in Season 1 2019, this area received a high amount of rainfall compared to Season 2 2019, which results in the movement of salty particles from the sea occurs faster. </w:t>
      </w:r>
      <w:r w:rsidR="00A04EC7" w:rsidRPr="0092758B">
        <w:rPr>
          <w:rFonts w:ascii="Times New Roman" w:eastAsia="Times New Roman" w:hAnsi="Times New Roman" w:cs="Times New Roman"/>
          <w:sz w:val="24"/>
          <w:szCs w:val="24"/>
        </w:rPr>
        <w:t xml:space="preserve">Overall, the salinity concentration </w:t>
      </w:r>
      <w:r w:rsidR="00606E88" w:rsidRPr="0092758B">
        <w:rPr>
          <w:rFonts w:ascii="Times New Roman" w:eastAsia="Times New Roman" w:hAnsi="Times New Roman" w:cs="Times New Roman"/>
          <w:sz w:val="24"/>
          <w:szCs w:val="24"/>
        </w:rPr>
        <w:t xml:space="preserve">trends </w:t>
      </w:r>
      <w:r w:rsidR="00A04EC7" w:rsidRPr="0092758B">
        <w:rPr>
          <w:rFonts w:ascii="Times New Roman" w:eastAsia="Times New Roman" w:hAnsi="Times New Roman" w:cs="Times New Roman"/>
          <w:sz w:val="24"/>
          <w:szCs w:val="24"/>
        </w:rPr>
        <w:t>for both seasons</w:t>
      </w:r>
      <w:r w:rsidR="00F9442C" w:rsidRPr="0092758B">
        <w:rPr>
          <w:rFonts w:ascii="Times New Roman" w:eastAsia="Times New Roman" w:hAnsi="Times New Roman" w:cs="Times New Roman"/>
          <w:sz w:val="24"/>
          <w:szCs w:val="24"/>
        </w:rPr>
        <w:t xml:space="preserve"> using </w:t>
      </w:r>
      <w:r w:rsidR="00A04EC7" w:rsidRPr="0092758B">
        <w:rPr>
          <w:rFonts w:ascii="Times New Roman" w:eastAsia="Times New Roman" w:hAnsi="Times New Roman" w:cs="Times New Roman"/>
          <w:sz w:val="24"/>
          <w:szCs w:val="24"/>
        </w:rPr>
        <w:t xml:space="preserve">are </w:t>
      </w:r>
      <w:r w:rsidR="00606E88" w:rsidRPr="0092758B">
        <w:rPr>
          <w:rFonts w:ascii="Times New Roman" w:eastAsia="Times New Roman" w:hAnsi="Times New Roman" w:cs="Times New Roman"/>
          <w:sz w:val="24"/>
          <w:szCs w:val="24"/>
        </w:rPr>
        <w:t>different</w:t>
      </w:r>
      <w:r w:rsidR="00A04EC7" w:rsidRPr="0092758B">
        <w:rPr>
          <w:rFonts w:ascii="Times New Roman" w:eastAsia="Times New Roman" w:hAnsi="Times New Roman" w:cs="Times New Roman"/>
          <w:sz w:val="24"/>
          <w:szCs w:val="24"/>
        </w:rPr>
        <w:t xml:space="preserve">. </w:t>
      </w:r>
      <w:r w:rsidRPr="0092758B">
        <w:rPr>
          <w:rFonts w:ascii="Times New Roman" w:eastAsia="Times New Roman" w:hAnsi="Times New Roman" w:cs="Times New Roman"/>
          <w:sz w:val="24"/>
          <w:szCs w:val="24"/>
        </w:rPr>
        <w:t xml:space="preserve">In conclusion, salinity concentrations were remarkably affected by the amount of received rainfall, especially in the supratidal zone area. </w:t>
      </w:r>
      <w:r w:rsidR="00AE4AD3" w:rsidRPr="0092758B">
        <w:rPr>
          <w:rFonts w:ascii="Times New Roman" w:eastAsia="Times New Roman" w:hAnsi="Times New Roman" w:cs="Times New Roman"/>
          <w:sz w:val="24"/>
          <w:szCs w:val="24"/>
        </w:rPr>
        <w:t>Conversely, mean temperature not relatively affect the salinity level in the samples water observed due to the geography factors of the study area.</w:t>
      </w:r>
    </w:p>
    <w:p w14:paraId="7E6AC976" w14:textId="77777777" w:rsidR="00A3720B" w:rsidRPr="0092758B" w:rsidRDefault="00A3720B" w:rsidP="004E52E3">
      <w:pPr>
        <w:spacing w:after="0" w:line="240" w:lineRule="auto"/>
        <w:ind w:leftChars="0" w:left="2" w:hanging="2"/>
        <w:rPr>
          <w:rFonts w:ascii="Times New Roman" w:eastAsia="Times New Roman" w:hAnsi="Times New Roman" w:cs="Times New Roman"/>
          <w:sz w:val="24"/>
          <w:szCs w:val="24"/>
        </w:rPr>
      </w:pPr>
    </w:p>
    <w:p w14:paraId="61BF9CFD" w14:textId="77777777" w:rsidR="00A3720B" w:rsidRPr="0092758B" w:rsidRDefault="00A3720B" w:rsidP="004E52E3">
      <w:pPr>
        <w:spacing w:after="0" w:line="240" w:lineRule="auto"/>
        <w:ind w:leftChars="0" w:left="2" w:hanging="2"/>
        <w:rPr>
          <w:rFonts w:ascii="Times New Roman" w:eastAsia="Times New Roman" w:hAnsi="Times New Roman" w:cs="Times New Roman"/>
          <w:sz w:val="24"/>
          <w:szCs w:val="24"/>
        </w:rPr>
      </w:pPr>
    </w:p>
    <w:p w14:paraId="0EF6901F" w14:textId="409035DC" w:rsidR="00A3720B" w:rsidRPr="0092758B" w:rsidRDefault="00252EC3" w:rsidP="004E52E3">
      <w:pPr>
        <w:spacing w:after="0" w:line="240" w:lineRule="auto"/>
        <w:ind w:leftChars="0" w:left="2" w:hanging="2"/>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Acknowledgement </w:t>
      </w:r>
    </w:p>
    <w:p w14:paraId="2403B28E" w14:textId="77777777" w:rsidR="00A3720B" w:rsidRPr="0092758B" w:rsidRDefault="00252EC3" w:rsidP="004E52E3">
      <w:pPr>
        <w:spacing w:after="0" w:line="240" w:lineRule="auto"/>
        <w:ind w:leftChars="0" w:left="2" w:hanging="2"/>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 xml:space="preserve"> </w:t>
      </w:r>
    </w:p>
    <w:p w14:paraId="05E739DC" w14:textId="08795AEF" w:rsidR="00A3720B" w:rsidRPr="0092758B" w:rsidRDefault="00AE4AD3" w:rsidP="004E52E3">
      <w:pPr>
        <w:spacing w:after="0" w:line="240" w:lineRule="auto"/>
        <w:ind w:leftChars="0" w:left="2" w:hanging="2"/>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t>The authors would like to thank</w:t>
      </w:r>
      <w:r w:rsidR="0099244D" w:rsidRPr="0092758B">
        <w:rPr>
          <w:rFonts w:ascii="Times New Roman" w:eastAsia="Times New Roman" w:hAnsi="Times New Roman" w:cs="Times New Roman"/>
          <w:sz w:val="24"/>
          <w:szCs w:val="24"/>
        </w:rPr>
        <w:t xml:space="preserve"> </w:t>
      </w:r>
      <w:r w:rsidR="0099244D" w:rsidRPr="0092758B">
        <w:rPr>
          <w:rFonts w:ascii="Times New Roman" w:eastAsia="Times New Roman" w:hAnsi="Times New Roman" w:cs="Times New Roman"/>
          <w:sz w:val="24"/>
          <w:szCs w:val="24"/>
          <w:lang w:val="en-GB"/>
        </w:rPr>
        <w:t xml:space="preserve">the </w:t>
      </w:r>
      <w:proofErr w:type="spellStart"/>
      <w:r w:rsidR="0099244D" w:rsidRPr="0092758B">
        <w:rPr>
          <w:rFonts w:ascii="Times New Roman" w:eastAsia="Times New Roman" w:hAnsi="Times New Roman" w:cs="Times New Roman"/>
          <w:sz w:val="24"/>
          <w:szCs w:val="24"/>
          <w:lang w:val="en-GB"/>
        </w:rPr>
        <w:t>Muda</w:t>
      </w:r>
      <w:proofErr w:type="spellEnd"/>
      <w:r w:rsidR="0099244D" w:rsidRPr="0092758B">
        <w:rPr>
          <w:rFonts w:ascii="Times New Roman" w:eastAsia="Times New Roman" w:hAnsi="Times New Roman" w:cs="Times New Roman"/>
          <w:sz w:val="24"/>
          <w:szCs w:val="24"/>
          <w:lang w:val="en-GB"/>
        </w:rPr>
        <w:t xml:space="preserve"> Agriculture Development Authority (MADA) for giving the permission for entering the study area and the </w:t>
      </w:r>
      <w:r w:rsidR="0099244D" w:rsidRPr="0092758B">
        <w:rPr>
          <w:rFonts w:ascii="Times New Roman" w:eastAsia="Times New Roman" w:hAnsi="Times New Roman" w:cs="Times New Roman"/>
          <w:sz w:val="24"/>
          <w:szCs w:val="24"/>
        </w:rPr>
        <w:t>Department of Irrigation and Drainage (DID), Malaysia</w:t>
      </w:r>
      <w:r w:rsidR="0099244D" w:rsidRPr="0092758B">
        <w:rPr>
          <w:rFonts w:ascii="Times New Roman" w:eastAsia="Times New Roman" w:hAnsi="Times New Roman" w:cs="Times New Roman"/>
          <w:sz w:val="24"/>
          <w:szCs w:val="24"/>
          <w:lang w:val="en-GB"/>
        </w:rPr>
        <w:t xml:space="preserve"> providing relevant data, and also</w:t>
      </w:r>
      <w:r w:rsidRPr="0092758B">
        <w:rPr>
          <w:rFonts w:ascii="Times New Roman" w:eastAsia="Times New Roman" w:hAnsi="Times New Roman" w:cs="Times New Roman"/>
          <w:sz w:val="24"/>
          <w:szCs w:val="24"/>
        </w:rPr>
        <w:t xml:space="preserve"> </w:t>
      </w:r>
      <w:proofErr w:type="spellStart"/>
      <w:r w:rsidRPr="0092758B">
        <w:rPr>
          <w:rFonts w:ascii="Times New Roman" w:eastAsia="Times New Roman" w:hAnsi="Times New Roman" w:cs="Times New Roman"/>
          <w:sz w:val="24"/>
          <w:szCs w:val="24"/>
        </w:rPr>
        <w:t>Universiti</w:t>
      </w:r>
      <w:proofErr w:type="spellEnd"/>
      <w:r w:rsidRPr="0092758B">
        <w:rPr>
          <w:rFonts w:ascii="Times New Roman" w:eastAsia="Times New Roman" w:hAnsi="Times New Roman" w:cs="Times New Roman"/>
          <w:sz w:val="24"/>
          <w:szCs w:val="24"/>
        </w:rPr>
        <w:t xml:space="preserve"> </w:t>
      </w:r>
      <w:proofErr w:type="spellStart"/>
      <w:r w:rsidRPr="0092758B">
        <w:rPr>
          <w:rFonts w:ascii="Times New Roman" w:eastAsia="Times New Roman" w:hAnsi="Times New Roman" w:cs="Times New Roman"/>
          <w:sz w:val="24"/>
          <w:szCs w:val="24"/>
        </w:rPr>
        <w:t>Kebangsaan</w:t>
      </w:r>
      <w:proofErr w:type="spellEnd"/>
      <w:r w:rsidRPr="0092758B">
        <w:rPr>
          <w:rFonts w:ascii="Times New Roman" w:eastAsia="Times New Roman" w:hAnsi="Times New Roman" w:cs="Times New Roman"/>
          <w:sz w:val="24"/>
          <w:szCs w:val="24"/>
        </w:rPr>
        <w:t xml:space="preserve"> Malaysia (UKM) for the financial support under research grant DIP-2018-030</w:t>
      </w:r>
      <w:r w:rsidR="0099244D" w:rsidRPr="0092758B">
        <w:rPr>
          <w:rFonts w:ascii="Times New Roman" w:eastAsia="Times New Roman" w:hAnsi="Times New Roman" w:cs="Times New Roman"/>
          <w:sz w:val="24"/>
          <w:szCs w:val="24"/>
        </w:rPr>
        <w:t>.</w:t>
      </w:r>
    </w:p>
    <w:p w14:paraId="7237F0C2" w14:textId="77777777" w:rsidR="00377C23" w:rsidRDefault="00377C23" w:rsidP="004E52E3">
      <w:pPr>
        <w:spacing w:after="0" w:line="240" w:lineRule="auto"/>
        <w:ind w:leftChars="0" w:left="2" w:hanging="2"/>
        <w:rPr>
          <w:rFonts w:ascii="Times New Roman" w:eastAsia="Times New Roman" w:hAnsi="Times New Roman" w:cs="Times New Roman"/>
          <w:b/>
          <w:sz w:val="24"/>
          <w:szCs w:val="24"/>
        </w:rPr>
      </w:pPr>
    </w:p>
    <w:p w14:paraId="1F05B5A7" w14:textId="77777777" w:rsidR="00377C23" w:rsidRDefault="00377C23" w:rsidP="004E52E3">
      <w:pPr>
        <w:spacing w:after="0" w:line="240" w:lineRule="auto"/>
        <w:ind w:leftChars="0" w:left="2" w:hanging="2"/>
        <w:rPr>
          <w:rFonts w:ascii="Times New Roman" w:eastAsia="Times New Roman" w:hAnsi="Times New Roman" w:cs="Times New Roman"/>
          <w:b/>
          <w:sz w:val="24"/>
          <w:szCs w:val="24"/>
        </w:rPr>
      </w:pPr>
    </w:p>
    <w:p w14:paraId="12A35157" w14:textId="604A1886" w:rsidR="00A3720B" w:rsidRPr="0092758B" w:rsidRDefault="00252EC3" w:rsidP="004E52E3">
      <w:pPr>
        <w:spacing w:after="0" w:line="240" w:lineRule="auto"/>
        <w:ind w:leftChars="0" w:left="2" w:hanging="2"/>
        <w:rPr>
          <w:rFonts w:ascii="Times New Roman" w:eastAsia="Times New Roman" w:hAnsi="Times New Roman" w:cs="Times New Roman"/>
          <w:sz w:val="24"/>
          <w:szCs w:val="24"/>
        </w:rPr>
      </w:pPr>
      <w:r w:rsidRPr="0092758B">
        <w:rPr>
          <w:rFonts w:ascii="Times New Roman" w:eastAsia="Times New Roman" w:hAnsi="Times New Roman" w:cs="Times New Roman"/>
          <w:b/>
          <w:sz w:val="24"/>
          <w:szCs w:val="24"/>
        </w:rPr>
        <w:t xml:space="preserve">References </w:t>
      </w:r>
    </w:p>
    <w:p w14:paraId="1E7434B9" w14:textId="71428B00" w:rsidR="00A3720B" w:rsidRPr="0092758B" w:rsidRDefault="00252EC3" w:rsidP="004E52E3">
      <w:pPr>
        <w:spacing w:after="0" w:line="240" w:lineRule="auto"/>
        <w:ind w:leftChars="0" w:left="2" w:hanging="2"/>
        <w:rPr>
          <w:rFonts w:ascii="Times New Roman" w:eastAsia="Times New Roman" w:hAnsi="Times New Roman" w:cs="Times New Roman"/>
          <w:b/>
          <w:sz w:val="24"/>
          <w:szCs w:val="24"/>
        </w:rPr>
      </w:pPr>
      <w:r w:rsidRPr="0092758B">
        <w:rPr>
          <w:rFonts w:ascii="Times New Roman" w:eastAsia="Times New Roman" w:hAnsi="Times New Roman" w:cs="Times New Roman"/>
          <w:b/>
          <w:sz w:val="24"/>
          <w:szCs w:val="24"/>
        </w:rPr>
        <w:t xml:space="preserve"> </w:t>
      </w:r>
    </w:p>
    <w:p w14:paraId="7F8F12B3" w14:textId="421ACDF3" w:rsidR="00263400" w:rsidRPr="00B72BD7" w:rsidRDefault="00AE4AD3"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92758B">
        <w:rPr>
          <w:rFonts w:ascii="Times New Roman" w:eastAsia="Times New Roman" w:hAnsi="Times New Roman" w:cs="Times New Roman"/>
          <w:sz w:val="24"/>
          <w:szCs w:val="24"/>
        </w:rPr>
        <w:fldChar w:fldCharType="begin" w:fldLock="1"/>
      </w:r>
      <w:r w:rsidRPr="0092758B">
        <w:rPr>
          <w:rFonts w:ascii="Times New Roman" w:eastAsia="Times New Roman" w:hAnsi="Times New Roman" w:cs="Times New Roman"/>
          <w:sz w:val="24"/>
          <w:szCs w:val="24"/>
        </w:rPr>
        <w:instrText xml:space="preserve">ADDIN Mendeley Bibliography CSL_BIBLIOGRAPHY </w:instrText>
      </w:r>
      <w:r w:rsidRPr="0092758B">
        <w:rPr>
          <w:rFonts w:ascii="Times New Roman" w:eastAsia="Times New Roman" w:hAnsi="Times New Roman" w:cs="Times New Roman"/>
          <w:sz w:val="24"/>
          <w:szCs w:val="24"/>
        </w:rPr>
        <w:fldChar w:fldCharType="separate"/>
      </w:r>
      <w:r w:rsidR="00263400" w:rsidRPr="00B72BD7">
        <w:rPr>
          <w:rFonts w:ascii="Times New Roman" w:hAnsi="Times New Roman" w:cs="Times New Roman"/>
          <w:noProof/>
          <w:sz w:val="24"/>
          <w:lang w:val="en-GB"/>
        </w:rPr>
        <w:t>Abdul Maulud, K. N., Hasan, Z., &amp;</w:t>
      </w:r>
      <w:r w:rsidR="00377C23" w:rsidRPr="00B72BD7">
        <w:rPr>
          <w:rFonts w:ascii="Times New Roman" w:hAnsi="Times New Roman" w:cs="Times New Roman"/>
          <w:noProof/>
          <w:sz w:val="24"/>
          <w:lang w:val="en-GB"/>
        </w:rPr>
        <w:t xml:space="preserve"> Karim, O. A. (2015). An accuracy of chart datum in the tidal observation period: Case s</w:t>
      </w:r>
      <w:r w:rsidR="00263400" w:rsidRPr="00B72BD7">
        <w:rPr>
          <w:rFonts w:ascii="Times New Roman" w:hAnsi="Times New Roman" w:cs="Times New Roman"/>
          <w:noProof/>
          <w:sz w:val="24"/>
          <w:lang w:val="en-GB"/>
        </w:rPr>
        <w:t xml:space="preserve">tudy for Teluk Ewa, Pulau Langkawi. </w:t>
      </w:r>
      <w:r w:rsidR="00263400" w:rsidRPr="00B72BD7">
        <w:rPr>
          <w:rFonts w:ascii="Times New Roman" w:hAnsi="Times New Roman" w:cs="Times New Roman"/>
          <w:i/>
          <w:iCs/>
          <w:noProof/>
          <w:sz w:val="24"/>
          <w:lang w:val="en-GB"/>
        </w:rPr>
        <w:t>Jurnal Kejuruteraan</w:t>
      </w:r>
      <w:r w:rsidR="00263400" w:rsidRPr="00B72BD7">
        <w:rPr>
          <w:rFonts w:ascii="Times New Roman" w:hAnsi="Times New Roman" w:cs="Times New Roman"/>
          <w:noProof/>
          <w:sz w:val="24"/>
          <w:lang w:val="en-GB"/>
        </w:rPr>
        <w:t xml:space="preserve">, </w:t>
      </w:r>
      <w:r w:rsidR="00263400" w:rsidRPr="00B72BD7">
        <w:rPr>
          <w:rFonts w:ascii="Times New Roman" w:hAnsi="Times New Roman" w:cs="Times New Roman"/>
          <w:i/>
          <w:iCs/>
          <w:noProof/>
          <w:sz w:val="24"/>
          <w:lang w:val="en-GB"/>
        </w:rPr>
        <w:t>27</w:t>
      </w:r>
      <w:r w:rsidR="00263400" w:rsidRPr="00B72BD7">
        <w:rPr>
          <w:rFonts w:ascii="Times New Roman" w:hAnsi="Times New Roman" w:cs="Times New Roman"/>
          <w:noProof/>
          <w:sz w:val="24"/>
          <w:lang w:val="en-GB"/>
        </w:rPr>
        <w:t>, 103–109.</w:t>
      </w:r>
    </w:p>
    <w:p w14:paraId="2ECD5FA1"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Abdullah, H. H., Rak, A. E., &amp; Wei, L. S. (2018). The impacts of monsoon and dry seasons on physical water quality changes and farmed Asian seabass Lates calcarifer (Bloch, 1790) mortality at Sri Tujuh lagoon, Tumpat, Kelantan, Malaysia. </w:t>
      </w:r>
      <w:r w:rsidRPr="00B72BD7">
        <w:rPr>
          <w:rFonts w:ascii="Times New Roman" w:hAnsi="Times New Roman" w:cs="Times New Roman"/>
          <w:i/>
          <w:iCs/>
          <w:noProof/>
          <w:sz w:val="24"/>
          <w:lang w:val="en-GB"/>
        </w:rPr>
        <w:t>AACL Bioflux</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11</w:t>
      </w:r>
      <w:r w:rsidRPr="00B72BD7">
        <w:rPr>
          <w:rFonts w:ascii="Times New Roman" w:hAnsi="Times New Roman" w:cs="Times New Roman"/>
          <w:noProof/>
          <w:sz w:val="24"/>
          <w:lang w:val="en-GB"/>
        </w:rPr>
        <w:t>(1), 167–183.</w:t>
      </w:r>
    </w:p>
    <w:p w14:paraId="17DA6E0B"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Abdullahi, M. G., Kamarudin, M. K. A., Umar, R., Endut, A., Khalit, S. I., &amp; Juahir, H. (2017). Night sky brightness assessment in Nigeria using environmetric and GIS technique. </w:t>
      </w:r>
      <w:r w:rsidRPr="00B72BD7">
        <w:rPr>
          <w:rFonts w:ascii="Times New Roman" w:hAnsi="Times New Roman" w:cs="Times New Roman"/>
          <w:i/>
          <w:iCs/>
          <w:noProof/>
          <w:sz w:val="24"/>
          <w:lang w:val="en-GB"/>
        </w:rPr>
        <w:t>International Journal on Advanced Science, Engineering and Information Technology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7</w:t>
      </w:r>
      <w:r w:rsidRPr="00B72BD7">
        <w:rPr>
          <w:rFonts w:ascii="Times New Roman" w:hAnsi="Times New Roman" w:cs="Times New Roman"/>
          <w:noProof/>
          <w:sz w:val="24"/>
          <w:lang w:val="en-GB"/>
        </w:rPr>
        <w:t>(1), 28–34. https://doi.org/10.18517/ijaseit.7.1.970</w:t>
      </w:r>
    </w:p>
    <w:p w14:paraId="31BC6B92"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Achilleos, G. (2008). Errors within the inverse distance weighted (IDW) interpolation procedure. </w:t>
      </w:r>
      <w:r w:rsidRPr="00B72BD7">
        <w:rPr>
          <w:rFonts w:ascii="Times New Roman" w:hAnsi="Times New Roman" w:cs="Times New Roman"/>
          <w:i/>
          <w:iCs/>
          <w:noProof/>
          <w:sz w:val="24"/>
          <w:lang w:val="en-GB"/>
        </w:rPr>
        <w:t>Geocarto International</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23</w:t>
      </w:r>
      <w:r w:rsidRPr="00B72BD7">
        <w:rPr>
          <w:rFonts w:ascii="Times New Roman" w:hAnsi="Times New Roman" w:cs="Times New Roman"/>
          <w:noProof/>
          <w:sz w:val="24"/>
          <w:lang w:val="en-GB"/>
        </w:rPr>
        <w:t>(6), 429–449. https://doi.org/10.1080/10106040801966704</w:t>
      </w:r>
    </w:p>
    <w:p w14:paraId="24779622"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Ahmed, M. F., &amp; Haider, M. Z. (2014). Impact of salinity on rice production in the south-west region of Bangladesh. </w:t>
      </w:r>
      <w:r w:rsidRPr="00B72BD7">
        <w:rPr>
          <w:rFonts w:ascii="Times New Roman" w:hAnsi="Times New Roman" w:cs="Times New Roman"/>
          <w:i/>
          <w:iCs/>
          <w:noProof/>
          <w:sz w:val="24"/>
          <w:lang w:val="en-GB"/>
        </w:rPr>
        <w:t>Environmental Science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9</w:t>
      </w:r>
      <w:r w:rsidRPr="00B72BD7">
        <w:rPr>
          <w:rFonts w:ascii="Times New Roman" w:hAnsi="Times New Roman" w:cs="Times New Roman"/>
          <w:noProof/>
          <w:sz w:val="24"/>
          <w:lang w:val="en-GB"/>
        </w:rPr>
        <w:t>(4), 135–141. https://doi.org/10.4135/9781446247501.n1321</w:t>
      </w:r>
    </w:p>
    <w:p w14:paraId="1AC764E1"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Bhunia, G. S., Shit, P. K., &amp; Maiti, R. (2018). Comparison of GIS-based interpolation methods for spatial distribution of soil organic carbon (SOC). </w:t>
      </w:r>
      <w:r w:rsidRPr="00B72BD7">
        <w:rPr>
          <w:rFonts w:ascii="Times New Roman" w:hAnsi="Times New Roman" w:cs="Times New Roman"/>
          <w:i/>
          <w:iCs/>
          <w:noProof/>
          <w:sz w:val="24"/>
          <w:lang w:val="en-GB"/>
        </w:rPr>
        <w:t>Journal of the Saudi Society of Agricultural Sciences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17</w:t>
      </w:r>
      <w:r w:rsidRPr="00B72BD7">
        <w:rPr>
          <w:rFonts w:ascii="Times New Roman" w:hAnsi="Times New Roman" w:cs="Times New Roman"/>
          <w:noProof/>
          <w:sz w:val="24"/>
          <w:lang w:val="en-GB"/>
        </w:rPr>
        <w:t>(2), 114–126. https://doi.org/10.1016/j.jssas.2016.02.001</w:t>
      </w:r>
    </w:p>
    <w:p w14:paraId="6E75CD00"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Bohluli, M., Sung, C. T. B., Hanif, A. H. M., &amp; Rahman, Z. A. (2014). Silt pit efficiency in conserving soil water as simulated by HYDRUS 2D model. </w:t>
      </w:r>
      <w:r w:rsidRPr="00B72BD7">
        <w:rPr>
          <w:rFonts w:ascii="Times New Roman" w:hAnsi="Times New Roman" w:cs="Times New Roman"/>
          <w:i/>
          <w:iCs/>
          <w:noProof/>
          <w:sz w:val="24"/>
          <w:lang w:val="en-GB"/>
        </w:rPr>
        <w:t>Pertanika Journal of Tropical Agricultural Science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37</w:t>
      </w:r>
      <w:r w:rsidRPr="00B72BD7">
        <w:rPr>
          <w:rFonts w:ascii="Times New Roman" w:hAnsi="Times New Roman" w:cs="Times New Roman"/>
          <w:noProof/>
          <w:sz w:val="24"/>
          <w:lang w:val="en-GB"/>
        </w:rPr>
        <w:t>(3), 321–330.</w:t>
      </w:r>
    </w:p>
    <w:p w14:paraId="38465ADB" w14:textId="7D447C95"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Che Omar, S., Shaharudin, </w:t>
      </w:r>
      <w:r w:rsidR="00377C23" w:rsidRPr="00B72BD7">
        <w:rPr>
          <w:rFonts w:ascii="Times New Roman" w:hAnsi="Times New Roman" w:cs="Times New Roman"/>
          <w:noProof/>
          <w:sz w:val="24"/>
          <w:lang w:val="en-GB"/>
        </w:rPr>
        <w:t xml:space="preserve">A., &amp; Tumin, S. A. (2019). </w:t>
      </w:r>
      <w:r w:rsidR="00377C23" w:rsidRPr="00B72BD7">
        <w:rPr>
          <w:rFonts w:ascii="Times New Roman" w:hAnsi="Times New Roman" w:cs="Times New Roman"/>
          <w:i/>
          <w:noProof/>
          <w:sz w:val="24"/>
          <w:lang w:val="en-GB"/>
        </w:rPr>
        <w:t>The status of the paddy and rice i</w:t>
      </w:r>
      <w:r w:rsidRPr="00B72BD7">
        <w:rPr>
          <w:rFonts w:ascii="Times New Roman" w:hAnsi="Times New Roman" w:cs="Times New Roman"/>
          <w:i/>
          <w:noProof/>
          <w:sz w:val="24"/>
          <w:lang w:val="en-GB"/>
        </w:rPr>
        <w:t>ndustry in Malaysia</w:t>
      </w:r>
      <w:r w:rsidRPr="00B72BD7">
        <w:rPr>
          <w:rFonts w:ascii="Times New Roman" w:hAnsi="Times New Roman" w:cs="Times New Roman"/>
          <w:noProof/>
          <w:sz w:val="24"/>
          <w:lang w:val="en-GB"/>
        </w:rPr>
        <w:t>.</w:t>
      </w:r>
      <w:r w:rsidR="00377C23" w:rsidRPr="00B72BD7">
        <w:rPr>
          <w:rFonts w:ascii="Times New Roman" w:hAnsi="Times New Roman" w:cs="Times New Roman"/>
          <w:noProof/>
          <w:sz w:val="24"/>
          <w:lang w:val="en-GB"/>
        </w:rPr>
        <w:t xml:space="preserve"> Kuala Lumpur: Khazanah Research Institute.</w:t>
      </w:r>
    </w:p>
    <w:p w14:paraId="7E186616"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Dam, T. H. T., Amjath-Babu, T. S., Bellingrath-Kimura, S., &amp; Zander, P. (2019). The impact of salinity on paddy production and possible varietal portfolio transition: a Vietnamese case study. </w:t>
      </w:r>
      <w:r w:rsidRPr="00B72BD7">
        <w:rPr>
          <w:rFonts w:ascii="Times New Roman" w:hAnsi="Times New Roman" w:cs="Times New Roman"/>
          <w:i/>
          <w:iCs/>
          <w:noProof/>
          <w:sz w:val="24"/>
          <w:lang w:val="en-GB"/>
        </w:rPr>
        <w:t>Paddy and Water Environment</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17</w:t>
      </w:r>
      <w:r w:rsidRPr="00B72BD7">
        <w:rPr>
          <w:rFonts w:ascii="Times New Roman" w:hAnsi="Times New Roman" w:cs="Times New Roman"/>
          <w:noProof/>
          <w:sz w:val="24"/>
          <w:lang w:val="en-GB"/>
        </w:rPr>
        <w:t>(4), 771–782. https://doi.org/10.1007/s10333-019-00756-9</w:t>
      </w:r>
    </w:p>
    <w:p w14:paraId="091154BA" w14:textId="1C0D1E11"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lastRenderedPageBreak/>
        <w:t xml:space="preserve">Darmawan, A., Saputra, D. K., Wiadnya, D. G. R., &amp; Gusmida, A. M. (2018). Prediction of supratidal zones as turtle nesting sites using remote sensing and geographic information system, a case study in Pacitan, Southern Java Sea. </w:t>
      </w:r>
      <w:r w:rsidRPr="00B72BD7">
        <w:rPr>
          <w:rFonts w:ascii="Times New Roman" w:hAnsi="Times New Roman" w:cs="Times New Roman"/>
          <w:i/>
          <w:iCs/>
          <w:noProof/>
          <w:sz w:val="24"/>
          <w:lang w:val="en-GB"/>
        </w:rPr>
        <w:t>IOP Conference Series: Earth and Environmental Science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137</w:t>
      </w:r>
      <w:r w:rsidRPr="00B72BD7">
        <w:rPr>
          <w:rFonts w:ascii="Times New Roman" w:hAnsi="Times New Roman" w:cs="Times New Roman"/>
          <w:noProof/>
          <w:sz w:val="24"/>
          <w:lang w:val="en-GB"/>
        </w:rPr>
        <w:t>(1). https://doi.org/10.1088/1755-1315/137/1/012091</w:t>
      </w:r>
    </w:p>
    <w:p w14:paraId="3E472102" w14:textId="2D18932D" w:rsidR="00D462E1" w:rsidRPr="00B72BD7" w:rsidRDefault="00D462E1"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Department of Primary Industries and Regional Development. (2019). </w:t>
      </w:r>
      <w:r w:rsidRPr="00B72BD7">
        <w:rPr>
          <w:rFonts w:ascii="Times New Roman" w:hAnsi="Times New Roman" w:cs="Times New Roman"/>
          <w:i/>
          <w:noProof/>
          <w:sz w:val="24"/>
          <w:lang w:val="en-GB"/>
        </w:rPr>
        <w:t>Water salinity and plant irrigation.</w:t>
      </w:r>
      <w:r w:rsidRPr="00B72BD7">
        <w:rPr>
          <w:rFonts w:ascii="Times New Roman" w:hAnsi="Times New Roman" w:cs="Times New Roman"/>
          <w:noProof/>
          <w:sz w:val="24"/>
          <w:lang w:val="en-GB"/>
        </w:rPr>
        <w:t xml:space="preserve"> Retrieved from https://www.agric.wa.gov.au/print/node/2977.</w:t>
      </w:r>
    </w:p>
    <w:p w14:paraId="78EC2B6C" w14:textId="792C0A0B"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Ercan, A., Fauzi, M</w:t>
      </w:r>
      <w:r w:rsidR="00377C23" w:rsidRPr="00B72BD7">
        <w:rPr>
          <w:rFonts w:ascii="Times New Roman" w:hAnsi="Times New Roman" w:cs="Times New Roman"/>
          <w:noProof/>
          <w:sz w:val="24"/>
          <w:lang w:val="en-GB"/>
        </w:rPr>
        <w:t>., &amp; Kavvas, M. L. (2013). The impact of climate change on sea level r</w:t>
      </w:r>
      <w:r w:rsidRPr="00B72BD7">
        <w:rPr>
          <w:rFonts w:ascii="Times New Roman" w:hAnsi="Times New Roman" w:cs="Times New Roman"/>
          <w:noProof/>
          <w:sz w:val="24"/>
          <w:lang w:val="en-GB"/>
        </w:rPr>
        <w:t xml:space="preserve">ise at Peninsular Malaysia and Sabah-Sarawak. </w:t>
      </w:r>
      <w:r w:rsidRPr="00B72BD7">
        <w:rPr>
          <w:rFonts w:ascii="Times New Roman" w:hAnsi="Times New Roman" w:cs="Times New Roman"/>
          <w:i/>
          <w:iCs/>
          <w:noProof/>
          <w:sz w:val="24"/>
          <w:lang w:val="en-GB"/>
        </w:rPr>
        <w:t>Hydrological Processes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27(3)</w:t>
      </w:r>
      <w:r w:rsidRPr="00B72BD7">
        <w:rPr>
          <w:rFonts w:ascii="Times New Roman" w:hAnsi="Times New Roman" w:cs="Times New Roman"/>
          <w:noProof/>
          <w:sz w:val="24"/>
          <w:lang w:val="en-GB"/>
        </w:rPr>
        <w:t>(January), 367–377. https://doi.org/10.1002/hyp.9232</w:t>
      </w:r>
    </w:p>
    <w:p w14:paraId="174AD5DB" w14:textId="2A29170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Fatema, K., Omar, W.</w:t>
      </w:r>
      <w:r w:rsidR="00377C23" w:rsidRPr="00B72BD7">
        <w:rPr>
          <w:rFonts w:ascii="Times New Roman" w:hAnsi="Times New Roman" w:cs="Times New Roman"/>
          <w:noProof/>
          <w:sz w:val="24"/>
          <w:lang w:val="en-GB"/>
        </w:rPr>
        <w:t>, &amp; Isa, M. (2016). Effects of tidal events on the water q</w:t>
      </w:r>
      <w:r w:rsidRPr="00B72BD7">
        <w:rPr>
          <w:rFonts w:ascii="Times New Roman" w:hAnsi="Times New Roman" w:cs="Times New Roman"/>
          <w:noProof/>
          <w:sz w:val="24"/>
          <w:lang w:val="en-GB"/>
        </w:rPr>
        <w:t xml:space="preserve">uality in the Merbok Estuary, Kedah, Malaysia. </w:t>
      </w:r>
      <w:r w:rsidRPr="00B72BD7">
        <w:rPr>
          <w:rFonts w:ascii="Times New Roman" w:hAnsi="Times New Roman" w:cs="Times New Roman"/>
          <w:i/>
          <w:iCs/>
          <w:noProof/>
          <w:sz w:val="24"/>
          <w:lang w:val="en-GB"/>
        </w:rPr>
        <w:t>Journal of Environmental Science and Natural Resources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8</w:t>
      </w:r>
      <w:r w:rsidRPr="00B72BD7">
        <w:rPr>
          <w:rFonts w:ascii="Times New Roman" w:hAnsi="Times New Roman" w:cs="Times New Roman"/>
          <w:noProof/>
          <w:sz w:val="24"/>
          <w:lang w:val="en-GB"/>
        </w:rPr>
        <w:t>(2), 15–19. https://doi.org/10.3329/jesnr.v8i2.26858</w:t>
      </w:r>
    </w:p>
    <w:p w14:paraId="2CFB03B5"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Fogliatto, S., Serra, F., Patrucco, L., Milan, M., &amp; Vidotto, F. (2019). Effect of different water salinity levels on the germination of imazamox-resistant and sensitive weedy rice and cultivated rice. </w:t>
      </w:r>
      <w:r w:rsidRPr="00B72BD7">
        <w:rPr>
          <w:rFonts w:ascii="Times New Roman" w:hAnsi="Times New Roman" w:cs="Times New Roman"/>
          <w:i/>
          <w:iCs/>
          <w:noProof/>
          <w:sz w:val="24"/>
          <w:lang w:val="en-GB"/>
        </w:rPr>
        <w:t>Agronomy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9</w:t>
      </w:r>
      <w:r w:rsidRPr="00B72BD7">
        <w:rPr>
          <w:rFonts w:ascii="Times New Roman" w:hAnsi="Times New Roman" w:cs="Times New Roman"/>
          <w:noProof/>
          <w:sz w:val="24"/>
          <w:lang w:val="en-GB"/>
        </w:rPr>
        <w:t>(10). https://doi.org/10.3390/agronomy9100658</w:t>
      </w:r>
    </w:p>
    <w:p w14:paraId="34CA05BB"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Geng, X., &amp; Boufadel, M. C. (2017). The influence of evaporation and rainfall on supratidal groundwater dynamics and salinity structure in a sandy beach. </w:t>
      </w:r>
      <w:r w:rsidRPr="00B72BD7">
        <w:rPr>
          <w:rFonts w:ascii="Times New Roman" w:hAnsi="Times New Roman" w:cs="Times New Roman"/>
          <w:i/>
          <w:iCs/>
          <w:noProof/>
          <w:sz w:val="24"/>
          <w:lang w:val="en-GB"/>
        </w:rPr>
        <w:t>Water Resources Research</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53</w:t>
      </w:r>
      <w:r w:rsidRPr="00B72BD7">
        <w:rPr>
          <w:rFonts w:ascii="Times New Roman" w:hAnsi="Times New Roman" w:cs="Times New Roman"/>
          <w:noProof/>
          <w:sz w:val="24"/>
          <w:lang w:val="en-GB"/>
        </w:rPr>
        <w:t>, 6218–6238. https://doi.org/10.1002/ 2016WR020344</w:t>
      </w:r>
    </w:p>
    <w:p w14:paraId="454A9BA5" w14:textId="38B15903"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Gunarathna, M. H. J. P., Nirmanee, K. G. S., &amp; Kumari, M. K. N. (2016). Are geostatistical interpolation methods better than deterministic interpolation methods in mapping salinity of groundwater? </w:t>
      </w:r>
      <w:r w:rsidRPr="00B72BD7">
        <w:rPr>
          <w:rFonts w:ascii="Times New Roman" w:hAnsi="Times New Roman" w:cs="Times New Roman"/>
          <w:i/>
          <w:iCs/>
          <w:noProof/>
          <w:sz w:val="24"/>
          <w:lang w:val="en-GB"/>
        </w:rPr>
        <w:t>International Journal of Research and Innovations in Earth Sciences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3</w:t>
      </w:r>
      <w:r w:rsidRPr="00B72BD7">
        <w:rPr>
          <w:rFonts w:ascii="Times New Roman" w:hAnsi="Times New Roman" w:cs="Times New Roman"/>
          <w:noProof/>
          <w:sz w:val="24"/>
          <w:lang w:val="en-GB"/>
        </w:rPr>
        <w:t xml:space="preserve">(3), 59–64. </w:t>
      </w:r>
    </w:p>
    <w:p w14:paraId="5A41D212" w14:textId="490ECB64"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Hamzah, A. F., Abd Hamid, M. R., Mohamad, M. F., Mohd Shah, A., &amp; </w:t>
      </w:r>
      <w:r w:rsidR="00377C23" w:rsidRPr="00B72BD7">
        <w:rPr>
          <w:rFonts w:ascii="Times New Roman" w:hAnsi="Times New Roman" w:cs="Times New Roman"/>
          <w:noProof/>
          <w:sz w:val="24"/>
          <w:lang w:val="en-GB"/>
        </w:rPr>
        <w:t>Awang, N. A. (2018). Impact of sea level rise due to climate change: Case s</w:t>
      </w:r>
      <w:r w:rsidRPr="00B72BD7">
        <w:rPr>
          <w:rFonts w:ascii="Times New Roman" w:hAnsi="Times New Roman" w:cs="Times New Roman"/>
          <w:noProof/>
          <w:sz w:val="24"/>
          <w:lang w:val="en-GB"/>
        </w:rPr>
        <w:t xml:space="preserve">tudy of Klang and Kuala Langat Districts. </w:t>
      </w:r>
      <w:r w:rsidRPr="00B72BD7">
        <w:rPr>
          <w:rFonts w:ascii="Times New Roman" w:hAnsi="Times New Roman" w:cs="Times New Roman"/>
          <w:i/>
          <w:iCs/>
          <w:noProof/>
          <w:sz w:val="24"/>
          <w:lang w:val="en-GB"/>
        </w:rPr>
        <w:t>International Journal of Engineering and Technology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10</w:t>
      </w:r>
      <w:r w:rsidRPr="00B72BD7">
        <w:rPr>
          <w:rFonts w:ascii="Times New Roman" w:hAnsi="Times New Roman" w:cs="Times New Roman"/>
          <w:noProof/>
          <w:sz w:val="24"/>
          <w:lang w:val="en-GB"/>
        </w:rPr>
        <w:t>(1), 59–64. https://doi.org/10.7763/ijet.2018.v10.1035</w:t>
      </w:r>
    </w:p>
    <w:p w14:paraId="2A24E12B"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Hoang, T. M. L., Williams, B., Khanna, H., Dale, J., &amp; Mundree, S. G. (2014). Physiological basis of salt stress tolerance in rice expressing the antiapoptotic gene SfIAP. </w:t>
      </w:r>
      <w:r w:rsidRPr="00B72BD7">
        <w:rPr>
          <w:rFonts w:ascii="Times New Roman" w:hAnsi="Times New Roman" w:cs="Times New Roman"/>
          <w:i/>
          <w:iCs/>
          <w:noProof/>
          <w:sz w:val="24"/>
          <w:lang w:val="en-GB"/>
        </w:rPr>
        <w:t>Functional Plant Biology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41</w:t>
      </w:r>
      <w:r w:rsidRPr="00B72BD7">
        <w:rPr>
          <w:rFonts w:ascii="Times New Roman" w:hAnsi="Times New Roman" w:cs="Times New Roman"/>
          <w:noProof/>
          <w:sz w:val="24"/>
          <w:lang w:val="en-GB"/>
        </w:rPr>
        <w:t>(11), 1168–1177. https://doi.org/10.1071/FP13308</w:t>
      </w:r>
    </w:p>
    <w:p w14:paraId="63DF0649" w14:textId="0A5D2354"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Jabatan Meteorologi Malaysia. (2019). </w:t>
      </w:r>
      <w:r w:rsidRPr="00B72BD7">
        <w:rPr>
          <w:rFonts w:ascii="Times New Roman" w:hAnsi="Times New Roman" w:cs="Times New Roman"/>
          <w:i/>
          <w:iCs/>
          <w:noProof/>
          <w:sz w:val="24"/>
          <w:lang w:val="en-GB"/>
        </w:rPr>
        <w:t>Annual Report 2019</w:t>
      </w:r>
      <w:r w:rsidRPr="00B72BD7">
        <w:rPr>
          <w:rFonts w:ascii="Times New Roman" w:hAnsi="Times New Roman" w:cs="Times New Roman"/>
          <w:noProof/>
          <w:sz w:val="24"/>
          <w:lang w:val="en-GB"/>
        </w:rPr>
        <w:t>.</w:t>
      </w:r>
      <w:r w:rsidR="00377C23" w:rsidRPr="00B72BD7">
        <w:rPr>
          <w:rFonts w:ascii="Times New Roman" w:hAnsi="Times New Roman" w:cs="Times New Roman"/>
          <w:noProof/>
          <w:sz w:val="24"/>
          <w:lang w:val="en-GB"/>
        </w:rPr>
        <w:t xml:space="preserve"> Kuala Lumpur: Jabatan Meteorologi Malaysia.</w:t>
      </w:r>
    </w:p>
    <w:p w14:paraId="7E010C49" w14:textId="18816BC2"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Kamarudin, M. K. A., Nalado, A. M., Toriman, M. E., Juahir, H., Umar, R., Ismail, A., … Harith, H. (2019). Evolution of river geomorphology to water quality impact using remote</w:t>
      </w:r>
      <w:r w:rsidR="00377C23" w:rsidRPr="00B72BD7">
        <w:rPr>
          <w:rFonts w:ascii="Times New Roman" w:hAnsi="Times New Roman" w:cs="Times New Roman"/>
          <w:noProof/>
          <w:sz w:val="24"/>
          <w:lang w:val="en-GB"/>
        </w:rPr>
        <w:t xml:space="preserve"> </w:t>
      </w:r>
      <w:r w:rsidRPr="00B72BD7">
        <w:rPr>
          <w:rFonts w:ascii="Times New Roman" w:hAnsi="Times New Roman" w:cs="Times New Roman"/>
          <w:noProof/>
          <w:sz w:val="24"/>
          <w:lang w:val="en-GB"/>
        </w:rPr>
        <w:t xml:space="preserve">sensing and GIS technique. </w:t>
      </w:r>
      <w:r w:rsidRPr="00B72BD7">
        <w:rPr>
          <w:rFonts w:ascii="Times New Roman" w:hAnsi="Times New Roman" w:cs="Times New Roman"/>
          <w:i/>
          <w:iCs/>
          <w:noProof/>
          <w:sz w:val="24"/>
          <w:lang w:val="en-GB"/>
        </w:rPr>
        <w:t>Desalination and Water Treatment</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149</w:t>
      </w:r>
      <w:r w:rsidRPr="00B72BD7">
        <w:rPr>
          <w:rFonts w:ascii="Times New Roman" w:hAnsi="Times New Roman" w:cs="Times New Roman"/>
          <w:noProof/>
          <w:sz w:val="24"/>
          <w:lang w:val="en-GB"/>
        </w:rPr>
        <w:t>, 258–273. https://doi.org/10.5004/dwt.2019.23838</w:t>
      </w:r>
    </w:p>
    <w:p w14:paraId="094150B2"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Kennedy, M., &amp; Kopp, S. (2004). Understanding Map Projections GIS by ESRI. </w:t>
      </w:r>
      <w:r w:rsidRPr="00B72BD7">
        <w:rPr>
          <w:rFonts w:ascii="Times New Roman" w:hAnsi="Times New Roman" w:cs="Times New Roman"/>
          <w:i/>
          <w:iCs/>
          <w:noProof/>
          <w:sz w:val="24"/>
          <w:lang w:val="en-GB"/>
        </w:rPr>
        <w:t>North</w:t>
      </w:r>
      <w:r w:rsidRPr="00B72BD7">
        <w:rPr>
          <w:rFonts w:ascii="Times New Roman" w:hAnsi="Times New Roman" w:cs="Times New Roman"/>
          <w:noProof/>
          <w:sz w:val="24"/>
          <w:lang w:val="en-GB"/>
        </w:rPr>
        <w:t>, 110. Retrieved from https://gis.icao.int/icaoetod/map_projections[1].pdf</w:t>
      </w:r>
    </w:p>
    <w:p w14:paraId="29C18007"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Khanom, T. (2016). Effect of salinity on food security in the context of interior coast of Bangladesh. </w:t>
      </w:r>
      <w:r w:rsidRPr="00B72BD7">
        <w:rPr>
          <w:rFonts w:ascii="Times New Roman" w:hAnsi="Times New Roman" w:cs="Times New Roman"/>
          <w:i/>
          <w:iCs/>
          <w:noProof/>
          <w:sz w:val="24"/>
          <w:lang w:val="en-GB"/>
        </w:rPr>
        <w:t>Ocean and Coastal Management</w:t>
      </w:r>
      <w:r w:rsidRPr="00B72BD7">
        <w:rPr>
          <w:rFonts w:ascii="Times New Roman" w:hAnsi="Times New Roman" w:cs="Times New Roman"/>
          <w:noProof/>
          <w:sz w:val="24"/>
          <w:lang w:val="en-GB"/>
        </w:rPr>
        <w:t>. https://doi.org/10.1016/j.ocecoaman.2016.06.013</w:t>
      </w:r>
    </w:p>
    <w:p w14:paraId="7F594B54"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Khong, T. D., Young, M. D., Loch, A., &amp; Thennakoon, J. (2018). Mekong River Delta farm-household willingness to pay for salinity intrusion risk reduction. </w:t>
      </w:r>
      <w:r w:rsidRPr="00B72BD7">
        <w:rPr>
          <w:rFonts w:ascii="Times New Roman" w:hAnsi="Times New Roman" w:cs="Times New Roman"/>
          <w:i/>
          <w:iCs/>
          <w:noProof/>
          <w:sz w:val="24"/>
          <w:lang w:val="en-GB"/>
        </w:rPr>
        <w:t>Agricultural Water Management</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200</w:t>
      </w:r>
      <w:r w:rsidRPr="00B72BD7">
        <w:rPr>
          <w:rFonts w:ascii="Times New Roman" w:hAnsi="Times New Roman" w:cs="Times New Roman"/>
          <w:noProof/>
          <w:sz w:val="24"/>
          <w:lang w:val="en-GB"/>
        </w:rPr>
        <w:t>, 80–89. https://doi.org/10.1016/j.agwat.2017.12.010</w:t>
      </w:r>
    </w:p>
    <w:p w14:paraId="1FABDDF6"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Lian, J. J., Xu, K., &amp; Ma, C. (2013). Joint impact of rainfall and tidal level on flood risk in a coastal city with a complex river network: A case study of Fuzhou City, China. </w:t>
      </w:r>
      <w:r w:rsidRPr="00B72BD7">
        <w:rPr>
          <w:rFonts w:ascii="Times New Roman" w:hAnsi="Times New Roman" w:cs="Times New Roman"/>
          <w:i/>
          <w:iCs/>
          <w:noProof/>
          <w:sz w:val="24"/>
          <w:lang w:val="en-GB"/>
        </w:rPr>
        <w:t>Hydrology and Earth System Sciences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17</w:t>
      </w:r>
      <w:r w:rsidRPr="00B72BD7">
        <w:rPr>
          <w:rFonts w:ascii="Times New Roman" w:hAnsi="Times New Roman" w:cs="Times New Roman"/>
          <w:noProof/>
          <w:sz w:val="24"/>
          <w:lang w:val="en-GB"/>
        </w:rPr>
        <w:t>(2), 679–689. https://doi.org/10.5194/hess-17-679-2013</w:t>
      </w:r>
    </w:p>
    <w:p w14:paraId="1F6EF75E" w14:textId="36C9A90D"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lastRenderedPageBreak/>
        <w:t xml:space="preserve">Liu, F., Zhang, H., Ming, J., Zheng, J., Tian, D., &amp; </w:t>
      </w:r>
      <w:r w:rsidR="00377C23" w:rsidRPr="00B72BD7">
        <w:rPr>
          <w:rFonts w:ascii="Times New Roman" w:hAnsi="Times New Roman" w:cs="Times New Roman"/>
          <w:noProof/>
          <w:sz w:val="24"/>
          <w:lang w:val="en-GB"/>
        </w:rPr>
        <w:t>Chen, D. (2020). Importance of precipitation on the upper ocean salinity r</w:t>
      </w:r>
      <w:r w:rsidRPr="00B72BD7">
        <w:rPr>
          <w:rFonts w:ascii="Times New Roman" w:hAnsi="Times New Roman" w:cs="Times New Roman"/>
          <w:noProof/>
          <w:sz w:val="24"/>
          <w:lang w:val="en-GB"/>
        </w:rPr>
        <w:t xml:space="preserve">esponse to Typhoon Kalmaegi (2014). </w:t>
      </w:r>
      <w:r w:rsidRPr="00B72BD7">
        <w:rPr>
          <w:rFonts w:ascii="Times New Roman" w:hAnsi="Times New Roman" w:cs="Times New Roman"/>
          <w:i/>
          <w:iCs/>
          <w:noProof/>
          <w:sz w:val="24"/>
          <w:lang w:val="en-GB"/>
        </w:rPr>
        <w:t>Water</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12</w:t>
      </w:r>
      <w:r w:rsidRPr="00B72BD7">
        <w:rPr>
          <w:rFonts w:ascii="Times New Roman" w:hAnsi="Times New Roman" w:cs="Times New Roman"/>
          <w:noProof/>
          <w:sz w:val="24"/>
          <w:lang w:val="en-GB"/>
        </w:rPr>
        <w:t>(614). https://doi.org/doi:10.3390/w12020614</w:t>
      </w:r>
    </w:p>
    <w:p w14:paraId="7F14922F"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Ma, N. L., Che Lah, W. A., Kadir, N. A., Mustaqim, M., Rahmat, Z., Ahmad, A., … Ismail, M. R. (2018). Susceptibility and tolerance of rice crop to salt threat: Physiological and metabolic inspections. </w:t>
      </w:r>
      <w:r w:rsidRPr="00B72BD7">
        <w:rPr>
          <w:rFonts w:ascii="Times New Roman" w:hAnsi="Times New Roman" w:cs="Times New Roman"/>
          <w:i/>
          <w:iCs/>
          <w:noProof/>
          <w:sz w:val="24"/>
          <w:lang w:val="en-GB"/>
        </w:rPr>
        <w:t>PLoS ONE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13</w:t>
      </w:r>
      <w:r w:rsidRPr="00B72BD7">
        <w:rPr>
          <w:rFonts w:ascii="Times New Roman" w:hAnsi="Times New Roman" w:cs="Times New Roman"/>
          <w:noProof/>
          <w:sz w:val="24"/>
          <w:lang w:val="en-GB"/>
        </w:rPr>
        <w:t>(2), 1–17. https://doi.org/10.1371/journal.pone.0192732</w:t>
      </w:r>
    </w:p>
    <w:p w14:paraId="53390863" w14:textId="0DF2C2FE"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Mccaffrey, S. (1997). </w:t>
      </w:r>
      <w:r w:rsidR="00B437DB" w:rsidRPr="00B72BD7">
        <w:rPr>
          <w:rFonts w:ascii="Times New Roman" w:hAnsi="Times New Roman" w:cs="Times New Roman"/>
          <w:i/>
          <w:iCs/>
          <w:noProof/>
          <w:sz w:val="24"/>
          <w:lang w:val="en-GB"/>
        </w:rPr>
        <w:t>Water quality p</w:t>
      </w:r>
      <w:r w:rsidRPr="00B72BD7">
        <w:rPr>
          <w:rFonts w:ascii="Times New Roman" w:hAnsi="Times New Roman" w:cs="Times New Roman"/>
          <w:i/>
          <w:iCs/>
          <w:noProof/>
          <w:sz w:val="24"/>
          <w:lang w:val="en-GB"/>
        </w:rPr>
        <w:t>arameters &amp; indicator</w:t>
      </w:r>
      <w:r w:rsidR="00B437DB" w:rsidRPr="00B72BD7">
        <w:rPr>
          <w:rFonts w:ascii="Times New Roman" w:hAnsi="Times New Roman" w:cs="Times New Roman"/>
          <w:noProof/>
          <w:sz w:val="24"/>
          <w:lang w:val="en-GB"/>
        </w:rPr>
        <w:t>. Retrieved from https://sswm.info/sites/default/files/reference_attachments/MCCAFFREY%20ny%20Water%20Quality%20Parameters%20&amp;%20Indicators.pdf</w:t>
      </w:r>
      <w:r w:rsidRPr="00B72BD7">
        <w:rPr>
          <w:rFonts w:ascii="Times New Roman" w:hAnsi="Times New Roman" w:cs="Times New Roman"/>
          <w:noProof/>
          <w:sz w:val="24"/>
          <w:lang w:val="en-GB"/>
        </w:rPr>
        <w:t>.</w:t>
      </w:r>
    </w:p>
    <w:p w14:paraId="4E03ACC9"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Mirzaei, R., &amp; Sakizadeh, M. (2016). Comparison of interpolation methods for the estimation of groundwater contamination in Andimeshk-Shush Plain, Southwest of Iran. </w:t>
      </w:r>
      <w:r w:rsidRPr="00B72BD7">
        <w:rPr>
          <w:rFonts w:ascii="Times New Roman" w:hAnsi="Times New Roman" w:cs="Times New Roman"/>
          <w:i/>
          <w:iCs/>
          <w:noProof/>
          <w:sz w:val="24"/>
          <w:lang w:val="en-GB"/>
        </w:rPr>
        <w:t>Environmental Science and Pollution Research</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23</w:t>
      </w:r>
      <w:r w:rsidRPr="00B72BD7">
        <w:rPr>
          <w:rFonts w:ascii="Times New Roman" w:hAnsi="Times New Roman" w:cs="Times New Roman"/>
          <w:noProof/>
          <w:sz w:val="24"/>
          <w:lang w:val="en-GB"/>
        </w:rPr>
        <w:t>(3), 2758–2769. https://doi.org/10.1007/s11356-015-5507-2</w:t>
      </w:r>
    </w:p>
    <w:p w14:paraId="6DB37EC4" w14:textId="77777777" w:rsidR="00B42EB3"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Munns, R., James, R. A., &amp; Läuchli, A. (2006). Approaches to increasing the salt tolerance of wheat and other cereals. </w:t>
      </w:r>
      <w:r w:rsidRPr="00B72BD7">
        <w:rPr>
          <w:rFonts w:ascii="Times New Roman" w:hAnsi="Times New Roman" w:cs="Times New Roman"/>
          <w:i/>
          <w:iCs/>
          <w:noProof/>
          <w:sz w:val="24"/>
          <w:lang w:val="en-GB"/>
        </w:rPr>
        <w:t>Journal of Experimental Botany</w:t>
      </w:r>
      <w:r w:rsidRPr="00B72BD7">
        <w:rPr>
          <w:rFonts w:ascii="Times New Roman" w:hAnsi="Times New Roman" w:cs="Times New Roman"/>
          <w:noProof/>
          <w:sz w:val="24"/>
          <w:lang w:val="en-GB"/>
        </w:rPr>
        <w:t>. https://doi.org/10.1093/jxb/erj100</w:t>
      </w:r>
    </w:p>
    <w:p w14:paraId="48D2AC73" w14:textId="1A1328C8" w:rsidR="00901748" w:rsidRPr="00B72BD7" w:rsidRDefault="00F12D01"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National Hydrographic Centre</w:t>
      </w:r>
      <w:r w:rsidR="00B72BD7" w:rsidRPr="00B72BD7">
        <w:rPr>
          <w:rFonts w:ascii="Times New Roman" w:hAnsi="Times New Roman" w:cs="Times New Roman"/>
          <w:noProof/>
          <w:sz w:val="24"/>
          <w:lang w:val="en-GB"/>
        </w:rPr>
        <w:t>.</w:t>
      </w:r>
      <w:r w:rsidR="00901748" w:rsidRPr="00B72BD7">
        <w:rPr>
          <w:rFonts w:ascii="Times New Roman" w:hAnsi="Times New Roman" w:cs="Times New Roman"/>
          <w:noProof/>
          <w:sz w:val="24"/>
          <w:lang w:val="en-GB"/>
        </w:rPr>
        <w:t xml:space="preserve"> (</w:t>
      </w:r>
      <w:r w:rsidRPr="00B72BD7">
        <w:rPr>
          <w:rFonts w:ascii="Times New Roman" w:hAnsi="Times New Roman" w:cs="Times New Roman"/>
          <w:noProof/>
          <w:sz w:val="24"/>
          <w:lang w:val="en-GB"/>
        </w:rPr>
        <w:t>2019</w:t>
      </w:r>
      <w:r w:rsidR="00901748" w:rsidRPr="00B72BD7">
        <w:rPr>
          <w:rFonts w:ascii="Times New Roman" w:hAnsi="Times New Roman" w:cs="Times New Roman"/>
          <w:noProof/>
          <w:sz w:val="24"/>
          <w:lang w:val="en-GB"/>
        </w:rPr>
        <w:t>)</w:t>
      </w:r>
      <w:r w:rsidRPr="00B72BD7">
        <w:rPr>
          <w:rFonts w:ascii="Times New Roman" w:hAnsi="Times New Roman" w:cs="Times New Roman"/>
          <w:noProof/>
          <w:sz w:val="24"/>
          <w:lang w:val="en-GB"/>
        </w:rPr>
        <w:t xml:space="preserve">. </w:t>
      </w:r>
      <w:r w:rsidRPr="00B72BD7">
        <w:rPr>
          <w:rFonts w:ascii="Times New Roman" w:hAnsi="Times New Roman" w:cs="Times New Roman"/>
          <w:i/>
          <w:noProof/>
          <w:sz w:val="24"/>
          <w:lang w:val="en-GB"/>
        </w:rPr>
        <w:t>Tide Tables Malaysia 2019</w:t>
      </w:r>
      <w:r w:rsidR="00B72BD7" w:rsidRPr="00B72BD7">
        <w:rPr>
          <w:rFonts w:ascii="Times New Roman" w:hAnsi="Times New Roman" w:cs="Times New Roman"/>
          <w:i/>
          <w:noProof/>
          <w:sz w:val="24"/>
          <w:lang w:val="en-GB"/>
        </w:rPr>
        <w:t xml:space="preserve">. </w:t>
      </w:r>
      <w:r w:rsidR="00901748" w:rsidRPr="00B72BD7">
        <w:rPr>
          <w:rFonts w:ascii="Times New Roman" w:hAnsi="Times New Roman" w:cs="Times New Roman"/>
          <w:noProof/>
          <w:sz w:val="24"/>
          <w:lang w:val="en-GB"/>
        </w:rPr>
        <w:t>Royal Malaysian Navy, Port</w:t>
      </w:r>
    </w:p>
    <w:p w14:paraId="3FB6CFBA" w14:textId="46310E27" w:rsidR="00901748" w:rsidRPr="00B72BD7" w:rsidRDefault="00B72BD7" w:rsidP="00B42EB3">
      <w:pPr>
        <w:widowControl w:val="0"/>
        <w:autoSpaceDE w:val="0"/>
        <w:autoSpaceDN w:val="0"/>
        <w:adjustRightInd w:val="0"/>
        <w:spacing w:after="0" w:line="240" w:lineRule="auto"/>
        <w:ind w:leftChars="0" w:left="720" w:firstLineChars="0" w:firstLine="0"/>
        <w:jc w:val="both"/>
        <w:rPr>
          <w:rFonts w:ascii="Times New Roman" w:hAnsi="Times New Roman" w:cs="Times New Roman"/>
          <w:noProof/>
          <w:sz w:val="24"/>
          <w:lang w:val="en-GB"/>
        </w:rPr>
      </w:pPr>
      <w:r w:rsidRPr="00B72BD7">
        <w:rPr>
          <w:rFonts w:ascii="Times New Roman" w:hAnsi="Times New Roman" w:cs="Times New Roman"/>
          <w:noProof/>
          <w:sz w:val="24"/>
          <w:lang w:val="en-GB"/>
        </w:rPr>
        <w:t>K</w:t>
      </w:r>
      <w:r w:rsidR="00F12D01" w:rsidRPr="00B72BD7">
        <w:rPr>
          <w:rFonts w:ascii="Times New Roman" w:hAnsi="Times New Roman" w:cs="Times New Roman"/>
          <w:noProof/>
          <w:sz w:val="24"/>
          <w:lang w:val="en-GB"/>
        </w:rPr>
        <w:t>lang.</w:t>
      </w:r>
    </w:p>
    <w:p w14:paraId="236FA501" w14:textId="060002F2"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Osakabe, Y., Osakabe, K., Shinozaki, K., &amp; Tran, L. S. P. (2014). Response of plants to water stress. </w:t>
      </w:r>
      <w:r w:rsidRPr="00B72BD7">
        <w:rPr>
          <w:rFonts w:ascii="Times New Roman" w:hAnsi="Times New Roman" w:cs="Times New Roman"/>
          <w:i/>
          <w:iCs/>
          <w:noProof/>
          <w:sz w:val="24"/>
          <w:lang w:val="en-GB"/>
        </w:rPr>
        <w:t>Frontiers in Plant Science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5</w:t>
      </w:r>
      <w:r w:rsidRPr="00B72BD7">
        <w:rPr>
          <w:rFonts w:ascii="Times New Roman" w:hAnsi="Times New Roman" w:cs="Times New Roman"/>
          <w:noProof/>
          <w:sz w:val="24"/>
          <w:lang w:val="en-GB"/>
        </w:rPr>
        <w:t>(MAR), 1–8. https://doi.org/10.3389/fpls.2014.00086</w:t>
      </w:r>
    </w:p>
    <w:p w14:paraId="0D19DB7A" w14:textId="097C23EC"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Pattanagul, W., &amp; Thitisaksakul, M. (2008). Effect of salinity stress on growth and carbohydrate metabolism in three rice (Oryza</w:t>
      </w:r>
      <w:r w:rsidR="00B437DB" w:rsidRPr="00B72BD7">
        <w:rPr>
          <w:rFonts w:ascii="Times New Roman" w:hAnsi="Times New Roman" w:cs="Times New Roman"/>
          <w:noProof/>
          <w:sz w:val="24"/>
          <w:lang w:val="en-GB"/>
        </w:rPr>
        <w:t>)</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Indian Journal of Experimental Biology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46</w:t>
      </w:r>
      <w:r w:rsidRPr="00B72BD7">
        <w:rPr>
          <w:rFonts w:ascii="Times New Roman" w:hAnsi="Times New Roman" w:cs="Times New Roman"/>
          <w:noProof/>
          <w:sz w:val="24"/>
          <w:lang w:val="en-GB"/>
        </w:rPr>
        <w:t>(October), 736–742.</w:t>
      </w:r>
    </w:p>
    <w:p w14:paraId="34058F11"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Pirmoradian, N., Rezaei, M., Davatgar, N., Tajdari, K., &amp; Abolpour, B. (2010). Comparing of interpolation methods in rice cultivation vulnerability mapping due to groundwater quality in Guilan, north of Iran. </w:t>
      </w:r>
      <w:r w:rsidRPr="00B72BD7">
        <w:rPr>
          <w:rFonts w:ascii="Times New Roman" w:hAnsi="Times New Roman" w:cs="Times New Roman"/>
          <w:i/>
          <w:iCs/>
          <w:noProof/>
          <w:sz w:val="24"/>
          <w:lang w:val="en-GB"/>
        </w:rPr>
        <w:t>ICEEA 2010 - 2010 International Conference on Environmental Engineering and Applications, Proceedings</w:t>
      </w:r>
      <w:r w:rsidRPr="00B72BD7">
        <w:rPr>
          <w:rFonts w:ascii="Times New Roman" w:hAnsi="Times New Roman" w:cs="Times New Roman"/>
          <w:noProof/>
          <w:sz w:val="24"/>
          <w:lang w:val="en-GB"/>
        </w:rPr>
        <w:t>, (Iceea), 147–150. https://doi.org/10.1109/ICEEA.2010.5596110</w:t>
      </w:r>
    </w:p>
    <w:p w14:paraId="5D88B6D0" w14:textId="75F9F68D"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Purnaini, R., Sudarmadj</w:t>
      </w:r>
      <w:r w:rsidR="003F3619" w:rsidRPr="00B72BD7">
        <w:rPr>
          <w:rFonts w:ascii="Times New Roman" w:hAnsi="Times New Roman" w:cs="Times New Roman"/>
          <w:noProof/>
          <w:sz w:val="24"/>
          <w:lang w:val="en-GB"/>
        </w:rPr>
        <w:t>i, &amp; Purwono, S. (2018). Tidal influence on water quality of Kapuas Kecil River d</w:t>
      </w:r>
      <w:r w:rsidRPr="00B72BD7">
        <w:rPr>
          <w:rFonts w:ascii="Times New Roman" w:hAnsi="Times New Roman" w:cs="Times New Roman"/>
          <w:noProof/>
          <w:sz w:val="24"/>
          <w:lang w:val="en-GB"/>
        </w:rPr>
        <w:t xml:space="preserve">ownstream. </w:t>
      </w:r>
      <w:r w:rsidRPr="00B72BD7">
        <w:rPr>
          <w:rFonts w:ascii="Times New Roman" w:hAnsi="Times New Roman" w:cs="Times New Roman"/>
          <w:i/>
          <w:iCs/>
          <w:noProof/>
          <w:sz w:val="24"/>
          <w:lang w:val="en-GB"/>
        </w:rPr>
        <w:t>E3S Web of Conferences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31</w:t>
      </w:r>
      <w:r w:rsidRPr="00B72BD7">
        <w:rPr>
          <w:rFonts w:ascii="Times New Roman" w:hAnsi="Times New Roman" w:cs="Times New Roman"/>
          <w:noProof/>
          <w:sz w:val="24"/>
          <w:lang w:val="en-GB"/>
        </w:rPr>
        <w:t>, 04006. https://doi.org/10.1051/e3sconf/20183104006</w:t>
      </w:r>
    </w:p>
    <w:p w14:paraId="60DA2D24"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Rad, H. E., Aref, F., &amp; Rezaei, M. (2012). Response of rice to different salinity levels during different growth stages. </w:t>
      </w:r>
      <w:r w:rsidRPr="00B72BD7">
        <w:rPr>
          <w:rFonts w:ascii="Times New Roman" w:hAnsi="Times New Roman" w:cs="Times New Roman"/>
          <w:i/>
          <w:iCs/>
          <w:noProof/>
          <w:sz w:val="24"/>
          <w:lang w:val="en-GB"/>
        </w:rPr>
        <w:t>Research Journal of Applied Sciences, Engineering and Technology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4</w:t>
      </w:r>
      <w:r w:rsidRPr="00B72BD7">
        <w:rPr>
          <w:rFonts w:ascii="Times New Roman" w:hAnsi="Times New Roman" w:cs="Times New Roman"/>
          <w:noProof/>
          <w:sz w:val="24"/>
          <w:lang w:val="en-GB"/>
        </w:rPr>
        <w:t>(17), 3040–3047.</w:t>
      </w:r>
    </w:p>
    <w:p w14:paraId="2D02A747" w14:textId="3FA0648D"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Radanielson, A. M., Gaydon, D. S., Li, T., Angeles, O., &amp; Roth, C. H. (2018). </w:t>
      </w:r>
      <w:r w:rsidRPr="00B72BD7">
        <w:rPr>
          <w:rFonts w:ascii="Times New Roman" w:hAnsi="Times New Roman" w:cs="Times New Roman"/>
          <w:i/>
          <w:iCs/>
          <w:noProof/>
          <w:sz w:val="24"/>
          <w:lang w:val="en-GB"/>
        </w:rPr>
        <w:t xml:space="preserve">Modeling salinity e ff </w:t>
      </w:r>
      <w:r w:rsidR="003F3619" w:rsidRPr="00B72BD7">
        <w:rPr>
          <w:rFonts w:ascii="Times New Roman" w:hAnsi="Times New Roman" w:cs="Times New Roman"/>
          <w:i/>
          <w:iCs/>
          <w:noProof/>
          <w:sz w:val="24"/>
          <w:lang w:val="en-GB"/>
        </w:rPr>
        <w:t>e</w:t>
      </w:r>
      <w:r w:rsidRPr="00B72BD7">
        <w:rPr>
          <w:rFonts w:ascii="Times New Roman" w:hAnsi="Times New Roman" w:cs="Times New Roman"/>
          <w:i/>
          <w:iCs/>
          <w:noProof/>
          <w:sz w:val="24"/>
          <w:lang w:val="en-GB"/>
        </w:rPr>
        <w:t>ct on rice growth and grain yield with ORYZA v3 and APSIM-Oryza</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100</w:t>
      </w:r>
      <w:r w:rsidRPr="00B72BD7">
        <w:rPr>
          <w:rFonts w:ascii="Times New Roman" w:hAnsi="Times New Roman" w:cs="Times New Roman"/>
          <w:noProof/>
          <w:sz w:val="24"/>
          <w:lang w:val="en-GB"/>
        </w:rPr>
        <w:t>(March), 44–55. https://doi.org/10.1016/j.eja.2018.01.015</w:t>
      </w:r>
    </w:p>
    <w:p w14:paraId="59D82988" w14:textId="5F8A1563"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Reddy, I. N. B. L., Kim, B. K., Yoon, I. S., Kim, K. H., &amp; Kwon, T. R. (2017). </w:t>
      </w:r>
      <w:r w:rsidR="003F3619" w:rsidRPr="00B72BD7">
        <w:rPr>
          <w:rFonts w:ascii="Times New Roman" w:hAnsi="Times New Roman" w:cs="Times New Roman"/>
          <w:noProof/>
          <w:sz w:val="24"/>
          <w:lang w:val="en-GB"/>
        </w:rPr>
        <w:t>Salt tolerance in rice: Focus on mechanisms and a</w:t>
      </w:r>
      <w:r w:rsidRPr="00B72BD7">
        <w:rPr>
          <w:rFonts w:ascii="Times New Roman" w:hAnsi="Times New Roman" w:cs="Times New Roman"/>
          <w:noProof/>
          <w:sz w:val="24"/>
          <w:lang w:val="en-GB"/>
        </w:rPr>
        <w:t xml:space="preserve">pproaches. </w:t>
      </w:r>
      <w:r w:rsidRPr="00B72BD7">
        <w:rPr>
          <w:rFonts w:ascii="Times New Roman" w:hAnsi="Times New Roman" w:cs="Times New Roman"/>
          <w:i/>
          <w:iCs/>
          <w:noProof/>
          <w:sz w:val="24"/>
          <w:lang w:val="en-GB"/>
        </w:rPr>
        <w:t>Rice Science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24</w:t>
      </w:r>
      <w:r w:rsidRPr="00B72BD7">
        <w:rPr>
          <w:rFonts w:ascii="Times New Roman" w:hAnsi="Times New Roman" w:cs="Times New Roman"/>
          <w:noProof/>
          <w:sz w:val="24"/>
          <w:lang w:val="en-GB"/>
        </w:rPr>
        <w:t>(3), 123–144. https://doi.org/10.1016/j.rsci.2016.09.004</w:t>
      </w:r>
    </w:p>
    <w:p w14:paraId="54BE1EF8" w14:textId="657CBAD3"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Samsuddin Sah, S., Abdul Maulud, K. N., Sharil, S., A. Karim, O., &amp; Abdul </w:t>
      </w:r>
      <w:r w:rsidR="003F3619" w:rsidRPr="00B72BD7">
        <w:rPr>
          <w:rFonts w:ascii="Times New Roman" w:hAnsi="Times New Roman" w:cs="Times New Roman"/>
          <w:noProof/>
          <w:sz w:val="24"/>
          <w:lang w:val="en-GB"/>
        </w:rPr>
        <w:t>Nahar, N. F. (</w:t>
      </w:r>
      <w:r w:rsidR="00B5651B" w:rsidRPr="00B72BD7">
        <w:rPr>
          <w:rFonts w:ascii="Times New Roman" w:hAnsi="Times New Roman" w:cs="Times New Roman"/>
          <w:noProof/>
          <w:sz w:val="24"/>
          <w:lang w:val="en-GB"/>
        </w:rPr>
        <w:t>in press</w:t>
      </w:r>
      <w:r w:rsidR="003F3619" w:rsidRPr="00B72BD7">
        <w:rPr>
          <w:rFonts w:ascii="Times New Roman" w:hAnsi="Times New Roman" w:cs="Times New Roman"/>
          <w:noProof/>
          <w:sz w:val="24"/>
          <w:lang w:val="en-GB"/>
        </w:rPr>
        <w:t>). Impact of saltwater i</w:t>
      </w:r>
      <w:r w:rsidRPr="00B72BD7">
        <w:rPr>
          <w:rFonts w:ascii="Times New Roman" w:hAnsi="Times New Roman" w:cs="Times New Roman"/>
          <w:noProof/>
          <w:sz w:val="24"/>
          <w:lang w:val="en-GB"/>
        </w:rPr>
        <w:t>ntrusio</w:t>
      </w:r>
      <w:r w:rsidR="003F3619" w:rsidRPr="00B72BD7">
        <w:rPr>
          <w:rFonts w:ascii="Times New Roman" w:hAnsi="Times New Roman" w:cs="Times New Roman"/>
          <w:noProof/>
          <w:sz w:val="24"/>
          <w:lang w:val="en-GB"/>
        </w:rPr>
        <w:t>n on paddy g</w:t>
      </w:r>
      <w:r w:rsidRPr="00B72BD7">
        <w:rPr>
          <w:rFonts w:ascii="Times New Roman" w:hAnsi="Times New Roman" w:cs="Times New Roman"/>
          <w:noProof/>
          <w:sz w:val="24"/>
          <w:lang w:val="en-GB"/>
        </w:rPr>
        <w:t xml:space="preserve">rowth in Kuala Kedah, Malaysia. </w:t>
      </w:r>
      <w:r w:rsidRPr="00B72BD7">
        <w:rPr>
          <w:rFonts w:ascii="Times New Roman" w:hAnsi="Times New Roman" w:cs="Times New Roman"/>
          <w:i/>
          <w:iCs/>
          <w:noProof/>
          <w:sz w:val="24"/>
          <w:lang w:val="en-GB"/>
        </w:rPr>
        <w:t>Journal of Sustainability Science and Management</w:t>
      </w:r>
      <w:r w:rsidRPr="00B72BD7">
        <w:rPr>
          <w:rFonts w:ascii="Times New Roman" w:hAnsi="Times New Roman" w:cs="Times New Roman"/>
          <w:noProof/>
          <w:sz w:val="24"/>
          <w:lang w:val="en-GB"/>
        </w:rPr>
        <w:t>.</w:t>
      </w:r>
      <w:r w:rsidR="000A154B" w:rsidRPr="00B72BD7">
        <w:rPr>
          <w:rFonts w:ascii="Times New Roman" w:hAnsi="Times New Roman" w:cs="Times New Roman"/>
          <w:noProof/>
          <w:sz w:val="24"/>
          <w:lang w:val="en-GB"/>
        </w:rPr>
        <w:t xml:space="preserve"> (accepted, 3 September 2020)</w:t>
      </w:r>
    </w:p>
    <w:p w14:paraId="1CB704C2" w14:textId="3A1491EF"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Sapna, K., Thangavelu, A., Mithran, S.,</w:t>
      </w:r>
      <w:r w:rsidR="003F3619" w:rsidRPr="00B72BD7">
        <w:rPr>
          <w:rFonts w:ascii="Times New Roman" w:hAnsi="Times New Roman" w:cs="Times New Roman"/>
          <w:noProof/>
          <w:sz w:val="24"/>
          <w:lang w:val="en-GB"/>
        </w:rPr>
        <w:t xml:space="preserve"> &amp; Shanthi, K. (2018). Spatial analysis of river water quality using Inverse Distance Weighted i</w:t>
      </w:r>
      <w:r w:rsidRPr="00B72BD7">
        <w:rPr>
          <w:rFonts w:ascii="Times New Roman" w:hAnsi="Times New Roman" w:cs="Times New Roman"/>
          <w:noProof/>
          <w:sz w:val="24"/>
          <w:lang w:val="en-GB"/>
        </w:rPr>
        <w:t xml:space="preserve">nterpolation in Noyyal Watershed in Coimbatore, Tamilnadu, India. </w:t>
      </w:r>
      <w:r w:rsidRPr="00B72BD7">
        <w:rPr>
          <w:rFonts w:ascii="Times New Roman" w:hAnsi="Times New Roman" w:cs="Times New Roman"/>
          <w:i/>
          <w:iCs/>
          <w:noProof/>
          <w:sz w:val="24"/>
          <w:lang w:val="en-GB"/>
        </w:rPr>
        <w:t xml:space="preserve">Research Journal of Life Sciences, </w:t>
      </w:r>
      <w:r w:rsidRPr="00B72BD7">
        <w:rPr>
          <w:rFonts w:ascii="Times New Roman" w:hAnsi="Times New Roman" w:cs="Times New Roman"/>
          <w:i/>
          <w:iCs/>
          <w:noProof/>
          <w:sz w:val="24"/>
          <w:lang w:val="en-GB"/>
        </w:rPr>
        <w:lastRenderedPageBreak/>
        <w:t>Bioinformatics,Pharmaceuticals and Chemical Science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4</w:t>
      </w:r>
      <w:r w:rsidRPr="00B72BD7">
        <w:rPr>
          <w:rFonts w:ascii="Times New Roman" w:hAnsi="Times New Roman" w:cs="Times New Roman"/>
          <w:noProof/>
          <w:sz w:val="24"/>
          <w:lang w:val="en-GB"/>
        </w:rPr>
        <w:t>(1), 150–161. https://doi.org/10.26479/2018.0401.13</w:t>
      </w:r>
    </w:p>
    <w:p w14:paraId="343E5933"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Shaha, D. C., Cho, Y. K., &amp; Kim, T. W. (2013). Effects of river discharge and tide driven sea level variation on saltwater intrusion in sumjin river estuary: An application of finite-volume coastal ocean model. </w:t>
      </w:r>
      <w:r w:rsidRPr="00B72BD7">
        <w:rPr>
          <w:rFonts w:ascii="Times New Roman" w:hAnsi="Times New Roman" w:cs="Times New Roman"/>
          <w:i/>
          <w:iCs/>
          <w:noProof/>
          <w:sz w:val="24"/>
          <w:lang w:val="en-GB"/>
        </w:rPr>
        <w:t>Journal of Coastal Research</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29</w:t>
      </w:r>
      <w:r w:rsidRPr="00B72BD7">
        <w:rPr>
          <w:rFonts w:ascii="Times New Roman" w:hAnsi="Times New Roman" w:cs="Times New Roman"/>
          <w:noProof/>
          <w:sz w:val="24"/>
          <w:lang w:val="en-GB"/>
        </w:rPr>
        <w:t>(2), 460–470. https://doi.org/10.2112/JCOASTRES-D-12-00135.1</w:t>
      </w:r>
    </w:p>
    <w:p w14:paraId="56F0C162" w14:textId="3EED7F88"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Smajgl, A., Toan, T. Q., Nhan, D. K., Ward, J., Trung, N. H., Tri, L. Q., … Vu, P. T. (2015). Responding to rising sea levels in the Mekong Delta. </w:t>
      </w:r>
      <w:r w:rsidRPr="00B72BD7">
        <w:rPr>
          <w:rFonts w:ascii="Times New Roman" w:hAnsi="Times New Roman" w:cs="Times New Roman"/>
          <w:i/>
          <w:iCs/>
          <w:noProof/>
          <w:sz w:val="24"/>
          <w:lang w:val="en-GB"/>
        </w:rPr>
        <w:t>Nature Climate Change</w:t>
      </w:r>
      <w:r w:rsidR="00F12D01" w:rsidRPr="00B72BD7">
        <w:rPr>
          <w:rFonts w:ascii="Times New Roman" w:hAnsi="Times New Roman" w:cs="Times New Roman"/>
          <w:noProof/>
          <w:sz w:val="24"/>
          <w:lang w:val="en-GB"/>
        </w:rPr>
        <w:t xml:space="preserve">, </w:t>
      </w:r>
      <w:r w:rsidR="00F12D01" w:rsidRPr="00B72BD7">
        <w:rPr>
          <w:rFonts w:ascii="Times New Roman" w:hAnsi="Times New Roman" w:cs="Times New Roman"/>
          <w:i/>
          <w:noProof/>
          <w:sz w:val="24"/>
          <w:lang w:val="en-GB"/>
        </w:rPr>
        <w:t>5</w:t>
      </w:r>
      <w:r w:rsidR="00F12D01" w:rsidRPr="00B72BD7">
        <w:rPr>
          <w:rFonts w:ascii="Times New Roman" w:hAnsi="Times New Roman" w:cs="Times New Roman"/>
          <w:noProof/>
          <w:sz w:val="24"/>
          <w:lang w:val="en-GB"/>
        </w:rPr>
        <w:t>, 167–174.</w:t>
      </w:r>
      <w:r w:rsidR="0037634B" w:rsidRPr="00B72BD7">
        <w:rPr>
          <w:rFonts w:ascii="Times New Roman" w:hAnsi="Times New Roman" w:cs="Times New Roman"/>
          <w:noProof/>
          <w:sz w:val="24"/>
          <w:lang w:val="en-GB"/>
        </w:rPr>
        <w:t xml:space="preserve"> </w:t>
      </w:r>
      <w:r w:rsidRPr="00B72BD7">
        <w:rPr>
          <w:rFonts w:ascii="Times New Roman" w:hAnsi="Times New Roman" w:cs="Times New Roman"/>
          <w:noProof/>
          <w:sz w:val="24"/>
          <w:lang w:val="en-GB"/>
        </w:rPr>
        <w:t>https://doi.org/10.1038/nclimate2469</w:t>
      </w:r>
    </w:p>
    <w:p w14:paraId="6D37ADDB"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Takehisa, H., Shimodate, T., Fukuta, Y., Ueda, T., Yano, M., Yamaya, T., … Sato, T. (2004). Identification of quantitative trait loci for plant growth of rice in paddy field flooded with salt water. </w:t>
      </w:r>
      <w:r w:rsidRPr="00B72BD7">
        <w:rPr>
          <w:rFonts w:ascii="Times New Roman" w:hAnsi="Times New Roman" w:cs="Times New Roman"/>
          <w:i/>
          <w:iCs/>
          <w:noProof/>
          <w:sz w:val="24"/>
          <w:lang w:val="en-GB"/>
        </w:rPr>
        <w:t>Field Crops Research</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89</w:t>
      </w:r>
      <w:r w:rsidRPr="00B72BD7">
        <w:rPr>
          <w:rFonts w:ascii="Times New Roman" w:hAnsi="Times New Roman" w:cs="Times New Roman"/>
          <w:noProof/>
          <w:sz w:val="24"/>
          <w:lang w:val="en-GB"/>
        </w:rPr>
        <w:t>(1), 85–95. https://doi.org/10.1016/j.fcr.2004.01.026</w:t>
      </w:r>
    </w:p>
    <w:p w14:paraId="0C15A1EC"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Talpur, M. A., Ji, C., Junejo, S. A., Tagar, A. A., &amp; Ram, B. K. (2013). Effect of different water depths on growth and yield of rice crop. </w:t>
      </w:r>
      <w:r w:rsidRPr="00B72BD7">
        <w:rPr>
          <w:rFonts w:ascii="Times New Roman" w:hAnsi="Times New Roman" w:cs="Times New Roman"/>
          <w:i/>
          <w:iCs/>
          <w:noProof/>
          <w:sz w:val="24"/>
          <w:lang w:val="en-GB"/>
        </w:rPr>
        <w:t>African Journal of Agricultural Research</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8</w:t>
      </w:r>
      <w:r w:rsidRPr="00B72BD7">
        <w:rPr>
          <w:rFonts w:ascii="Times New Roman" w:hAnsi="Times New Roman" w:cs="Times New Roman"/>
          <w:noProof/>
          <w:sz w:val="24"/>
          <w:lang w:val="en-GB"/>
        </w:rPr>
        <w:t>(37), 4654–4659. https://doi.org/10.5897/ajar12.1693</w:t>
      </w:r>
    </w:p>
    <w:p w14:paraId="34F19BD9"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Tanjung, M., Syahreza, S., &amp; Rusdi, M. (2020). Comparison of interpolation methods based on Geographic Information System (GIS) in the spatial distribution of seawater intrusion. </w:t>
      </w:r>
      <w:r w:rsidRPr="00B72BD7">
        <w:rPr>
          <w:rFonts w:ascii="Times New Roman" w:hAnsi="Times New Roman" w:cs="Times New Roman"/>
          <w:i/>
          <w:iCs/>
          <w:noProof/>
          <w:sz w:val="24"/>
          <w:lang w:val="en-GB"/>
        </w:rPr>
        <w:t>Jurnal Natural</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20</w:t>
      </w:r>
      <w:r w:rsidRPr="00B72BD7">
        <w:rPr>
          <w:rFonts w:ascii="Times New Roman" w:hAnsi="Times New Roman" w:cs="Times New Roman"/>
          <w:noProof/>
          <w:sz w:val="24"/>
          <w:lang w:val="en-GB"/>
        </w:rPr>
        <w:t>(2), 24–30. https://doi.org/10.24815/jn.v20i2.16440</w:t>
      </w:r>
    </w:p>
    <w:p w14:paraId="33F4A7C1" w14:textId="7DFF4965"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Uncles, R. J., &amp; Stephens, J. A. (2</w:t>
      </w:r>
      <w:r w:rsidR="0037634B" w:rsidRPr="00B72BD7">
        <w:rPr>
          <w:rFonts w:ascii="Times New Roman" w:hAnsi="Times New Roman" w:cs="Times New Roman"/>
          <w:noProof/>
          <w:sz w:val="24"/>
          <w:lang w:val="en-GB"/>
        </w:rPr>
        <w:t>011). The Effects of wind , runoff and tides on salinity in a strongly tidal s</w:t>
      </w:r>
      <w:r w:rsidRPr="00B72BD7">
        <w:rPr>
          <w:rFonts w:ascii="Times New Roman" w:hAnsi="Times New Roman" w:cs="Times New Roman"/>
          <w:noProof/>
          <w:sz w:val="24"/>
          <w:lang w:val="en-GB"/>
        </w:rPr>
        <w:t xml:space="preserve">ub-estuary. </w:t>
      </w:r>
      <w:r w:rsidRPr="00B72BD7">
        <w:rPr>
          <w:rFonts w:ascii="Times New Roman" w:hAnsi="Times New Roman" w:cs="Times New Roman"/>
          <w:i/>
          <w:iCs/>
          <w:noProof/>
          <w:sz w:val="24"/>
          <w:lang w:val="en-GB"/>
        </w:rPr>
        <w:t>Estuaries and Coasts</w:t>
      </w:r>
      <w:r w:rsidRPr="00B72BD7">
        <w:rPr>
          <w:rFonts w:ascii="Times New Roman" w:hAnsi="Times New Roman" w:cs="Times New Roman"/>
          <w:noProof/>
          <w:sz w:val="24"/>
          <w:lang w:val="en-GB"/>
        </w:rPr>
        <w:t>, (34), 758–774. https://doi.org/10.1007/s12237-010-9365-3</w:t>
      </w:r>
    </w:p>
    <w:p w14:paraId="4BD45B5F" w14:textId="004A006B"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Wahab, N. A., Amri Kamarudin, M. K., Toriman, M. E., Juahir, H., Md Saad, M. H., Ata, F. M., … Harith, H. (2019). Sedimentation and water quality deterioration problems at Terengganu River</w:t>
      </w:r>
      <w:r w:rsidR="0037634B" w:rsidRPr="00B72BD7">
        <w:rPr>
          <w:rFonts w:ascii="Times New Roman" w:hAnsi="Times New Roman" w:cs="Times New Roman"/>
          <w:noProof/>
          <w:sz w:val="24"/>
          <w:lang w:val="en-GB"/>
        </w:rPr>
        <w:t xml:space="preserve"> </w:t>
      </w:r>
      <w:r w:rsidRPr="00B72BD7">
        <w:rPr>
          <w:rFonts w:ascii="Times New Roman" w:hAnsi="Times New Roman" w:cs="Times New Roman"/>
          <w:noProof/>
          <w:sz w:val="24"/>
          <w:lang w:val="en-GB"/>
        </w:rPr>
        <w:t xml:space="preserve">basin, Terengganu, Malaysia. </w:t>
      </w:r>
      <w:r w:rsidRPr="00B72BD7">
        <w:rPr>
          <w:rFonts w:ascii="Times New Roman" w:hAnsi="Times New Roman" w:cs="Times New Roman"/>
          <w:i/>
          <w:iCs/>
          <w:noProof/>
          <w:sz w:val="24"/>
          <w:lang w:val="en-GB"/>
        </w:rPr>
        <w:t>Desalination and Water Treatment</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149</w:t>
      </w:r>
      <w:r w:rsidRPr="00B72BD7">
        <w:rPr>
          <w:rFonts w:ascii="Times New Roman" w:hAnsi="Times New Roman" w:cs="Times New Roman"/>
          <w:noProof/>
          <w:sz w:val="24"/>
          <w:lang w:val="en-GB"/>
        </w:rPr>
        <w:t>, 228–241. https://doi.org/10.5004/dwt.2019.23836</w:t>
      </w:r>
    </w:p>
    <w:p w14:paraId="2CC2378F"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Walsh, S., &amp; Miskewitz, R. (2013). Impact of sea level rise on tide gate function. </w:t>
      </w:r>
      <w:r w:rsidRPr="00B72BD7">
        <w:rPr>
          <w:rFonts w:ascii="Times New Roman" w:hAnsi="Times New Roman" w:cs="Times New Roman"/>
          <w:i/>
          <w:iCs/>
          <w:noProof/>
          <w:sz w:val="24"/>
          <w:lang w:val="en-GB"/>
        </w:rPr>
        <w:t>Journal of Environmental Science and Health - Part A Toxic/Hazardous Substances and Environmental Engineering</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48</w:t>
      </w:r>
      <w:r w:rsidRPr="00B72BD7">
        <w:rPr>
          <w:rFonts w:ascii="Times New Roman" w:hAnsi="Times New Roman" w:cs="Times New Roman"/>
          <w:noProof/>
          <w:sz w:val="24"/>
          <w:lang w:val="en-GB"/>
        </w:rPr>
        <w:t>(4), 453–463. https://doi.org/10.1080/10934529.2013.729924</w:t>
      </w:r>
    </w:p>
    <w:p w14:paraId="31DA3FF1" w14:textId="01D5E9CC"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Wan Mohtar, W. H. M., Abdul Maulud, K. N., Muhammad, N. S., Sharil, S., &amp; Yaseen, Z. M. (2019). Spatial and temporal risk quotient based river assessment for water resources management. </w:t>
      </w:r>
      <w:r w:rsidRPr="00B72BD7">
        <w:rPr>
          <w:rFonts w:ascii="Times New Roman" w:hAnsi="Times New Roman" w:cs="Times New Roman"/>
          <w:i/>
          <w:iCs/>
          <w:noProof/>
          <w:sz w:val="24"/>
          <w:lang w:val="en-GB"/>
        </w:rPr>
        <w:t>Environmental Pollution</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248</w:t>
      </w:r>
      <w:r w:rsidRPr="00B72BD7">
        <w:rPr>
          <w:rFonts w:ascii="Times New Roman" w:hAnsi="Times New Roman" w:cs="Times New Roman"/>
          <w:noProof/>
          <w:sz w:val="24"/>
          <w:lang w:val="en-GB"/>
        </w:rPr>
        <w:t>, 133–144.</w:t>
      </w:r>
      <w:r w:rsidR="00A70023" w:rsidRPr="00B72BD7">
        <w:rPr>
          <w:rFonts w:ascii="Times New Roman" w:hAnsi="Times New Roman" w:cs="Times New Roman"/>
          <w:noProof/>
          <w:sz w:val="24"/>
          <w:lang w:val="en-GB"/>
        </w:rPr>
        <w:t xml:space="preserve"> </w:t>
      </w:r>
      <w:r w:rsidRPr="00B72BD7">
        <w:rPr>
          <w:rFonts w:ascii="Times New Roman" w:hAnsi="Times New Roman" w:cs="Times New Roman"/>
          <w:noProof/>
          <w:sz w:val="24"/>
          <w:lang w:val="en-GB"/>
        </w:rPr>
        <w:t>https://doi.org/10.1016/j.envpol.2019.02.011</w:t>
      </w:r>
    </w:p>
    <w:p w14:paraId="1CD3D5F9"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Wu, C. Y., Mossa, J., Mao, L., &amp; Almulla, M. (2019). Comparison of different spatial interpolation methods for historical hydrographic data of the lowermost Mississippi River. </w:t>
      </w:r>
      <w:r w:rsidRPr="00B72BD7">
        <w:rPr>
          <w:rFonts w:ascii="Times New Roman" w:hAnsi="Times New Roman" w:cs="Times New Roman"/>
          <w:i/>
          <w:iCs/>
          <w:noProof/>
          <w:sz w:val="24"/>
          <w:lang w:val="en-GB"/>
        </w:rPr>
        <w:t>Annals of GIS</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25</w:t>
      </w:r>
      <w:r w:rsidRPr="00B72BD7">
        <w:rPr>
          <w:rFonts w:ascii="Times New Roman" w:hAnsi="Times New Roman" w:cs="Times New Roman"/>
          <w:noProof/>
          <w:sz w:val="24"/>
          <w:lang w:val="en-GB"/>
        </w:rPr>
        <w:t>(2), 133–151. https://doi.org/10.1080/19475683.2019.1588781</w:t>
      </w:r>
    </w:p>
    <w:p w14:paraId="05C467A2"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Wu, Y. H., Hung, M. C., &amp; Patton, J. (2013). Assessment and visualization of spatial interpolation of soil pH values in farmland. </w:t>
      </w:r>
      <w:r w:rsidRPr="00B72BD7">
        <w:rPr>
          <w:rFonts w:ascii="Times New Roman" w:hAnsi="Times New Roman" w:cs="Times New Roman"/>
          <w:i/>
          <w:iCs/>
          <w:noProof/>
          <w:sz w:val="24"/>
          <w:lang w:val="en-GB"/>
        </w:rPr>
        <w:t>Precision Agriculture</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14</w:t>
      </w:r>
      <w:r w:rsidRPr="00B72BD7">
        <w:rPr>
          <w:rFonts w:ascii="Times New Roman" w:hAnsi="Times New Roman" w:cs="Times New Roman"/>
          <w:noProof/>
          <w:sz w:val="24"/>
          <w:lang w:val="en-GB"/>
        </w:rPr>
        <w:t>(6), 565–585. https://doi.org/10.1007/s11119-013-9316-7</w:t>
      </w:r>
    </w:p>
    <w:p w14:paraId="5AC871D7"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Xiong, L. (2007). Abscisic acid in plant response and adaptation to drought and salt stress. In </w:t>
      </w:r>
      <w:r w:rsidRPr="00B72BD7">
        <w:rPr>
          <w:rFonts w:ascii="Times New Roman" w:hAnsi="Times New Roman" w:cs="Times New Roman"/>
          <w:i/>
          <w:iCs/>
          <w:noProof/>
          <w:sz w:val="24"/>
          <w:lang w:val="en-GB"/>
        </w:rPr>
        <w:t>Advances in Molecular Breeding Toward Drought and Salt Tolerant Crops</w:t>
      </w:r>
      <w:r w:rsidRPr="00B72BD7">
        <w:rPr>
          <w:rFonts w:ascii="Times New Roman" w:hAnsi="Times New Roman" w:cs="Times New Roman"/>
          <w:noProof/>
          <w:sz w:val="24"/>
          <w:lang w:val="en-GB"/>
        </w:rPr>
        <w:t>. https://doi.org/10.1007/978-1-4020-5578-2_9</w:t>
      </w:r>
    </w:p>
    <w:p w14:paraId="0E24CCFB" w14:textId="54D8CD44" w:rsidR="00F12D01"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Yan, S. F., Yu, S. E., Wu, Y. B., Pan, D. F., She, D. L., &amp; Ji, J. (2015). Seas</w:t>
      </w:r>
      <w:r w:rsidR="0037634B" w:rsidRPr="00B72BD7">
        <w:rPr>
          <w:rFonts w:ascii="Times New Roman" w:hAnsi="Times New Roman" w:cs="Times New Roman"/>
          <w:noProof/>
          <w:sz w:val="24"/>
          <w:lang w:val="en-GB"/>
        </w:rPr>
        <w:t>onal variations in groundwater level and salinity in coastal plain of Eastern China influenced by c</w:t>
      </w:r>
      <w:r w:rsidRPr="00B72BD7">
        <w:rPr>
          <w:rFonts w:ascii="Times New Roman" w:hAnsi="Times New Roman" w:cs="Times New Roman"/>
          <w:noProof/>
          <w:sz w:val="24"/>
          <w:lang w:val="en-GB"/>
        </w:rPr>
        <w:t xml:space="preserve">limate. </w:t>
      </w:r>
      <w:r w:rsidRPr="00B72BD7">
        <w:rPr>
          <w:rFonts w:ascii="Times New Roman" w:hAnsi="Times New Roman" w:cs="Times New Roman"/>
          <w:i/>
          <w:iCs/>
          <w:noProof/>
          <w:sz w:val="24"/>
          <w:lang w:val="en-GB"/>
        </w:rPr>
        <w:t>Journal of Chemistry</w:t>
      </w:r>
      <w:r w:rsidRPr="00B72BD7">
        <w:rPr>
          <w:rFonts w:ascii="Times New Roman" w:hAnsi="Times New Roman" w:cs="Times New Roman"/>
          <w:noProof/>
          <w:sz w:val="24"/>
          <w:lang w:val="en-GB"/>
        </w:rPr>
        <w:t xml:space="preserve">, </w:t>
      </w:r>
      <w:r w:rsidR="00F12D01" w:rsidRPr="00B72BD7">
        <w:rPr>
          <w:rFonts w:ascii="Times New Roman" w:hAnsi="Times New Roman" w:cs="Times New Roman"/>
          <w:i/>
          <w:noProof/>
          <w:sz w:val="24"/>
          <w:lang w:val="en-GB"/>
        </w:rPr>
        <w:t>2015</w:t>
      </w:r>
      <w:r w:rsidR="00F5573E" w:rsidRPr="00B72BD7">
        <w:rPr>
          <w:rFonts w:ascii="Times New Roman" w:hAnsi="Times New Roman" w:cs="Times New Roman"/>
          <w:noProof/>
          <w:sz w:val="24"/>
          <w:lang w:val="en-GB"/>
        </w:rPr>
        <w:t>, 1-8</w:t>
      </w:r>
      <w:r w:rsidRPr="00B72BD7">
        <w:rPr>
          <w:rFonts w:ascii="Times New Roman" w:hAnsi="Times New Roman" w:cs="Times New Roman"/>
          <w:noProof/>
          <w:sz w:val="24"/>
          <w:lang w:val="en-GB"/>
        </w:rPr>
        <w:t>. https://doi.org/10.1155/2015/905190</w:t>
      </w:r>
    </w:p>
    <w:p w14:paraId="3D963391" w14:textId="03195B89"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Yang, W., Zhao, Y., Wang, D., Wu, H., Lin, A., &amp; He, L. (2020). Using principal compo</w:t>
      </w:r>
      <w:r w:rsidR="0037634B" w:rsidRPr="00B72BD7">
        <w:rPr>
          <w:rFonts w:ascii="Times New Roman" w:hAnsi="Times New Roman" w:cs="Times New Roman"/>
          <w:noProof/>
          <w:sz w:val="24"/>
          <w:lang w:val="en-GB"/>
        </w:rPr>
        <w:t xml:space="preserve">nents </w:t>
      </w:r>
      <w:r w:rsidR="0037634B" w:rsidRPr="00B72BD7">
        <w:rPr>
          <w:rFonts w:ascii="Times New Roman" w:hAnsi="Times New Roman" w:cs="Times New Roman"/>
          <w:noProof/>
          <w:sz w:val="24"/>
          <w:lang w:val="en-GB"/>
        </w:rPr>
        <w:lastRenderedPageBreak/>
        <w:t>analysis and IDW</w:t>
      </w:r>
      <w:r w:rsidRPr="00B72BD7">
        <w:rPr>
          <w:rFonts w:ascii="Times New Roman" w:hAnsi="Times New Roman" w:cs="Times New Roman"/>
          <w:noProof/>
          <w:sz w:val="24"/>
          <w:lang w:val="en-GB"/>
        </w:rPr>
        <w:t xml:space="preserve"> interpolation to determine s</w:t>
      </w:r>
      <w:r w:rsidR="0037634B" w:rsidRPr="00B72BD7">
        <w:rPr>
          <w:rFonts w:ascii="Times New Roman" w:hAnsi="Times New Roman" w:cs="Times New Roman"/>
          <w:noProof/>
          <w:sz w:val="24"/>
          <w:lang w:val="en-GB"/>
        </w:rPr>
        <w:t>patial and temporal changes of s</w:t>
      </w:r>
      <w:r w:rsidRPr="00B72BD7">
        <w:rPr>
          <w:rFonts w:ascii="Times New Roman" w:hAnsi="Times New Roman" w:cs="Times New Roman"/>
          <w:noProof/>
          <w:sz w:val="24"/>
          <w:lang w:val="en-GB"/>
        </w:rPr>
        <w:t>urface</w:t>
      </w:r>
      <w:r w:rsidR="0037634B" w:rsidRPr="00B72BD7">
        <w:rPr>
          <w:rFonts w:ascii="Times New Roman" w:hAnsi="Times New Roman" w:cs="Times New Roman"/>
          <w:noProof/>
          <w:sz w:val="24"/>
          <w:lang w:val="en-GB"/>
        </w:rPr>
        <w:t xml:space="preserve"> </w:t>
      </w:r>
      <w:r w:rsidRPr="00B72BD7">
        <w:rPr>
          <w:rFonts w:ascii="Times New Roman" w:hAnsi="Times New Roman" w:cs="Times New Roman"/>
          <w:noProof/>
          <w:sz w:val="24"/>
          <w:lang w:val="en-GB"/>
        </w:rPr>
        <w:t>water q</w:t>
      </w:r>
      <w:r w:rsidR="0037634B" w:rsidRPr="00B72BD7">
        <w:rPr>
          <w:rFonts w:ascii="Times New Roman" w:hAnsi="Times New Roman" w:cs="Times New Roman"/>
          <w:noProof/>
          <w:sz w:val="24"/>
          <w:lang w:val="en-GB"/>
        </w:rPr>
        <w:t>uality of Xin’Anjiang river in Huangshan, C</w:t>
      </w:r>
      <w:r w:rsidRPr="00B72BD7">
        <w:rPr>
          <w:rFonts w:ascii="Times New Roman" w:hAnsi="Times New Roman" w:cs="Times New Roman"/>
          <w:noProof/>
          <w:sz w:val="24"/>
          <w:lang w:val="en-GB"/>
        </w:rPr>
        <w:t xml:space="preserve">hina. </w:t>
      </w:r>
      <w:r w:rsidRPr="00B72BD7">
        <w:rPr>
          <w:rFonts w:ascii="Times New Roman" w:hAnsi="Times New Roman" w:cs="Times New Roman"/>
          <w:i/>
          <w:iCs/>
          <w:noProof/>
          <w:sz w:val="24"/>
          <w:lang w:val="en-GB"/>
        </w:rPr>
        <w:t>International Journal of Environmental Research and Public Health</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17</w:t>
      </w:r>
      <w:r w:rsidRPr="00B72BD7">
        <w:rPr>
          <w:rFonts w:ascii="Times New Roman" w:hAnsi="Times New Roman" w:cs="Times New Roman"/>
          <w:noProof/>
          <w:sz w:val="24"/>
          <w:lang w:val="en-GB"/>
        </w:rPr>
        <w:t>(8), 1–14. https://doi.org/10.3390/ijerph17082942</w:t>
      </w:r>
    </w:p>
    <w:p w14:paraId="6553BDF2" w14:textId="04C9E9BA" w:rsidR="00F5573E"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Yang, X., Xie, X., Liu, D. L., Ji, </w:t>
      </w:r>
      <w:r w:rsidR="0037634B" w:rsidRPr="00B72BD7">
        <w:rPr>
          <w:rFonts w:ascii="Times New Roman" w:hAnsi="Times New Roman" w:cs="Times New Roman"/>
          <w:noProof/>
          <w:sz w:val="24"/>
          <w:lang w:val="en-GB"/>
        </w:rPr>
        <w:t>F., &amp; Wang, L. (2015). Spatial interpolation of daily rainfall data for local climate impact a</w:t>
      </w:r>
      <w:r w:rsidRPr="00B72BD7">
        <w:rPr>
          <w:rFonts w:ascii="Times New Roman" w:hAnsi="Times New Roman" w:cs="Times New Roman"/>
          <w:noProof/>
          <w:sz w:val="24"/>
          <w:lang w:val="en-GB"/>
        </w:rPr>
        <w:t xml:space="preserve">ssessment over Greater Sydney Region. </w:t>
      </w:r>
      <w:r w:rsidRPr="00B72BD7">
        <w:rPr>
          <w:rFonts w:ascii="Times New Roman" w:hAnsi="Times New Roman" w:cs="Times New Roman"/>
          <w:i/>
          <w:iCs/>
          <w:noProof/>
          <w:sz w:val="24"/>
          <w:lang w:val="en-GB"/>
        </w:rPr>
        <w:t>Advances in Meteorology</w:t>
      </w:r>
      <w:r w:rsidRPr="00B72BD7">
        <w:rPr>
          <w:rFonts w:ascii="Times New Roman" w:hAnsi="Times New Roman" w:cs="Times New Roman"/>
          <w:noProof/>
          <w:sz w:val="24"/>
          <w:lang w:val="en-GB"/>
        </w:rPr>
        <w:t xml:space="preserve">, </w:t>
      </w:r>
      <w:r w:rsidR="00F5573E" w:rsidRPr="00B72BD7">
        <w:rPr>
          <w:rFonts w:ascii="Times New Roman" w:hAnsi="Times New Roman" w:cs="Times New Roman"/>
          <w:i/>
          <w:noProof/>
          <w:sz w:val="24"/>
          <w:lang w:val="en-GB"/>
        </w:rPr>
        <w:t>2015,</w:t>
      </w:r>
      <w:r w:rsidR="00F5573E" w:rsidRPr="00B72BD7">
        <w:rPr>
          <w:rFonts w:ascii="Times New Roman" w:hAnsi="Times New Roman" w:cs="Times New Roman"/>
          <w:noProof/>
          <w:sz w:val="24"/>
          <w:lang w:val="en-GB"/>
        </w:rPr>
        <w:t xml:space="preserve"> 1-12. </w:t>
      </w:r>
      <w:r w:rsidRPr="00B72BD7">
        <w:rPr>
          <w:rFonts w:ascii="Times New Roman" w:hAnsi="Times New Roman" w:cs="Times New Roman"/>
          <w:noProof/>
          <w:sz w:val="24"/>
          <w:lang w:val="en-GB"/>
        </w:rPr>
        <w:t>https://doi.org/10.1155/2015/563629</w:t>
      </w:r>
    </w:p>
    <w:p w14:paraId="662052E5" w14:textId="77777777" w:rsidR="00263400" w:rsidRPr="00B72BD7"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lang w:val="en-GB"/>
        </w:rPr>
      </w:pPr>
      <w:r w:rsidRPr="00B72BD7">
        <w:rPr>
          <w:rFonts w:ascii="Times New Roman" w:hAnsi="Times New Roman" w:cs="Times New Roman"/>
          <w:noProof/>
          <w:sz w:val="24"/>
          <w:lang w:val="en-GB"/>
        </w:rPr>
        <w:t xml:space="preserve">Yu, X., Zhan, C., Wu, M., Niu, X., Zhang, X., Wang, Q., &amp; Cui, B. (2020). An improved method for mapping tidal waterways based on remotely sensed waterlines: A case study in the Yellow River Delta, China. </w:t>
      </w:r>
      <w:r w:rsidRPr="00B72BD7">
        <w:rPr>
          <w:rFonts w:ascii="Times New Roman" w:hAnsi="Times New Roman" w:cs="Times New Roman"/>
          <w:i/>
          <w:iCs/>
          <w:noProof/>
          <w:sz w:val="24"/>
          <w:lang w:val="en-GB"/>
        </w:rPr>
        <w:t>Marine Georesources and Geotechnology</w:t>
      </w:r>
      <w:r w:rsidRPr="00B72BD7">
        <w:rPr>
          <w:rFonts w:ascii="Times New Roman" w:hAnsi="Times New Roman" w:cs="Times New Roman"/>
          <w:noProof/>
          <w:sz w:val="24"/>
          <w:lang w:val="en-GB"/>
        </w:rPr>
        <w:t xml:space="preserve">, </w:t>
      </w:r>
      <w:r w:rsidRPr="00B72BD7">
        <w:rPr>
          <w:rFonts w:ascii="Times New Roman" w:hAnsi="Times New Roman" w:cs="Times New Roman"/>
          <w:i/>
          <w:iCs/>
          <w:noProof/>
          <w:sz w:val="24"/>
          <w:lang w:val="en-GB"/>
        </w:rPr>
        <w:t>38</w:t>
      </w:r>
      <w:r w:rsidRPr="00B72BD7">
        <w:rPr>
          <w:rFonts w:ascii="Times New Roman" w:hAnsi="Times New Roman" w:cs="Times New Roman"/>
          <w:noProof/>
          <w:sz w:val="24"/>
          <w:lang w:val="en-GB"/>
        </w:rPr>
        <w:t>(8), 887–895. https://doi.org/10.1080/1064119X.2019.1640321</w:t>
      </w:r>
    </w:p>
    <w:p w14:paraId="01191926" w14:textId="0F12B089" w:rsidR="00263400" w:rsidRPr="0092758B" w:rsidRDefault="00263400" w:rsidP="00B42EB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rPr>
      </w:pPr>
      <w:r w:rsidRPr="00B72BD7">
        <w:rPr>
          <w:rFonts w:ascii="Times New Roman" w:hAnsi="Times New Roman" w:cs="Times New Roman"/>
          <w:noProof/>
          <w:sz w:val="24"/>
          <w:lang w:val="en-GB"/>
        </w:rPr>
        <w:t xml:space="preserve">Zhang, J., Lin, Y., Zhu, L., Yu, S., Kundu, S. K., &amp; Jin, Q. (2015). Effects of 1-methylcyclopropene on function of flag leaf and development of superior and inferior spikelets in rice cultivars differing in panicle types. </w:t>
      </w:r>
      <w:r w:rsidRPr="00B72BD7">
        <w:rPr>
          <w:rFonts w:ascii="Times New Roman" w:hAnsi="Times New Roman" w:cs="Times New Roman"/>
          <w:i/>
          <w:iCs/>
          <w:noProof/>
          <w:sz w:val="24"/>
          <w:lang w:val="en-GB"/>
        </w:rPr>
        <w:t>Field Crops Research</w:t>
      </w:r>
      <w:r w:rsidR="0037634B" w:rsidRPr="00B72BD7">
        <w:rPr>
          <w:rFonts w:ascii="Times New Roman" w:hAnsi="Times New Roman" w:cs="Times New Roman"/>
          <w:noProof/>
          <w:sz w:val="24"/>
          <w:lang w:val="en-GB"/>
        </w:rPr>
        <w:t>,</w:t>
      </w:r>
      <w:r w:rsidR="00283BC7" w:rsidRPr="00B72BD7">
        <w:rPr>
          <w:rFonts w:ascii="Times New Roman" w:hAnsi="Times New Roman" w:cs="Times New Roman"/>
          <w:noProof/>
          <w:sz w:val="24"/>
          <w:lang w:val="en-GB"/>
        </w:rPr>
        <w:t xml:space="preserve"> </w:t>
      </w:r>
      <w:r w:rsidR="00B72BD7" w:rsidRPr="00B72BD7">
        <w:rPr>
          <w:rFonts w:ascii="Times New Roman" w:hAnsi="Times New Roman" w:cs="Times New Roman"/>
          <w:i/>
          <w:noProof/>
          <w:sz w:val="24"/>
          <w:lang w:val="en-GB"/>
        </w:rPr>
        <w:t>177</w:t>
      </w:r>
      <w:r w:rsidR="00283BC7" w:rsidRPr="00B72BD7">
        <w:rPr>
          <w:rFonts w:ascii="Times New Roman" w:hAnsi="Times New Roman" w:cs="Times New Roman"/>
          <w:noProof/>
          <w:sz w:val="24"/>
          <w:lang w:val="en-GB"/>
        </w:rPr>
        <w:t>(2015), 64-74.</w:t>
      </w:r>
      <w:r w:rsidR="0037634B">
        <w:rPr>
          <w:rFonts w:ascii="Times New Roman" w:hAnsi="Times New Roman" w:cs="Times New Roman"/>
          <w:noProof/>
          <w:sz w:val="24"/>
          <w:lang w:val="en-GB"/>
        </w:rPr>
        <w:t xml:space="preserve"> </w:t>
      </w:r>
      <w:r w:rsidRPr="0092758B">
        <w:rPr>
          <w:rFonts w:ascii="Times New Roman" w:hAnsi="Times New Roman" w:cs="Times New Roman"/>
          <w:noProof/>
          <w:sz w:val="24"/>
          <w:lang w:val="en-GB"/>
        </w:rPr>
        <w:t>https://doi.org/10.1016/j.fcr.2015.03.003</w:t>
      </w:r>
    </w:p>
    <w:p w14:paraId="13A9ADF9" w14:textId="5BCCA386" w:rsidR="00AE4AD3" w:rsidRDefault="00AE4AD3" w:rsidP="00B42EB3">
      <w:pPr>
        <w:widowControl w:val="0"/>
        <w:autoSpaceDE w:val="0"/>
        <w:autoSpaceDN w:val="0"/>
        <w:adjustRightInd w:val="0"/>
        <w:spacing w:after="0" w:line="240" w:lineRule="auto"/>
        <w:ind w:leftChars="0" w:left="720" w:firstLineChars="0" w:hanging="720"/>
        <w:jc w:val="both"/>
        <w:rPr>
          <w:rFonts w:ascii="Times New Roman" w:eastAsia="Times New Roman" w:hAnsi="Times New Roman" w:cs="Times New Roman"/>
          <w:sz w:val="24"/>
          <w:szCs w:val="24"/>
        </w:rPr>
      </w:pPr>
      <w:r w:rsidRPr="0092758B">
        <w:rPr>
          <w:rFonts w:ascii="Times New Roman" w:eastAsia="Times New Roman" w:hAnsi="Times New Roman" w:cs="Times New Roman"/>
          <w:sz w:val="24"/>
          <w:szCs w:val="24"/>
        </w:rPr>
        <w:fldChar w:fldCharType="end"/>
      </w:r>
    </w:p>
    <w:p w14:paraId="54AA2B83" w14:textId="17C945A7" w:rsidR="00135C76" w:rsidRDefault="00135C76" w:rsidP="00135C76">
      <w:pPr>
        <w:ind w:left="0" w:hanging="2"/>
        <w:rPr>
          <w:rFonts w:ascii="Times New Roman" w:eastAsia="Times New Roman" w:hAnsi="Times New Roman" w:cs="Times New Roman"/>
          <w:sz w:val="24"/>
          <w:szCs w:val="24"/>
        </w:rPr>
      </w:pPr>
    </w:p>
    <w:p w14:paraId="1F81CE98" w14:textId="7FF964E4" w:rsidR="00135C76" w:rsidRPr="00135C76" w:rsidRDefault="00135C76" w:rsidP="00135C76">
      <w:pPr>
        <w:tabs>
          <w:tab w:val="left" w:pos="729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sectPr w:rsidR="00135C76" w:rsidRPr="00135C76" w:rsidSect="00E17895">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24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25646" w14:textId="77777777" w:rsidR="00E50E78" w:rsidRDefault="00E50E78">
      <w:pPr>
        <w:spacing w:after="0" w:line="240" w:lineRule="auto"/>
        <w:ind w:left="0" w:hanging="2"/>
      </w:pPr>
      <w:r>
        <w:separator/>
      </w:r>
    </w:p>
  </w:endnote>
  <w:endnote w:type="continuationSeparator" w:id="0">
    <w:p w14:paraId="4911E324" w14:textId="77777777" w:rsidR="00E50E78" w:rsidRDefault="00E50E7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ED808" w14:textId="77777777" w:rsidR="00882FD8" w:rsidRDefault="00882FD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C2009" w14:textId="49A62CF5" w:rsidR="00882FD8" w:rsidRDefault="00882FD8">
    <w:pPr>
      <w:pStyle w:val="Footer"/>
      <w:ind w:left="0" w:hanging="2"/>
      <w:jc w:val="right"/>
    </w:pPr>
  </w:p>
  <w:p w14:paraId="6059EFEC" w14:textId="77777777" w:rsidR="00882FD8" w:rsidRDefault="00882FD8">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129B1" w14:textId="77777777" w:rsidR="00882FD8" w:rsidRDefault="00882FD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57D8F" w14:textId="77777777" w:rsidR="00E50E78" w:rsidRDefault="00E50E78">
      <w:pPr>
        <w:spacing w:after="0" w:line="240" w:lineRule="auto"/>
        <w:ind w:left="0" w:hanging="2"/>
      </w:pPr>
      <w:r>
        <w:separator/>
      </w:r>
    </w:p>
  </w:footnote>
  <w:footnote w:type="continuationSeparator" w:id="0">
    <w:p w14:paraId="7E760E5A" w14:textId="77777777" w:rsidR="00E50E78" w:rsidRDefault="00E50E7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2A1B3" w14:textId="77777777" w:rsidR="00882FD8" w:rsidRDefault="00882FD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2B86E" w14:textId="65C0835A" w:rsidR="00E17895" w:rsidRPr="00E17895" w:rsidRDefault="00E17895" w:rsidP="00E17895">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E17895">
      <w:rPr>
        <w:rFonts w:ascii="Times New Roman" w:eastAsia="Times New Roman" w:hAnsi="Times New Roman" w:cs="Times New Roman"/>
        <w:sz w:val="18"/>
        <w:szCs w:val="18"/>
      </w:rPr>
      <w:t xml:space="preserve">GEOGRAFIA </w:t>
    </w:r>
    <w:proofErr w:type="spellStart"/>
    <w:r w:rsidRPr="00E17895">
      <w:rPr>
        <w:rFonts w:ascii="Times New Roman" w:eastAsia="Times New Roman" w:hAnsi="Times New Roman" w:cs="Times New Roman"/>
        <w:sz w:val="18"/>
        <w:szCs w:val="18"/>
      </w:rPr>
      <w:t>Online</w:t>
    </w:r>
    <w:r w:rsidRPr="00E17895">
      <w:rPr>
        <w:rFonts w:ascii="Times New Roman" w:eastAsia="Times New Roman" w:hAnsi="Times New Roman" w:cs="Times New Roman"/>
        <w:sz w:val="18"/>
        <w:szCs w:val="18"/>
        <w:vertAlign w:val="superscript"/>
      </w:rPr>
      <w:t>TM</w:t>
    </w:r>
    <w:proofErr w:type="spellEnd"/>
    <w:r w:rsidRPr="00E17895">
      <w:rPr>
        <w:rFonts w:ascii="Times New Roman" w:eastAsia="Times New Roman" w:hAnsi="Times New Roman" w:cs="Times New Roman"/>
        <w:sz w:val="18"/>
        <w:szCs w:val="18"/>
      </w:rPr>
      <w:t xml:space="preserve"> Malaysian Journal of Society and Space</w:t>
    </w:r>
    <w:r w:rsidRPr="00E17895">
      <w:rPr>
        <w:rFonts w:ascii="Times New Roman" w:eastAsia="Times New Roman" w:hAnsi="Times New Roman" w:cs="Times New Roman"/>
        <w:b/>
        <w:sz w:val="18"/>
        <w:szCs w:val="18"/>
      </w:rPr>
      <w:t xml:space="preserve"> </w:t>
    </w:r>
    <w:r w:rsidRPr="00E17895">
      <w:rPr>
        <w:rFonts w:ascii="Times New Roman" w:eastAsia="Times New Roman" w:hAnsi="Times New Roman" w:cs="Times New Roman"/>
        <w:sz w:val="18"/>
        <w:szCs w:val="18"/>
      </w:rPr>
      <w:t>17 issue</w:t>
    </w:r>
    <w:r w:rsidRPr="00E17895">
      <w:rPr>
        <w:rFonts w:ascii="Times New Roman" w:eastAsia="Times New Roman" w:hAnsi="Times New Roman" w:cs="Times New Roman"/>
        <w:b/>
        <w:sz w:val="18"/>
        <w:szCs w:val="18"/>
      </w:rPr>
      <w:t xml:space="preserve"> </w:t>
    </w:r>
    <w:r w:rsidRPr="00E17895">
      <w:rPr>
        <w:rFonts w:ascii="Times New Roman" w:eastAsia="Times New Roman" w:hAnsi="Times New Roman" w:cs="Times New Roman"/>
        <w:sz w:val="18"/>
        <w:szCs w:val="18"/>
      </w:rPr>
      <w:t>4</w:t>
    </w:r>
    <w:r w:rsidRPr="00E17895">
      <w:rPr>
        <w:rFonts w:ascii="Times New Roman" w:eastAsia="Times New Roman" w:hAnsi="Times New Roman" w:cs="Times New Roman"/>
        <w:b/>
        <w:sz w:val="18"/>
        <w:szCs w:val="18"/>
      </w:rPr>
      <w:t xml:space="preserve"> </w:t>
    </w:r>
    <w:r w:rsidRPr="00E17895">
      <w:rPr>
        <w:rFonts w:ascii="Times New Roman" w:eastAsia="Times New Roman" w:hAnsi="Times New Roman" w:cs="Times New Roman"/>
        <w:sz w:val="18"/>
        <w:szCs w:val="18"/>
      </w:rPr>
      <w:t>(</w:t>
    </w:r>
    <w:r w:rsidR="00B73875">
      <w:rPr>
        <w:rFonts w:ascii="Times New Roman" w:eastAsia="Times New Roman" w:hAnsi="Times New Roman" w:cs="Times New Roman"/>
        <w:sz w:val="18"/>
        <w:szCs w:val="18"/>
      </w:rPr>
      <w:t>240-255</w:t>
    </w:r>
    <w:r w:rsidRPr="00E17895">
      <w:rPr>
        <w:rFonts w:ascii="Times New Roman" w:eastAsia="Times New Roman" w:hAnsi="Times New Roman" w:cs="Times New Roman"/>
        <w:sz w:val="18"/>
        <w:szCs w:val="18"/>
      </w:rPr>
      <w:t>)</w:t>
    </w:r>
    <w:r w:rsidRPr="00E17895">
      <w:rPr>
        <w:rFonts w:ascii="Times New Roman" w:eastAsia="Times New Roman" w:hAnsi="Times New Roman" w:cs="Times New Roman"/>
        <w:sz w:val="18"/>
        <w:szCs w:val="18"/>
      </w:rPr>
      <w:tab/>
    </w:r>
  </w:p>
  <w:p w14:paraId="2497EF70" w14:textId="29516A05" w:rsidR="00E17895" w:rsidRPr="00E17895" w:rsidRDefault="00E17895" w:rsidP="00E17895">
    <w:pPr>
      <w:pStyle w:val="Header"/>
      <w:ind w:left="0" w:hanging="2"/>
      <w:rPr>
        <w:rFonts w:ascii="Times New Roman" w:hAnsi="Times New Roman" w:cs="Times New Roman"/>
        <w:sz w:val="18"/>
        <w:szCs w:val="18"/>
      </w:rPr>
    </w:pPr>
    <w:r w:rsidRPr="00E17895">
      <w:rPr>
        <w:rFonts w:ascii="Times New Roman" w:eastAsia="Times New Roman" w:hAnsi="Times New Roman" w:cs="Times New Roman"/>
        <w:sz w:val="18"/>
        <w:szCs w:val="18"/>
      </w:rPr>
      <w:t xml:space="preserve">© 2021, e-ISSN 2682-7727  </w:t>
    </w:r>
    <w:bookmarkStart w:id="2" w:name="_GoBack"/>
    <w:r w:rsidR="00B73875" w:rsidRPr="00B73875">
      <w:rPr>
        <w:rFonts w:ascii="Times New Roman" w:hAnsi="Times New Roman" w:cs="Times New Roman"/>
        <w:sz w:val="18"/>
        <w:szCs w:val="18"/>
        <w:lang w:eastAsia="en-MY"/>
      </w:rPr>
      <w:fldChar w:fldCharType="begin"/>
    </w:r>
    <w:r w:rsidR="00B73875" w:rsidRPr="00B73875">
      <w:rPr>
        <w:rFonts w:ascii="Times New Roman" w:hAnsi="Times New Roman" w:cs="Times New Roman"/>
        <w:sz w:val="18"/>
        <w:szCs w:val="18"/>
        <w:lang w:eastAsia="en-MY"/>
      </w:rPr>
      <w:instrText xml:space="preserve"> HYPERLINK "https://doi.org/10.17576/geo-2021-1704-17" </w:instrText>
    </w:r>
    <w:r w:rsidR="00B73875" w:rsidRPr="00B73875">
      <w:rPr>
        <w:rFonts w:ascii="Times New Roman" w:hAnsi="Times New Roman" w:cs="Times New Roman"/>
        <w:sz w:val="18"/>
        <w:szCs w:val="18"/>
        <w:lang w:eastAsia="en-MY"/>
      </w:rPr>
    </w:r>
    <w:r w:rsidR="00B73875" w:rsidRPr="00B73875">
      <w:rPr>
        <w:rFonts w:ascii="Times New Roman" w:hAnsi="Times New Roman" w:cs="Times New Roman"/>
        <w:sz w:val="18"/>
        <w:szCs w:val="18"/>
        <w:lang w:eastAsia="en-MY"/>
      </w:rPr>
      <w:fldChar w:fldCharType="separate"/>
    </w:r>
    <w:r w:rsidRPr="00B73875">
      <w:rPr>
        <w:rStyle w:val="Hyperlink"/>
        <w:rFonts w:ascii="Times New Roman" w:hAnsi="Times New Roman" w:cs="Times New Roman"/>
        <w:color w:val="auto"/>
        <w:sz w:val="18"/>
        <w:szCs w:val="18"/>
        <w:u w:val="none"/>
        <w:lang w:eastAsia="en-MY"/>
      </w:rPr>
      <w:t>https://doi.org/10.17576/geo-2021-1704-1</w:t>
    </w:r>
    <w:r w:rsidRPr="00B73875">
      <w:rPr>
        <w:rStyle w:val="Hyperlink"/>
        <w:rFonts w:ascii="Times New Roman" w:hAnsi="Times New Roman" w:cs="Times New Roman"/>
        <w:color w:val="auto"/>
        <w:sz w:val="18"/>
        <w:szCs w:val="18"/>
        <w:u w:val="none"/>
        <w:lang w:eastAsia="en-MY"/>
      </w:rPr>
      <w:t>7</w:t>
    </w:r>
    <w:r w:rsidR="00B73875" w:rsidRPr="00B73875">
      <w:rPr>
        <w:rFonts w:ascii="Times New Roman" w:hAnsi="Times New Roman" w:cs="Times New Roman"/>
        <w:sz w:val="18"/>
        <w:szCs w:val="18"/>
        <w:lang w:eastAsia="en-MY"/>
      </w:rPr>
      <w:fldChar w:fldCharType="end"/>
    </w:r>
    <w:bookmarkEnd w:id="2"/>
    <w:sdt>
      <w:sdtPr>
        <w:rPr>
          <w:rFonts w:ascii="Times New Roman" w:hAnsi="Times New Roman" w:cs="Times New Roman"/>
          <w:sz w:val="18"/>
          <w:szCs w:val="18"/>
        </w:rPr>
        <w:id w:val="-1667857529"/>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E17895">
          <w:rPr>
            <w:rFonts w:ascii="Times New Roman" w:hAnsi="Times New Roman" w:cs="Times New Roman"/>
            <w:sz w:val="18"/>
            <w:szCs w:val="18"/>
          </w:rPr>
          <w:fldChar w:fldCharType="begin"/>
        </w:r>
        <w:r w:rsidRPr="00E17895">
          <w:rPr>
            <w:rFonts w:ascii="Times New Roman" w:hAnsi="Times New Roman" w:cs="Times New Roman"/>
            <w:sz w:val="18"/>
            <w:szCs w:val="18"/>
          </w:rPr>
          <w:instrText xml:space="preserve"> PAGE   \* MERGEFORMAT </w:instrText>
        </w:r>
        <w:r w:rsidRPr="00E17895">
          <w:rPr>
            <w:rFonts w:ascii="Times New Roman" w:hAnsi="Times New Roman" w:cs="Times New Roman"/>
            <w:sz w:val="18"/>
            <w:szCs w:val="18"/>
          </w:rPr>
          <w:fldChar w:fldCharType="separate"/>
        </w:r>
        <w:r w:rsidR="00B73875">
          <w:rPr>
            <w:rFonts w:ascii="Times New Roman" w:hAnsi="Times New Roman" w:cs="Times New Roman"/>
            <w:noProof/>
            <w:sz w:val="18"/>
            <w:szCs w:val="18"/>
          </w:rPr>
          <w:t>255</w:t>
        </w:r>
        <w:r w:rsidRPr="00E17895">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BA4D" w14:textId="77777777" w:rsidR="00882FD8" w:rsidRDefault="00882FD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3F5A13"/>
    <w:multiLevelType w:val="hybridMultilevel"/>
    <w:tmpl w:val="0952EFA0"/>
    <w:lvl w:ilvl="0" w:tplc="7428BE74">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M0MDUzNbW0MDM3MjRR0lEKTi0uzszPAykwqwUAC20coCwAAAA="/>
  </w:docVars>
  <w:rsids>
    <w:rsidRoot w:val="00A3720B"/>
    <w:rsid w:val="00012FCE"/>
    <w:rsid w:val="0004199C"/>
    <w:rsid w:val="000670F8"/>
    <w:rsid w:val="000716F3"/>
    <w:rsid w:val="00080EA5"/>
    <w:rsid w:val="000A154B"/>
    <w:rsid w:val="000C0F83"/>
    <w:rsid w:val="00105159"/>
    <w:rsid w:val="001245F9"/>
    <w:rsid w:val="00135C76"/>
    <w:rsid w:val="001550A5"/>
    <w:rsid w:val="001558DB"/>
    <w:rsid w:val="00173E58"/>
    <w:rsid w:val="0018179C"/>
    <w:rsid w:val="001A0F4F"/>
    <w:rsid w:val="001B50BA"/>
    <w:rsid w:val="001E0DFC"/>
    <w:rsid w:val="001E5F90"/>
    <w:rsid w:val="001E5F9B"/>
    <w:rsid w:val="001E62FC"/>
    <w:rsid w:val="0022210D"/>
    <w:rsid w:val="00247355"/>
    <w:rsid w:val="00252EC3"/>
    <w:rsid w:val="00256A99"/>
    <w:rsid w:val="00262142"/>
    <w:rsid w:val="00263400"/>
    <w:rsid w:val="00266DEA"/>
    <w:rsid w:val="00272AB2"/>
    <w:rsid w:val="0027795F"/>
    <w:rsid w:val="00280228"/>
    <w:rsid w:val="00283BC7"/>
    <w:rsid w:val="00292F16"/>
    <w:rsid w:val="00295D2D"/>
    <w:rsid w:val="002B49EA"/>
    <w:rsid w:val="002E3BBD"/>
    <w:rsid w:val="002F4AE2"/>
    <w:rsid w:val="002F6221"/>
    <w:rsid w:val="00304CBB"/>
    <w:rsid w:val="003223CB"/>
    <w:rsid w:val="00342537"/>
    <w:rsid w:val="0037634B"/>
    <w:rsid w:val="00377C23"/>
    <w:rsid w:val="003C220A"/>
    <w:rsid w:val="003C5DDB"/>
    <w:rsid w:val="003D791D"/>
    <w:rsid w:val="003F3619"/>
    <w:rsid w:val="004157A6"/>
    <w:rsid w:val="00442D9B"/>
    <w:rsid w:val="00451EB7"/>
    <w:rsid w:val="004630D6"/>
    <w:rsid w:val="00464FC7"/>
    <w:rsid w:val="004767C0"/>
    <w:rsid w:val="00493341"/>
    <w:rsid w:val="004D1406"/>
    <w:rsid w:val="004D71BC"/>
    <w:rsid w:val="004E52E3"/>
    <w:rsid w:val="004F295D"/>
    <w:rsid w:val="004F589B"/>
    <w:rsid w:val="004F6B40"/>
    <w:rsid w:val="00505A09"/>
    <w:rsid w:val="005133ED"/>
    <w:rsid w:val="005540A0"/>
    <w:rsid w:val="00590DFD"/>
    <w:rsid w:val="005D0321"/>
    <w:rsid w:val="005D2EFE"/>
    <w:rsid w:val="005E23F1"/>
    <w:rsid w:val="005F2116"/>
    <w:rsid w:val="0060699E"/>
    <w:rsid w:val="00606E88"/>
    <w:rsid w:val="00627408"/>
    <w:rsid w:val="00631883"/>
    <w:rsid w:val="0065142C"/>
    <w:rsid w:val="00656B82"/>
    <w:rsid w:val="0068103E"/>
    <w:rsid w:val="006833EA"/>
    <w:rsid w:val="006A51E2"/>
    <w:rsid w:val="006C31B2"/>
    <w:rsid w:val="006C45B3"/>
    <w:rsid w:val="006E70C0"/>
    <w:rsid w:val="006F5C19"/>
    <w:rsid w:val="0071126D"/>
    <w:rsid w:val="00727D39"/>
    <w:rsid w:val="00787D8D"/>
    <w:rsid w:val="007F0D85"/>
    <w:rsid w:val="007F3084"/>
    <w:rsid w:val="00836DBB"/>
    <w:rsid w:val="00841247"/>
    <w:rsid w:val="00847797"/>
    <w:rsid w:val="00855F53"/>
    <w:rsid w:val="0087245E"/>
    <w:rsid w:val="00875488"/>
    <w:rsid w:val="00882FD8"/>
    <w:rsid w:val="008A2AE5"/>
    <w:rsid w:val="008A364D"/>
    <w:rsid w:val="008B2CED"/>
    <w:rsid w:val="008B45D9"/>
    <w:rsid w:val="008C3184"/>
    <w:rsid w:val="008C48D6"/>
    <w:rsid w:val="008C737F"/>
    <w:rsid w:val="008D1CB0"/>
    <w:rsid w:val="008D2292"/>
    <w:rsid w:val="008F550D"/>
    <w:rsid w:val="00901748"/>
    <w:rsid w:val="00912E65"/>
    <w:rsid w:val="00914B19"/>
    <w:rsid w:val="00915CAA"/>
    <w:rsid w:val="00924838"/>
    <w:rsid w:val="0092758B"/>
    <w:rsid w:val="00934722"/>
    <w:rsid w:val="009366E8"/>
    <w:rsid w:val="009544E0"/>
    <w:rsid w:val="00961169"/>
    <w:rsid w:val="009848AE"/>
    <w:rsid w:val="0099244D"/>
    <w:rsid w:val="009A4C21"/>
    <w:rsid w:val="009B4C49"/>
    <w:rsid w:val="009E1CB2"/>
    <w:rsid w:val="009E5758"/>
    <w:rsid w:val="00A04EC7"/>
    <w:rsid w:val="00A231D3"/>
    <w:rsid w:val="00A3720B"/>
    <w:rsid w:val="00A70023"/>
    <w:rsid w:val="00A76903"/>
    <w:rsid w:val="00A867A4"/>
    <w:rsid w:val="00A91CFD"/>
    <w:rsid w:val="00A92A5D"/>
    <w:rsid w:val="00AA2418"/>
    <w:rsid w:val="00AC5E7B"/>
    <w:rsid w:val="00AE4AD3"/>
    <w:rsid w:val="00AF1917"/>
    <w:rsid w:val="00B022A8"/>
    <w:rsid w:val="00B03919"/>
    <w:rsid w:val="00B14234"/>
    <w:rsid w:val="00B1439B"/>
    <w:rsid w:val="00B1524D"/>
    <w:rsid w:val="00B42EB3"/>
    <w:rsid w:val="00B437DB"/>
    <w:rsid w:val="00B45019"/>
    <w:rsid w:val="00B5651B"/>
    <w:rsid w:val="00B61574"/>
    <w:rsid w:val="00B72BD7"/>
    <w:rsid w:val="00B73875"/>
    <w:rsid w:val="00B757B2"/>
    <w:rsid w:val="00B870CA"/>
    <w:rsid w:val="00B9614F"/>
    <w:rsid w:val="00B96AC0"/>
    <w:rsid w:val="00BB1C78"/>
    <w:rsid w:val="00BC1414"/>
    <w:rsid w:val="00BC32BB"/>
    <w:rsid w:val="00BC558E"/>
    <w:rsid w:val="00C378F7"/>
    <w:rsid w:val="00C561EA"/>
    <w:rsid w:val="00C606C1"/>
    <w:rsid w:val="00C75B9F"/>
    <w:rsid w:val="00CA2D56"/>
    <w:rsid w:val="00CC4171"/>
    <w:rsid w:val="00CE2C87"/>
    <w:rsid w:val="00CF7404"/>
    <w:rsid w:val="00D26045"/>
    <w:rsid w:val="00D378D8"/>
    <w:rsid w:val="00D462E1"/>
    <w:rsid w:val="00D66C18"/>
    <w:rsid w:val="00D71594"/>
    <w:rsid w:val="00DC5FDF"/>
    <w:rsid w:val="00DC6F6E"/>
    <w:rsid w:val="00DF3872"/>
    <w:rsid w:val="00E03A8D"/>
    <w:rsid w:val="00E17895"/>
    <w:rsid w:val="00E2175B"/>
    <w:rsid w:val="00E229F5"/>
    <w:rsid w:val="00E26C40"/>
    <w:rsid w:val="00E4228C"/>
    <w:rsid w:val="00E43CD5"/>
    <w:rsid w:val="00E50E78"/>
    <w:rsid w:val="00E517A9"/>
    <w:rsid w:val="00E66BFF"/>
    <w:rsid w:val="00E7658E"/>
    <w:rsid w:val="00EA1212"/>
    <w:rsid w:val="00EA2BE3"/>
    <w:rsid w:val="00ED40A5"/>
    <w:rsid w:val="00EE5EC1"/>
    <w:rsid w:val="00EE6E8B"/>
    <w:rsid w:val="00F10A5C"/>
    <w:rsid w:val="00F12D01"/>
    <w:rsid w:val="00F5573E"/>
    <w:rsid w:val="00F7609F"/>
    <w:rsid w:val="00F84AFF"/>
    <w:rsid w:val="00F84C57"/>
    <w:rsid w:val="00F9442C"/>
    <w:rsid w:val="00FA1EB5"/>
    <w:rsid w:val="00FC2D0A"/>
    <w:rsid w:val="00FD0F0D"/>
    <w:rsid w:val="00FD17FB"/>
    <w:rsid w:val="00FD3281"/>
    <w:rsid w:val="00FE2E1E"/>
    <w:rsid w:val="00FE6F2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86E2F"/>
  <w15:docId w15:val="{82ECCC16-4A36-7043-9DA3-0C5FB762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E4228C"/>
    <w:pPr>
      <w:spacing w:after="0" w:line="240" w:lineRule="auto"/>
    </w:pPr>
    <w:rPr>
      <w:position w:val="-1"/>
      <w:lang w:eastAsia="en-US"/>
    </w:rPr>
  </w:style>
  <w:style w:type="character" w:styleId="LineNumber">
    <w:name w:val="line number"/>
    <w:basedOn w:val="DefaultParagraphFont"/>
    <w:uiPriority w:val="99"/>
    <w:semiHidden/>
    <w:unhideWhenUsed/>
    <w:rsid w:val="00E42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097110">
      <w:bodyDiv w:val="1"/>
      <w:marLeft w:val="0"/>
      <w:marRight w:val="0"/>
      <w:marTop w:val="0"/>
      <w:marBottom w:val="0"/>
      <w:divBdr>
        <w:top w:val="none" w:sz="0" w:space="0" w:color="auto"/>
        <w:left w:val="none" w:sz="0" w:space="0" w:color="auto"/>
        <w:bottom w:val="none" w:sz="0" w:space="0" w:color="auto"/>
        <w:right w:val="none" w:sz="0" w:space="0" w:color="auto"/>
      </w:divBdr>
    </w:div>
    <w:div w:id="517739952">
      <w:bodyDiv w:val="1"/>
      <w:marLeft w:val="0"/>
      <w:marRight w:val="0"/>
      <w:marTop w:val="0"/>
      <w:marBottom w:val="0"/>
      <w:divBdr>
        <w:top w:val="none" w:sz="0" w:space="0" w:color="auto"/>
        <w:left w:val="none" w:sz="0" w:space="0" w:color="auto"/>
        <w:bottom w:val="none" w:sz="0" w:space="0" w:color="auto"/>
        <w:right w:val="none" w:sz="0" w:space="0" w:color="auto"/>
      </w:divBdr>
      <w:divsChild>
        <w:div w:id="331836514">
          <w:marLeft w:val="0"/>
          <w:marRight w:val="0"/>
          <w:marTop w:val="0"/>
          <w:marBottom w:val="0"/>
          <w:divBdr>
            <w:top w:val="none" w:sz="0" w:space="0" w:color="auto"/>
            <w:left w:val="none" w:sz="0" w:space="0" w:color="auto"/>
            <w:bottom w:val="none" w:sz="0" w:space="0" w:color="auto"/>
            <w:right w:val="none" w:sz="0" w:space="0" w:color="auto"/>
          </w:divBdr>
          <w:divsChild>
            <w:div w:id="599292016">
              <w:marLeft w:val="0"/>
              <w:marRight w:val="0"/>
              <w:marTop w:val="0"/>
              <w:marBottom w:val="0"/>
              <w:divBdr>
                <w:top w:val="none" w:sz="0" w:space="0" w:color="auto"/>
                <w:left w:val="none" w:sz="0" w:space="0" w:color="auto"/>
                <w:bottom w:val="none" w:sz="0" w:space="0" w:color="auto"/>
                <w:right w:val="none" w:sz="0" w:space="0" w:color="auto"/>
              </w:divBdr>
              <w:divsChild>
                <w:div w:id="46566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743">
      <w:bodyDiv w:val="1"/>
      <w:marLeft w:val="0"/>
      <w:marRight w:val="0"/>
      <w:marTop w:val="0"/>
      <w:marBottom w:val="0"/>
      <w:divBdr>
        <w:top w:val="none" w:sz="0" w:space="0" w:color="auto"/>
        <w:left w:val="none" w:sz="0" w:space="0" w:color="auto"/>
        <w:bottom w:val="none" w:sz="0" w:space="0" w:color="auto"/>
        <w:right w:val="none" w:sz="0" w:space="0" w:color="auto"/>
      </w:divBdr>
      <w:divsChild>
        <w:div w:id="353266243">
          <w:marLeft w:val="0"/>
          <w:marRight w:val="0"/>
          <w:marTop w:val="0"/>
          <w:marBottom w:val="0"/>
          <w:divBdr>
            <w:top w:val="none" w:sz="0" w:space="0" w:color="auto"/>
            <w:left w:val="none" w:sz="0" w:space="0" w:color="auto"/>
            <w:bottom w:val="none" w:sz="0" w:space="0" w:color="auto"/>
            <w:right w:val="none" w:sz="0" w:space="0" w:color="auto"/>
          </w:divBdr>
          <w:divsChild>
            <w:div w:id="20324024">
              <w:marLeft w:val="0"/>
              <w:marRight w:val="0"/>
              <w:marTop w:val="0"/>
              <w:marBottom w:val="0"/>
              <w:divBdr>
                <w:top w:val="none" w:sz="0" w:space="0" w:color="auto"/>
                <w:left w:val="none" w:sz="0" w:space="0" w:color="auto"/>
                <w:bottom w:val="none" w:sz="0" w:space="0" w:color="auto"/>
                <w:right w:val="none" w:sz="0" w:space="0" w:color="auto"/>
              </w:divBdr>
              <w:divsChild>
                <w:div w:id="20594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5505">
      <w:bodyDiv w:val="1"/>
      <w:marLeft w:val="0"/>
      <w:marRight w:val="0"/>
      <w:marTop w:val="0"/>
      <w:marBottom w:val="0"/>
      <w:divBdr>
        <w:top w:val="none" w:sz="0" w:space="0" w:color="auto"/>
        <w:left w:val="none" w:sz="0" w:space="0" w:color="auto"/>
        <w:bottom w:val="none" w:sz="0" w:space="0" w:color="auto"/>
        <w:right w:val="none" w:sz="0" w:space="0" w:color="auto"/>
      </w:divBdr>
      <w:divsChild>
        <w:div w:id="2117285643">
          <w:marLeft w:val="0"/>
          <w:marRight w:val="0"/>
          <w:marTop w:val="0"/>
          <w:marBottom w:val="0"/>
          <w:divBdr>
            <w:top w:val="none" w:sz="0" w:space="0" w:color="auto"/>
            <w:left w:val="none" w:sz="0" w:space="0" w:color="auto"/>
            <w:bottom w:val="none" w:sz="0" w:space="0" w:color="auto"/>
            <w:right w:val="none" w:sz="0" w:space="0" w:color="auto"/>
          </w:divBdr>
          <w:divsChild>
            <w:div w:id="724185702">
              <w:marLeft w:val="0"/>
              <w:marRight w:val="0"/>
              <w:marTop w:val="0"/>
              <w:marBottom w:val="0"/>
              <w:divBdr>
                <w:top w:val="none" w:sz="0" w:space="0" w:color="auto"/>
                <w:left w:val="none" w:sz="0" w:space="0" w:color="auto"/>
                <w:bottom w:val="none" w:sz="0" w:space="0" w:color="auto"/>
                <w:right w:val="none" w:sz="0" w:space="0" w:color="auto"/>
              </w:divBdr>
              <w:divsChild>
                <w:div w:id="18257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0597">
      <w:bodyDiv w:val="1"/>
      <w:marLeft w:val="0"/>
      <w:marRight w:val="0"/>
      <w:marTop w:val="0"/>
      <w:marBottom w:val="0"/>
      <w:divBdr>
        <w:top w:val="none" w:sz="0" w:space="0" w:color="auto"/>
        <w:left w:val="none" w:sz="0" w:space="0" w:color="auto"/>
        <w:bottom w:val="none" w:sz="0" w:space="0" w:color="auto"/>
        <w:right w:val="none" w:sz="0" w:space="0" w:color="auto"/>
      </w:divBdr>
      <w:divsChild>
        <w:div w:id="1402094381">
          <w:marLeft w:val="0"/>
          <w:marRight w:val="0"/>
          <w:marTop w:val="0"/>
          <w:marBottom w:val="0"/>
          <w:divBdr>
            <w:top w:val="none" w:sz="0" w:space="0" w:color="auto"/>
            <w:left w:val="none" w:sz="0" w:space="0" w:color="auto"/>
            <w:bottom w:val="none" w:sz="0" w:space="0" w:color="auto"/>
            <w:right w:val="none" w:sz="0" w:space="0" w:color="auto"/>
          </w:divBdr>
          <w:divsChild>
            <w:div w:id="65616338">
              <w:marLeft w:val="0"/>
              <w:marRight w:val="0"/>
              <w:marTop w:val="0"/>
              <w:marBottom w:val="0"/>
              <w:divBdr>
                <w:top w:val="none" w:sz="0" w:space="0" w:color="auto"/>
                <w:left w:val="none" w:sz="0" w:space="0" w:color="auto"/>
                <w:bottom w:val="none" w:sz="0" w:space="0" w:color="auto"/>
                <w:right w:val="none" w:sz="0" w:space="0" w:color="auto"/>
              </w:divBdr>
              <w:divsChild>
                <w:div w:id="1579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2745">
      <w:bodyDiv w:val="1"/>
      <w:marLeft w:val="0"/>
      <w:marRight w:val="0"/>
      <w:marTop w:val="0"/>
      <w:marBottom w:val="0"/>
      <w:divBdr>
        <w:top w:val="none" w:sz="0" w:space="0" w:color="auto"/>
        <w:left w:val="none" w:sz="0" w:space="0" w:color="auto"/>
        <w:bottom w:val="none" w:sz="0" w:space="0" w:color="auto"/>
        <w:right w:val="none" w:sz="0" w:space="0" w:color="auto"/>
      </w:divBdr>
      <w:divsChild>
        <w:div w:id="128404764">
          <w:marLeft w:val="0"/>
          <w:marRight w:val="0"/>
          <w:marTop w:val="0"/>
          <w:marBottom w:val="0"/>
          <w:divBdr>
            <w:top w:val="none" w:sz="0" w:space="0" w:color="auto"/>
            <w:left w:val="none" w:sz="0" w:space="0" w:color="auto"/>
            <w:bottom w:val="none" w:sz="0" w:space="0" w:color="auto"/>
            <w:right w:val="none" w:sz="0" w:space="0" w:color="auto"/>
          </w:divBdr>
          <w:divsChild>
            <w:div w:id="409615601">
              <w:marLeft w:val="0"/>
              <w:marRight w:val="0"/>
              <w:marTop w:val="0"/>
              <w:marBottom w:val="0"/>
              <w:divBdr>
                <w:top w:val="none" w:sz="0" w:space="0" w:color="auto"/>
                <w:left w:val="none" w:sz="0" w:space="0" w:color="auto"/>
                <w:bottom w:val="none" w:sz="0" w:space="0" w:color="auto"/>
                <w:right w:val="none" w:sz="0" w:space="0" w:color="auto"/>
              </w:divBdr>
              <w:divsChild>
                <w:div w:id="12364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4535">
      <w:bodyDiv w:val="1"/>
      <w:marLeft w:val="0"/>
      <w:marRight w:val="0"/>
      <w:marTop w:val="0"/>
      <w:marBottom w:val="0"/>
      <w:divBdr>
        <w:top w:val="none" w:sz="0" w:space="0" w:color="auto"/>
        <w:left w:val="none" w:sz="0" w:space="0" w:color="auto"/>
        <w:bottom w:val="none" w:sz="0" w:space="0" w:color="auto"/>
        <w:right w:val="none" w:sz="0" w:space="0" w:color="auto"/>
      </w:divBdr>
      <w:divsChild>
        <w:div w:id="601184284">
          <w:marLeft w:val="0"/>
          <w:marRight w:val="0"/>
          <w:marTop w:val="0"/>
          <w:marBottom w:val="0"/>
          <w:divBdr>
            <w:top w:val="none" w:sz="0" w:space="0" w:color="auto"/>
            <w:left w:val="none" w:sz="0" w:space="0" w:color="auto"/>
            <w:bottom w:val="none" w:sz="0" w:space="0" w:color="auto"/>
            <w:right w:val="none" w:sz="0" w:space="0" w:color="auto"/>
          </w:divBdr>
          <w:divsChild>
            <w:div w:id="637489265">
              <w:marLeft w:val="0"/>
              <w:marRight w:val="0"/>
              <w:marTop w:val="0"/>
              <w:marBottom w:val="0"/>
              <w:divBdr>
                <w:top w:val="none" w:sz="0" w:space="0" w:color="auto"/>
                <w:left w:val="none" w:sz="0" w:space="0" w:color="auto"/>
                <w:bottom w:val="none" w:sz="0" w:space="0" w:color="auto"/>
                <w:right w:val="none" w:sz="0" w:space="0" w:color="auto"/>
              </w:divBdr>
              <w:divsChild>
                <w:div w:id="15139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7514">
      <w:bodyDiv w:val="1"/>
      <w:marLeft w:val="0"/>
      <w:marRight w:val="0"/>
      <w:marTop w:val="0"/>
      <w:marBottom w:val="0"/>
      <w:divBdr>
        <w:top w:val="none" w:sz="0" w:space="0" w:color="auto"/>
        <w:left w:val="none" w:sz="0" w:space="0" w:color="auto"/>
        <w:bottom w:val="none" w:sz="0" w:space="0" w:color="auto"/>
        <w:right w:val="none" w:sz="0" w:space="0" w:color="auto"/>
      </w:divBdr>
    </w:div>
    <w:div w:id="1746607596">
      <w:bodyDiv w:val="1"/>
      <w:marLeft w:val="0"/>
      <w:marRight w:val="0"/>
      <w:marTop w:val="0"/>
      <w:marBottom w:val="0"/>
      <w:divBdr>
        <w:top w:val="none" w:sz="0" w:space="0" w:color="auto"/>
        <w:left w:val="none" w:sz="0" w:space="0" w:color="auto"/>
        <w:bottom w:val="none" w:sz="0" w:space="0" w:color="auto"/>
        <w:right w:val="none" w:sz="0" w:space="0" w:color="auto"/>
      </w:divBdr>
    </w:div>
    <w:div w:id="1854614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D57FE6-7961-4289-8F55-4451984C1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30522</Words>
  <Characters>173977</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cp:lastPrinted>2020-12-15T05:42:00Z</cp:lastPrinted>
  <dcterms:created xsi:type="dcterms:W3CDTF">2021-11-30T08:38:00Z</dcterms:created>
  <dcterms:modified xsi:type="dcterms:W3CDTF">2021-11-30T08:45:00Z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http://www.zotero.org/styles/agriculture-ecosystems-and-environment</vt:lpwstr>
  </property>
  <property fmtid="{D5CDD505-2E9C-101B-9397-08002B2CF9AE}" pid="4" name="Mendeley Recent Style Name 0_1">
    <vt:lpwstr>Agriculture, Ecosystems and Environment</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http://www.zotero.org/styles/apa-6th-edition</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http://csl.mendeley.com/styles/66537561/GayaUKM-MelayuMazleha</vt:lpwstr>
  </property>
  <property fmtid="{D5CDD505-2E9C-101B-9397-08002B2CF9AE}" pid="14" name="Mendeley Recent Style Name 5_1">
    <vt:lpwstr>GayaUKM-Melayu-MazlehaMaskin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http://www.zotero.org/styles/la-trobe-university-apa</vt:lpwstr>
  </property>
  <property fmtid="{D5CDD505-2E9C-101B-9397-08002B2CF9AE}" pid="20" name="Mendeley Recent Style Name 8_1">
    <vt:lpwstr>La Trobe University - APA 6th edition</vt:lpwstr>
  </property>
  <property fmtid="{D5CDD505-2E9C-101B-9397-08002B2CF9AE}" pid="21" name="Mendeley Recent Style Id 9_1">
    <vt:lpwstr>http://www.zotero.org/styles/taylor-and-francis-apa</vt:lpwstr>
  </property>
  <property fmtid="{D5CDD505-2E9C-101B-9397-08002B2CF9AE}" pid="22" name="Mendeley Recent Style Name 9_1">
    <vt:lpwstr>Taylor &amp; Francis - APA</vt:lpwstr>
  </property>
  <property fmtid="{D5CDD505-2E9C-101B-9397-08002B2CF9AE}" pid="23" name="Mendeley Document_1">
    <vt:lpwstr>True</vt:lpwstr>
  </property>
  <property fmtid="{D5CDD505-2E9C-101B-9397-08002B2CF9AE}" pid="24" name="Mendeley Unique User Id_1">
    <vt:lpwstr>729ac61e-64c3-379b-beee-f309ecdd9eac</vt:lpwstr>
  </property>
  <property fmtid="{D5CDD505-2E9C-101B-9397-08002B2CF9AE}" pid="25" name="Mendeley Citation Style_1">
    <vt:lpwstr>http://www.zotero.org/styles/apa-6th-edition</vt:lpwstr>
  </property>
</Properties>
</file>