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E0B57" w14:textId="77777777" w:rsidR="00183C2C" w:rsidRDefault="00C0776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941FD19" wp14:editId="33977077">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16F5D45C" w14:textId="77777777" w:rsidR="00183C2C" w:rsidRDefault="00183C2C"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326D06EF" w14:textId="77777777" w:rsidR="0057758A" w:rsidRDefault="00D23EE1" w:rsidP="00CD468E">
      <w:pPr>
        <w:spacing w:after="0" w:line="240" w:lineRule="auto"/>
        <w:ind w:leftChars="0" w:left="3"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Perception and Willingness-to-Pay on conservation of lake basin</w:t>
      </w:r>
    </w:p>
    <w:p w14:paraId="4130E68A" w14:textId="77777777" w:rsidR="0057758A" w:rsidRDefault="00D23EE1" w:rsidP="00CD468E">
      <w:pPr>
        <w:spacing w:after="0" w:line="240" w:lineRule="auto"/>
        <w:ind w:leftChars="0" w:left="3"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under</w:t>
      </w:r>
      <w:r w:rsidR="0057758A">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the impact of climate change – </w:t>
      </w:r>
      <w:r w:rsidR="0057758A">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comparison between</w:t>
      </w:r>
    </w:p>
    <w:p w14:paraId="0AF03A33" w14:textId="50BFC41B" w:rsidR="00D23EE1" w:rsidRDefault="00D23EE1" w:rsidP="00CD468E">
      <w:pP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urban</w:t>
      </w:r>
      <w:r w:rsidR="0057758A">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and rural tropical lake</w:t>
      </w:r>
    </w:p>
    <w:p w14:paraId="2652C245" w14:textId="77777777" w:rsidR="00183C2C" w:rsidRDefault="00183C2C" w:rsidP="00CD468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4FF39806" w14:textId="33E3A140" w:rsidR="00183C2C" w:rsidRDefault="00747886" w:rsidP="00CD468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Zati Sharip</w:t>
      </w:r>
      <w:r w:rsidR="00C07761">
        <w:rPr>
          <w:rFonts w:ascii="Times New Roman" w:eastAsia="Times New Roman" w:hAnsi="Times New Roman" w:cs="Times New Roman"/>
          <w:color w:val="000000"/>
          <w:vertAlign w:val="superscript"/>
        </w:rPr>
        <w:t>1</w:t>
      </w:r>
      <w:r w:rsidR="00C07761">
        <w:rPr>
          <w:rFonts w:ascii="Times New Roman" w:eastAsia="Times New Roman" w:hAnsi="Times New Roman" w:cs="Times New Roman"/>
          <w:color w:val="000000"/>
        </w:rPr>
        <w:t xml:space="preserve">, </w:t>
      </w:r>
      <w:r w:rsidRPr="00EA35C6">
        <w:rPr>
          <w:rFonts w:ascii="Times New Roman" w:hAnsi="Times New Roman" w:cs="Times New Roman"/>
        </w:rPr>
        <w:t>Abd Ghani Awang Noor</w:t>
      </w:r>
      <w:r w:rsidR="00C07761">
        <w:rPr>
          <w:rFonts w:ascii="Times New Roman" w:eastAsia="Times New Roman" w:hAnsi="Times New Roman" w:cs="Times New Roman"/>
          <w:color w:val="000000"/>
          <w:vertAlign w:val="superscript"/>
        </w:rPr>
        <w:t>2</w:t>
      </w:r>
    </w:p>
    <w:p w14:paraId="7F1AC894" w14:textId="77777777" w:rsidR="00183C2C" w:rsidRDefault="00183C2C" w:rsidP="00CD468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4F522ABD" w14:textId="77777777" w:rsidR="00233111" w:rsidRDefault="00C07761" w:rsidP="0057758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747886">
        <w:rPr>
          <w:rFonts w:ascii="Times New Roman" w:eastAsia="Times New Roman" w:hAnsi="Times New Roman" w:cs="Times New Roman"/>
          <w:color w:val="000000"/>
        </w:rPr>
        <w:t xml:space="preserve">Water Quality and Environment Division, National Water Research Institute of Malaysia, </w:t>
      </w:r>
    </w:p>
    <w:p w14:paraId="418DDF09" w14:textId="0372346F" w:rsidR="00183C2C" w:rsidRDefault="00747886" w:rsidP="0057758A">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Seri Kembangan, Malaysia</w:t>
      </w:r>
    </w:p>
    <w:p w14:paraId="439D64C1" w14:textId="77777777" w:rsidR="00233111" w:rsidRDefault="00C07761" w:rsidP="00CD468E">
      <w:pPr>
        <w:pBdr>
          <w:top w:val="nil"/>
          <w:left w:val="nil"/>
          <w:bottom w:val="nil"/>
          <w:right w:val="nil"/>
          <w:between w:val="nil"/>
        </w:pBdr>
        <w:spacing w:after="0" w:line="240" w:lineRule="auto"/>
        <w:ind w:leftChars="0" w:left="2" w:hanging="2"/>
        <w:jc w:val="center"/>
        <w:rPr>
          <w:rFonts w:ascii="Times New Roman" w:hAnsi="Times New Roman" w:cs="Times New Roman"/>
        </w:rPr>
      </w:pPr>
      <w:r>
        <w:rPr>
          <w:rFonts w:ascii="Times New Roman" w:eastAsia="Times New Roman" w:hAnsi="Times New Roman" w:cs="Times New Roman"/>
          <w:color w:val="000000"/>
          <w:vertAlign w:val="superscript"/>
        </w:rPr>
        <w:t>2</w:t>
      </w:r>
      <w:r w:rsidR="00747886">
        <w:rPr>
          <w:rFonts w:ascii="Times New Roman" w:eastAsia="Times New Roman" w:hAnsi="Times New Roman" w:cs="Times New Roman"/>
          <w:color w:val="000000"/>
        </w:rPr>
        <w:t>Persatuan</w:t>
      </w:r>
      <w:r w:rsidR="00747886" w:rsidRPr="00747886">
        <w:rPr>
          <w:rFonts w:ascii="Times New Roman" w:hAnsi="Times New Roman" w:cs="Times New Roman"/>
        </w:rPr>
        <w:t xml:space="preserve"> </w:t>
      </w:r>
      <w:r w:rsidR="00747886">
        <w:rPr>
          <w:rFonts w:ascii="Times New Roman" w:hAnsi="Times New Roman" w:cs="Times New Roman"/>
        </w:rPr>
        <w:t>E</w:t>
      </w:r>
      <w:r w:rsidR="00747886" w:rsidRPr="00EA35C6">
        <w:rPr>
          <w:rFonts w:ascii="Times New Roman" w:hAnsi="Times New Roman" w:cs="Times New Roman"/>
        </w:rPr>
        <w:t xml:space="preserve">konomi Alam Sekitar Malaysia, Management and Economic Faculty, </w:t>
      </w:r>
    </w:p>
    <w:p w14:paraId="2079B15D" w14:textId="1C4CA688" w:rsidR="00183C2C" w:rsidRDefault="00747886" w:rsidP="00CD468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EA35C6">
        <w:rPr>
          <w:rFonts w:ascii="Times New Roman" w:hAnsi="Times New Roman" w:cs="Times New Roman"/>
        </w:rPr>
        <w:t>Universit</w:t>
      </w:r>
      <w:r>
        <w:rPr>
          <w:rFonts w:ascii="Times New Roman" w:hAnsi="Times New Roman" w:cs="Times New Roman"/>
        </w:rPr>
        <w:t>i</w:t>
      </w:r>
      <w:r w:rsidRPr="00EA35C6">
        <w:rPr>
          <w:rFonts w:ascii="Times New Roman" w:hAnsi="Times New Roman" w:cs="Times New Roman"/>
        </w:rPr>
        <w:t xml:space="preserve"> Putra Malaysia, Serdang, Malaysia</w:t>
      </w:r>
    </w:p>
    <w:p w14:paraId="5342518E" w14:textId="77777777" w:rsidR="00183C2C" w:rsidRDefault="00183C2C" w:rsidP="00CD468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323F9F36" w14:textId="3E401D34" w:rsidR="00183C2C" w:rsidRDefault="00C07761" w:rsidP="00CD468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747886">
        <w:rPr>
          <w:rFonts w:ascii="Times New Roman" w:eastAsia="Times New Roman" w:hAnsi="Times New Roman" w:cs="Times New Roman"/>
          <w:color w:val="000000"/>
        </w:rPr>
        <w:t>Zati Sharip</w:t>
      </w:r>
      <w:r>
        <w:rPr>
          <w:rFonts w:ascii="Times New Roman" w:eastAsia="Times New Roman" w:hAnsi="Times New Roman" w:cs="Times New Roman"/>
          <w:color w:val="000000"/>
        </w:rPr>
        <w:t xml:space="preserve"> (email: </w:t>
      </w:r>
      <w:r w:rsidR="00747886">
        <w:rPr>
          <w:rFonts w:ascii="Times New Roman" w:eastAsia="Times New Roman" w:hAnsi="Times New Roman" w:cs="Times New Roman"/>
          <w:color w:val="000000"/>
        </w:rPr>
        <w:t>zati@nahrim.gov.my</w:t>
      </w:r>
      <w:r>
        <w:rPr>
          <w:rFonts w:ascii="Times New Roman" w:eastAsia="Times New Roman" w:hAnsi="Times New Roman" w:cs="Times New Roman"/>
          <w:i/>
          <w:color w:val="000000"/>
        </w:rPr>
        <w:t>)</w:t>
      </w:r>
    </w:p>
    <w:p w14:paraId="4DCBA04D" w14:textId="18192C75" w:rsidR="00183C2C" w:rsidRDefault="00183C2C" w:rsidP="00CD468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17D180F8" w14:textId="77777777" w:rsidR="00183C2C" w:rsidRPr="00BC76B8" w:rsidRDefault="00183C2C" w:rsidP="00CD468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4ECA0480" w14:textId="22444458" w:rsidR="00233111" w:rsidRDefault="00233111" w:rsidP="00233111">
      <w:pPr>
        <w:pBdr>
          <w:top w:val="nil"/>
          <w:left w:val="nil"/>
          <w:bottom w:val="nil"/>
          <w:right w:val="nil"/>
          <w:between w:val="nil"/>
        </w:pBdr>
        <w:spacing w:after="0" w:line="240" w:lineRule="auto"/>
        <w:ind w:leftChars="0" w:left="0" w:firstLineChars="0" w:firstLine="0"/>
        <w:jc w:val="both"/>
        <w:rPr>
          <w:rFonts w:ascii="Times New Roman" w:hAnsi="Times New Roman" w:cs="Times New Roman"/>
          <w:color w:val="000000"/>
        </w:rPr>
      </w:pPr>
      <w:r w:rsidRPr="00BA3C48">
        <w:rPr>
          <w:rFonts w:ascii="Times New Roman" w:hAnsi="Times New Roman" w:cs="Times New Roman"/>
          <w:color w:val="000000"/>
        </w:rPr>
        <w:t>Received: </w:t>
      </w:r>
      <w:r>
        <w:rPr>
          <w:rFonts w:ascii="Times New Roman" w:hAnsi="Times New Roman" w:cs="Times New Roman"/>
          <w:color w:val="000000"/>
        </w:rPr>
        <w:t>25</w:t>
      </w:r>
      <w:r w:rsidRPr="00BA3C48">
        <w:rPr>
          <w:rFonts w:ascii="Times New Roman" w:hAnsi="Times New Roman" w:cs="Times New Roman"/>
          <w:color w:val="000000"/>
        </w:rPr>
        <w:t xml:space="preserve"> </w:t>
      </w:r>
      <w:r>
        <w:rPr>
          <w:rFonts w:ascii="Times New Roman" w:hAnsi="Times New Roman" w:cs="Times New Roman"/>
          <w:color w:val="000000"/>
        </w:rPr>
        <w:t>December</w:t>
      </w:r>
      <w:r w:rsidRPr="00BA3C48">
        <w:rPr>
          <w:rFonts w:ascii="Times New Roman" w:hAnsi="Times New Roman" w:cs="Times New Roman"/>
          <w:color w:val="000000"/>
        </w:rPr>
        <w:t xml:space="preserve"> 202</w:t>
      </w:r>
      <w:r>
        <w:rPr>
          <w:rFonts w:ascii="Times New Roman" w:hAnsi="Times New Roman" w:cs="Times New Roman"/>
          <w:color w:val="000000"/>
        </w:rPr>
        <w:t>0</w:t>
      </w:r>
      <w:r w:rsidRPr="00BA3C48">
        <w:rPr>
          <w:rFonts w:ascii="Times New Roman" w:hAnsi="Times New Roman" w:cs="Times New Roman"/>
          <w:color w:val="000000"/>
        </w:rPr>
        <w:t xml:space="preserve">; Accepted: </w:t>
      </w:r>
      <w:r>
        <w:rPr>
          <w:rFonts w:ascii="Times New Roman" w:hAnsi="Times New Roman" w:cs="Times New Roman"/>
          <w:color w:val="000000"/>
        </w:rPr>
        <w:t>08</w:t>
      </w:r>
      <w:r w:rsidRPr="00BA3C48">
        <w:rPr>
          <w:rFonts w:ascii="Times New Roman" w:hAnsi="Times New Roman" w:cs="Times New Roman"/>
          <w:color w:val="000000"/>
        </w:rPr>
        <w:t xml:space="preserve"> </w:t>
      </w:r>
      <w:r>
        <w:rPr>
          <w:rFonts w:ascii="Times New Roman" w:hAnsi="Times New Roman" w:cs="Times New Roman"/>
          <w:color w:val="000000"/>
        </w:rPr>
        <w:t>July</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Pr>
          <w:rFonts w:ascii="Times New Roman" w:hAnsi="Times New Roman" w:cs="Times New Roman"/>
          <w:color w:val="000000"/>
        </w:rPr>
        <w:t>7</w:t>
      </w:r>
      <w:r w:rsidRPr="00BA3C48">
        <w:rPr>
          <w:rFonts w:ascii="Times New Roman" w:hAnsi="Times New Roman" w:cs="Times New Roman"/>
          <w:color w:val="000000"/>
        </w:rPr>
        <w:t xml:space="preserve"> </w:t>
      </w:r>
      <w:r>
        <w:rPr>
          <w:rFonts w:ascii="Times New Roman" w:hAnsi="Times New Roman" w:cs="Times New Roman"/>
          <w:color w:val="000000"/>
        </w:rPr>
        <w:t>August</w:t>
      </w:r>
      <w:r w:rsidRPr="00BA3C48">
        <w:rPr>
          <w:rFonts w:ascii="Times New Roman" w:hAnsi="Times New Roman" w:cs="Times New Roman"/>
          <w:color w:val="000000"/>
        </w:rPr>
        <w:t xml:space="preserve"> 2021</w:t>
      </w:r>
    </w:p>
    <w:p w14:paraId="4161E357" w14:textId="77777777" w:rsidR="00183C2C" w:rsidRPr="00BC76B8" w:rsidRDefault="00183C2C"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635B66F5" w14:textId="25B68948" w:rsidR="00183C2C" w:rsidRPr="00BC76B8" w:rsidRDefault="00183C2C"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rPr>
      </w:pPr>
    </w:p>
    <w:p w14:paraId="4489A37D" w14:textId="21D03110"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Abstract  </w:t>
      </w:r>
    </w:p>
    <w:p w14:paraId="6F51CE1F" w14:textId="77777777"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 </w:t>
      </w:r>
    </w:p>
    <w:p w14:paraId="09798278" w14:textId="1339202D" w:rsidR="00183C2C" w:rsidRPr="00BC76B8" w:rsidRDefault="00D2694F" w:rsidP="00CD468E">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r w:rsidRPr="00BC76B8">
        <w:rPr>
          <w:rFonts w:ascii="Times New Roman" w:hAnsi="Times New Roman" w:cs="Times New Roman"/>
          <w:sz w:val="24"/>
          <w:szCs w:val="24"/>
        </w:rPr>
        <w:t xml:space="preserve">Climatic changes are affecting the lake hydrological regime, including the associated drought and floods within the drainage basins. Assessing the value of damages to ecosystem services within the lake basin concerning the climatic changes is difficult due to </w:t>
      </w:r>
      <w:r w:rsidR="00FE0C50"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numerous ecosystem services provided by every lake basin. This study uses a Contingent Valuation Method to determine the willingness-to-pay (WTP) for lake conservation programs for addressing climate extreme impacts on urban and rural tropical lakes. Surveys using structured questionnaires were carried out around Putrajaya, </w:t>
      </w:r>
      <w:r w:rsidR="00FE0C50"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Federal Territory of Putrajaya (urban lake) and around </w:t>
      </w:r>
      <w:r w:rsidR="00D608B1" w:rsidRPr="00BC76B8">
        <w:rPr>
          <w:rFonts w:ascii="Times New Roman" w:hAnsi="Times New Roman" w:cs="Times New Roman"/>
          <w:sz w:val="24"/>
          <w:szCs w:val="24"/>
        </w:rPr>
        <w:t>Muda Lake</w:t>
      </w:r>
      <w:r w:rsidRPr="00BC76B8">
        <w:rPr>
          <w:rFonts w:ascii="Times New Roman" w:hAnsi="Times New Roman" w:cs="Times New Roman"/>
          <w:sz w:val="24"/>
          <w:szCs w:val="24"/>
        </w:rPr>
        <w:t>, Kedah (rural lake). Respondents in both lake basins significantly differed in terms of education and income level. However, the WTP values for contribution to address climate change measures in both lakes were similar (around USD3). About 62% of respondents in both lake basins were willing to pay and contribute to climate change and conservation trust funds for preventing impacts on the lake. For Putrajaya Lake, the main reason for WTP was the need for managing lake and wetland, and their biodiversity while for Muda Lake, the main reason for WTP was the need for circumventing deterioration in the lake for future generations.</w:t>
      </w:r>
    </w:p>
    <w:p w14:paraId="0CD94BD0" w14:textId="77777777" w:rsidR="00D2694F" w:rsidRPr="00BC76B8" w:rsidRDefault="00D2694F"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158EEDCB" w14:textId="638D9245"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bookmarkStart w:id="0" w:name="_heading=h.gjdgxs" w:colFirst="0" w:colLast="0"/>
      <w:bookmarkEnd w:id="0"/>
      <w:r w:rsidRPr="00BC76B8">
        <w:rPr>
          <w:rFonts w:ascii="Times New Roman" w:eastAsia="Times New Roman" w:hAnsi="Times New Roman" w:cs="Times New Roman"/>
          <w:b/>
          <w:sz w:val="24"/>
          <w:szCs w:val="24"/>
        </w:rPr>
        <w:t xml:space="preserve">Keywords: </w:t>
      </w:r>
      <w:r w:rsidR="00E139C2" w:rsidRPr="00BC76B8">
        <w:rPr>
          <w:rFonts w:ascii="Times New Roman" w:eastAsia="Times New Roman" w:hAnsi="Times New Roman" w:cs="Times New Roman"/>
          <w:bCs/>
          <w:sz w:val="24"/>
          <w:szCs w:val="24"/>
        </w:rPr>
        <w:t>Climate change impact</w:t>
      </w:r>
      <w:r w:rsidR="00E139C2" w:rsidRPr="00BC76B8">
        <w:rPr>
          <w:rFonts w:ascii="Times New Roman" w:eastAsia="Times New Roman" w:hAnsi="Times New Roman" w:cs="Times New Roman"/>
          <w:sz w:val="24"/>
          <w:szCs w:val="24"/>
        </w:rPr>
        <w:t>, contingent valuation, ecosystem services, reservoir, willingness-to-pay</w:t>
      </w:r>
    </w:p>
    <w:p w14:paraId="27454111" w14:textId="77777777"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 </w:t>
      </w:r>
    </w:p>
    <w:p w14:paraId="369BD4A4" w14:textId="5B3A3845" w:rsidR="00183C2C" w:rsidRPr="00BC76B8" w:rsidRDefault="00183C2C"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133969C7" w14:textId="1EED44BD"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Introduction  </w:t>
      </w:r>
    </w:p>
    <w:p w14:paraId="1C9BB4BD" w14:textId="77777777"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 </w:t>
      </w:r>
    </w:p>
    <w:p w14:paraId="768C4894" w14:textId="77777777" w:rsidR="0057758A" w:rsidRDefault="00D2694F" w:rsidP="0057758A">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eastAsia="en-GB"/>
        </w:rPr>
      </w:pPr>
      <w:r w:rsidRPr="00BC76B8">
        <w:rPr>
          <w:rFonts w:ascii="Times New Roman" w:eastAsia="Times New Roman" w:hAnsi="Times New Roman" w:cs="Times New Roman"/>
          <w:position w:val="0"/>
          <w:sz w:val="24"/>
          <w:szCs w:val="24"/>
          <w:lang w:eastAsia="en-GB"/>
        </w:rPr>
        <w:t>Climat</w:t>
      </w:r>
      <w:r w:rsidR="007A4D51" w:rsidRPr="00BC76B8">
        <w:rPr>
          <w:rFonts w:ascii="Times New Roman" w:eastAsia="Times New Roman" w:hAnsi="Times New Roman" w:cs="Times New Roman"/>
          <w:position w:val="0"/>
          <w:sz w:val="24"/>
          <w:szCs w:val="24"/>
          <w:lang w:eastAsia="en-GB"/>
        </w:rPr>
        <w:t>e</w:t>
      </w:r>
      <w:r w:rsidRPr="00BC76B8">
        <w:rPr>
          <w:rFonts w:ascii="Times New Roman" w:eastAsia="Times New Roman" w:hAnsi="Times New Roman" w:cs="Times New Roman"/>
          <w:position w:val="0"/>
          <w:sz w:val="24"/>
          <w:szCs w:val="24"/>
          <w:lang w:eastAsia="en-GB"/>
        </w:rPr>
        <w:t xml:space="preserve"> change and variability are altering hydrological regimes, such as floods or drought that affect lake water level and may lead to other ecosystem changes</w:t>
      </w:r>
      <w:r w:rsidR="007A4D51" w:rsidRPr="00BC76B8">
        <w:rPr>
          <w:rFonts w:ascii="Times New Roman" w:eastAsia="Times New Roman" w:hAnsi="Times New Roman" w:cs="Times New Roman"/>
          <w:position w:val="0"/>
          <w:sz w:val="24"/>
          <w:szCs w:val="24"/>
          <w:lang w:eastAsia="en-GB"/>
        </w:rPr>
        <w:t>,</w:t>
      </w:r>
      <w:r w:rsidRPr="00BC76B8">
        <w:rPr>
          <w:rFonts w:ascii="Times New Roman" w:eastAsia="Times New Roman" w:hAnsi="Times New Roman" w:cs="Times New Roman"/>
          <w:position w:val="0"/>
          <w:sz w:val="24"/>
          <w:szCs w:val="24"/>
          <w:lang w:eastAsia="en-GB"/>
        </w:rPr>
        <w:t xml:space="preserve"> subsequently alter any conservation efforts, or their estimated conservation values. Prolonged drought increased </w:t>
      </w:r>
      <w:r w:rsidRPr="00BC76B8">
        <w:rPr>
          <w:rFonts w:ascii="Times New Roman" w:eastAsia="Times New Roman" w:hAnsi="Times New Roman" w:cs="Times New Roman"/>
          <w:position w:val="0"/>
          <w:sz w:val="24"/>
          <w:szCs w:val="24"/>
          <w:lang w:eastAsia="en-GB"/>
        </w:rPr>
        <w:lastRenderedPageBreak/>
        <w:t>evaporation rates and caused declining water storage for water supply and reduced water levels in the lake. Heavier rainfall led to excess water storage that needs to be released downstream and caused the flood. All these changes in evaporation rates and rainfall amount are impacting the lake’s ability to provide ecosystem services. The planned adaptation programme in Malaysia for conserving the lake basin in addressing climate issues includes protection of water catchment through gazettement of water catchment forest beside the adoption of National Water Balance Management System that covers whole river basin including lake basin (MESTECC, 2018). Integrated lake management introduced in the National Water Resources Policy in 2012 took into consideration the climate change factor in the sustainable management of water resources (MESTECC, 2018). However, the economic valuation of climate change's impact on the lake ecosystem services is not widely assessed in many developing countries nor included in the planned adaptation programme. Economic valuation on the overall climate impact on ecosystem services is increasingly performed in the developed country to determine mitigation and adaptation measures (Van der Geest et al., 2019). The economic valuation used in a recent study on the agricultural sector in one of the states in Malaysia found that 74% of farmers were willing to pay for a planned adaptation programme for addressing climate issues (Masud et al., 2015). </w:t>
      </w:r>
      <w:r w:rsidR="0057758A">
        <w:rPr>
          <w:rFonts w:ascii="Times New Roman" w:eastAsia="Times New Roman" w:hAnsi="Times New Roman" w:cs="Times New Roman"/>
          <w:position w:val="0"/>
          <w:sz w:val="24"/>
          <w:szCs w:val="24"/>
          <w:lang w:eastAsia="en-GB"/>
        </w:rPr>
        <w:tab/>
      </w:r>
      <w:r w:rsidRPr="00BC76B8">
        <w:rPr>
          <w:rFonts w:ascii="Times New Roman" w:eastAsia="Times New Roman" w:hAnsi="Times New Roman" w:cs="Times New Roman"/>
          <w:position w:val="0"/>
          <w:sz w:val="24"/>
          <w:szCs w:val="24"/>
          <w:lang w:eastAsia="en-GB"/>
        </w:rPr>
        <w:t>Increasing awareness of the ecosystem services provided by lakes has resulted in the economic valuation of lakes and wetlands being carried out worldwide to aid management and restoration efforts. Economic valuation methods being used to estimate values of different ecosystem services includes direct and indirect market valuation, non-market valuation such as contingent valuation, and group valuation (Wilson &amp; Carpenter, 1999; Degroot et al., 2002; National Research Council, 2005). Direct market pricing, indirect pricing (hedonic pricing, replacement cost), and existence value pricing were used to evaluate the damage cost of Lake Rotorua, New Zealand resulting from a loss of income from impaired recreation and reduced property values, as well as ecological damage costs caused by algal blooms and decline in habitat quality for aquatic fauna (Mueller &amp; Doole, 2016). The economic valuation used to assess costs and benefits of alternative land use and management scenarios for water quality improvement in Lake Rotorua identified options on the minimum price to the lake and land mitigation efforts (Mueller et al., 2019). Economic valuation on the value of Jagadishpur Reservoir as a Ramsar site in Nepal revealed that the option/existence value contributing the largest values followed by direct use value such as wetland products (Baral et al., 2016). Cost-benefit analysis and contingent valuation were used to evaluate the ecological compensation standard for wetland restoration projects in Lake Taihu, China (He et al., 2013).</w:t>
      </w:r>
    </w:p>
    <w:p w14:paraId="649D36A8" w14:textId="77777777" w:rsidR="0057758A" w:rsidRDefault="0057758A" w:rsidP="0057758A">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eastAsia="en-GB"/>
        </w:rPr>
      </w:pPr>
      <w:r>
        <w:rPr>
          <w:rFonts w:ascii="Times New Roman" w:eastAsia="Times New Roman" w:hAnsi="Times New Roman" w:cs="Times New Roman"/>
          <w:position w:val="0"/>
          <w:sz w:val="24"/>
          <w:szCs w:val="24"/>
          <w:lang w:eastAsia="en-GB"/>
        </w:rPr>
        <w:tab/>
      </w:r>
      <w:r>
        <w:rPr>
          <w:rFonts w:ascii="Times New Roman" w:eastAsia="Times New Roman" w:hAnsi="Times New Roman" w:cs="Times New Roman"/>
          <w:position w:val="0"/>
          <w:sz w:val="24"/>
          <w:szCs w:val="24"/>
          <w:lang w:eastAsia="en-GB"/>
        </w:rPr>
        <w:tab/>
      </w:r>
      <w:r w:rsidR="00D2694F" w:rsidRPr="00BC76B8">
        <w:rPr>
          <w:rFonts w:ascii="Times New Roman" w:eastAsia="Times New Roman" w:hAnsi="Times New Roman" w:cs="Times New Roman"/>
          <w:position w:val="0"/>
          <w:sz w:val="24"/>
          <w:szCs w:val="24"/>
          <w:lang w:eastAsia="en-GB"/>
        </w:rPr>
        <w:t>The contingent valuation was a method, applicable when market prices were unavailable to survey and evaluate respondent</w:t>
      </w:r>
      <w:r w:rsidR="00FE0C50" w:rsidRPr="00BC76B8">
        <w:rPr>
          <w:rFonts w:ascii="Times New Roman" w:eastAsia="Times New Roman" w:hAnsi="Times New Roman" w:cs="Times New Roman"/>
          <w:position w:val="0"/>
          <w:sz w:val="24"/>
          <w:szCs w:val="24"/>
          <w:lang w:eastAsia="en-GB"/>
        </w:rPr>
        <w:t>s’</w:t>
      </w:r>
      <w:r w:rsidR="00D2694F" w:rsidRPr="00BC76B8">
        <w:rPr>
          <w:rFonts w:ascii="Times New Roman" w:eastAsia="Times New Roman" w:hAnsi="Times New Roman" w:cs="Times New Roman"/>
          <w:position w:val="0"/>
          <w:sz w:val="24"/>
          <w:szCs w:val="24"/>
          <w:lang w:eastAsia="en-GB"/>
        </w:rPr>
        <w:t xml:space="preserve"> willingness to pay for ecosystem services (National Research Council, 2005). For example, Lehtoranta et al. (2013) tested the local household’s willingness-to-pay (WTP) for regulating water level to optimum level for recreational purposes during the summertime in Lake Pielinen, Finland. Strong local interest in the WTP for lake </w:t>
      </w:r>
      <w:r w:rsidR="00B51354" w:rsidRPr="00BC76B8">
        <w:rPr>
          <w:rFonts w:ascii="Times New Roman" w:eastAsia="Times New Roman" w:hAnsi="Times New Roman" w:cs="Times New Roman"/>
          <w:position w:val="0"/>
          <w:sz w:val="24"/>
          <w:szCs w:val="24"/>
          <w:lang w:eastAsia="en-GB"/>
        </w:rPr>
        <w:t xml:space="preserve">water </w:t>
      </w:r>
      <w:r w:rsidR="00D2694F" w:rsidRPr="00BC76B8">
        <w:rPr>
          <w:rFonts w:ascii="Times New Roman" w:eastAsia="Times New Roman" w:hAnsi="Times New Roman" w:cs="Times New Roman"/>
          <w:position w:val="0"/>
          <w:sz w:val="24"/>
          <w:szCs w:val="24"/>
          <w:lang w:eastAsia="en-GB"/>
        </w:rPr>
        <w:t xml:space="preserve">level regulation </w:t>
      </w:r>
      <w:r w:rsidR="00FE0C50" w:rsidRPr="00BC76B8">
        <w:rPr>
          <w:rFonts w:ascii="Times New Roman" w:eastAsia="Times New Roman" w:hAnsi="Times New Roman" w:cs="Times New Roman"/>
          <w:position w:val="0"/>
          <w:sz w:val="24"/>
          <w:szCs w:val="24"/>
          <w:lang w:eastAsia="en-GB"/>
        </w:rPr>
        <w:t xml:space="preserve">was </w:t>
      </w:r>
      <w:r w:rsidR="00D2694F" w:rsidRPr="00BC76B8">
        <w:rPr>
          <w:rFonts w:ascii="Times New Roman" w:eastAsia="Times New Roman" w:hAnsi="Times New Roman" w:cs="Times New Roman"/>
          <w:position w:val="0"/>
          <w:sz w:val="24"/>
          <w:szCs w:val="24"/>
          <w:lang w:eastAsia="en-GB"/>
        </w:rPr>
        <w:t xml:space="preserve">shaped by high awareness of the regulation plans, the proximity of respondents to the lakeshore and owning a boat, youth factor, and higher-income factors. Similarly, Loomis et al. (2005) quantified how non-lakefront and lakefront homeowners around a residential lake rate alternative lake water levels for an irrigation reservoir (Lake Sherwood, Colorado). The increase in homeowner association fees was able to generate sufficient funds to lease the volume of water to reach the targeted higher lake level in a normal water year. In Carson and Mitchell (1993), the potential benefits of clean swimmable </w:t>
      </w:r>
      <w:r w:rsidR="00B51354" w:rsidRPr="00BC76B8">
        <w:rPr>
          <w:rFonts w:ascii="Times New Roman" w:eastAsia="Times New Roman" w:hAnsi="Times New Roman" w:cs="Times New Roman"/>
          <w:position w:val="0"/>
          <w:sz w:val="24"/>
          <w:szCs w:val="24"/>
          <w:lang w:eastAsia="en-GB"/>
        </w:rPr>
        <w:t xml:space="preserve">water bodies </w:t>
      </w:r>
      <w:r w:rsidR="00D2694F" w:rsidRPr="00BC76B8">
        <w:rPr>
          <w:rFonts w:ascii="Times New Roman" w:eastAsia="Times New Roman" w:hAnsi="Times New Roman" w:cs="Times New Roman"/>
          <w:position w:val="0"/>
          <w:sz w:val="24"/>
          <w:szCs w:val="24"/>
          <w:lang w:eastAsia="en-GB"/>
        </w:rPr>
        <w:t xml:space="preserve">were equal to the costs of water pollution control, thus requiring the need to find alternative cost-effective treatment technology. Findings </w:t>
      </w:r>
      <w:r w:rsidR="00D2694F" w:rsidRPr="00BC76B8">
        <w:rPr>
          <w:rFonts w:ascii="Times New Roman" w:eastAsia="Times New Roman" w:hAnsi="Times New Roman" w:cs="Times New Roman"/>
          <w:position w:val="0"/>
          <w:sz w:val="24"/>
          <w:szCs w:val="24"/>
          <w:lang w:eastAsia="en-GB"/>
        </w:rPr>
        <w:lastRenderedPageBreak/>
        <w:t>by Mulatu et al</w:t>
      </w:r>
      <w:r w:rsidR="00D2694F" w:rsidRPr="00BC76B8">
        <w:rPr>
          <w:rFonts w:ascii="Times New Roman" w:eastAsia="Times New Roman" w:hAnsi="Times New Roman" w:cs="Times New Roman"/>
          <w:i/>
          <w:iCs/>
          <w:position w:val="0"/>
          <w:sz w:val="24"/>
          <w:szCs w:val="24"/>
          <w:lang w:eastAsia="en-GB"/>
        </w:rPr>
        <w:t>.</w:t>
      </w:r>
      <w:r w:rsidR="00D2694F" w:rsidRPr="00BC76B8">
        <w:rPr>
          <w:rFonts w:ascii="Times New Roman" w:eastAsia="Times New Roman" w:hAnsi="Times New Roman" w:cs="Times New Roman"/>
          <w:position w:val="0"/>
          <w:sz w:val="24"/>
          <w:szCs w:val="24"/>
          <w:lang w:eastAsia="en-GB"/>
        </w:rPr>
        <w:t> (2018) showed that the Lake Naivasha fishing community was willing to pay a considerable amount for ecosystem services improvement in Lake Naivasha, relative to their low-income source from fishing. Their findings illustrated how economic valuation supports fishery management by assessing the preferences of the fishing community and valuing the fishery at an ecosystem level (Mulatu et al., 2018). In Wang et al. (2016), contingent valuation provided the compensation value that is acceptable by the community to willingly live and work in polluted farms. This value was positively influenced by the family and farmland sizes, as well as their income and education levels (Wang et al., 2016).</w:t>
      </w:r>
    </w:p>
    <w:p w14:paraId="2A7FF560" w14:textId="794398C1" w:rsidR="00D2694F" w:rsidRPr="00BC76B8" w:rsidRDefault="0057758A" w:rsidP="0057758A">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eastAsia="en-GB"/>
        </w:rPr>
      </w:pPr>
      <w:r>
        <w:rPr>
          <w:rFonts w:ascii="Times New Roman" w:eastAsia="Times New Roman" w:hAnsi="Times New Roman" w:cs="Times New Roman"/>
          <w:position w:val="0"/>
          <w:sz w:val="24"/>
          <w:szCs w:val="24"/>
          <w:lang w:eastAsia="en-GB"/>
        </w:rPr>
        <w:tab/>
      </w:r>
      <w:r>
        <w:rPr>
          <w:rFonts w:ascii="Times New Roman" w:eastAsia="Times New Roman" w:hAnsi="Times New Roman" w:cs="Times New Roman"/>
          <w:position w:val="0"/>
          <w:sz w:val="24"/>
          <w:szCs w:val="24"/>
          <w:lang w:eastAsia="en-GB"/>
        </w:rPr>
        <w:tab/>
      </w:r>
      <w:r w:rsidR="00D2694F" w:rsidRPr="00BC76B8">
        <w:rPr>
          <w:rFonts w:ascii="Times New Roman" w:eastAsia="Times New Roman" w:hAnsi="Times New Roman" w:cs="Times New Roman"/>
          <w:position w:val="0"/>
          <w:sz w:val="24"/>
          <w:szCs w:val="24"/>
          <w:lang w:eastAsia="en-GB"/>
        </w:rPr>
        <w:t xml:space="preserve">Economic valuations on lakes such as in Malaysia were largely focused on contingent valuation method to determine the economic values in the conservation management such as in Tasek Bera (Othman &amp; Abdullah, 1991), Paya Indah wetland (Siew et al., 2015), Putrajaya Lake (Noordin et al., 2017) and Chini Lake (Abdullah et al., 2018). However, no valuation to our knowledge has been carried out to assess the community willingness-to-pay for a lake conservation program for addressing climate issues. </w:t>
      </w:r>
      <w:r w:rsidR="00B51354" w:rsidRPr="00BC76B8">
        <w:rPr>
          <w:rFonts w:ascii="Times New Roman" w:eastAsia="Times New Roman" w:hAnsi="Times New Roman" w:cs="Times New Roman"/>
          <w:position w:val="0"/>
          <w:sz w:val="24"/>
          <w:szCs w:val="24"/>
          <w:lang w:eastAsia="en-GB"/>
        </w:rPr>
        <w:t xml:space="preserve">The effect of climate change </w:t>
      </w:r>
      <w:r w:rsidR="00EF67F3" w:rsidRPr="00BC76B8">
        <w:rPr>
          <w:rFonts w:ascii="Times New Roman" w:eastAsia="Times New Roman" w:hAnsi="Times New Roman" w:cs="Times New Roman"/>
          <w:position w:val="0"/>
          <w:sz w:val="24"/>
          <w:szCs w:val="24"/>
          <w:lang w:eastAsia="en-GB"/>
        </w:rPr>
        <w:t>i</w:t>
      </w:r>
      <w:r w:rsidR="00632218" w:rsidRPr="00BC76B8">
        <w:rPr>
          <w:rFonts w:ascii="Times New Roman" w:eastAsia="Times New Roman" w:hAnsi="Times New Roman" w:cs="Times New Roman"/>
          <w:position w:val="0"/>
          <w:sz w:val="24"/>
          <w:szCs w:val="24"/>
          <w:lang w:eastAsia="en-GB"/>
        </w:rPr>
        <w:t>s</w:t>
      </w:r>
      <w:r w:rsidR="00B51354" w:rsidRPr="00BC76B8">
        <w:rPr>
          <w:rFonts w:ascii="Times New Roman" w:eastAsia="Times New Roman" w:hAnsi="Times New Roman" w:cs="Times New Roman"/>
          <w:position w:val="0"/>
          <w:sz w:val="24"/>
          <w:szCs w:val="24"/>
          <w:lang w:eastAsia="en-GB"/>
        </w:rPr>
        <w:t xml:space="preserve"> increasingly impacting many developing countries </w:t>
      </w:r>
      <w:r w:rsidR="00D2694F" w:rsidRPr="00BC76B8">
        <w:rPr>
          <w:rFonts w:ascii="Times New Roman" w:eastAsia="Times New Roman" w:hAnsi="Times New Roman" w:cs="Times New Roman"/>
          <w:position w:val="0"/>
          <w:sz w:val="24"/>
          <w:szCs w:val="24"/>
          <w:lang w:eastAsia="en-GB"/>
        </w:rPr>
        <w:t>including Malaysia</w:t>
      </w:r>
      <w:r w:rsidR="002605A2" w:rsidRPr="00BC76B8">
        <w:rPr>
          <w:rFonts w:ascii="Times New Roman" w:eastAsia="Times New Roman" w:hAnsi="Times New Roman" w:cs="Times New Roman"/>
          <w:position w:val="0"/>
          <w:sz w:val="24"/>
          <w:szCs w:val="24"/>
          <w:lang w:eastAsia="en-GB"/>
        </w:rPr>
        <w:t xml:space="preserve">; surface temperature in </w:t>
      </w:r>
      <w:r w:rsidR="00BD0620" w:rsidRPr="00BC76B8">
        <w:rPr>
          <w:rFonts w:ascii="Times New Roman" w:eastAsia="Times New Roman" w:hAnsi="Times New Roman" w:cs="Times New Roman"/>
          <w:position w:val="0"/>
          <w:sz w:val="24"/>
          <w:szCs w:val="24"/>
          <w:lang w:eastAsia="en-GB"/>
        </w:rPr>
        <w:t>certain</w:t>
      </w:r>
      <w:r w:rsidR="002605A2" w:rsidRPr="00BC76B8">
        <w:rPr>
          <w:rFonts w:ascii="Times New Roman" w:eastAsia="Times New Roman" w:hAnsi="Times New Roman" w:cs="Times New Roman"/>
          <w:position w:val="0"/>
          <w:sz w:val="24"/>
          <w:szCs w:val="24"/>
          <w:lang w:eastAsia="en-GB"/>
        </w:rPr>
        <w:t xml:space="preserve"> areas </w:t>
      </w:r>
      <w:r w:rsidR="00261DD8" w:rsidRPr="00BC76B8">
        <w:rPr>
          <w:rFonts w:ascii="Times New Roman" w:eastAsia="Times New Roman" w:hAnsi="Times New Roman" w:cs="Times New Roman"/>
          <w:position w:val="0"/>
          <w:sz w:val="24"/>
          <w:szCs w:val="24"/>
          <w:lang w:eastAsia="en-GB"/>
        </w:rPr>
        <w:t xml:space="preserve">in Peninsular Malaysia </w:t>
      </w:r>
      <w:r w:rsidR="002605A2" w:rsidRPr="00BC76B8">
        <w:rPr>
          <w:rFonts w:ascii="Times New Roman" w:eastAsia="Times New Roman" w:hAnsi="Times New Roman" w:cs="Times New Roman"/>
          <w:position w:val="0"/>
          <w:sz w:val="24"/>
          <w:szCs w:val="24"/>
          <w:lang w:eastAsia="en-GB"/>
        </w:rPr>
        <w:t xml:space="preserve">showed warming trends </w:t>
      </w:r>
      <w:r w:rsidR="00261DD8" w:rsidRPr="00BC76B8">
        <w:rPr>
          <w:rFonts w:ascii="Times New Roman" w:eastAsia="Times New Roman" w:hAnsi="Times New Roman" w:cs="Times New Roman"/>
          <w:position w:val="0"/>
          <w:sz w:val="24"/>
          <w:szCs w:val="24"/>
          <w:lang w:eastAsia="en-GB"/>
        </w:rPr>
        <w:t>of 2.7</w:t>
      </w:r>
      <w:r w:rsidR="00BD0620" w:rsidRPr="00BC76B8">
        <w:rPr>
          <w:rFonts w:ascii="Times New Roman" w:eastAsia="Times New Roman" w:hAnsi="Times New Roman" w:cs="Times New Roman"/>
          <w:position w:val="0"/>
          <w:sz w:val="24"/>
          <w:szCs w:val="24"/>
          <w:lang w:eastAsia="en-GB"/>
        </w:rPr>
        <w:t>-</w:t>
      </w:r>
      <w:r w:rsidR="00261DD8" w:rsidRPr="00BC76B8">
        <w:rPr>
          <w:rFonts w:ascii="Times New Roman" w:eastAsia="Times New Roman" w:hAnsi="Times New Roman" w:cs="Times New Roman"/>
          <w:position w:val="0"/>
          <w:sz w:val="24"/>
          <w:szCs w:val="24"/>
          <w:lang w:eastAsia="en-GB"/>
        </w:rPr>
        <w:t>4.0</w:t>
      </w:r>
      <w:r w:rsidR="00261DD8" w:rsidRPr="00BC76B8">
        <w:rPr>
          <w:rFonts w:eastAsia="Times New Roman" w:cs="Times New Roman"/>
          <w:position w:val="0"/>
          <w:sz w:val="24"/>
          <w:szCs w:val="24"/>
          <w:lang w:eastAsia="en-GB"/>
        </w:rPr>
        <w:t>°</w:t>
      </w:r>
      <w:r w:rsidR="00261DD8" w:rsidRPr="00BC76B8">
        <w:rPr>
          <w:rFonts w:ascii="Times New Roman" w:eastAsia="Times New Roman" w:hAnsi="Times New Roman" w:cs="Times New Roman"/>
          <w:position w:val="0"/>
          <w:sz w:val="24"/>
          <w:szCs w:val="24"/>
          <w:lang w:eastAsia="en-GB"/>
        </w:rPr>
        <w:t xml:space="preserve">C/100 years </w:t>
      </w:r>
      <w:r w:rsidR="00AF50A7" w:rsidRPr="00BC76B8">
        <w:rPr>
          <w:rFonts w:ascii="Times New Roman" w:eastAsia="Times New Roman" w:hAnsi="Times New Roman" w:cs="Times New Roman"/>
          <w:position w:val="0"/>
          <w:sz w:val="24"/>
          <w:szCs w:val="24"/>
          <w:lang w:eastAsia="en-GB"/>
        </w:rPr>
        <w:t>(Tangang et al.</w:t>
      </w:r>
      <w:r w:rsidR="00261DD8" w:rsidRPr="00BC76B8">
        <w:rPr>
          <w:rFonts w:ascii="Times New Roman" w:eastAsia="Times New Roman" w:hAnsi="Times New Roman" w:cs="Times New Roman"/>
          <w:position w:val="0"/>
          <w:sz w:val="24"/>
          <w:szCs w:val="24"/>
          <w:lang w:eastAsia="en-GB"/>
        </w:rPr>
        <w:t>,</w:t>
      </w:r>
      <w:r w:rsidR="00AF50A7" w:rsidRPr="00BC76B8">
        <w:rPr>
          <w:rFonts w:ascii="Times New Roman" w:eastAsia="Times New Roman" w:hAnsi="Times New Roman" w:cs="Times New Roman"/>
          <w:position w:val="0"/>
          <w:sz w:val="24"/>
          <w:szCs w:val="24"/>
          <w:lang w:eastAsia="en-GB"/>
        </w:rPr>
        <w:t xml:space="preserve"> 2017)</w:t>
      </w:r>
      <w:r w:rsidR="00261DD8" w:rsidRPr="00BC76B8">
        <w:rPr>
          <w:rFonts w:ascii="Times New Roman" w:eastAsia="Times New Roman" w:hAnsi="Times New Roman" w:cs="Times New Roman"/>
          <w:position w:val="0"/>
          <w:sz w:val="24"/>
          <w:szCs w:val="24"/>
          <w:lang w:eastAsia="en-GB"/>
        </w:rPr>
        <w:t xml:space="preserve"> while basin-average mean annual temperature increases in the range of 2.5</w:t>
      </w:r>
      <w:r w:rsidR="00261DD8" w:rsidRPr="00BC76B8">
        <w:rPr>
          <w:rFonts w:eastAsia="Times New Roman" w:cs="Times New Roman"/>
          <w:position w:val="0"/>
          <w:sz w:val="24"/>
          <w:szCs w:val="24"/>
          <w:lang w:eastAsia="en-GB"/>
        </w:rPr>
        <w:t>°</w:t>
      </w:r>
      <w:r w:rsidR="00261DD8" w:rsidRPr="00BC76B8">
        <w:rPr>
          <w:rFonts w:ascii="Times New Roman" w:eastAsia="Times New Roman" w:hAnsi="Times New Roman" w:cs="Times New Roman"/>
          <w:position w:val="0"/>
          <w:sz w:val="24"/>
          <w:szCs w:val="24"/>
          <w:lang w:eastAsia="en-GB"/>
        </w:rPr>
        <w:t>C-2.95</w:t>
      </w:r>
      <w:r w:rsidR="00261DD8" w:rsidRPr="00BC76B8">
        <w:rPr>
          <w:rFonts w:eastAsia="Times New Roman" w:cs="Times New Roman"/>
          <w:position w:val="0"/>
          <w:sz w:val="24"/>
          <w:szCs w:val="24"/>
          <w:lang w:eastAsia="en-GB"/>
        </w:rPr>
        <w:t>°</w:t>
      </w:r>
      <w:r w:rsidR="00261DD8" w:rsidRPr="00BC76B8">
        <w:rPr>
          <w:rFonts w:ascii="Times New Roman" w:eastAsia="Times New Roman" w:hAnsi="Times New Roman" w:cs="Times New Roman"/>
          <w:position w:val="0"/>
          <w:sz w:val="24"/>
          <w:szCs w:val="24"/>
          <w:lang w:eastAsia="en-GB"/>
        </w:rPr>
        <w:t xml:space="preserve">C (NAHRIM, 2014) that </w:t>
      </w:r>
      <w:r w:rsidR="00EF67F3" w:rsidRPr="00BC76B8">
        <w:rPr>
          <w:rFonts w:ascii="Times New Roman" w:eastAsia="Times New Roman" w:hAnsi="Times New Roman" w:cs="Times New Roman"/>
          <w:position w:val="0"/>
          <w:sz w:val="24"/>
          <w:szCs w:val="24"/>
          <w:lang w:eastAsia="en-GB"/>
        </w:rPr>
        <w:t xml:space="preserve">changing rainfall pattern and </w:t>
      </w:r>
      <w:r w:rsidR="00261DD8" w:rsidRPr="00BC76B8">
        <w:rPr>
          <w:rFonts w:ascii="Times New Roman" w:eastAsia="Times New Roman" w:hAnsi="Times New Roman" w:cs="Times New Roman"/>
          <w:position w:val="0"/>
          <w:sz w:val="24"/>
          <w:szCs w:val="24"/>
          <w:lang w:eastAsia="en-GB"/>
        </w:rPr>
        <w:t>impacting water resources and water supply including water storage in dams.</w:t>
      </w:r>
      <w:r w:rsidR="00701383" w:rsidRPr="00BC76B8">
        <w:rPr>
          <w:rFonts w:ascii="Times New Roman" w:eastAsia="Times New Roman" w:hAnsi="Times New Roman" w:cs="Times New Roman"/>
          <w:position w:val="0"/>
          <w:sz w:val="24"/>
          <w:szCs w:val="24"/>
          <w:lang w:eastAsia="en-GB"/>
        </w:rPr>
        <w:t xml:space="preserve"> Thus, </w:t>
      </w:r>
      <w:r w:rsidR="00D2694F" w:rsidRPr="00BC76B8">
        <w:rPr>
          <w:rFonts w:ascii="Times New Roman" w:eastAsia="Times New Roman" w:hAnsi="Times New Roman" w:cs="Times New Roman"/>
          <w:position w:val="0"/>
          <w:sz w:val="24"/>
          <w:szCs w:val="24"/>
          <w:lang w:eastAsia="en-GB"/>
        </w:rPr>
        <w:t xml:space="preserve">it is timely to assess the perception of the community towards </w:t>
      </w:r>
      <w:r w:rsidR="00E338C6" w:rsidRPr="00BC76B8">
        <w:rPr>
          <w:rFonts w:ascii="Times New Roman" w:eastAsia="Times New Roman" w:hAnsi="Times New Roman" w:cs="Times New Roman"/>
          <w:position w:val="0"/>
          <w:sz w:val="24"/>
          <w:szCs w:val="24"/>
          <w:lang w:eastAsia="en-GB"/>
        </w:rPr>
        <w:t xml:space="preserve">these </w:t>
      </w:r>
      <w:r w:rsidR="00D2694F" w:rsidRPr="00BC76B8">
        <w:rPr>
          <w:rFonts w:ascii="Times New Roman" w:eastAsia="Times New Roman" w:hAnsi="Times New Roman" w:cs="Times New Roman"/>
          <w:position w:val="0"/>
          <w:sz w:val="24"/>
          <w:szCs w:val="24"/>
          <w:lang w:eastAsia="en-GB"/>
        </w:rPr>
        <w:t>climatic changes and the</w:t>
      </w:r>
      <w:r w:rsidR="00FE0C50" w:rsidRPr="00BC76B8">
        <w:rPr>
          <w:rFonts w:ascii="Times New Roman" w:eastAsia="Times New Roman" w:hAnsi="Times New Roman" w:cs="Times New Roman"/>
          <w:position w:val="0"/>
          <w:sz w:val="24"/>
          <w:szCs w:val="24"/>
          <w:lang w:eastAsia="en-GB"/>
        </w:rPr>
        <w:t>ir</w:t>
      </w:r>
      <w:r w:rsidR="00D2694F" w:rsidRPr="00BC76B8">
        <w:rPr>
          <w:rFonts w:ascii="Times New Roman" w:eastAsia="Times New Roman" w:hAnsi="Times New Roman" w:cs="Times New Roman"/>
          <w:position w:val="0"/>
          <w:sz w:val="24"/>
          <w:szCs w:val="24"/>
          <w:lang w:eastAsia="en-GB"/>
        </w:rPr>
        <w:t xml:space="preserve"> impacts. This study aimed at using the Contingent Valuation Method (CVM) to assess the willingness-to-pay for addressing extreme climate impacts to tropical reservoirs. The study focused on estimating the willingness-to-pay (WTP) of the community to two man-made lakes in Malaysia; one in an urban setting and another in a rural setting. Such </w:t>
      </w:r>
      <w:r w:rsidR="00FE0C50" w:rsidRPr="00BC76B8">
        <w:rPr>
          <w:rFonts w:ascii="Times New Roman" w:eastAsia="Times New Roman" w:hAnsi="Times New Roman" w:cs="Times New Roman"/>
          <w:position w:val="0"/>
          <w:sz w:val="24"/>
          <w:szCs w:val="24"/>
          <w:lang w:eastAsia="en-GB"/>
        </w:rPr>
        <w:t xml:space="preserve">a </w:t>
      </w:r>
      <w:r w:rsidR="00D2694F" w:rsidRPr="00BC76B8">
        <w:rPr>
          <w:rFonts w:ascii="Times New Roman" w:eastAsia="Times New Roman" w:hAnsi="Times New Roman" w:cs="Times New Roman"/>
          <w:position w:val="0"/>
          <w:sz w:val="24"/>
          <w:szCs w:val="24"/>
          <w:lang w:eastAsia="en-GB"/>
        </w:rPr>
        <w:t>study hopes to provide insight into variation in community perception in different development settings in the face of climatic effects. Public WTP is part of the Conservation Trust Funds (CTFs) that offers diverse financing mechanism to sustain conservation effort such as for protected areas (PA) management (Bladen et al., 2014). Such public WTP and CTFs, which has legal institutional structure, have been adopted in many other countries to provide sustainable financing for biodiversity conservation and protested areas (Doinjashvili et al., 2021; Bladen et al., 2014) can be extended to support the conservation of urban and rural lake basin and related sustainable development in Malaysia.</w:t>
      </w:r>
    </w:p>
    <w:p w14:paraId="1C71680A" w14:textId="478CBF17" w:rsidR="00183C2C" w:rsidRPr="00BC76B8" w:rsidRDefault="00183C2C" w:rsidP="00BC76B8">
      <w:pPr>
        <w:autoSpaceDE w:val="0"/>
        <w:autoSpaceDN w:val="0"/>
        <w:adjustRightInd w:val="0"/>
        <w:spacing w:after="0" w:line="240" w:lineRule="auto"/>
        <w:ind w:leftChars="0" w:left="0" w:firstLineChars="0" w:firstLine="0"/>
        <w:rPr>
          <w:rFonts w:ascii="Times New Roman" w:hAnsi="Times New Roman" w:cs="Times New Roman"/>
          <w:sz w:val="24"/>
          <w:szCs w:val="24"/>
        </w:rPr>
      </w:pPr>
    </w:p>
    <w:p w14:paraId="45B11602" w14:textId="77777777"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 </w:t>
      </w:r>
    </w:p>
    <w:p w14:paraId="6F11502B" w14:textId="11FB4F35"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Method and study area  </w:t>
      </w:r>
    </w:p>
    <w:p w14:paraId="063D6E59" w14:textId="77777777"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 </w:t>
      </w:r>
    </w:p>
    <w:p w14:paraId="684B45F1" w14:textId="77777777" w:rsidR="00C07761" w:rsidRPr="00BC76B8" w:rsidRDefault="00C07761" w:rsidP="00CD468E">
      <w:pPr>
        <w:spacing w:after="0" w:line="240" w:lineRule="auto"/>
        <w:ind w:leftChars="0" w:left="2" w:hanging="2"/>
        <w:jc w:val="both"/>
        <w:rPr>
          <w:rFonts w:ascii="Times New Roman" w:eastAsia="Times New Roman" w:hAnsi="Times New Roman" w:cs="Times New Roman"/>
          <w:bCs/>
          <w:i/>
          <w:iCs/>
          <w:sz w:val="24"/>
          <w:szCs w:val="24"/>
        </w:rPr>
      </w:pPr>
      <w:r w:rsidRPr="00BC76B8">
        <w:rPr>
          <w:rFonts w:ascii="Times New Roman" w:eastAsia="Times New Roman" w:hAnsi="Times New Roman" w:cs="Times New Roman"/>
          <w:bCs/>
          <w:i/>
          <w:iCs/>
          <w:sz w:val="24"/>
          <w:szCs w:val="24"/>
        </w:rPr>
        <w:t>Study sites</w:t>
      </w:r>
    </w:p>
    <w:p w14:paraId="74736FD2" w14:textId="77777777" w:rsidR="00BC76B8" w:rsidRDefault="00BC76B8" w:rsidP="00CD468E">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p>
    <w:p w14:paraId="503B8EC8" w14:textId="77777777" w:rsidR="0057758A" w:rsidRDefault="004D1E57" w:rsidP="0057758A">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r w:rsidRPr="00BC76B8">
        <w:rPr>
          <w:rFonts w:ascii="Times New Roman" w:hAnsi="Times New Roman" w:cs="Times New Roman"/>
          <w:sz w:val="24"/>
          <w:szCs w:val="24"/>
        </w:rPr>
        <w:t>This study focused on two water bodies, namely the Putrajaya Lake (urban) and Muda reservoir (rural). Currently, both lakes have different uses and attractions with no fee charged for conservation effort purposes. Putrajaya Lake has a total surface area of 4 km</w:t>
      </w:r>
      <w:r w:rsidRPr="00BC76B8">
        <w:rPr>
          <w:rFonts w:ascii="Times New Roman" w:hAnsi="Times New Roman" w:cs="Times New Roman"/>
          <w:sz w:val="24"/>
          <w:szCs w:val="24"/>
          <w:vertAlign w:val="superscript"/>
        </w:rPr>
        <w:t>2</w:t>
      </w:r>
      <w:r w:rsidRPr="00BC76B8">
        <w:rPr>
          <w:rFonts w:ascii="Times New Roman" w:hAnsi="Times New Roman" w:cs="Times New Roman"/>
          <w:sz w:val="24"/>
          <w:szCs w:val="24"/>
        </w:rPr>
        <w:t xml:space="preserve"> and designed for recreational purposes since its operation in 2003 (Figure 1a). The Putrajaya wetland with a total surface area of 2 km</w:t>
      </w:r>
      <w:r w:rsidRPr="00BC76B8">
        <w:rPr>
          <w:rFonts w:ascii="Times New Roman" w:hAnsi="Times New Roman" w:cs="Times New Roman"/>
          <w:sz w:val="24"/>
          <w:szCs w:val="24"/>
          <w:vertAlign w:val="superscript"/>
        </w:rPr>
        <w:t>2</w:t>
      </w:r>
      <w:r w:rsidRPr="00BC76B8">
        <w:rPr>
          <w:rFonts w:ascii="Times New Roman" w:hAnsi="Times New Roman" w:cs="Times New Roman"/>
          <w:sz w:val="24"/>
          <w:szCs w:val="24"/>
        </w:rPr>
        <w:t xml:space="preserve"> is the first and largest man-made wetland in Malaysia created in the year 2000 (Majizat et al., 2016). The lake and wetland system are part of the Langat River Basin and are located at the centre of the new federal administration of Malaysia, namely Putrajaya Federal Territory with a total catchment area of 51 km</w:t>
      </w:r>
      <w:r w:rsidRPr="00BC76B8">
        <w:rPr>
          <w:rFonts w:ascii="Times New Roman" w:hAnsi="Times New Roman" w:cs="Times New Roman"/>
          <w:sz w:val="24"/>
          <w:szCs w:val="24"/>
          <w:vertAlign w:val="superscript"/>
        </w:rPr>
        <w:t>2</w:t>
      </w:r>
      <w:r w:rsidRPr="00BC76B8">
        <w:rPr>
          <w:rFonts w:ascii="Times New Roman" w:hAnsi="Times New Roman" w:cs="Times New Roman"/>
          <w:sz w:val="24"/>
          <w:szCs w:val="24"/>
        </w:rPr>
        <w:t xml:space="preserve">. The lake is popular for its cultural services namely recreation and tourism activities and widely used for international water sport such as International </w:t>
      </w:r>
      <w:r w:rsidRPr="00BC76B8">
        <w:rPr>
          <w:rFonts w:ascii="Times New Roman" w:hAnsi="Times New Roman" w:cs="Times New Roman"/>
          <w:sz w:val="24"/>
          <w:szCs w:val="24"/>
        </w:rPr>
        <w:lastRenderedPageBreak/>
        <w:t xml:space="preserve">Waterski, Canoe, and Powerboat Championship (Noordin et al., 2017; Majizat et al., 2016). The main tourism site includes the Putra Mosque with a design similar to the King Hassan Mosque in Casablanca, the Moghul-style green domes Prime Minister Office building, and various bridges (Moses, 2010). The lake is also becoming a critical </w:t>
      </w:r>
      <w:r w:rsidR="00D257BA" w:rsidRPr="00BC76B8">
        <w:rPr>
          <w:rFonts w:ascii="Times New Roman" w:hAnsi="Times New Roman" w:cs="Times New Roman"/>
          <w:sz w:val="24"/>
          <w:szCs w:val="24"/>
        </w:rPr>
        <w:t xml:space="preserve">freshwater </w:t>
      </w:r>
      <w:r w:rsidRPr="00BC76B8">
        <w:rPr>
          <w:rFonts w:ascii="Times New Roman" w:hAnsi="Times New Roman" w:cs="Times New Roman"/>
          <w:sz w:val="24"/>
          <w:szCs w:val="24"/>
        </w:rPr>
        <w:t>habitat that houses more than 202 species of phytoplankton, 112 species of zooplankton, and 17 species of fish (Majizat et al., 2013). A total of 169 species of bird including 47 species of migratory birds, 1421 species of insects, and 17 species of mammals have been inventoried (Majizat et al., 2013). The artificial wetland of Putrajaya was acknowledged to have provided an alternative habitat for the foraging and breeding activities of different bird assemblages (Rajpar et al., 2013). The lake system was recognized as one of the operational sites for the UNESCO-IHP Ecohydrology Demonstration project since 2010 (Elfithri et al., 2014).</w:t>
      </w:r>
    </w:p>
    <w:p w14:paraId="7C7B920A" w14:textId="3E75562B" w:rsidR="00183C2C" w:rsidRPr="0057758A" w:rsidRDefault="0057758A" w:rsidP="0057758A">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D1E57" w:rsidRPr="00BC76B8">
        <w:rPr>
          <w:rFonts w:ascii="Times New Roman" w:hAnsi="Times New Roman" w:cs="Times New Roman"/>
          <w:sz w:val="24"/>
          <w:szCs w:val="24"/>
        </w:rPr>
        <w:t xml:space="preserve">In contrast, </w:t>
      </w:r>
      <w:r w:rsidR="00BD0620" w:rsidRPr="00BC76B8">
        <w:rPr>
          <w:rFonts w:ascii="Times New Roman" w:hAnsi="Times New Roman" w:cs="Times New Roman"/>
          <w:sz w:val="24"/>
          <w:szCs w:val="24"/>
        </w:rPr>
        <w:t>Muda Lake</w:t>
      </w:r>
      <w:r w:rsidR="004D1E57" w:rsidRPr="00BC76B8">
        <w:rPr>
          <w:rFonts w:ascii="Times New Roman" w:hAnsi="Times New Roman" w:cs="Times New Roman"/>
          <w:sz w:val="24"/>
          <w:szCs w:val="24"/>
        </w:rPr>
        <w:t xml:space="preserve"> has a total surface area of 15 km</w:t>
      </w:r>
      <w:r w:rsidR="004D1E57" w:rsidRPr="00BC76B8">
        <w:rPr>
          <w:rFonts w:ascii="Times New Roman" w:hAnsi="Times New Roman" w:cs="Times New Roman"/>
          <w:sz w:val="24"/>
          <w:szCs w:val="24"/>
          <w:vertAlign w:val="superscript"/>
        </w:rPr>
        <w:t>2</w:t>
      </w:r>
      <w:r w:rsidR="004D1E57" w:rsidRPr="00BC76B8">
        <w:rPr>
          <w:rFonts w:ascii="Times New Roman" w:hAnsi="Times New Roman" w:cs="Times New Roman"/>
          <w:sz w:val="24"/>
          <w:szCs w:val="24"/>
        </w:rPr>
        <w:t xml:space="preserve"> and was created in 1969 for irrigation of the Muda Irrigation Scheme, which is Malaysia’s largest paddy irrigation system in Kedah (Lip et al., 2010). The lake is located at the most upstream of Muda River Basin within Ulu Muda Forest reserve (Figure 1b) and has a total catchment area of 984 km</w:t>
      </w:r>
      <w:r w:rsidR="004D1E57" w:rsidRPr="00BC76B8">
        <w:rPr>
          <w:rFonts w:ascii="Times New Roman" w:hAnsi="Times New Roman" w:cs="Times New Roman"/>
          <w:sz w:val="24"/>
          <w:szCs w:val="24"/>
          <w:vertAlign w:val="superscript"/>
        </w:rPr>
        <w:t>2</w:t>
      </w:r>
      <w:r w:rsidR="004D1E57" w:rsidRPr="00BC76B8">
        <w:rPr>
          <w:rFonts w:ascii="Times New Roman" w:hAnsi="Times New Roman" w:cs="Times New Roman"/>
          <w:sz w:val="24"/>
          <w:szCs w:val="24"/>
        </w:rPr>
        <w:t>. The Ulu Muda Forest is home to 15 natural saltlicks that support a diverse array of wildlife including more than 112 species of mammals; three species categorised as endangered in the International Union for the Conservation of Nature (IUCN) Red List of Threatened Species (Bashir, 2014). Muda Lake Basin is also an important habitat for many endangered species. The lake has moderate fish diversity but has become a source of income to more than 400 fishermen (Lee et al., 2013).</w:t>
      </w:r>
      <w:r w:rsidR="00C07761" w:rsidRPr="00BC76B8">
        <w:rPr>
          <w:rFonts w:ascii="Times New Roman" w:eastAsia="Times New Roman" w:hAnsi="Times New Roman" w:cs="Times New Roman"/>
          <w:b/>
          <w:sz w:val="24"/>
          <w:szCs w:val="24"/>
        </w:rPr>
        <w:t xml:space="preserve"> </w:t>
      </w:r>
    </w:p>
    <w:p w14:paraId="30B24A7E" w14:textId="0D12D3D4" w:rsidR="00C07761"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r w:rsidRPr="00BC76B8">
        <w:rPr>
          <w:noProof/>
          <w:lang w:val="en-MY" w:eastAsia="en-MY"/>
        </w:rPr>
        <mc:AlternateContent>
          <mc:Choice Requires="wps">
            <w:drawing>
              <wp:anchor distT="0" distB="0" distL="0" distR="0" simplePos="0" relativeHeight="251662336" behindDoc="0" locked="0" layoutInCell="1" hidden="0" allowOverlap="1" wp14:anchorId="26551394" wp14:editId="38CE8CE5">
                <wp:simplePos x="0" y="0"/>
                <wp:positionH relativeFrom="margin">
                  <wp:posOffset>100742</wp:posOffset>
                </wp:positionH>
                <wp:positionV relativeFrom="paragraph">
                  <wp:posOffset>175260</wp:posOffset>
                </wp:positionV>
                <wp:extent cx="5654040" cy="3040380"/>
                <wp:effectExtent l="0" t="0" r="22860" b="26670"/>
                <wp:wrapSquare wrapText="bothSides" distT="0" distB="0" distL="0" distR="0"/>
                <wp:docPr id="6" name="Rectangle 6"/>
                <wp:cNvGraphicFramePr/>
                <a:graphic xmlns:a="http://schemas.openxmlformats.org/drawingml/2006/main">
                  <a:graphicData uri="http://schemas.microsoft.com/office/word/2010/wordprocessingShape">
                    <wps:wsp>
                      <wps:cNvSpPr/>
                      <wps:spPr>
                        <a:xfrm>
                          <a:off x="0" y="0"/>
                          <a:ext cx="5654040" cy="304038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4D1BB7F" w14:textId="5B848F3C" w:rsidR="00855827" w:rsidRDefault="00855827" w:rsidP="00BC76B8">
                            <w:pPr>
                              <w:spacing w:after="0" w:line="240" w:lineRule="auto"/>
                              <w:ind w:left="0" w:hanging="2"/>
                              <w:jc w:val="center"/>
                            </w:pPr>
                            <w:r>
                              <w:rPr>
                                <w:noProof/>
                                <w:lang w:val="en-MY" w:eastAsia="en-MY"/>
                              </w:rPr>
                              <w:drawing>
                                <wp:inline distT="0" distB="0" distL="0" distR="0" wp14:anchorId="0777CC5D" wp14:editId="2A854CE8">
                                  <wp:extent cx="5288280" cy="2781300"/>
                                  <wp:effectExtent l="0" t="0" r="762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8"/>
                                          <a:srcRect l="1066" t="2678" r="1373" b="2678"/>
                                          <a:stretch/>
                                        </pic:blipFill>
                                        <pic:spPr bwMode="auto">
                                          <a:xfrm>
                                            <a:off x="0" y="0"/>
                                            <a:ext cx="5288280" cy="27813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6551394" id="Rectangle 6" o:spid="_x0000_s1026" style="position:absolute;left:0;text-align:left;margin-left:7.95pt;margin-top:13.8pt;width:445.2pt;height:239.4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">
                <v:stroke startarrowwidth="narrow" startarrowlength="short" endarrowwidth="narrow" endarrowlength="short" joinstyle="round"/>
                <v:textbox inset="2.53958mm,2.53958mm,2.53958mm,2.53958mm">
                  <w:txbxContent>
                    <w:p w14:paraId="54D1BB7F" w14:textId="5B848F3C" w:rsidR="00855827" w:rsidRDefault="00855827" w:rsidP="00BC76B8">
                      <w:pPr>
                        <w:spacing w:after="0" w:line="240" w:lineRule="auto"/>
                        <w:ind w:left="0" w:hanging="2"/>
                        <w:jc w:val="center"/>
                      </w:pPr>
                      <w:r>
                        <w:rPr>
                          <w:noProof/>
                          <w:lang w:val="en-MY" w:eastAsia="en-MY"/>
                        </w:rPr>
                        <w:drawing>
                          <wp:inline distT="0" distB="0" distL="0" distR="0" wp14:anchorId="0777CC5D" wp14:editId="2A854CE8">
                            <wp:extent cx="5288280" cy="2781300"/>
                            <wp:effectExtent l="0" t="0" r="762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a:srcRect l="1066" t="2678" r="1373" b="2678"/>
                                    <a:stretch/>
                                  </pic:blipFill>
                                  <pic:spPr bwMode="auto">
                                    <a:xfrm>
                                      <a:off x="0" y="0"/>
                                      <a:ext cx="5288280" cy="27813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rect>
            </w:pict>
          </mc:Fallback>
        </mc:AlternateContent>
      </w:r>
    </w:p>
    <w:p w14:paraId="1400C999" w14:textId="77777777" w:rsidR="00C07761" w:rsidRPr="00BC76B8" w:rsidRDefault="00C07761" w:rsidP="00BC76B8">
      <w:pPr>
        <w:spacing w:before="120" w:after="0" w:line="240" w:lineRule="auto"/>
        <w:ind w:leftChars="0" w:left="2" w:hanging="2"/>
        <w:jc w:val="center"/>
        <w:rPr>
          <w:rFonts w:ascii="Times New Roman" w:hAnsi="Times New Roman" w:cs="Times New Roman"/>
          <w:sz w:val="20"/>
          <w:szCs w:val="20"/>
        </w:rPr>
      </w:pPr>
      <w:r w:rsidRPr="00BC76B8">
        <w:rPr>
          <w:rFonts w:ascii="Times New Roman" w:hAnsi="Times New Roman" w:cs="Times New Roman"/>
          <w:b/>
          <w:sz w:val="20"/>
          <w:szCs w:val="20"/>
        </w:rPr>
        <w:t>Figure 1</w:t>
      </w:r>
      <w:r w:rsidRPr="00BC76B8">
        <w:rPr>
          <w:rFonts w:ascii="Times New Roman" w:hAnsi="Times New Roman" w:cs="Times New Roman"/>
          <w:sz w:val="20"/>
          <w:szCs w:val="20"/>
        </w:rPr>
        <w:t>. Study area within the river basin of the state</w:t>
      </w:r>
    </w:p>
    <w:p w14:paraId="7DBA4CA4" w14:textId="77777777" w:rsidR="00C07761"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p>
    <w:p w14:paraId="45F817B0" w14:textId="77777777" w:rsidR="00C07761" w:rsidRPr="00BC76B8" w:rsidRDefault="00C07761" w:rsidP="00CD468E">
      <w:pPr>
        <w:spacing w:after="0" w:line="240" w:lineRule="auto"/>
        <w:ind w:leftChars="0" w:left="2" w:hanging="2"/>
        <w:jc w:val="both"/>
        <w:rPr>
          <w:rFonts w:ascii="Times New Roman" w:eastAsia="Times New Roman" w:hAnsi="Times New Roman" w:cs="Times New Roman"/>
          <w:bCs/>
          <w:i/>
          <w:iCs/>
          <w:sz w:val="24"/>
          <w:szCs w:val="24"/>
        </w:rPr>
      </w:pPr>
      <w:r w:rsidRPr="00BC76B8">
        <w:rPr>
          <w:rFonts w:ascii="Times New Roman" w:eastAsia="Times New Roman" w:hAnsi="Times New Roman" w:cs="Times New Roman"/>
          <w:bCs/>
          <w:i/>
          <w:iCs/>
          <w:sz w:val="24"/>
          <w:szCs w:val="24"/>
        </w:rPr>
        <w:t xml:space="preserve">Survey design </w:t>
      </w:r>
    </w:p>
    <w:p w14:paraId="59B198AC" w14:textId="77777777" w:rsidR="00C07761" w:rsidRPr="00BC76B8" w:rsidRDefault="00C07761" w:rsidP="00CD468E">
      <w:pPr>
        <w:spacing w:after="0" w:line="240" w:lineRule="auto"/>
        <w:ind w:leftChars="0" w:left="2" w:hanging="2"/>
        <w:jc w:val="both"/>
        <w:rPr>
          <w:rFonts w:ascii="Times New Roman" w:hAnsi="Times New Roman" w:cs="Times New Roman"/>
          <w:sz w:val="24"/>
          <w:szCs w:val="24"/>
        </w:rPr>
      </w:pPr>
    </w:p>
    <w:p w14:paraId="0D3AE13E" w14:textId="5022FF72" w:rsidR="00C07761" w:rsidRPr="00BC76B8" w:rsidRDefault="00C07761" w:rsidP="00CD468E">
      <w:pPr>
        <w:spacing w:after="0" w:line="240" w:lineRule="auto"/>
        <w:ind w:leftChars="0" w:left="2" w:hanging="2"/>
        <w:jc w:val="both"/>
        <w:rPr>
          <w:rFonts w:ascii="Times New Roman" w:hAnsi="Times New Roman" w:cs="Times New Roman"/>
          <w:sz w:val="24"/>
          <w:szCs w:val="24"/>
        </w:rPr>
      </w:pPr>
      <w:r w:rsidRPr="00BC76B8">
        <w:rPr>
          <w:rFonts w:ascii="Times New Roman" w:hAnsi="Times New Roman" w:cs="Times New Roman"/>
          <w:sz w:val="24"/>
          <w:szCs w:val="24"/>
        </w:rPr>
        <w:t xml:space="preserve">A set of structured questionnaires was developed and used to collect information. The impact and extent of climatic changes namely drought and flood map were demarcated in the questionnaires. </w:t>
      </w:r>
      <w:r w:rsidR="00A82EBC" w:rsidRPr="00BC76B8">
        <w:rPr>
          <w:rFonts w:ascii="Times New Roman" w:hAnsi="Times New Roman" w:cs="Times New Roman"/>
          <w:sz w:val="24"/>
          <w:szCs w:val="24"/>
        </w:rPr>
        <w:t>A f</w:t>
      </w:r>
      <w:r w:rsidRPr="00BC76B8">
        <w:rPr>
          <w:rFonts w:ascii="Times New Roman" w:hAnsi="Times New Roman" w:cs="Times New Roman"/>
          <w:sz w:val="24"/>
          <w:szCs w:val="24"/>
        </w:rPr>
        <w:t xml:space="preserve">ield survey was conducted separately starting with Putrajaya Lake from August to November 2018 and Muda Lake from August to September 2018. </w:t>
      </w:r>
      <w:r w:rsidR="00D257BA" w:rsidRPr="00BC76B8">
        <w:rPr>
          <w:rFonts w:ascii="Times New Roman" w:hAnsi="Times New Roman" w:cs="Times New Roman"/>
          <w:sz w:val="24"/>
          <w:szCs w:val="24"/>
        </w:rPr>
        <w:t xml:space="preserve">The number of responses received from </w:t>
      </w:r>
      <w:r w:rsidR="00D257BA" w:rsidRPr="00BC76B8">
        <w:rPr>
          <w:rFonts w:ascii="Times New Roman" w:hAnsi="Times New Roman" w:cs="Times New Roman"/>
          <w:sz w:val="24"/>
          <w:szCs w:val="24"/>
        </w:rPr>
        <w:lastRenderedPageBreak/>
        <w:t>random f</w:t>
      </w:r>
      <w:r w:rsidRPr="00BC76B8">
        <w:rPr>
          <w:rFonts w:ascii="Times New Roman" w:hAnsi="Times New Roman" w:cs="Times New Roman"/>
          <w:sz w:val="24"/>
          <w:szCs w:val="24"/>
        </w:rPr>
        <w:t>ace-to-face questionnaire interview</w:t>
      </w:r>
      <w:r w:rsidR="00A82EBC" w:rsidRPr="00BC76B8">
        <w:rPr>
          <w:rFonts w:ascii="Times New Roman" w:hAnsi="Times New Roman" w:cs="Times New Roman"/>
          <w:sz w:val="24"/>
          <w:szCs w:val="24"/>
        </w:rPr>
        <w:t>s</w:t>
      </w:r>
      <w:r w:rsidRPr="00BC76B8">
        <w:rPr>
          <w:rFonts w:ascii="Times New Roman" w:hAnsi="Times New Roman" w:cs="Times New Roman"/>
          <w:sz w:val="24"/>
          <w:szCs w:val="24"/>
        </w:rPr>
        <w:t xml:space="preserve"> on visitors and local communities at Putrajaya and Muda w</w:t>
      </w:r>
      <w:r w:rsidR="00D257BA" w:rsidRPr="00BC76B8">
        <w:rPr>
          <w:rFonts w:ascii="Times New Roman" w:hAnsi="Times New Roman" w:cs="Times New Roman"/>
          <w:sz w:val="24"/>
          <w:szCs w:val="24"/>
        </w:rPr>
        <w:t>as</w:t>
      </w:r>
      <w:r w:rsidRPr="00BC76B8">
        <w:rPr>
          <w:rFonts w:ascii="Times New Roman" w:hAnsi="Times New Roman" w:cs="Times New Roman"/>
          <w:sz w:val="24"/>
          <w:szCs w:val="24"/>
        </w:rPr>
        <w:t xml:space="preserve"> </w:t>
      </w:r>
      <w:r w:rsidR="00D257BA" w:rsidRPr="00BC76B8">
        <w:rPr>
          <w:rFonts w:ascii="Times New Roman" w:hAnsi="Times New Roman" w:cs="Times New Roman"/>
          <w:sz w:val="24"/>
          <w:szCs w:val="24"/>
        </w:rPr>
        <w:t>300 and 324 adults, respectively</w:t>
      </w:r>
      <w:r w:rsidRPr="00BC76B8">
        <w:rPr>
          <w:rFonts w:ascii="Times New Roman" w:hAnsi="Times New Roman" w:cs="Times New Roman"/>
          <w:sz w:val="24"/>
          <w:szCs w:val="24"/>
        </w:rPr>
        <w:t xml:space="preserve">. </w:t>
      </w:r>
      <w:r w:rsidR="00E338C6" w:rsidRPr="00BC76B8">
        <w:rPr>
          <w:rFonts w:ascii="Times New Roman" w:hAnsi="Times New Roman" w:cs="Times New Roman"/>
          <w:sz w:val="24"/>
          <w:szCs w:val="24"/>
        </w:rPr>
        <w:t>Local communities involved premises located within the flood zone.</w:t>
      </w:r>
      <w:r w:rsidRPr="00BC76B8">
        <w:rPr>
          <w:rFonts w:ascii="Times New Roman" w:hAnsi="Times New Roman" w:cs="Times New Roman"/>
          <w:sz w:val="24"/>
          <w:szCs w:val="24"/>
        </w:rPr>
        <w:t xml:space="preserve"> All valid responses from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Muda Lake survey and 298 valid responses from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Putrajaya Lake survey were used for the analysis due to missing values resulting from non-responses to certain questions. The questionnaires for the survey process were prepared according to commonly used local bidding price</w:t>
      </w:r>
      <w:r w:rsidR="00A82EBC" w:rsidRPr="00BC76B8">
        <w:rPr>
          <w:rFonts w:ascii="Times New Roman" w:hAnsi="Times New Roman" w:cs="Times New Roman"/>
          <w:sz w:val="24"/>
          <w:szCs w:val="24"/>
        </w:rPr>
        <w:t>s</w:t>
      </w:r>
      <w:r w:rsidRPr="00BC76B8">
        <w:rPr>
          <w:rFonts w:ascii="Times New Roman" w:hAnsi="Times New Roman" w:cs="Times New Roman"/>
          <w:sz w:val="24"/>
          <w:szCs w:val="24"/>
        </w:rPr>
        <w:t xml:space="preserve"> in CVM, i.e.</w:t>
      </w:r>
      <w:r w:rsidR="00A82EBC" w:rsidRPr="00BC76B8">
        <w:rPr>
          <w:rFonts w:ascii="Times New Roman" w:hAnsi="Times New Roman" w:cs="Times New Roman"/>
          <w:sz w:val="24"/>
          <w:szCs w:val="24"/>
        </w:rPr>
        <w:t>,</w:t>
      </w:r>
      <w:r w:rsidRPr="00BC76B8">
        <w:rPr>
          <w:rFonts w:ascii="Times New Roman" w:hAnsi="Times New Roman" w:cs="Times New Roman"/>
          <w:sz w:val="24"/>
          <w:szCs w:val="24"/>
        </w:rPr>
        <w:t xml:space="preserve"> RM1.00 (USD0.24), RM5.00 (USD1.20), RM10.00 (USD2.40), RM15.00 (USD3.60)</w:t>
      </w:r>
      <w:r w:rsidR="00A82EBC" w:rsidRPr="00BC76B8">
        <w:rPr>
          <w:rFonts w:ascii="Times New Roman" w:hAnsi="Times New Roman" w:cs="Times New Roman"/>
          <w:sz w:val="24"/>
          <w:szCs w:val="24"/>
        </w:rPr>
        <w:t>,</w:t>
      </w:r>
      <w:r w:rsidRPr="00BC76B8">
        <w:rPr>
          <w:rFonts w:ascii="Times New Roman" w:hAnsi="Times New Roman" w:cs="Times New Roman"/>
          <w:sz w:val="24"/>
          <w:szCs w:val="24"/>
        </w:rPr>
        <w:t xml:space="preserve"> and RM20.00 (USD4.80). </w:t>
      </w:r>
      <w:r w:rsidR="00A82EBC" w:rsidRPr="00BC76B8">
        <w:rPr>
          <w:rFonts w:ascii="Times New Roman" w:hAnsi="Times New Roman" w:cs="Times New Roman"/>
          <w:sz w:val="24"/>
          <w:szCs w:val="24"/>
        </w:rPr>
        <w:t>To</w:t>
      </w:r>
      <w:r w:rsidRPr="00BC76B8">
        <w:rPr>
          <w:rFonts w:ascii="Times New Roman" w:hAnsi="Times New Roman" w:cs="Times New Roman"/>
          <w:sz w:val="24"/>
          <w:szCs w:val="24"/>
        </w:rPr>
        <w:t xml:space="preserve"> obtain answers that reflect the true maximum WTP of the respondents, a single bounded dichotomous choice is used. The respondents were asked whether they are willing or not (yes/no answer) to pay a pre-determined amount of contribution to the climate change and conservation trust fund (bid price) for preventing its impacts on the lake. The bid price was randomly assigned among respondents </w:t>
      </w:r>
      <w:r w:rsidR="00BE53F4" w:rsidRPr="00BC76B8">
        <w:rPr>
          <w:rFonts w:ascii="Times New Roman" w:hAnsi="Times New Roman" w:cs="Times New Roman"/>
          <w:sz w:val="24"/>
          <w:szCs w:val="24"/>
        </w:rPr>
        <w:t>to</w:t>
      </w:r>
      <w:r w:rsidRPr="00BC76B8">
        <w:rPr>
          <w:rFonts w:ascii="Times New Roman" w:hAnsi="Times New Roman" w:cs="Times New Roman"/>
          <w:sz w:val="24"/>
          <w:szCs w:val="24"/>
        </w:rPr>
        <w:t xml:space="preserve"> generate bid price variation. The respondents of the survey were selected based on </w:t>
      </w:r>
      <w:r w:rsidR="00FE0C50" w:rsidRPr="00BC76B8">
        <w:rPr>
          <w:rFonts w:ascii="Times New Roman" w:hAnsi="Times New Roman" w:cs="Times New Roman"/>
          <w:sz w:val="24"/>
          <w:szCs w:val="24"/>
        </w:rPr>
        <w:t xml:space="preserve">a </w:t>
      </w:r>
      <w:r w:rsidRPr="00BC76B8">
        <w:rPr>
          <w:rFonts w:ascii="Times New Roman" w:hAnsi="Times New Roman" w:cs="Times New Roman"/>
          <w:sz w:val="24"/>
          <w:szCs w:val="24"/>
        </w:rPr>
        <w:t>random sampling of people living and working around the study areas or visiting the lake. Flood and drought maps of extreme climate impact on Lakes were shown as reference map</w:t>
      </w:r>
      <w:r w:rsidR="00FE0C50" w:rsidRPr="00BC76B8">
        <w:rPr>
          <w:rFonts w:ascii="Times New Roman" w:hAnsi="Times New Roman" w:cs="Times New Roman"/>
          <w:sz w:val="24"/>
          <w:szCs w:val="24"/>
        </w:rPr>
        <w:t>s</w:t>
      </w:r>
      <w:r w:rsidRPr="00BC76B8">
        <w:rPr>
          <w:rFonts w:ascii="Times New Roman" w:hAnsi="Times New Roman" w:cs="Times New Roman"/>
          <w:sz w:val="24"/>
          <w:szCs w:val="24"/>
        </w:rPr>
        <w:t xml:space="preserve"> in the questionnaires. </w:t>
      </w:r>
      <w:r w:rsidR="00D3231D" w:rsidRPr="00BC76B8">
        <w:rPr>
          <w:rFonts w:ascii="Times New Roman" w:hAnsi="Times New Roman" w:cs="Times New Roman"/>
          <w:sz w:val="24"/>
          <w:szCs w:val="24"/>
        </w:rPr>
        <w:t>Flood and drought maps were drawn based on the flood hydrograph of 100-years ARI or return period using climate change projection data findings (unpublished report: NAHRIM, 2017</w:t>
      </w:r>
      <w:r w:rsidR="00B75A49" w:rsidRPr="00BC76B8">
        <w:rPr>
          <w:rFonts w:ascii="Times New Roman" w:hAnsi="Times New Roman" w:cs="Times New Roman"/>
          <w:sz w:val="24"/>
          <w:szCs w:val="24"/>
        </w:rPr>
        <w:t>; Perbadanan Putrajaya, 1996</w:t>
      </w:r>
      <w:r w:rsidR="00D3231D" w:rsidRPr="00BC76B8">
        <w:rPr>
          <w:rFonts w:ascii="Times New Roman" w:hAnsi="Times New Roman" w:cs="Times New Roman"/>
          <w:sz w:val="24"/>
          <w:szCs w:val="24"/>
        </w:rPr>
        <w:t xml:space="preserve">). Maps were reconfirmed with the designed dam structure and the probable maximum flood level of which </w:t>
      </w:r>
      <w:r w:rsidR="00E338C6" w:rsidRPr="00BC76B8">
        <w:rPr>
          <w:rFonts w:ascii="Times New Roman" w:hAnsi="Times New Roman" w:cs="Times New Roman"/>
          <w:sz w:val="24"/>
          <w:szCs w:val="24"/>
        </w:rPr>
        <w:t xml:space="preserve">lake </w:t>
      </w:r>
      <w:r w:rsidR="00D3231D" w:rsidRPr="00BC76B8">
        <w:rPr>
          <w:rFonts w:ascii="Times New Roman" w:hAnsi="Times New Roman" w:cs="Times New Roman"/>
          <w:sz w:val="24"/>
          <w:szCs w:val="24"/>
        </w:rPr>
        <w:t xml:space="preserve">water level changes range between </w:t>
      </w:r>
      <w:r w:rsidR="00B75A49" w:rsidRPr="00BC76B8">
        <w:rPr>
          <w:rFonts w:ascii="Times New Roman" w:hAnsi="Times New Roman" w:cs="Times New Roman"/>
          <w:sz w:val="24"/>
          <w:szCs w:val="24"/>
        </w:rPr>
        <w:t>0.5</w:t>
      </w:r>
      <w:r w:rsidR="00D3231D" w:rsidRPr="00BC76B8">
        <w:rPr>
          <w:rFonts w:ascii="Times New Roman" w:hAnsi="Times New Roman" w:cs="Times New Roman"/>
          <w:sz w:val="24"/>
          <w:szCs w:val="24"/>
        </w:rPr>
        <w:t xml:space="preserve"> to 3 m</w:t>
      </w:r>
      <w:r w:rsidR="00B75A49" w:rsidRPr="00BC76B8">
        <w:rPr>
          <w:rFonts w:ascii="Times New Roman" w:hAnsi="Times New Roman" w:cs="Times New Roman"/>
          <w:sz w:val="24"/>
          <w:szCs w:val="24"/>
        </w:rPr>
        <w:t>.</w:t>
      </w:r>
    </w:p>
    <w:p w14:paraId="26DFCA70" w14:textId="3104366D" w:rsidR="00C07761" w:rsidRPr="00BC76B8" w:rsidRDefault="00C07761" w:rsidP="00CD468E">
      <w:pPr>
        <w:spacing w:after="0" w:line="240" w:lineRule="auto"/>
        <w:ind w:leftChars="0" w:left="2" w:hanging="2"/>
        <w:jc w:val="both"/>
        <w:rPr>
          <w:rFonts w:ascii="Times New Roman" w:eastAsia="Times New Roman" w:hAnsi="Times New Roman" w:cs="Times New Roman"/>
          <w:b/>
          <w:sz w:val="24"/>
          <w:szCs w:val="24"/>
        </w:rPr>
      </w:pPr>
    </w:p>
    <w:p w14:paraId="7265E607" w14:textId="77777777" w:rsidR="00C07761" w:rsidRPr="00BC76B8" w:rsidRDefault="00C07761" w:rsidP="00CD468E">
      <w:pPr>
        <w:spacing w:after="0" w:line="240" w:lineRule="auto"/>
        <w:ind w:leftChars="0" w:left="2" w:hanging="2"/>
        <w:jc w:val="both"/>
        <w:rPr>
          <w:rFonts w:ascii="Times New Roman" w:eastAsia="Times New Roman" w:hAnsi="Times New Roman" w:cs="Times New Roman"/>
          <w:bCs/>
          <w:i/>
          <w:iCs/>
          <w:sz w:val="24"/>
          <w:szCs w:val="24"/>
        </w:rPr>
      </w:pPr>
      <w:r w:rsidRPr="00BC76B8">
        <w:rPr>
          <w:rFonts w:ascii="Times New Roman" w:eastAsia="Times New Roman" w:hAnsi="Times New Roman" w:cs="Times New Roman"/>
          <w:bCs/>
          <w:i/>
          <w:iCs/>
          <w:sz w:val="24"/>
          <w:szCs w:val="24"/>
        </w:rPr>
        <w:t xml:space="preserve">Economic valuation and analysis </w:t>
      </w:r>
    </w:p>
    <w:p w14:paraId="4A36955A" w14:textId="77777777" w:rsidR="00C07761" w:rsidRPr="00BC76B8" w:rsidRDefault="00C07761" w:rsidP="00CD468E">
      <w:pPr>
        <w:spacing w:after="0" w:line="240" w:lineRule="auto"/>
        <w:ind w:leftChars="0" w:left="2" w:hanging="2"/>
        <w:jc w:val="both"/>
        <w:rPr>
          <w:rFonts w:ascii="Times New Roman" w:eastAsia="Times New Roman" w:hAnsi="Times New Roman" w:cs="Times New Roman"/>
          <w:b/>
          <w:sz w:val="24"/>
          <w:szCs w:val="24"/>
        </w:rPr>
      </w:pPr>
    </w:p>
    <w:p w14:paraId="5C516E97" w14:textId="77777777" w:rsidR="0057758A" w:rsidRDefault="00C07761" w:rsidP="0057758A">
      <w:pPr>
        <w:autoSpaceDE w:val="0"/>
        <w:autoSpaceDN w:val="0"/>
        <w:adjustRightInd w:val="0"/>
        <w:spacing w:after="0" w:line="240" w:lineRule="auto"/>
        <w:ind w:leftChars="0" w:left="2" w:hanging="2"/>
        <w:jc w:val="both"/>
        <w:rPr>
          <w:rFonts w:ascii="Times New Roman" w:hAnsi="Times New Roman" w:cs="Times New Roman"/>
          <w:sz w:val="24"/>
          <w:szCs w:val="24"/>
        </w:rPr>
      </w:pPr>
      <w:r w:rsidRPr="00BC76B8">
        <w:rPr>
          <w:rFonts w:ascii="Times New Roman" w:hAnsi="Times New Roman" w:cs="Times New Roman"/>
          <w:sz w:val="24"/>
          <w:szCs w:val="24"/>
        </w:rPr>
        <w:t xml:space="preserve">CVM is the preferred approach that </w:t>
      </w:r>
      <w:r w:rsidR="00A82EBC" w:rsidRPr="00BC76B8">
        <w:rPr>
          <w:rFonts w:ascii="Times New Roman" w:hAnsi="Times New Roman" w:cs="Times New Roman"/>
          <w:sz w:val="24"/>
          <w:szCs w:val="24"/>
        </w:rPr>
        <w:t xml:space="preserve">is </w:t>
      </w:r>
      <w:r w:rsidRPr="00BC76B8">
        <w:rPr>
          <w:rFonts w:ascii="Times New Roman" w:hAnsi="Times New Roman" w:cs="Times New Roman"/>
          <w:sz w:val="24"/>
          <w:szCs w:val="24"/>
        </w:rPr>
        <w:t xml:space="preserve">based on stated preference to determine the value of ecosystem services, where market prices were unavailable. The method used </w:t>
      </w:r>
      <w:r w:rsidR="00A82EBC" w:rsidRPr="00BC76B8">
        <w:rPr>
          <w:rFonts w:ascii="Times New Roman" w:hAnsi="Times New Roman" w:cs="Times New Roman"/>
          <w:sz w:val="24"/>
          <w:szCs w:val="24"/>
        </w:rPr>
        <w:t xml:space="preserve">a </w:t>
      </w:r>
      <w:r w:rsidRPr="00BC76B8">
        <w:rPr>
          <w:rFonts w:ascii="Times New Roman" w:hAnsi="Times New Roman" w:cs="Times New Roman"/>
          <w:sz w:val="24"/>
          <w:szCs w:val="24"/>
        </w:rPr>
        <w:t xml:space="preserve">social survey questionnaire by posing hypothetical scenarios that involve the description of options or alternatives and estimating the willingness of respondents to pay for such services (Degroot et al., 2002). </w:t>
      </w:r>
    </w:p>
    <w:p w14:paraId="7260549F" w14:textId="6903FA8C" w:rsidR="00C07761" w:rsidRPr="00BC76B8" w:rsidRDefault="0057758A" w:rsidP="0057758A">
      <w:pPr>
        <w:autoSpaceDE w:val="0"/>
        <w:autoSpaceDN w:val="0"/>
        <w:adjustRightInd w:val="0"/>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608B1" w:rsidRPr="00BC76B8">
        <w:rPr>
          <w:rFonts w:ascii="Times New Roman" w:hAnsi="Times New Roman" w:cs="Times New Roman"/>
          <w:sz w:val="24"/>
          <w:szCs w:val="24"/>
        </w:rPr>
        <w:t xml:space="preserve">The mean willingness to pay (WTP) is computed based on the logit regression model </w:t>
      </w:r>
      <w:r w:rsidR="00107136" w:rsidRPr="00BC76B8">
        <w:rPr>
          <w:rFonts w:ascii="Times New Roman" w:hAnsi="Times New Roman" w:cs="Times New Roman"/>
          <w:sz w:val="24"/>
          <w:szCs w:val="24"/>
        </w:rPr>
        <w:t>following Haab and McConnel (2002) a</w:t>
      </w:r>
      <w:r w:rsidR="00C07761" w:rsidRPr="00BC76B8">
        <w:rPr>
          <w:rFonts w:ascii="Times New Roman" w:hAnsi="Times New Roman" w:cs="Times New Roman"/>
          <w:sz w:val="24"/>
          <w:szCs w:val="24"/>
        </w:rPr>
        <w:t xml:space="preserve">s </w:t>
      </w:r>
      <w:r w:rsidR="00107136" w:rsidRPr="00BC76B8">
        <w:rPr>
          <w:rFonts w:ascii="Times New Roman" w:hAnsi="Times New Roman" w:cs="Times New Roman"/>
          <w:sz w:val="24"/>
          <w:szCs w:val="24"/>
        </w:rPr>
        <w:t>in</w:t>
      </w:r>
      <w:r w:rsidR="00C07761" w:rsidRPr="00BC76B8">
        <w:rPr>
          <w:rFonts w:ascii="Times New Roman" w:hAnsi="Times New Roman" w:cs="Times New Roman"/>
          <w:sz w:val="24"/>
          <w:szCs w:val="24"/>
        </w:rPr>
        <w:t xml:space="preserve"> equation (1) below:</w:t>
      </w:r>
    </w:p>
    <w:p w14:paraId="023D81F0" w14:textId="0085E05A" w:rsidR="00C07761" w:rsidRPr="00BC76B8" w:rsidRDefault="009A7C1B" w:rsidP="0057758A">
      <w:pPr>
        <w:spacing w:after="120" w:line="240" w:lineRule="auto"/>
        <w:ind w:leftChars="0" w:left="720" w:firstLineChars="0" w:firstLine="720"/>
        <w:rPr>
          <w:rFonts w:ascii="Times New Roman" w:hAnsi="Times New Roman" w:cs="Times New Roman"/>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 xml:space="preserve">Y= </m:t>
            </m:r>
            <m:f>
              <m:fPr>
                <m:type m:val="skw"/>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den>
            </m:f>
          </m:e>
        </m:d>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 xml:space="preserve">1+ </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Bid+</m:t>
                    </m:r>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m:t>
                            </m:r>
                          </m:sub>
                        </m:sSub>
                      </m:e>
                    </m:nary>
                  </m:e>
                </m:d>
              </m:sup>
            </m:sSup>
          </m:den>
        </m:f>
      </m:oMath>
      <w:r w:rsidR="00193F4B" w:rsidRPr="00BC76B8">
        <w:tab/>
      </w:r>
      <w:r w:rsidR="00BC76B8">
        <w:tab/>
      </w:r>
      <w:r w:rsidR="00BC76B8">
        <w:tab/>
      </w:r>
      <w:r w:rsidR="00193F4B" w:rsidRPr="00BC76B8">
        <w:rPr>
          <w:rFonts w:ascii="Times New Roman" w:hAnsi="Times New Roman" w:cs="Times New Roman"/>
          <w:sz w:val="24"/>
          <w:szCs w:val="24"/>
        </w:rPr>
        <w:t>(1)</w:t>
      </w:r>
    </w:p>
    <w:p w14:paraId="05620F10" w14:textId="77777777" w:rsidR="0006388D" w:rsidRDefault="0006388D" w:rsidP="00CD468E">
      <w:pPr>
        <w:spacing w:after="0" w:line="240" w:lineRule="auto"/>
        <w:ind w:leftChars="0" w:left="2" w:hanging="2"/>
        <w:jc w:val="both"/>
        <w:rPr>
          <w:rFonts w:ascii="Times New Roman" w:hAnsi="Times New Roman" w:cs="Times New Roman"/>
          <w:sz w:val="24"/>
          <w:szCs w:val="24"/>
        </w:rPr>
      </w:pPr>
    </w:p>
    <w:p w14:paraId="0CAE8CC3" w14:textId="48D7443F" w:rsidR="00C07761" w:rsidRPr="00BC76B8" w:rsidRDefault="00C07761" w:rsidP="00CD468E">
      <w:pPr>
        <w:spacing w:after="0" w:line="240" w:lineRule="auto"/>
        <w:ind w:leftChars="0" w:left="2" w:hanging="2"/>
        <w:jc w:val="both"/>
        <w:rPr>
          <w:rFonts w:ascii="Times New Roman" w:hAnsi="Times New Roman" w:cs="Times New Roman"/>
          <w:sz w:val="24"/>
          <w:szCs w:val="24"/>
        </w:rPr>
      </w:pPr>
      <w:r w:rsidRPr="00BC76B8">
        <w:rPr>
          <w:rFonts w:ascii="Times New Roman" w:hAnsi="Times New Roman" w:cs="Times New Roman"/>
          <w:sz w:val="24"/>
          <w:szCs w:val="24"/>
        </w:rPr>
        <w:t xml:space="preserve">Where P is the probability to say YES, Bid is </w:t>
      </w:r>
      <w:r w:rsidR="00FE0C50" w:rsidRPr="00BC76B8">
        <w:rPr>
          <w:rFonts w:ascii="Times New Roman" w:hAnsi="Times New Roman" w:cs="Times New Roman"/>
          <w:sz w:val="24"/>
          <w:szCs w:val="24"/>
        </w:rPr>
        <w:t xml:space="preserve">the </w:t>
      </w:r>
      <w:r w:rsidRPr="00BC76B8">
        <w:rPr>
          <w:rFonts w:ascii="Times New Roman" w:hAnsi="Times New Roman" w:cs="Times New Roman"/>
          <w:sz w:val="24"/>
          <w:szCs w:val="24"/>
        </w:rPr>
        <w:t>bid price, S is socio-economic variables (income, age, gender, etc.).</w:t>
      </w:r>
    </w:p>
    <w:p w14:paraId="7F910B13" w14:textId="77777777" w:rsidR="0006388D" w:rsidRDefault="0006388D" w:rsidP="0006388D">
      <w:pPr>
        <w:spacing w:after="0" w:line="240" w:lineRule="auto"/>
        <w:ind w:leftChars="0" w:left="0" w:firstLineChars="0" w:firstLine="0"/>
        <w:rPr>
          <w:rFonts w:ascii="Times New Roman" w:hAnsi="Times New Roman" w:cs="Times New Roman"/>
          <w:sz w:val="24"/>
          <w:szCs w:val="24"/>
        </w:rPr>
      </w:pPr>
    </w:p>
    <w:p w14:paraId="798FCAE8" w14:textId="5C4456EF" w:rsidR="00C07761" w:rsidRPr="00BC76B8" w:rsidRDefault="00C07761" w:rsidP="0006388D">
      <w:pPr>
        <w:spacing w:after="0" w:line="240" w:lineRule="auto"/>
        <w:ind w:leftChars="0" w:left="0" w:firstLineChars="0" w:firstLine="0"/>
        <w:rPr>
          <w:rFonts w:ascii="Times New Roman" w:hAnsi="Times New Roman" w:cs="Times New Roman"/>
          <w:sz w:val="24"/>
          <w:szCs w:val="24"/>
        </w:rPr>
      </w:pPr>
      <w:r w:rsidRPr="00BC76B8">
        <w:rPr>
          <w:rFonts w:ascii="Times New Roman" w:hAnsi="Times New Roman" w:cs="Times New Roman"/>
          <w:sz w:val="24"/>
          <w:szCs w:val="24"/>
        </w:rPr>
        <w:t>For estimation purposes, the equation is written as follows:</w:t>
      </w:r>
    </w:p>
    <w:p w14:paraId="2123DFA9" w14:textId="2AFC7CB1" w:rsidR="00957E97" w:rsidRPr="00BC76B8" w:rsidRDefault="009A7C1B" w:rsidP="0057758A">
      <w:pPr>
        <w:spacing w:after="120" w:line="240" w:lineRule="auto"/>
        <w:ind w:leftChars="0" w:left="720" w:firstLineChars="0" w:firstLine="720"/>
      </w:pPr>
      <m:oMath>
        <m:sSub>
          <m:sSubPr>
            <m:ctrlPr>
              <w:rPr>
                <w:rFonts w:ascii="Cambria Math" w:hAnsi="Cambria Math"/>
                <w:i/>
                <w:sz w:val="24"/>
                <w:szCs w:val="24"/>
                <w:lang w:eastAsia="en-MY"/>
              </w:rPr>
            </m:ctrlPr>
          </m:sSubPr>
          <m:e>
            <m:r>
              <w:rPr>
                <w:rFonts w:ascii="Cambria Math" w:hAnsi="Cambria Math"/>
                <w:sz w:val="24"/>
                <w:szCs w:val="24"/>
              </w:rPr>
              <m:t>L</m:t>
            </m:r>
          </m:e>
          <m:sub>
            <m:r>
              <w:rPr>
                <w:rFonts w:ascii="Cambria Math" w:hAnsi="Cambria Math"/>
                <w:sz w:val="24"/>
                <w:szCs w:val="24"/>
              </w:rPr>
              <m:t>i</m:t>
            </m:r>
          </m:sub>
        </m:sSub>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lang w:eastAsia="en-MY"/>
                  </w:rPr>
                </m:ctrlPr>
              </m:dPr>
              <m:e>
                <m:f>
                  <m:fPr>
                    <m:ctrlPr>
                      <w:rPr>
                        <w:rFonts w:ascii="Cambria Math" w:hAnsi="Cambria Math"/>
                        <w:i/>
                        <w:sz w:val="24"/>
                        <w:szCs w:val="24"/>
                        <w:lang w:eastAsia="en-MY"/>
                      </w:rPr>
                    </m:ctrlPr>
                  </m:fPr>
                  <m:num>
                    <m:sSub>
                      <m:sSubPr>
                        <m:ctrlPr>
                          <w:rPr>
                            <w:rFonts w:ascii="Cambria Math" w:hAnsi="Cambria Math"/>
                            <w:i/>
                            <w:sz w:val="24"/>
                            <w:szCs w:val="24"/>
                            <w:lang w:eastAsia="en-MY"/>
                          </w:rPr>
                        </m:ctrlPr>
                      </m:sSubPr>
                      <m:e>
                        <m:r>
                          <w:rPr>
                            <w:rFonts w:ascii="Cambria Math" w:hAnsi="Cambria Math"/>
                            <w:sz w:val="24"/>
                            <w:szCs w:val="24"/>
                          </w:rPr>
                          <m:t>P</m:t>
                        </m:r>
                      </m:e>
                      <m:sub>
                        <m:r>
                          <w:rPr>
                            <w:rFonts w:ascii="Cambria Math" w:hAnsi="Cambria Math"/>
                            <w:sz w:val="24"/>
                            <w:szCs w:val="24"/>
                          </w:rPr>
                          <m:t>i</m:t>
                        </m:r>
                      </m:sub>
                    </m:sSub>
                  </m:num>
                  <m:den>
                    <m:r>
                      <w:rPr>
                        <w:rFonts w:ascii="Cambria Math" w:hAnsi="Cambria Math"/>
                        <w:sz w:val="24"/>
                        <w:szCs w:val="24"/>
                      </w:rPr>
                      <m:t>1-</m:t>
                    </m:r>
                    <m:sSub>
                      <m:sSubPr>
                        <m:ctrlPr>
                          <w:rPr>
                            <w:rFonts w:ascii="Cambria Math" w:hAnsi="Cambria Math"/>
                            <w:i/>
                            <w:sz w:val="24"/>
                            <w:szCs w:val="24"/>
                            <w:lang w:eastAsia="en-MY"/>
                          </w:rPr>
                        </m:ctrlPr>
                      </m:sSubPr>
                      <m:e>
                        <m:r>
                          <w:rPr>
                            <w:rFonts w:ascii="Cambria Math" w:hAnsi="Cambria Math"/>
                            <w:sz w:val="24"/>
                            <w:szCs w:val="24"/>
                          </w:rPr>
                          <m:t>p</m:t>
                        </m:r>
                      </m:e>
                      <m:sub>
                        <m:r>
                          <w:rPr>
                            <w:rFonts w:ascii="Cambria Math" w:hAnsi="Cambria Math"/>
                            <w:sz w:val="24"/>
                            <w:szCs w:val="24"/>
                          </w:rPr>
                          <m:t>i</m:t>
                        </m:r>
                      </m:sub>
                    </m:sSub>
                  </m:den>
                </m:f>
              </m:e>
            </m:d>
          </m:e>
        </m:func>
        <m:r>
          <w:rPr>
            <w:rFonts w:ascii="Cambria Math" w:hAnsi="Cambria Math"/>
            <w:sz w:val="24"/>
            <w:szCs w:val="24"/>
          </w:rPr>
          <m:t xml:space="preserve">= </m:t>
        </m:r>
        <m:sSub>
          <m:sSubPr>
            <m:ctrlPr>
              <w:rPr>
                <w:rFonts w:ascii="Cambria Math" w:hAnsi="Cambria Math"/>
                <w:i/>
                <w:sz w:val="24"/>
                <w:szCs w:val="24"/>
                <w:lang w:eastAsia="en-MY"/>
              </w:rPr>
            </m:ctrlPr>
          </m:sSubPr>
          <m:e>
            <m:r>
              <w:rPr>
                <w:rFonts w:ascii="Cambria Math" w:hAnsi="Cambria Math"/>
                <w:sz w:val="24"/>
                <w:szCs w:val="24"/>
              </w:rPr>
              <m:t>α</m:t>
            </m:r>
          </m:e>
          <m:sub>
            <m:r>
              <w:rPr>
                <w:rFonts w:ascii="Cambria Math" w:hAnsi="Cambria Math"/>
                <w:sz w:val="24"/>
                <w:szCs w:val="24"/>
              </w:rPr>
              <m:t>o</m:t>
            </m:r>
          </m:sub>
        </m:sSub>
        <m:r>
          <w:rPr>
            <w:rFonts w:ascii="Cambria Math" w:hAnsi="Cambria Math"/>
            <w:sz w:val="24"/>
            <w:szCs w:val="24"/>
          </w:rPr>
          <m:t xml:space="preserve">+ </m:t>
        </m:r>
        <m:sSub>
          <m:sSubPr>
            <m:ctrlPr>
              <w:rPr>
                <w:rFonts w:ascii="Cambria Math" w:hAnsi="Cambria Math"/>
                <w:i/>
                <w:sz w:val="24"/>
                <w:szCs w:val="24"/>
                <w:lang w:eastAsia="en-MY"/>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Bid+ </m:t>
        </m:r>
        <m:nary>
          <m:naryPr>
            <m:chr m:val="∑"/>
            <m:limLoc m:val="undOvr"/>
            <m:subHide m:val="1"/>
            <m:supHide m:val="1"/>
            <m:ctrlPr>
              <w:rPr>
                <w:rFonts w:ascii="Cambria Math" w:hAnsi="Cambria Math"/>
                <w:i/>
                <w:sz w:val="24"/>
                <w:szCs w:val="24"/>
                <w:lang w:eastAsia="en-MY"/>
              </w:rPr>
            </m:ctrlPr>
          </m:naryPr>
          <m:sub/>
          <m:sup/>
          <m:e>
            <m:sSub>
              <m:sSubPr>
                <m:ctrlPr>
                  <w:rPr>
                    <w:rFonts w:ascii="Cambria Math" w:hAnsi="Cambria Math"/>
                    <w:i/>
                    <w:sz w:val="24"/>
                    <w:szCs w:val="24"/>
                    <w:lang w:eastAsia="en-MY"/>
                  </w:rPr>
                </m:ctrlPr>
              </m:sSubPr>
              <m:e>
                <m:r>
                  <w:rPr>
                    <w:rFonts w:ascii="Cambria Math" w:hAnsi="Cambria Math"/>
                    <w:sz w:val="24"/>
                    <w:szCs w:val="24"/>
                  </w:rPr>
                  <m:t>β</m:t>
                </m:r>
              </m:e>
              <m:sub>
                <m:r>
                  <w:rPr>
                    <w:rFonts w:ascii="Cambria Math" w:hAnsi="Cambria Math"/>
                    <w:sz w:val="24"/>
                    <w:szCs w:val="24"/>
                  </w:rPr>
                  <m:t>i</m:t>
                </m:r>
              </m:sub>
            </m:sSub>
            <m:sSub>
              <m:sSubPr>
                <m:ctrlPr>
                  <w:rPr>
                    <w:rFonts w:ascii="Cambria Math" w:hAnsi="Cambria Math"/>
                    <w:i/>
                    <w:sz w:val="24"/>
                    <w:szCs w:val="24"/>
                    <w:lang w:eastAsia="en-MY"/>
                  </w:rPr>
                </m:ctrlPr>
              </m:sSubPr>
              <m:e>
                <m:r>
                  <w:rPr>
                    <w:rFonts w:ascii="Cambria Math" w:hAnsi="Cambria Math"/>
                    <w:sz w:val="24"/>
                    <w:szCs w:val="24"/>
                  </w:rPr>
                  <m:t>S</m:t>
                </m:r>
              </m:e>
              <m:sub>
                <m:r>
                  <w:rPr>
                    <w:rFonts w:ascii="Cambria Math" w:hAnsi="Cambria Math"/>
                    <w:sz w:val="24"/>
                    <w:szCs w:val="24"/>
                  </w:rPr>
                  <m:t>i</m:t>
                </m:r>
              </m:sub>
            </m:sSub>
          </m:e>
        </m:nary>
        <m:r>
          <w:rPr>
            <w:rFonts w:ascii="Cambria Math" w:hAnsi="Cambria Math"/>
            <w:sz w:val="24"/>
            <w:szCs w:val="24"/>
          </w:rPr>
          <m:t>+</m:t>
        </m:r>
        <m:sSub>
          <m:sSubPr>
            <m:ctrlPr>
              <w:rPr>
                <w:rFonts w:ascii="Cambria Math" w:hAnsi="Cambria Math"/>
                <w:i/>
                <w:sz w:val="24"/>
                <w:szCs w:val="24"/>
                <w:lang w:eastAsia="en-MY"/>
              </w:rPr>
            </m:ctrlPr>
          </m:sSubPr>
          <m:e>
            <m:r>
              <w:rPr>
                <w:rFonts w:ascii="Cambria Math" w:hAnsi="Cambria Math"/>
                <w:sz w:val="24"/>
                <w:szCs w:val="24"/>
              </w:rPr>
              <m:t>μ</m:t>
            </m:r>
          </m:e>
          <m:sub>
            <m:r>
              <w:rPr>
                <w:rFonts w:ascii="Cambria Math" w:hAnsi="Cambria Math"/>
                <w:sz w:val="24"/>
                <w:szCs w:val="24"/>
              </w:rPr>
              <m:t>i</m:t>
            </m:r>
          </m:sub>
        </m:sSub>
      </m:oMath>
      <w:r w:rsidR="00193F4B" w:rsidRPr="00BC76B8">
        <w:rPr>
          <w:lang w:eastAsia="en-MY"/>
        </w:rPr>
        <w:tab/>
      </w:r>
      <w:r w:rsidR="00BC76B8">
        <w:rPr>
          <w:lang w:eastAsia="en-MY"/>
        </w:rPr>
        <w:tab/>
      </w:r>
      <w:r w:rsidR="00193F4B" w:rsidRPr="00BC76B8">
        <w:rPr>
          <w:sz w:val="24"/>
          <w:szCs w:val="24"/>
          <w:lang w:eastAsia="en-MY"/>
        </w:rPr>
        <w:t>(2)</w:t>
      </w:r>
    </w:p>
    <w:p w14:paraId="3C098124" w14:textId="77777777" w:rsidR="0006388D" w:rsidRDefault="0006388D" w:rsidP="00CD468E">
      <w:pPr>
        <w:spacing w:after="0" w:line="240" w:lineRule="auto"/>
        <w:ind w:leftChars="0" w:left="2" w:hanging="2"/>
        <w:rPr>
          <w:rFonts w:ascii="Times New Roman" w:hAnsi="Times New Roman" w:cs="Times New Roman"/>
          <w:sz w:val="24"/>
          <w:szCs w:val="24"/>
        </w:rPr>
      </w:pPr>
    </w:p>
    <w:p w14:paraId="3ABCFE7B" w14:textId="77777777" w:rsidR="0057758A" w:rsidRDefault="00C07761" w:rsidP="0057758A">
      <w:pPr>
        <w:spacing w:after="0" w:line="240" w:lineRule="auto"/>
        <w:ind w:leftChars="0" w:left="2" w:hanging="2"/>
        <w:rPr>
          <w:rFonts w:ascii="Times New Roman" w:hAnsi="Times New Roman" w:cs="Times New Roman"/>
          <w:sz w:val="24"/>
          <w:szCs w:val="24"/>
        </w:rPr>
      </w:pPr>
      <w:r w:rsidRPr="00BC76B8">
        <w:rPr>
          <w:rFonts w:ascii="Times New Roman" w:hAnsi="Times New Roman" w:cs="Times New Roman"/>
          <w:sz w:val="24"/>
          <w:szCs w:val="24"/>
        </w:rPr>
        <w:t>Parameters α</w:t>
      </w:r>
      <w:r w:rsidRPr="00BC76B8">
        <w:rPr>
          <w:rFonts w:ascii="Times New Roman" w:hAnsi="Times New Roman" w:cs="Times New Roman"/>
          <w:sz w:val="24"/>
          <w:szCs w:val="24"/>
          <w:vertAlign w:val="subscript"/>
        </w:rPr>
        <w:t>0</w:t>
      </w:r>
      <w:r w:rsidRPr="00BC76B8">
        <w:rPr>
          <w:rFonts w:ascii="Times New Roman" w:hAnsi="Times New Roman" w:cs="Times New Roman"/>
          <w:sz w:val="24"/>
          <w:szCs w:val="24"/>
        </w:rPr>
        <w:t>, β</w:t>
      </w:r>
      <w:r w:rsidRPr="00BC76B8">
        <w:rPr>
          <w:rFonts w:ascii="Times New Roman" w:hAnsi="Times New Roman" w:cs="Times New Roman"/>
          <w:sz w:val="24"/>
          <w:szCs w:val="24"/>
          <w:vertAlign w:val="subscript"/>
        </w:rPr>
        <w:t>1,</w:t>
      </w:r>
      <w:r w:rsidRPr="00BC76B8">
        <w:rPr>
          <w:rFonts w:ascii="Times New Roman" w:hAnsi="Times New Roman" w:cs="Times New Roman"/>
          <w:sz w:val="24"/>
          <w:szCs w:val="24"/>
        </w:rPr>
        <w:t xml:space="preserve"> and β</w:t>
      </w:r>
      <w:r w:rsidRPr="00BC76B8">
        <w:rPr>
          <w:rFonts w:ascii="Times New Roman" w:hAnsi="Times New Roman" w:cs="Times New Roman"/>
          <w:sz w:val="24"/>
          <w:szCs w:val="24"/>
          <w:vertAlign w:val="subscript"/>
        </w:rPr>
        <w:t>i</w:t>
      </w:r>
      <w:r w:rsidRPr="00BC76B8">
        <w:rPr>
          <w:rFonts w:ascii="Times New Roman" w:hAnsi="Times New Roman" w:cs="Times New Roman"/>
          <w:sz w:val="24"/>
          <w:szCs w:val="24"/>
        </w:rPr>
        <w:t xml:space="preserve"> are estimated parametrically based on </w:t>
      </w:r>
      <w:r w:rsidR="00FE0C50"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maximum likelihood method. </w:t>
      </w:r>
    </w:p>
    <w:p w14:paraId="401D931D" w14:textId="77777777" w:rsidR="0057758A" w:rsidRDefault="0057758A" w:rsidP="0057758A">
      <w:pPr>
        <w:spacing w:after="0" w:line="240" w:lineRule="auto"/>
        <w:ind w:leftChars="0" w:left="2" w:hanging="2"/>
        <w:rPr>
          <w:rFonts w:ascii="Times New Roman" w:hAnsi="Times New Roman" w:cs="Times New Roman"/>
          <w:sz w:val="24"/>
          <w:szCs w:val="24"/>
        </w:rPr>
      </w:pPr>
    </w:p>
    <w:p w14:paraId="0B586A10" w14:textId="56F05045" w:rsidR="00C07761" w:rsidRDefault="0057758A" w:rsidP="0057758A">
      <w:pPr>
        <w:spacing w:after="0" w:line="240" w:lineRule="auto"/>
        <w:ind w:leftChars="0" w:left="2" w:hanging="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52ED0" w:rsidRPr="00BC76B8">
        <w:rPr>
          <w:rFonts w:ascii="Times New Roman" w:hAnsi="Times New Roman" w:cs="Times New Roman"/>
          <w:sz w:val="24"/>
          <w:szCs w:val="24"/>
        </w:rPr>
        <w:t>In this study, t</w:t>
      </w:r>
      <w:r w:rsidR="00C07761" w:rsidRPr="00BC76B8">
        <w:rPr>
          <w:rFonts w:ascii="Times New Roman" w:hAnsi="Times New Roman" w:cs="Times New Roman"/>
          <w:sz w:val="24"/>
          <w:szCs w:val="24"/>
        </w:rPr>
        <w:t xml:space="preserve">he mean maximum WTP </w:t>
      </w:r>
      <w:r w:rsidR="00BD0620" w:rsidRPr="00BC76B8">
        <w:rPr>
          <w:rFonts w:ascii="Times New Roman" w:hAnsi="Times New Roman" w:cs="Times New Roman"/>
          <w:sz w:val="24"/>
          <w:szCs w:val="24"/>
        </w:rPr>
        <w:t xml:space="preserve">or the maximum price a community is willing to pay </w:t>
      </w:r>
      <w:r w:rsidR="00C07761" w:rsidRPr="00BC76B8">
        <w:rPr>
          <w:rFonts w:ascii="Times New Roman" w:hAnsi="Times New Roman" w:cs="Times New Roman"/>
          <w:sz w:val="24"/>
          <w:szCs w:val="24"/>
        </w:rPr>
        <w:t xml:space="preserve">for </w:t>
      </w:r>
      <w:r w:rsidR="00FE0C50" w:rsidRPr="00BC76B8">
        <w:rPr>
          <w:rFonts w:ascii="Times New Roman" w:hAnsi="Times New Roman" w:cs="Times New Roman"/>
          <w:sz w:val="24"/>
          <w:szCs w:val="24"/>
        </w:rPr>
        <w:t xml:space="preserve">a </w:t>
      </w:r>
      <w:r w:rsidR="00C07761" w:rsidRPr="00BC76B8">
        <w:rPr>
          <w:rFonts w:ascii="Times New Roman" w:hAnsi="Times New Roman" w:cs="Times New Roman"/>
          <w:sz w:val="24"/>
          <w:szCs w:val="24"/>
          <w:shd w:val="clear" w:color="auto" w:fill="FFFFFF"/>
        </w:rPr>
        <w:t xml:space="preserve">conservation program for addressing climate </w:t>
      </w:r>
      <w:r w:rsidR="00C07761" w:rsidRPr="00BC76B8">
        <w:rPr>
          <w:rFonts w:ascii="Times New Roman" w:hAnsi="Times New Roman" w:cs="Times New Roman"/>
          <w:sz w:val="24"/>
          <w:szCs w:val="24"/>
        </w:rPr>
        <w:t xml:space="preserve">extreme impacts are calculated using the following formula: </w:t>
      </w:r>
    </w:p>
    <w:p w14:paraId="59E99C30" w14:textId="7F5D511F" w:rsidR="00C07761" w:rsidRPr="00BC76B8" w:rsidRDefault="00C07761" w:rsidP="00BC76B8">
      <w:pPr>
        <w:spacing w:after="0" w:line="240" w:lineRule="auto"/>
        <w:ind w:leftChars="0" w:left="722" w:firstLineChars="0" w:firstLine="718"/>
        <w:rPr>
          <w:rFonts w:ascii="Times New Roman" w:hAnsi="Times New Roman" w:cs="Times New Roman"/>
          <w:sz w:val="24"/>
          <w:szCs w:val="24"/>
        </w:rPr>
      </w:pPr>
      <w:r w:rsidRPr="00BC76B8">
        <w:rPr>
          <w:rFonts w:ascii="Times New Roman" w:hAnsi="Times New Roman" w:cs="Times New Roman"/>
          <w:sz w:val="24"/>
          <w:szCs w:val="24"/>
        </w:rPr>
        <w:t>Mean maximum WTP =</w:t>
      </w:r>
      <w:r w:rsidRPr="00BC76B8">
        <w:rPr>
          <w:rFonts w:ascii="Times New Roman" w:hAnsi="Times New Roman" w:cs="Times New Roman"/>
          <w:noProof/>
          <w:position w:val="-32"/>
          <w:sz w:val="24"/>
          <w:szCs w:val="24"/>
          <w:lang w:val="en-MY" w:eastAsia="en-MY"/>
        </w:rPr>
        <w:drawing>
          <wp:inline distT="0" distB="0" distL="0" distR="0" wp14:anchorId="4663BEEB" wp14:editId="387D16C2">
            <wp:extent cx="1379220" cy="449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9220" cy="449580"/>
                    </a:xfrm>
                    <a:prstGeom prst="rect">
                      <a:avLst/>
                    </a:prstGeom>
                    <a:noFill/>
                    <a:ln>
                      <a:noFill/>
                    </a:ln>
                  </pic:spPr>
                </pic:pic>
              </a:graphicData>
            </a:graphic>
          </wp:inline>
        </w:drawing>
      </w:r>
      <w:r w:rsidRPr="00BC76B8">
        <w:rPr>
          <w:rFonts w:ascii="Times New Roman" w:hAnsi="Times New Roman" w:cs="Times New Roman"/>
          <w:sz w:val="24"/>
          <w:szCs w:val="24"/>
        </w:rPr>
        <w:tab/>
      </w:r>
      <w:r w:rsidR="00BC76B8">
        <w:rPr>
          <w:rFonts w:ascii="Times New Roman" w:hAnsi="Times New Roman" w:cs="Times New Roman"/>
          <w:sz w:val="24"/>
          <w:szCs w:val="24"/>
        </w:rPr>
        <w:tab/>
      </w:r>
      <w:r w:rsidRPr="00BC76B8">
        <w:rPr>
          <w:rFonts w:ascii="Times New Roman" w:hAnsi="Times New Roman" w:cs="Times New Roman"/>
          <w:sz w:val="24"/>
          <w:szCs w:val="24"/>
        </w:rPr>
        <w:t>(3)</w:t>
      </w:r>
      <w:r w:rsidRPr="00BC76B8">
        <w:rPr>
          <w:rFonts w:ascii="Times New Roman" w:hAnsi="Times New Roman" w:cs="Times New Roman"/>
          <w:sz w:val="24"/>
          <w:szCs w:val="24"/>
        </w:rPr>
        <w:tab/>
      </w:r>
    </w:p>
    <w:p w14:paraId="5F6812A9" w14:textId="454C66E3" w:rsidR="00C07761" w:rsidRPr="00BC76B8" w:rsidRDefault="0057758A" w:rsidP="00CD468E">
      <w:pPr>
        <w:pStyle w:val="Paragraph"/>
        <w:spacing w:before="0" w:line="240" w:lineRule="auto"/>
        <w:ind w:hanging="7"/>
        <w:jc w:val="both"/>
      </w:pPr>
      <w:r>
        <w:lastRenderedPageBreak/>
        <w:tab/>
      </w:r>
      <w:r>
        <w:tab/>
      </w:r>
      <w:r w:rsidR="00C07761" w:rsidRPr="00BC76B8">
        <w:t xml:space="preserve">The variables used in the logit model analysis </w:t>
      </w:r>
      <w:r w:rsidR="00FE0C50" w:rsidRPr="00BC76B8">
        <w:t>are</w:t>
      </w:r>
      <w:r w:rsidR="00C07761" w:rsidRPr="00BC76B8">
        <w:t xml:space="preserve"> given in Table 1 which include independent variables such as gender, </w:t>
      </w:r>
      <w:r w:rsidR="00BE53F4" w:rsidRPr="00BC76B8">
        <w:t>age,</w:t>
      </w:r>
      <w:r w:rsidR="00C07761" w:rsidRPr="00BC76B8">
        <w:t xml:space="preserve"> and education.</w:t>
      </w:r>
      <w:r w:rsidR="00D608B1" w:rsidRPr="00BC76B8">
        <w:t xml:space="preserve"> Data collected were </w:t>
      </w:r>
      <w:r w:rsidR="00BD0620" w:rsidRPr="00BC76B8">
        <w:t>analysed</w:t>
      </w:r>
      <w:r w:rsidR="00D608B1" w:rsidRPr="00BC76B8">
        <w:t xml:space="preserve"> using STATA software. Significant tests are carried out at the 5% level.</w:t>
      </w:r>
    </w:p>
    <w:p w14:paraId="4377FA0D" w14:textId="77777777" w:rsidR="00F52ED0" w:rsidRPr="00BC76B8" w:rsidRDefault="00F52ED0" w:rsidP="00CD468E">
      <w:pPr>
        <w:spacing w:after="0" w:line="240" w:lineRule="auto"/>
        <w:ind w:leftChars="0" w:left="2" w:hanging="2"/>
        <w:jc w:val="center"/>
        <w:rPr>
          <w:rFonts w:ascii="Times New Roman" w:eastAsia="Times New Roman" w:hAnsi="Times New Roman"/>
          <w:b/>
          <w:bCs/>
          <w:sz w:val="20"/>
          <w:szCs w:val="20"/>
          <w:lang w:eastAsia="en-MY"/>
        </w:rPr>
      </w:pPr>
    </w:p>
    <w:p w14:paraId="5353D469" w14:textId="78DB8126" w:rsidR="00C07761" w:rsidRPr="00BC76B8" w:rsidRDefault="00C07761" w:rsidP="00CD468E">
      <w:pPr>
        <w:spacing w:after="0" w:line="240" w:lineRule="auto"/>
        <w:ind w:leftChars="0" w:left="2" w:hanging="2"/>
        <w:jc w:val="center"/>
        <w:rPr>
          <w:rFonts w:ascii="Times New Roman" w:eastAsia="Times New Roman" w:hAnsi="Times New Roman"/>
          <w:sz w:val="20"/>
          <w:szCs w:val="20"/>
          <w:lang w:eastAsia="en-MY"/>
        </w:rPr>
      </w:pPr>
      <w:r w:rsidRPr="00BC76B8">
        <w:rPr>
          <w:rFonts w:ascii="Times New Roman" w:eastAsia="Times New Roman" w:hAnsi="Times New Roman"/>
          <w:b/>
          <w:bCs/>
          <w:sz w:val="20"/>
          <w:szCs w:val="20"/>
          <w:lang w:eastAsia="en-MY"/>
        </w:rPr>
        <w:t>Table 1</w:t>
      </w:r>
      <w:r w:rsidRPr="00BC76B8">
        <w:rPr>
          <w:rFonts w:ascii="Times New Roman" w:eastAsia="Times New Roman" w:hAnsi="Times New Roman"/>
          <w:sz w:val="20"/>
          <w:szCs w:val="20"/>
          <w:lang w:eastAsia="en-MY"/>
        </w:rPr>
        <w:t>. Description of variables used in logit model</w:t>
      </w:r>
      <w:r w:rsidR="003916BA">
        <w:rPr>
          <w:rFonts w:ascii="Times New Roman" w:eastAsia="Times New Roman" w:hAnsi="Times New Roman"/>
          <w:sz w:val="20"/>
          <w:szCs w:val="20"/>
          <w:lang w:eastAsia="en-MY"/>
        </w:rPr>
        <w:t>.</w:t>
      </w:r>
    </w:p>
    <w:p w14:paraId="6943F472" w14:textId="77777777" w:rsidR="00D608B1" w:rsidRPr="00BC76B8" w:rsidRDefault="00D608B1" w:rsidP="00CD468E">
      <w:pPr>
        <w:spacing w:after="0" w:line="240" w:lineRule="auto"/>
        <w:ind w:leftChars="0" w:left="2" w:hanging="2"/>
        <w:jc w:val="center"/>
        <w:rPr>
          <w:rFonts w:ascii="Times New Roman" w:eastAsia="Times New Roman" w:hAnsi="Times New Roman"/>
          <w:sz w:val="20"/>
          <w:szCs w:val="20"/>
          <w:lang w:eastAsia="en-MY"/>
        </w:rPr>
      </w:pPr>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395"/>
      </w:tblGrid>
      <w:tr w:rsidR="00BC76B8" w:rsidRPr="00BC76B8" w14:paraId="5B62B2EC" w14:textId="77777777" w:rsidTr="003916BA">
        <w:trPr>
          <w:jc w:val="center"/>
        </w:trPr>
        <w:tc>
          <w:tcPr>
            <w:tcW w:w="4252" w:type="dxa"/>
            <w:tcBorders>
              <w:top w:val="single" w:sz="4" w:space="0" w:color="auto"/>
              <w:left w:val="nil"/>
              <w:bottom w:val="single" w:sz="4" w:space="0" w:color="auto"/>
              <w:right w:val="nil"/>
            </w:tcBorders>
            <w:shd w:val="clear" w:color="auto" w:fill="8DB3E2" w:themeFill="text2" w:themeFillTint="66"/>
            <w:vAlign w:val="center"/>
            <w:hideMark/>
          </w:tcPr>
          <w:p w14:paraId="52089D48" w14:textId="77777777" w:rsidR="00C07761" w:rsidRPr="00BC76B8" w:rsidRDefault="00C07761" w:rsidP="00CD468E">
            <w:pPr>
              <w:ind w:leftChars="0" w:left="2" w:hanging="2"/>
              <w:jc w:val="center"/>
              <w:rPr>
                <w:rFonts w:ascii="Times New Roman" w:hAnsi="Times New Roman"/>
                <w:b/>
                <w:sz w:val="20"/>
                <w:szCs w:val="20"/>
              </w:rPr>
            </w:pPr>
            <w:r w:rsidRPr="00BC76B8">
              <w:rPr>
                <w:rFonts w:ascii="Times New Roman" w:hAnsi="Times New Roman"/>
                <w:b/>
                <w:sz w:val="20"/>
                <w:szCs w:val="20"/>
              </w:rPr>
              <w:t>Variables</w:t>
            </w:r>
          </w:p>
        </w:tc>
        <w:tc>
          <w:tcPr>
            <w:tcW w:w="4395" w:type="dxa"/>
            <w:tcBorders>
              <w:top w:val="single" w:sz="4" w:space="0" w:color="auto"/>
              <w:left w:val="nil"/>
              <w:bottom w:val="single" w:sz="4" w:space="0" w:color="auto"/>
              <w:right w:val="nil"/>
            </w:tcBorders>
            <w:shd w:val="clear" w:color="auto" w:fill="8DB3E2" w:themeFill="text2" w:themeFillTint="66"/>
            <w:vAlign w:val="center"/>
            <w:hideMark/>
          </w:tcPr>
          <w:p w14:paraId="2F86A488" w14:textId="77777777" w:rsidR="00C07761" w:rsidRPr="00BC76B8" w:rsidRDefault="00C07761" w:rsidP="00CD468E">
            <w:pPr>
              <w:ind w:leftChars="0" w:left="2" w:hanging="2"/>
              <w:jc w:val="center"/>
              <w:rPr>
                <w:rFonts w:ascii="Times New Roman" w:hAnsi="Times New Roman"/>
                <w:b/>
                <w:bCs/>
                <w:sz w:val="20"/>
                <w:szCs w:val="20"/>
              </w:rPr>
            </w:pPr>
            <w:r w:rsidRPr="00BC76B8">
              <w:rPr>
                <w:rFonts w:ascii="Times New Roman" w:hAnsi="Times New Roman"/>
                <w:b/>
                <w:bCs/>
                <w:sz w:val="20"/>
                <w:szCs w:val="20"/>
              </w:rPr>
              <w:t>Description / Category</w:t>
            </w:r>
          </w:p>
        </w:tc>
      </w:tr>
      <w:tr w:rsidR="00BC76B8" w:rsidRPr="00BC76B8" w14:paraId="37431343" w14:textId="77777777" w:rsidTr="003916BA">
        <w:trPr>
          <w:jc w:val="center"/>
        </w:trPr>
        <w:tc>
          <w:tcPr>
            <w:tcW w:w="4252" w:type="dxa"/>
            <w:tcBorders>
              <w:top w:val="single" w:sz="4" w:space="0" w:color="auto"/>
              <w:left w:val="nil"/>
              <w:bottom w:val="nil"/>
              <w:right w:val="nil"/>
            </w:tcBorders>
            <w:vAlign w:val="center"/>
            <w:hideMark/>
          </w:tcPr>
          <w:p w14:paraId="7476E671" w14:textId="77777777" w:rsidR="00C07761" w:rsidRPr="00BC76B8" w:rsidRDefault="00C07761" w:rsidP="00CD468E">
            <w:pPr>
              <w:ind w:leftChars="0" w:left="2" w:hanging="2"/>
              <w:rPr>
                <w:rFonts w:ascii="Times New Roman" w:hAnsi="Times New Roman"/>
                <w:sz w:val="20"/>
                <w:szCs w:val="20"/>
              </w:rPr>
            </w:pPr>
            <w:r w:rsidRPr="00BC76B8">
              <w:rPr>
                <w:rFonts w:ascii="Times New Roman" w:hAnsi="Times New Roman"/>
                <w:sz w:val="20"/>
                <w:szCs w:val="20"/>
                <w:lang w:eastAsia="en-MY"/>
              </w:rPr>
              <w:t>WTP for the stated bid</w:t>
            </w:r>
          </w:p>
        </w:tc>
        <w:tc>
          <w:tcPr>
            <w:tcW w:w="4395" w:type="dxa"/>
            <w:tcBorders>
              <w:top w:val="single" w:sz="4" w:space="0" w:color="auto"/>
              <w:left w:val="nil"/>
              <w:bottom w:val="nil"/>
              <w:right w:val="nil"/>
            </w:tcBorders>
            <w:vAlign w:val="center"/>
            <w:hideMark/>
          </w:tcPr>
          <w:p w14:paraId="10736DAC"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1 = Yes, 0 – No</w:t>
            </w:r>
          </w:p>
        </w:tc>
      </w:tr>
      <w:tr w:rsidR="00BC76B8" w:rsidRPr="00BC76B8" w14:paraId="07400B38" w14:textId="77777777" w:rsidTr="003916BA">
        <w:trPr>
          <w:jc w:val="center"/>
        </w:trPr>
        <w:tc>
          <w:tcPr>
            <w:tcW w:w="4252" w:type="dxa"/>
            <w:vAlign w:val="center"/>
            <w:hideMark/>
          </w:tcPr>
          <w:p w14:paraId="2346B886" w14:textId="77777777" w:rsidR="00C07761" w:rsidRPr="00BC76B8" w:rsidRDefault="00C07761" w:rsidP="00CD468E">
            <w:pPr>
              <w:ind w:leftChars="0" w:left="2" w:hanging="2"/>
              <w:rPr>
                <w:rFonts w:ascii="Times New Roman" w:hAnsi="Times New Roman"/>
                <w:sz w:val="20"/>
                <w:szCs w:val="20"/>
                <w:lang w:eastAsia="en-MY"/>
              </w:rPr>
            </w:pPr>
            <w:r w:rsidRPr="00BC76B8">
              <w:rPr>
                <w:rFonts w:ascii="Times New Roman" w:hAnsi="Times New Roman"/>
                <w:sz w:val="20"/>
                <w:szCs w:val="20"/>
                <w:lang w:eastAsia="en-MY"/>
              </w:rPr>
              <w:t>WTP2*for second bid</w:t>
            </w:r>
          </w:p>
        </w:tc>
        <w:tc>
          <w:tcPr>
            <w:tcW w:w="4395" w:type="dxa"/>
            <w:vAlign w:val="center"/>
            <w:hideMark/>
          </w:tcPr>
          <w:p w14:paraId="6B21B595"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1 = Yes, 0 – No</w:t>
            </w:r>
          </w:p>
        </w:tc>
      </w:tr>
      <w:tr w:rsidR="00BC76B8" w:rsidRPr="00BC76B8" w14:paraId="5EE8C2E3" w14:textId="77777777" w:rsidTr="003916BA">
        <w:trPr>
          <w:jc w:val="center"/>
        </w:trPr>
        <w:tc>
          <w:tcPr>
            <w:tcW w:w="4252" w:type="dxa"/>
            <w:vAlign w:val="center"/>
            <w:hideMark/>
          </w:tcPr>
          <w:p w14:paraId="3EFB2103" w14:textId="77777777" w:rsidR="00C07761" w:rsidRPr="00BC76B8" w:rsidRDefault="00C07761" w:rsidP="00CD468E">
            <w:pPr>
              <w:ind w:leftChars="0" w:left="2" w:hanging="2"/>
              <w:rPr>
                <w:rFonts w:ascii="Times New Roman" w:hAnsi="Times New Roman"/>
                <w:sz w:val="20"/>
                <w:szCs w:val="20"/>
                <w:lang w:eastAsia="en-MY"/>
              </w:rPr>
            </w:pPr>
            <w:r w:rsidRPr="00BC76B8">
              <w:rPr>
                <w:rFonts w:ascii="Times New Roman" w:hAnsi="Times New Roman"/>
                <w:sz w:val="20"/>
                <w:szCs w:val="20"/>
                <w:lang w:eastAsia="en-MY"/>
              </w:rPr>
              <w:t>Independent variables</w:t>
            </w:r>
          </w:p>
        </w:tc>
        <w:tc>
          <w:tcPr>
            <w:tcW w:w="4395" w:type="dxa"/>
            <w:vAlign w:val="center"/>
          </w:tcPr>
          <w:p w14:paraId="432E365F" w14:textId="77777777" w:rsidR="00C07761" w:rsidRPr="00BC76B8" w:rsidRDefault="00C07761" w:rsidP="00CD468E">
            <w:pPr>
              <w:ind w:leftChars="0" w:left="2" w:hanging="2"/>
              <w:jc w:val="center"/>
              <w:rPr>
                <w:rFonts w:ascii="Times New Roman" w:hAnsi="Times New Roman"/>
                <w:sz w:val="20"/>
                <w:szCs w:val="20"/>
              </w:rPr>
            </w:pPr>
          </w:p>
        </w:tc>
      </w:tr>
      <w:tr w:rsidR="00BC76B8" w:rsidRPr="00BC76B8" w14:paraId="5BA1D8B1" w14:textId="77777777" w:rsidTr="003916BA">
        <w:trPr>
          <w:jc w:val="center"/>
        </w:trPr>
        <w:tc>
          <w:tcPr>
            <w:tcW w:w="4252" w:type="dxa"/>
            <w:vAlign w:val="center"/>
            <w:hideMark/>
          </w:tcPr>
          <w:p w14:paraId="22895948" w14:textId="77777777" w:rsidR="00C07761" w:rsidRPr="00BC76B8" w:rsidRDefault="00C07761" w:rsidP="00CD468E">
            <w:pPr>
              <w:ind w:leftChars="0" w:left="0" w:firstLineChars="88" w:firstLine="176"/>
              <w:rPr>
                <w:rFonts w:ascii="Times New Roman" w:hAnsi="Times New Roman"/>
                <w:sz w:val="20"/>
                <w:szCs w:val="20"/>
              </w:rPr>
            </w:pPr>
            <w:r w:rsidRPr="00BC76B8">
              <w:rPr>
                <w:rFonts w:ascii="Times New Roman" w:hAnsi="Times New Roman"/>
                <w:sz w:val="20"/>
                <w:szCs w:val="20"/>
              </w:rPr>
              <w:t>Gender</w:t>
            </w:r>
          </w:p>
        </w:tc>
        <w:tc>
          <w:tcPr>
            <w:tcW w:w="4395" w:type="dxa"/>
            <w:vAlign w:val="center"/>
            <w:hideMark/>
          </w:tcPr>
          <w:p w14:paraId="0A32D855"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1 – male, 0 – female</w:t>
            </w:r>
          </w:p>
        </w:tc>
      </w:tr>
      <w:tr w:rsidR="00BC76B8" w:rsidRPr="00BC76B8" w14:paraId="33916300" w14:textId="77777777" w:rsidTr="003916BA">
        <w:trPr>
          <w:trHeight w:val="250"/>
          <w:jc w:val="center"/>
        </w:trPr>
        <w:tc>
          <w:tcPr>
            <w:tcW w:w="4252" w:type="dxa"/>
            <w:vAlign w:val="center"/>
            <w:hideMark/>
          </w:tcPr>
          <w:p w14:paraId="6B02F7C2" w14:textId="77777777" w:rsidR="00C07761" w:rsidRPr="00BC76B8" w:rsidRDefault="00C07761" w:rsidP="00CD468E">
            <w:pPr>
              <w:ind w:leftChars="0" w:left="0" w:firstLineChars="88" w:firstLine="176"/>
              <w:rPr>
                <w:rFonts w:ascii="Times New Roman" w:hAnsi="Times New Roman"/>
                <w:sz w:val="20"/>
                <w:szCs w:val="20"/>
              </w:rPr>
            </w:pPr>
            <w:r w:rsidRPr="00BC76B8">
              <w:rPr>
                <w:rFonts w:ascii="Times New Roman" w:hAnsi="Times New Roman"/>
                <w:sz w:val="20"/>
                <w:szCs w:val="20"/>
                <w:lang w:eastAsia="en-MY"/>
              </w:rPr>
              <w:t>Age</w:t>
            </w:r>
          </w:p>
        </w:tc>
        <w:tc>
          <w:tcPr>
            <w:tcW w:w="4395" w:type="dxa"/>
            <w:vAlign w:val="center"/>
            <w:hideMark/>
          </w:tcPr>
          <w:p w14:paraId="6BE7B82C"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The age of respondent (years)</w:t>
            </w:r>
          </w:p>
        </w:tc>
      </w:tr>
      <w:tr w:rsidR="00BC76B8" w:rsidRPr="00BC76B8" w14:paraId="590932E4" w14:textId="77777777" w:rsidTr="003916BA">
        <w:trPr>
          <w:trHeight w:val="280"/>
          <w:jc w:val="center"/>
        </w:trPr>
        <w:tc>
          <w:tcPr>
            <w:tcW w:w="4252" w:type="dxa"/>
            <w:vAlign w:val="center"/>
            <w:hideMark/>
          </w:tcPr>
          <w:p w14:paraId="6B8FC9F1" w14:textId="77777777" w:rsidR="00C07761" w:rsidRPr="00BC76B8" w:rsidRDefault="00C07761" w:rsidP="00CD468E">
            <w:pPr>
              <w:ind w:leftChars="0" w:left="0" w:firstLineChars="88" w:firstLine="176"/>
              <w:rPr>
                <w:rFonts w:ascii="Times New Roman" w:hAnsi="Times New Roman"/>
                <w:sz w:val="20"/>
                <w:szCs w:val="20"/>
                <w:lang w:eastAsia="en-MY"/>
              </w:rPr>
            </w:pPr>
            <w:r w:rsidRPr="00BC76B8">
              <w:rPr>
                <w:rFonts w:ascii="Times New Roman" w:hAnsi="Times New Roman"/>
                <w:sz w:val="20"/>
                <w:szCs w:val="20"/>
                <w:lang w:eastAsia="en-MY"/>
              </w:rPr>
              <w:t>Education year</w:t>
            </w:r>
          </w:p>
        </w:tc>
        <w:tc>
          <w:tcPr>
            <w:tcW w:w="4395" w:type="dxa"/>
            <w:vAlign w:val="center"/>
            <w:hideMark/>
          </w:tcPr>
          <w:p w14:paraId="064325AE"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The number of education years of respondent</w:t>
            </w:r>
          </w:p>
        </w:tc>
      </w:tr>
      <w:tr w:rsidR="00BC76B8" w:rsidRPr="00BC76B8" w14:paraId="19D8C510" w14:textId="77777777" w:rsidTr="003916BA">
        <w:trPr>
          <w:trHeight w:val="143"/>
          <w:jc w:val="center"/>
        </w:trPr>
        <w:tc>
          <w:tcPr>
            <w:tcW w:w="4252" w:type="dxa"/>
            <w:vAlign w:val="center"/>
            <w:hideMark/>
          </w:tcPr>
          <w:p w14:paraId="50F234E3" w14:textId="77777777" w:rsidR="00C07761" w:rsidRPr="00BC76B8" w:rsidRDefault="00C07761" w:rsidP="00CD468E">
            <w:pPr>
              <w:ind w:leftChars="0" w:left="0" w:firstLineChars="88" w:firstLine="176"/>
              <w:rPr>
                <w:rFonts w:ascii="Times New Roman" w:hAnsi="Times New Roman"/>
                <w:sz w:val="20"/>
                <w:szCs w:val="20"/>
                <w:lang w:eastAsia="en-MY"/>
              </w:rPr>
            </w:pPr>
            <w:r w:rsidRPr="00BC76B8">
              <w:rPr>
                <w:rFonts w:ascii="Times New Roman" w:hAnsi="Times New Roman"/>
                <w:sz w:val="20"/>
                <w:szCs w:val="20"/>
                <w:lang w:eastAsia="en-MY"/>
              </w:rPr>
              <w:t>Race</w:t>
            </w:r>
          </w:p>
        </w:tc>
        <w:tc>
          <w:tcPr>
            <w:tcW w:w="4395" w:type="dxa"/>
            <w:vAlign w:val="center"/>
            <w:hideMark/>
          </w:tcPr>
          <w:p w14:paraId="76E3BD0E"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1 – Malay, 0 – others</w:t>
            </w:r>
          </w:p>
        </w:tc>
      </w:tr>
      <w:tr w:rsidR="00BC76B8" w:rsidRPr="00BC76B8" w14:paraId="44386E8C" w14:textId="77777777" w:rsidTr="003916BA">
        <w:trPr>
          <w:trHeight w:val="189"/>
          <w:jc w:val="center"/>
        </w:trPr>
        <w:tc>
          <w:tcPr>
            <w:tcW w:w="4252" w:type="dxa"/>
            <w:vAlign w:val="center"/>
            <w:hideMark/>
          </w:tcPr>
          <w:p w14:paraId="2C0CBDC5" w14:textId="77777777" w:rsidR="00C07761" w:rsidRPr="00BC76B8" w:rsidRDefault="00C07761" w:rsidP="00CD468E">
            <w:pPr>
              <w:ind w:leftChars="0" w:left="0" w:firstLineChars="88" w:firstLine="176"/>
              <w:rPr>
                <w:rFonts w:ascii="Times New Roman" w:hAnsi="Times New Roman"/>
                <w:sz w:val="20"/>
                <w:szCs w:val="20"/>
                <w:lang w:eastAsia="en-MY"/>
              </w:rPr>
            </w:pPr>
            <w:r w:rsidRPr="00BC76B8">
              <w:rPr>
                <w:rFonts w:ascii="Times New Roman" w:hAnsi="Times New Roman"/>
                <w:sz w:val="20"/>
                <w:szCs w:val="20"/>
                <w:lang w:eastAsia="en-MY"/>
              </w:rPr>
              <w:t>Household size</w:t>
            </w:r>
          </w:p>
        </w:tc>
        <w:tc>
          <w:tcPr>
            <w:tcW w:w="4395" w:type="dxa"/>
            <w:vAlign w:val="center"/>
            <w:hideMark/>
          </w:tcPr>
          <w:p w14:paraId="7FD908ED"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The number of households</w:t>
            </w:r>
          </w:p>
        </w:tc>
      </w:tr>
      <w:tr w:rsidR="00BC76B8" w:rsidRPr="00BC76B8" w14:paraId="70925113" w14:textId="77777777" w:rsidTr="003916BA">
        <w:trPr>
          <w:trHeight w:val="281"/>
          <w:jc w:val="center"/>
        </w:trPr>
        <w:tc>
          <w:tcPr>
            <w:tcW w:w="4252" w:type="dxa"/>
            <w:vAlign w:val="center"/>
            <w:hideMark/>
          </w:tcPr>
          <w:p w14:paraId="43F5D3D7" w14:textId="77777777" w:rsidR="00C07761" w:rsidRPr="00BC76B8" w:rsidRDefault="00C07761" w:rsidP="00CD468E">
            <w:pPr>
              <w:ind w:leftChars="0" w:left="0" w:firstLineChars="88" w:firstLine="176"/>
              <w:rPr>
                <w:rFonts w:ascii="Times New Roman" w:hAnsi="Times New Roman"/>
                <w:sz w:val="20"/>
                <w:szCs w:val="20"/>
                <w:lang w:eastAsia="en-MY"/>
              </w:rPr>
            </w:pPr>
            <w:r w:rsidRPr="00BC76B8">
              <w:rPr>
                <w:rFonts w:ascii="Times New Roman" w:hAnsi="Times New Roman"/>
                <w:sz w:val="20"/>
                <w:szCs w:val="20"/>
                <w:lang w:eastAsia="en-MY"/>
              </w:rPr>
              <w:t>Category of job</w:t>
            </w:r>
          </w:p>
        </w:tc>
        <w:tc>
          <w:tcPr>
            <w:tcW w:w="4395" w:type="dxa"/>
            <w:vAlign w:val="center"/>
            <w:hideMark/>
          </w:tcPr>
          <w:p w14:paraId="48CCB6EC"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1 – government, 0 – others</w:t>
            </w:r>
          </w:p>
        </w:tc>
      </w:tr>
      <w:tr w:rsidR="00BC76B8" w:rsidRPr="00BC76B8" w14:paraId="022FB30D" w14:textId="77777777" w:rsidTr="003916BA">
        <w:trPr>
          <w:trHeight w:val="243"/>
          <w:jc w:val="center"/>
        </w:trPr>
        <w:tc>
          <w:tcPr>
            <w:tcW w:w="4252" w:type="dxa"/>
            <w:vAlign w:val="center"/>
            <w:hideMark/>
          </w:tcPr>
          <w:p w14:paraId="383D41D6" w14:textId="77777777" w:rsidR="00C07761" w:rsidRPr="00BC76B8" w:rsidRDefault="00C07761" w:rsidP="00CD468E">
            <w:pPr>
              <w:ind w:leftChars="0" w:left="0" w:firstLineChars="88" w:firstLine="176"/>
              <w:rPr>
                <w:rFonts w:ascii="Times New Roman" w:hAnsi="Times New Roman"/>
                <w:sz w:val="20"/>
                <w:szCs w:val="20"/>
                <w:lang w:eastAsia="en-MY"/>
              </w:rPr>
            </w:pPr>
            <w:r w:rsidRPr="00BC76B8">
              <w:rPr>
                <w:rFonts w:ascii="Times New Roman" w:hAnsi="Times New Roman"/>
                <w:sz w:val="20"/>
                <w:szCs w:val="20"/>
                <w:lang w:eastAsia="en-MY"/>
              </w:rPr>
              <w:t>Income</w:t>
            </w:r>
          </w:p>
        </w:tc>
        <w:tc>
          <w:tcPr>
            <w:tcW w:w="4395" w:type="dxa"/>
            <w:vAlign w:val="center"/>
            <w:hideMark/>
          </w:tcPr>
          <w:p w14:paraId="21137301"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The monthly income of respondent (RM/month)</w:t>
            </w:r>
          </w:p>
        </w:tc>
      </w:tr>
      <w:tr w:rsidR="00BC76B8" w:rsidRPr="00BC76B8" w14:paraId="5D689026" w14:textId="77777777" w:rsidTr="003916BA">
        <w:trPr>
          <w:trHeight w:val="299"/>
          <w:jc w:val="center"/>
        </w:trPr>
        <w:tc>
          <w:tcPr>
            <w:tcW w:w="4252" w:type="dxa"/>
            <w:vAlign w:val="center"/>
            <w:hideMark/>
          </w:tcPr>
          <w:p w14:paraId="7AF4AA59" w14:textId="77777777" w:rsidR="00C07761" w:rsidRPr="00BC76B8" w:rsidRDefault="00C07761" w:rsidP="00CD468E">
            <w:pPr>
              <w:ind w:leftChars="0" w:left="0" w:firstLineChars="88" w:firstLine="176"/>
              <w:rPr>
                <w:rFonts w:ascii="Times New Roman" w:hAnsi="Times New Roman"/>
                <w:sz w:val="20"/>
                <w:szCs w:val="20"/>
                <w:lang w:eastAsia="en-MY"/>
              </w:rPr>
            </w:pPr>
            <w:r w:rsidRPr="00BC76B8">
              <w:rPr>
                <w:rFonts w:ascii="Times New Roman" w:hAnsi="Times New Roman"/>
                <w:sz w:val="20"/>
                <w:szCs w:val="20"/>
                <w:lang w:eastAsia="en-MY"/>
              </w:rPr>
              <w:t>Marital status</w:t>
            </w:r>
          </w:p>
        </w:tc>
        <w:tc>
          <w:tcPr>
            <w:tcW w:w="4395" w:type="dxa"/>
            <w:vAlign w:val="center"/>
            <w:hideMark/>
          </w:tcPr>
          <w:p w14:paraId="1738141E"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1 – married, 0 – others</w:t>
            </w:r>
          </w:p>
        </w:tc>
      </w:tr>
      <w:tr w:rsidR="00BC76B8" w:rsidRPr="00BC76B8" w14:paraId="455E513A" w14:textId="77777777" w:rsidTr="003916BA">
        <w:trPr>
          <w:trHeight w:val="116"/>
          <w:jc w:val="center"/>
        </w:trPr>
        <w:tc>
          <w:tcPr>
            <w:tcW w:w="4252" w:type="dxa"/>
            <w:tcBorders>
              <w:top w:val="nil"/>
              <w:left w:val="nil"/>
              <w:bottom w:val="single" w:sz="4" w:space="0" w:color="auto"/>
              <w:right w:val="nil"/>
            </w:tcBorders>
            <w:vAlign w:val="center"/>
            <w:hideMark/>
          </w:tcPr>
          <w:p w14:paraId="0F6EE610" w14:textId="77777777" w:rsidR="00C07761" w:rsidRPr="00BC76B8" w:rsidRDefault="00C07761" w:rsidP="00CD468E">
            <w:pPr>
              <w:ind w:leftChars="0" w:left="0" w:firstLineChars="88" w:firstLine="176"/>
              <w:rPr>
                <w:rFonts w:ascii="Times New Roman" w:hAnsi="Times New Roman"/>
                <w:sz w:val="20"/>
                <w:szCs w:val="20"/>
              </w:rPr>
            </w:pPr>
            <w:r w:rsidRPr="00BC76B8">
              <w:rPr>
                <w:rFonts w:ascii="Times New Roman" w:hAnsi="Times New Roman"/>
                <w:sz w:val="20"/>
                <w:szCs w:val="20"/>
                <w:lang w:eastAsia="en-MY"/>
              </w:rPr>
              <w:t>Confidence in contributing the trust fund</w:t>
            </w:r>
          </w:p>
        </w:tc>
        <w:tc>
          <w:tcPr>
            <w:tcW w:w="4395" w:type="dxa"/>
            <w:tcBorders>
              <w:top w:val="nil"/>
              <w:left w:val="nil"/>
              <w:bottom w:val="single" w:sz="4" w:space="0" w:color="auto"/>
              <w:right w:val="nil"/>
            </w:tcBorders>
            <w:vAlign w:val="center"/>
            <w:hideMark/>
          </w:tcPr>
          <w:p w14:paraId="2C7CA8A3" w14:textId="77777777" w:rsidR="00C07761" w:rsidRPr="00BC76B8" w:rsidRDefault="00C07761" w:rsidP="00CD468E">
            <w:pPr>
              <w:ind w:leftChars="0" w:left="2" w:hanging="2"/>
              <w:jc w:val="center"/>
              <w:rPr>
                <w:rFonts w:ascii="Times New Roman" w:hAnsi="Times New Roman"/>
                <w:sz w:val="20"/>
                <w:szCs w:val="20"/>
              </w:rPr>
            </w:pPr>
            <w:r w:rsidRPr="00BC76B8">
              <w:rPr>
                <w:rFonts w:ascii="Times New Roman" w:hAnsi="Times New Roman"/>
                <w:sz w:val="20"/>
                <w:szCs w:val="20"/>
              </w:rPr>
              <w:t>Re-categorised likert scale: 1 – Confidence (confidence, very confidence), 0 – others</w:t>
            </w:r>
          </w:p>
        </w:tc>
      </w:tr>
    </w:tbl>
    <w:p w14:paraId="5F1DB7C7" w14:textId="7C2EE3CF" w:rsidR="00C07761" w:rsidRPr="0057758A" w:rsidRDefault="00C07761" w:rsidP="00CD468E">
      <w:pPr>
        <w:pBdr>
          <w:top w:val="nil"/>
          <w:left w:val="nil"/>
          <w:bottom w:val="nil"/>
          <w:right w:val="nil"/>
          <w:between w:val="nil"/>
        </w:pBdr>
        <w:spacing w:after="0" w:line="240" w:lineRule="auto"/>
        <w:ind w:leftChars="0" w:left="2" w:hanging="2"/>
        <w:jc w:val="both"/>
        <w:rPr>
          <w:rFonts w:ascii="Times New Roman" w:hAnsi="Times New Roman"/>
        </w:rPr>
      </w:pPr>
    </w:p>
    <w:p w14:paraId="2DE67DFA" w14:textId="77777777" w:rsidR="00D608B1" w:rsidRPr="0057758A" w:rsidRDefault="00D608B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rPr>
      </w:pPr>
    </w:p>
    <w:p w14:paraId="7B5FD0F7" w14:textId="590D0F44" w:rsidR="00183C2C" w:rsidRPr="00BC76B8"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Results and discussion  </w:t>
      </w:r>
    </w:p>
    <w:p w14:paraId="25E0A0BF" w14:textId="77777777" w:rsidR="00183C2C" w:rsidRPr="0006388D" w:rsidRDefault="00C07761"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sz w:val="24"/>
          <w:szCs w:val="24"/>
        </w:rPr>
      </w:pPr>
      <w:r w:rsidRPr="00BC76B8">
        <w:rPr>
          <w:rFonts w:ascii="Times New Roman" w:eastAsia="Times New Roman" w:hAnsi="Times New Roman" w:cs="Times New Roman"/>
          <w:b/>
          <w:sz w:val="24"/>
          <w:szCs w:val="24"/>
        </w:rPr>
        <w:t xml:space="preserve"> </w:t>
      </w:r>
    </w:p>
    <w:p w14:paraId="54866660" w14:textId="799EC397" w:rsidR="00C07761" w:rsidRDefault="00C07761" w:rsidP="00CD468E">
      <w:pPr>
        <w:spacing w:after="0" w:line="240" w:lineRule="auto"/>
        <w:ind w:leftChars="0" w:left="2" w:hanging="2"/>
        <w:jc w:val="both"/>
        <w:rPr>
          <w:rFonts w:ascii="Times New Roman" w:hAnsi="Times New Roman" w:cs="Times New Roman"/>
          <w:sz w:val="24"/>
          <w:szCs w:val="24"/>
        </w:rPr>
      </w:pPr>
      <w:r w:rsidRPr="00BC76B8">
        <w:rPr>
          <w:rFonts w:ascii="Times New Roman" w:hAnsi="Times New Roman" w:cs="Times New Roman"/>
          <w:sz w:val="24"/>
          <w:szCs w:val="24"/>
        </w:rPr>
        <w:t>The demographic profile and descriptive statistics for the study are illustrated in Table</w:t>
      </w:r>
      <w:r w:rsidR="00A82EBC" w:rsidRPr="00BC76B8">
        <w:rPr>
          <w:rFonts w:ascii="Times New Roman" w:hAnsi="Times New Roman" w:cs="Times New Roman"/>
          <w:sz w:val="24"/>
          <w:szCs w:val="24"/>
        </w:rPr>
        <w:t>s</w:t>
      </w:r>
      <w:r w:rsidRPr="00BC76B8">
        <w:rPr>
          <w:rFonts w:ascii="Times New Roman" w:hAnsi="Times New Roman" w:cs="Times New Roman"/>
          <w:sz w:val="24"/>
          <w:szCs w:val="24"/>
        </w:rPr>
        <w:t xml:space="preserve"> 2 and 3. The age of the sample in Putrajaya and Muda were between 16 to 62 and 16 to 78 respectively. Almost half of the respondents in both surveys were women. About 74% of respondents in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Putrajaya Lake survey were university or college graduate</w:t>
      </w:r>
      <w:r w:rsidR="00A82EBC" w:rsidRPr="00BC76B8">
        <w:rPr>
          <w:rFonts w:ascii="Times New Roman" w:hAnsi="Times New Roman" w:cs="Times New Roman"/>
          <w:sz w:val="24"/>
          <w:szCs w:val="24"/>
        </w:rPr>
        <w:t>s</w:t>
      </w:r>
      <w:r w:rsidRPr="00BC76B8">
        <w:rPr>
          <w:rFonts w:ascii="Times New Roman" w:hAnsi="Times New Roman" w:cs="Times New Roman"/>
          <w:sz w:val="24"/>
          <w:szCs w:val="24"/>
        </w:rPr>
        <w:t xml:space="preserve">, while only 48% of respondents in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Muda Lake survey were university or college graduate</w:t>
      </w:r>
      <w:r w:rsidR="00A82EBC" w:rsidRPr="00BC76B8">
        <w:rPr>
          <w:rFonts w:ascii="Times New Roman" w:hAnsi="Times New Roman" w:cs="Times New Roman"/>
          <w:sz w:val="24"/>
          <w:szCs w:val="24"/>
        </w:rPr>
        <w:t>s</w:t>
      </w:r>
      <w:r w:rsidRPr="00BC76B8">
        <w:rPr>
          <w:rFonts w:ascii="Times New Roman" w:hAnsi="Times New Roman" w:cs="Times New Roman"/>
          <w:sz w:val="24"/>
          <w:szCs w:val="24"/>
        </w:rPr>
        <w:t xml:space="preserve"> and 37% have upper secondary school education (Table 3). The main employment group for respondents in Putrajaya w</w:t>
      </w:r>
      <w:r w:rsidR="00A82EBC" w:rsidRPr="00BC76B8">
        <w:rPr>
          <w:rFonts w:ascii="Times New Roman" w:hAnsi="Times New Roman" w:cs="Times New Roman"/>
          <w:sz w:val="24"/>
          <w:szCs w:val="24"/>
        </w:rPr>
        <w:t>as the</w:t>
      </w:r>
      <w:r w:rsidRPr="00BC76B8">
        <w:rPr>
          <w:rFonts w:ascii="Times New Roman" w:hAnsi="Times New Roman" w:cs="Times New Roman"/>
          <w:sz w:val="24"/>
          <w:szCs w:val="24"/>
        </w:rPr>
        <w:t xml:space="preserve"> private sector followed by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government (31%) while Muda w</w:t>
      </w:r>
      <w:r w:rsidR="00A82EBC" w:rsidRPr="00BC76B8">
        <w:rPr>
          <w:rFonts w:ascii="Times New Roman" w:hAnsi="Times New Roman" w:cs="Times New Roman"/>
          <w:sz w:val="24"/>
          <w:szCs w:val="24"/>
        </w:rPr>
        <w:t>as</w:t>
      </w:r>
      <w:r w:rsidRPr="00BC76B8">
        <w:rPr>
          <w:rFonts w:ascii="Times New Roman" w:hAnsi="Times New Roman" w:cs="Times New Roman"/>
          <w:sz w:val="24"/>
          <w:szCs w:val="24"/>
        </w:rPr>
        <w:t xml:space="preserve"> self-employed (36%) and unemployed (27%, </w:t>
      </w:r>
      <w:r w:rsidR="00BE53F4" w:rsidRPr="00BC76B8">
        <w:rPr>
          <w:rFonts w:ascii="Times New Roman" w:hAnsi="Times New Roman" w:cs="Times New Roman"/>
          <w:sz w:val="24"/>
          <w:szCs w:val="24"/>
        </w:rPr>
        <w:t>i.e.,</w:t>
      </w:r>
      <w:r w:rsidRPr="00BC76B8">
        <w:rPr>
          <w:rFonts w:ascii="Times New Roman" w:hAnsi="Times New Roman" w:cs="Times New Roman"/>
          <w:sz w:val="24"/>
          <w:szCs w:val="24"/>
        </w:rPr>
        <w:t xml:space="preserve"> pensioners, housewives</w:t>
      </w:r>
      <w:r w:rsidR="00A82EBC" w:rsidRPr="00BC76B8">
        <w:rPr>
          <w:rFonts w:ascii="Times New Roman" w:hAnsi="Times New Roman" w:cs="Times New Roman"/>
          <w:sz w:val="24"/>
          <w:szCs w:val="24"/>
        </w:rPr>
        <w:t>,</w:t>
      </w:r>
      <w:r w:rsidRPr="00BC76B8">
        <w:rPr>
          <w:rFonts w:ascii="Times New Roman" w:hAnsi="Times New Roman" w:cs="Times New Roman"/>
          <w:sz w:val="24"/>
          <w:szCs w:val="24"/>
        </w:rPr>
        <w:t xml:space="preserve"> and students). The average income was significantly higher in Putrajaya compared to Muda (</w:t>
      </w:r>
      <w:r w:rsidRPr="00BC76B8">
        <w:rPr>
          <w:rFonts w:ascii="Times New Roman" w:hAnsi="Times New Roman" w:cs="Times New Roman"/>
          <w:i/>
          <w:sz w:val="24"/>
          <w:szCs w:val="24"/>
        </w:rPr>
        <w:t>p</w:t>
      </w:r>
      <w:r w:rsidRPr="00BC76B8">
        <w:rPr>
          <w:rFonts w:ascii="Times New Roman" w:hAnsi="Times New Roman" w:cs="Times New Roman"/>
          <w:sz w:val="24"/>
          <w:szCs w:val="24"/>
        </w:rPr>
        <w:t xml:space="preserve"> &lt; 0.01) (Table 2). Urban dwellers in Putrajaya are mostly government and private employees that are working in administration, commercial and private sectors; hence they have higher income.</w:t>
      </w:r>
    </w:p>
    <w:p w14:paraId="5AC27C07" w14:textId="77777777" w:rsidR="0006388D" w:rsidRPr="00BC76B8" w:rsidRDefault="0006388D" w:rsidP="00CD468E">
      <w:pPr>
        <w:spacing w:after="0" w:line="240" w:lineRule="auto"/>
        <w:ind w:leftChars="0" w:left="2" w:hanging="2"/>
        <w:jc w:val="both"/>
        <w:rPr>
          <w:rFonts w:ascii="Times New Roman" w:hAnsi="Times New Roman" w:cs="Times New Roman"/>
          <w:sz w:val="24"/>
          <w:szCs w:val="24"/>
        </w:rPr>
      </w:pPr>
    </w:p>
    <w:p w14:paraId="18149F0C" w14:textId="44053BEE" w:rsidR="00957E97" w:rsidRDefault="00957E97" w:rsidP="00CD468E">
      <w:pPr>
        <w:spacing w:after="0" w:line="240" w:lineRule="auto"/>
        <w:ind w:leftChars="0" w:left="2" w:hanging="2"/>
        <w:jc w:val="center"/>
        <w:rPr>
          <w:rFonts w:ascii="Times New Roman" w:eastAsia="Times New Roman" w:hAnsi="Times New Roman" w:cs="Times New Roman"/>
          <w:sz w:val="20"/>
          <w:szCs w:val="20"/>
          <w:lang w:eastAsia="en-MY"/>
        </w:rPr>
      </w:pPr>
      <w:r w:rsidRPr="00BC76B8">
        <w:rPr>
          <w:rFonts w:ascii="Times New Roman" w:eastAsia="Times New Roman" w:hAnsi="Times New Roman" w:cs="Times New Roman"/>
          <w:b/>
          <w:bCs/>
          <w:sz w:val="20"/>
          <w:szCs w:val="20"/>
          <w:lang w:eastAsia="en-MY"/>
        </w:rPr>
        <w:t>Table 2</w:t>
      </w:r>
      <w:r w:rsidRPr="00BC76B8">
        <w:rPr>
          <w:rFonts w:ascii="Times New Roman" w:eastAsia="Times New Roman" w:hAnsi="Times New Roman" w:cs="Times New Roman"/>
          <w:sz w:val="20"/>
          <w:szCs w:val="20"/>
          <w:lang w:eastAsia="en-MY"/>
        </w:rPr>
        <w:t>. Description of variables used in logit model</w:t>
      </w:r>
      <w:r w:rsidR="0006388D">
        <w:rPr>
          <w:rFonts w:ascii="Times New Roman" w:eastAsia="Times New Roman" w:hAnsi="Times New Roman" w:cs="Times New Roman"/>
          <w:sz w:val="20"/>
          <w:szCs w:val="20"/>
          <w:lang w:eastAsia="en-MY"/>
        </w:rPr>
        <w:t>.</w:t>
      </w:r>
    </w:p>
    <w:p w14:paraId="64058D29" w14:textId="77777777" w:rsidR="0006388D" w:rsidRPr="0006388D" w:rsidRDefault="0006388D" w:rsidP="00CD468E">
      <w:pPr>
        <w:spacing w:after="0" w:line="240" w:lineRule="auto"/>
        <w:ind w:leftChars="0" w:left="2" w:hanging="2"/>
        <w:jc w:val="center"/>
        <w:rPr>
          <w:rFonts w:ascii="Times New Roman" w:eastAsia="Times New Roman" w:hAnsi="Times New Roman" w:cs="Times New Roman"/>
          <w:sz w:val="20"/>
          <w:szCs w:val="20"/>
          <w:lang w:eastAsia="en-MY"/>
        </w:rPr>
      </w:pPr>
    </w:p>
    <w:tbl>
      <w:tblPr>
        <w:tblStyle w:val="TableGrid"/>
        <w:tblW w:w="85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gridCol w:w="1984"/>
        <w:gridCol w:w="1276"/>
      </w:tblGrid>
      <w:tr w:rsidR="00BC76B8" w:rsidRPr="00BC76B8" w14:paraId="0E4D01E3" w14:textId="77777777" w:rsidTr="003916BA">
        <w:trPr>
          <w:jc w:val="center"/>
        </w:trPr>
        <w:tc>
          <w:tcPr>
            <w:tcW w:w="3544" w:type="dxa"/>
            <w:tcBorders>
              <w:top w:val="single" w:sz="4" w:space="0" w:color="auto"/>
              <w:left w:val="nil"/>
              <w:bottom w:val="single" w:sz="4" w:space="0" w:color="auto"/>
              <w:right w:val="nil"/>
            </w:tcBorders>
            <w:shd w:val="clear" w:color="auto" w:fill="8DB3E2" w:themeFill="text2" w:themeFillTint="66"/>
            <w:hideMark/>
          </w:tcPr>
          <w:p w14:paraId="5D56E9F1" w14:textId="77777777" w:rsidR="00957E97" w:rsidRPr="00BC76B8" w:rsidRDefault="00957E97" w:rsidP="00CD468E">
            <w:pPr>
              <w:ind w:leftChars="0" w:left="2" w:hanging="2"/>
              <w:rPr>
                <w:rFonts w:ascii="Times New Roman" w:hAnsi="Times New Roman" w:cs="Times New Roman"/>
                <w:b/>
                <w:sz w:val="20"/>
                <w:szCs w:val="20"/>
              </w:rPr>
            </w:pPr>
            <w:r w:rsidRPr="00BC76B8">
              <w:rPr>
                <w:rFonts w:ascii="Times New Roman" w:hAnsi="Times New Roman" w:cs="Times New Roman"/>
                <w:b/>
                <w:sz w:val="20"/>
                <w:szCs w:val="20"/>
              </w:rPr>
              <w:t>Description</w:t>
            </w:r>
          </w:p>
        </w:tc>
        <w:tc>
          <w:tcPr>
            <w:tcW w:w="1701" w:type="dxa"/>
            <w:tcBorders>
              <w:top w:val="single" w:sz="4" w:space="0" w:color="auto"/>
              <w:left w:val="nil"/>
              <w:bottom w:val="single" w:sz="4" w:space="0" w:color="auto"/>
              <w:right w:val="nil"/>
            </w:tcBorders>
            <w:shd w:val="clear" w:color="auto" w:fill="8DB3E2" w:themeFill="text2" w:themeFillTint="66"/>
            <w:hideMark/>
          </w:tcPr>
          <w:p w14:paraId="6A59A561" w14:textId="77777777" w:rsidR="00957E97" w:rsidRPr="00BC76B8" w:rsidRDefault="00957E97"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Putrajaya Lake</w:t>
            </w:r>
          </w:p>
        </w:tc>
        <w:tc>
          <w:tcPr>
            <w:tcW w:w="1984" w:type="dxa"/>
            <w:tcBorders>
              <w:top w:val="single" w:sz="4" w:space="0" w:color="auto"/>
              <w:left w:val="nil"/>
              <w:bottom w:val="single" w:sz="4" w:space="0" w:color="auto"/>
              <w:right w:val="nil"/>
            </w:tcBorders>
            <w:shd w:val="clear" w:color="auto" w:fill="8DB3E2" w:themeFill="text2" w:themeFillTint="66"/>
            <w:hideMark/>
          </w:tcPr>
          <w:p w14:paraId="0C2A6A7C" w14:textId="77777777" w:rsidR="00957E97" w:rsidRPr="00BC76B8" w:rsidRDefault="00957E97"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Muda Lake</w:t>
            </w:r>
          </w:p>
        </w:tc>
        <w:tc>
          <w:tcPr>
            <w:tcW w:w="1276" w:type="dxa"/>
            <w:tcBorders>
              <w:top w:val="single" w:sz="4" w:space="0" w:color="auto"/>
              <w:left w:val="nil"/>
              <w:bottom w:val="single" w:sz="4" w:space="0" w:color="auto"/>
              <w:right w:val="nil"/>
            </w:tcBorders>
            <w:shd w:val="clear" w:color="auto" w:fill="8DB3E2" w:themeFill="text2" w:themeFillTint="66"/>
            <w:hideMark/>
          </w:tcPr>
          <w:p w14:paraId="5243CE45" w14:textId="77777777" w:rsidR="00957E97" w:rsidRPr="00BC76B8" w:rsidRDefault="00957E97"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i/>
                <w:sz w:val="20"/>
                <w:szCs w:val="20"/>
              </w:rPr>
              <w:t>p</w:t>
            </w:r>
            <w:r w:rsidRPr="00BC76B8">
              <w:rPr>
                <w:rFonts w:ascii="Times New Roman" w:hAnsi="Times New Roman" w:cs="Times New Roman"/>
                <w:b/>
                <w:bCs/>
                <w:sz w:val="20"/>
                <w:szCs w:val="20"/>
              </w:rPr>
              <w:t>-value</w:t>
            </w:r>
          </w:p>
        </w:tc>
      </w:tr>
      <w:tr w:rsidR="00BC76B8" w:rsidRPr="00BC76B8" w14:paraId="52AA370E" w14:textId="77777777" w:rsidTr="003916BA">
        <w:trPr>
          <w:jc w:val="center"/>
        </w:trPr>
        <w:tc>
          <w:tcPr>
            <w:tcW w:w="3544" w:type="dxa"/>
            <w:tcBorders>
              <w:top w:val="single" w:sz="4" w:space="0" w:color="auto"/>
              <w:left w:val="nil"/>
              <w:bottom w:val="nil"/>
              <w:right w:val="nil"/>
            </w:tcBorders>
            <w:hideMark/>
          </w:tcPr>
          <w:p w14:paraId="3B4E2C9E"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Average Age (years)</w:t>
            </w:r>
          </w:p>
        </w:tc>
        <w:tc>
          <w:tcPr>
            <w:tcW w:w="1701" w:type="dxa"/>
            <w:tcBorders>
              <w:top w:val="single" w:sz="4" w:space="0" w:color="auto"/>
              <w:left w:val="nil"/>
              <w:bottom w:val="nil"/>
              <w:right w:val="nil"/>
            </w:tcBorders>
            <w:hideMark/>
          </w:tcPr>
          <w:p w14:paraId="41128A5B"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31</w:t>
            </w:r>
          </w:p>
        </w:tc>
        <w:tc>
          <w:tcPr>
            <w:tcW w:w="1984" w:type="dxa"/>
            <w:tcBorders>
              <w:top w:val="single" w:sz="4" w:space="0" w:color="auto"/>
              <w:left w:val="nil"/>
              <w:bottom w:val="nil"/>
              <w:right w:val="nil"/>
            </w:tcBorders>
            <w:hideMark/>
          </w:tcPr>
          <w:p w14:paraId="7F52A08B"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31.5</w:t>
            </w:r>
          </w:p>
        </w:tc>
        <w:tc>
          <w:tcPr>
            <w:tcW w:w="1276" w:type="dxa"/>
            <w:tcBorders>
              <w:top w:val="single" w:sz="4" w:space="0" w:color="auto"/>
              <w:left w:val="nil"/>
              <w:bottom w:val="nil"/>
              <w:right w:val="nil"/>
            </w:tcBorders>
            <w:hideMark/>
          </w:tcPr>
          <w:p w14:paraId="1FE5EC62"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0.587</w:t>
            </w:r>
          </w:p>
        </w:tc>
      </w:tr>
      <w:tr w:rsidR="00BC76B8" w:rsidRPr="00BC76B8" w14:paraId="33140D71" w14:textId="77777777" w:rsidTr="003916BA">
        <w:trPr>
          <w:jc w:val="center"/>
        </w:trPr>
        <w:tc>
          <w:tcPr>
            <w:tcW w:w="3544" w:type="dxa"/>
            <w:tcBorders>
              <w:top w:val="nil"/>
              <w:left w:val="nil"/>
              <w:bottom w:val="nil"/>
              <w:right w:val="nil"/>
            </w:tcBorders>
            <w:hideMark/>
          </w:tcPr>
          <w:p w14:paraId="670EEA8D"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Average Income, RM/month (USD/month)</w:t>
            </w:r>
          </w:p>
        </w:tc>
        <w:tc>
          <w:tcPr>
            <w:tcW w:w="1701" w:type="dxa"/>
            <w:tcBorders>
              <w:top w:val="nil"/>
              <w:left w:val="nil"/>
              <w:bottom w:val="nil"/>
              <w:right w:val="nil"/>
            </w:tcBorders>
            <w:hideMark/>
          </w:tcPr>
          <w:p w14:paraId="42491497"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 xml:space="preserve">2895 </w:t>
            </w:r>
          </w:p>
          <w:p w14:paraId="08A7B7E1"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(696)</w:t>
            </w:r>
          </w:p>
        </w:tc>
        <w:tc>
          <w:tcPr>
            <w:tcW w:w="1984" w:type="dxa"/>
            <w:tcBorders>
              <w:top w:val="nil"/>
              <w:left w:val="nil"/>
              <w:bottom w:val="nil"/>
              <w:right w:val="nil"/>
            </w:tcBorders>
            <w:hideMark/>
          </w:tcPr>
          <w:p w14:paraId="2545F01B"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963</w:t>
            </w:r>
          </w:p>
          <w:p w14:paraId="07190C96"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(232)</w:t>
            </w:r>
          </w:p>
        </w:tc>
        <w:tc>
          <w:tcPr>
            <w:tcW w:w="1276" w:type="dxa"/>
            <w:tcBorders>
              <w:top w:val="nil"/>
              <w:left w:val="nil"/>
              <w:bottom w:val="nil"/>
              <w:right w:val="nil"/>
            </w:tcBorders>
            <w:hideMark/>
          </w:tcPr>
          <w:p w14:paraId="6704829F"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0.000**</w:t>
            </w:r>
          </w:p>
        </w:tc>
      </w:tr>
      <w:tr w:rsidR="00BC76B8" w:rsidRPr="00BC76B8" w14:paraId="1B475247" w14:textId="77777777" w:rsidTr="003916BA">
        <w:trPr>
          <w:jc w:val="center"/>
        </w:trPr>
        <w:tc>
          <w:tcPr>
            <w:tcW w:w="3544" w:type="dxa"/>
            <w:tcBorders>
              <w:top w:val="nil"/>
              <w:left w:val="nil"/>
              <w:bottom w:val="nil"/>
              <w:right w:val="nil"/>
            </w:tcBorders>
            <w:hideMark/>
          </w:tcPr>
          <w:p w14:paraId="23546F4F"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Average family</w:t>
            </w:r>
          </w:p>
        </w:tc>
        <w:tc>
          <w:tcPr>
            <w:tcW w:w="1701" w:type="dxa"/>
            <w:tcBorders>
              <w:top w:val="nil"/>
              <w:left w:val="nil"/>
              <w:bottom w:val="nil"/>
              <w:right w:val="nil"/>
            </w:tcBorders>
            <w:hideMark/>
          </w:tcPr>
          <w:p w14:paraId="793EF992"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4</w:t>
            </w:r>
          </w:p>
        </w:tc>
        <w:tc>
          <w:tcPr>
            <w:tcW w:w="1984" w:type="dxa"/>
            <w:tcBorders>
              <w:top w:val="nil"/>
              <w:left w:val="nil"/>
              <w:bottom w:val="nil"/>
              <w:right w:val="nil"/>
            </w:tcBorders>
            <w:hideMark/>
          </w:tcPr>
          <w:p w14:paraId="7FF94800"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5</w:t>
            </w:r>
          </w:p>
        </w:tc>
        <w:tc>
          <w:tcPr>
            <w:tcW w:w="1276" w:type="dxa"/>
            <w:tcBorders>
              <w:top w:val="nil"/>
              <w:left w:val="nil"/>
              <w:bottom w:val="nil"/>
              <w:right w:val="nil"/>
            </w:tcBorders>
            <w:hideMark/>
          </w:tcPr>
          <w:p w14:paraId="194C32D8"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0.012*</w:t>
            </w:r>
          </w:p>
        </w:tc>
      </w:tr>
      <w:tr w:rsidR="00BC76B8" w:rsidRPr="00BC76B8" w14:paraId="65DA0E29" w14:textId="77777777" w:rsidTr="003916BA">
        <w:trPr>
          <w:jc w:val="center"/>
        </w:trPr>
        <w:tc>
          <w:tcPr>
            <w:tcW w:w="3544" w:type="dxa"/>
            <w:tcBorders>
              <w:top w:val="nil"/>
              <w:left w:val="nil"/>
              <w:bottom w:val="nil"/>
              <w:right w:val="nil"/>
            </w:tcBorders>
            <w:hideMark/>
          </w:tcPr>
          <w:p w14:paraId="1A2C1E0D"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Percentage of women</w:t>
            </w:r>
          </w:p>
        </w:tc>
        <w:tc>
          <w:tcPr>
            <w:tcW w:w="1701" w:type="dxa"/>
            <w:tcBorders>
              <w:top w:val="nil"/>
              <w:left w:val="nil"/>
              <w:bottom w:val="nil"/>
              <w:right w:val="nil"/>
            </w:tcBorders>
            <w:hideMark/>
          </w:tcPr>
          <w:p w14:paraId="29898B4D"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47%</w:t>
            </w:r>
          </w:p>
        </w:tc>
        <w:tc>
          <w:tcPr>
            <w:tcW w:w="1984" w:type="dxa"/>
            <w:tcBorders>
              <w:top w:val="nil"/>
              <w:left w:val="nil"/>
              <w:bottom w:val="nil"/>
              <w:right w:val="nil"/>
            </w:tcBorders>
            <w:hideMark/>
          </w:tcPr>
          <w:p w14:paraId="1CB1D3C1"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46%</w:t>
            </w:r>
          </w:p>
        </w:tc>
        <w:tc>
          <w:tcPr>
            <w:tcW w:w="1276" w:type="dxa"/>
            <w:tcBorders>
              <w:top w:val="nil"/>
              <w:left w:val="nil"/>
              <w:bottom w:val="nil"/>
              <w:right w:val="nil"/>
            </w:tcBorders>
            <w:hideMark/>
          </w:tcPr>
          <w:p w14:paraId="6D15513A"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0.839</w:t>
            </w:r>
          </w:p>
        </w:tc>
      </w:tr>
      <w:tr w:rsidR="00BC76B8" w:rsidRPr="00BC76B8" w14:paraId="3EC406B5" w14:textId="77777777" w:rsidTr="003916BA">
        <w:trPr>
          <w:jc w:val="center"/>
        </w:trPr>
        <w:tc>
          <w:tcPr>
            <w:tcW w:w="3544" w:type="dxa"/>
            <w:tcBorders>
              <w:top w:val="nil"/>
              <w:left w:val="nil"/>
              <w:bottom w:val="nil"/>
              <w:right w:val="nil"/>
            </w:tcBorders>
            <w:hideMark/>
          </w:tcPr>
          <w:p w14:paraId="795E30E7"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Percentage of resident</w:t>
            </w:r>
          </w:p>
        </w:tc>
        <w:tc>
          <w:tcPr>
            <w:tcW w:w="1701" w:type="dxa"/>
            <w:tcBorders>
              <w:top w:val="nil"/>
              <w:left w:val="nil"/>
              <w:bottom w:val="nil"/>
              <w:right w:val="nil"/>
            </w:tcBorders>
            <w:hideMark/>
          </w:tcPr>
          <w:p w14:paraId="2D871158"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18%</w:t>
            </w:r>
          </w:p>
        </w:tc>
        <w:tc>
          <w:tcPr>
            <w:tcW w:w="1984" w:type="dxa"/>
            <w:tcBorders>
              <w:top w:val="nil"/>
              <w:left w:val="nil"/>
              <w:bottom w:val="nil"/>
              <w:right w:val="nil"/>
            </w:tcBorders>
            <w:hideMark/>
          </w:tcPr>
          <w:p w14:paraId="31B12786"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8%</w:t>
            </w:r>
          </w:p>
        </w:tc>
        <w:tc>
          <w:tcPr>
            <w:tcW w:w="1276" w:type="dxa"/>
            <w:tcBorders>
              <w:top w:val="nil"/>
              <w:left w:val="nil"/>
              <w:bottom w:val="nil"/>
              <w:right w:val="nil"/>
            </w:tcBorders>
            <w:hideMark/>
          </w:tcPr>
          <w:p w14:paraId="74460F40"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0.000**</w:t>
            </w:r>
          </w:p>
        </w:tc>
      </w:tr>
      <w:tr w:rsidR="00BC76B8" w:rsidRPr="00BC76B8" w14:paraId="63BE64A7" w14:textId="77777777" w:rsidTr="003916BA">
        <w:trPr>
          <w:jc w:val="center"/>
        </w:trPr>
        <w:tc>
          <w:tcPr>
            <w:tcW w:w="3544" w:type="dxa"/>
            <w:tcBorders>
              <w:top w:val="nil"/>
              <w:left w:val="nil"/>
              <w:bottom w:val="nil"/>
              <w:right w:val="nil"/>
            </w:tcBorders>
            <w:hideMark/>
          </w:tcPr>
          <w:p w14:paraId="01421C5C"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The importance of lake</w:t>
            </w:r>
          </w:p>
        </w:tc>
        <w:tc>
          <w:tcPr>
            <w:tcW w:w="1701" w:type="dxa"/>
            <w:tcBorders>
              <w:top w:val="nil"/>
              <w:left w:val="nil"/>
              <w:bottom w:val="nil"/>
              <w:right w:val="nil"/>
            </w:tcBorders>
            <w:hideMark/>
          </w:tcPr>
          <w:p w14:paraId="6046974A"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88%</w:t>
            </w:r>
          </w:p>
        </w:tc>
        <w:tc>
          <w:tcPr>
            <w:tcW w:w="1984" w:type="dxa"/>
            <w:tcBorders>
              <w:top w:val="nil"/>
              <w:left w:val="nil"/>
              <w:bottom w:val="nil"/>
              <w:right w:val="nil"/>
            </w:tcBorders>
            <w:hideMark/>
          </w:tcPr>
          <w:p w14:paraId="0F26CF9F"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84%</w:t>
            </w:r>
          </w:p>
        </w:tc>
        <w:tc>
          <w:tcPr>
            <w:tcW w:w="1276" w:type="dxa"/>
            <w:tcBorders>
              <w:top w:val="nil"/>
              <w:left w:val="nil"/>
              <w:bottom w:val="nil"/>
              <w:right w:val="nil"/>
            </w:tcBorders>
            <w:hideMark/>
          </w:tcPr>
          <w:p w14:paraId="5EF7CE9E"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0.148</w:t>
            </w:r>
          </w:p>
        </w:tc>
      </w:tr>
      <w:tr w:rsidR="00BC76B8" w:rsidRPr="00BC76B8" w14:paraId="5D12F25D" w14:textId="77777777" w:rsidTr="003916BA">
        <w:trPr>
          <w:jc w:val="center"/>
        </w:trPr>
        <w:tc>
          <w:tcPr>
            <w:tcW w:w="3544" w:type="dxa"/>
            <w:tcBorders>
              <w:top w:val="nil"/>
              <w:left w:val="nil"/>
              <w:bottom w:val="nil"/>
              <w:right w:val="nil"/>
            </w:tcBorders>
            <w:hideMark/>
          </w:tcPr>
          <w:p w14:paraId="1A285208"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Familiar with the lake</w:t>
            </w:r>
          </w:p>
        </w:tc>
        <w:tc>
          <w:tcPr>
            <w:tcW w:w="1701" w:type="dxa"/>
            <w:tcBorders>
              <w:top w:val="nil"/>
              <w:left w:val="nil"/>
              <w:bottom w:val="nil"/>
              <w:right w:val="nil"/>
            </w:tcBorders>
            <w:hideMark/>
          </w:tcPr>
          <w:p w14:paraId="17DFBDF2"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34%</w:t>
            </w:r>
          </w:p>
        </w:tc>
        <w:tc>
          <w:tcPr>
            <w:tcW w:w="1984" w:type="dxa"/>
            <w:tcBorders>
              <w:top w:val="nil"/>
              <w:left w:val="nil"/>
              <w:bottom w:val="nil"/>
              <w:right w:val="nil"/>
            </w:tcBorders>
            <w:hideMark/>
          </w:tcPr>
          <w:p w14:paraId="7D86B9DD"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15%</w:t>
            </w:r>
          </w:p>
        </w:tc>
        <w:tc>
          <w:tcPr>
            <w:tcW w:w="1276" w:type="dxa"/>
            <w:tcBorders>
              <w:top w:val="nil"/>
              <w:left w:val="nil"/>
              <w:bottom w:val="nil"/>
              <w:right w:val="nil"/>
            </w:tcBorders>
            <w:hideMark/>
          </w:tcPr>
          <w:p w14:paraId="34954208"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0.000**</w:t>
            </w:r>
          </w:p>
        </w:tc>
      </w:tr>
      <w:tr w:rsidR="00BC76B8" w:rsidRPr="00BC76B8" w14:paraId="29186147" w14:textId="77777777" w:rsidTr="003916BA">
        <w:trPr>
          <w:jc w:val="center"/>
        </w:trPr>
        <w:tc>
          <w:tcPr>
            <w:tcW w:w="3544" w:type="dxa"/>
            <w:tcBorders>
              <w:top w:val="nil"/>
              <w:left w:val="nil"/>
              <w:bottom w:val="nil"/>
              <w:right w:val="nil"/>
            </w:tcBorders>
            <w:hideMark/>
          </w:tcPr>
          <w:p w14:paraId="3AE8C23C"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Lake and wetland under threat</w:t>
            </w:r>
          </w:p>
        </w:tc>
        <w:tc>
          <w:tcPr>
            <w:tcW w:w="1701" w:type="dxa"/>
            <w:tcBorders>
              <w:top w:val="nil"/>
              <w:left w:val="nil"/>
              <w:bottom w:val="nil"/>
              <w:right w:val="nil"/>
            </w:tcBorders>
            <w:hideMark/>
          </w:tcPr>
          <w:p w14:paraId="0E705995"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56%</w:t>
            </w:r>
          </w:p>
        </w:tc>
        <w:tc>
          <w:tcPr>
            <w:tcW w:w="1984" w:type="dxa"/>
            <w:tcBorders>
              <w:top w:val="nil"/>
              <w:left w:val="nil"/>
              <w:bottom w:val="nil"/>
              <w:right w:val="nil"/>
            </w:tcBorders>
            <w:hideMark/>
          </w:tcPr>
          <w:p w14:paraId="07295E2F"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42%</w:t>
            </w:r>
          </w:p>
        </w:tc>
        <w:tc>
          <w:tcPr>
            <w:tcW w:w="1276" w:type="dxa"/>
            <w:tcBorders>
              <w:top w:val="nil"/>
              <w:left w:val="nil"/>
              <w:bottom w:val="nil"/>
              <w:right w:val="nil"/>
            </w:tcBorders>
            <w:hideMark/>
          </w:tcPr>
          <w:p w14:paraId="590ED543"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0.000**</w:t>
            </w:r>
          </w:p>
        </w:tc>
      </w:tr>
      <w:tr w:rsidR="00BC76B8" w:rsidRPr="00BC76B8" w14:paraId="7CB1CA81" w14:textId="77777777" w:rsidTr="003916BA">
        <w:trPr>
          <w:trHeight w:val="554"/>
          <w:jc w:val="center"/>
        </w:trPr>
        <w:tc>
          <w:tcPr>
            <w:tcW w:w="3544" w:type="dxa"/>
            <w:tcBorders>
              <w:top w:val="nil"/>
              <w:left w:val="nil"/>
              <w:bottom w:val="nil"/>
              <w:right w:val="nil"/>
            </w:tcBorders>
            <w:hideMark/>
          </w:tcPr>
          <w:p w14:paraId="2758B6E3"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bCs/>
                <w:sz w:val="20"/>
                <w:szCs w:val="20"/>
              </w:rPr>
              <w:t xml:space="preserve">Positive perception on lake conservation efforts </w:t>
            </w:r>
          </w:p>
        </w:tc>
        <w:tc>
          <w:tcPr>
            <w:tcW w:w="1701" w:type="dxa"/>
            <w:tcBorders>
              <w:top w:val="nil"/>
              <w:left w:val="nil"/>
              <w:bottom w:val="nil"/>
              <w:right w:val="nil"/>
            </w:tcBorders>
            <w:hideMark/>
          </w:tcPr>
          <w:p w14:paraId="116CF0FE"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89%</w:t>
            </w:r>
          </w:p>
        </w:tc>
        <w:tc>
          <w:tcPr>
            <w:tcW w:w="1984" w:type="dxa"/>
            <w:tcBorders>
              <w:top w:val="nil"/>
              <w:left w:val="nil"/>
              <w:bottom w:val="nil"/>
              <w:right w:val="nil"/>
            </w:tcBorders>
            <w:hideMark/>
          </w:tcPr>
          <w:p w14:paraId="1B66018A"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77%</w:t>
            </w:r>
          </w:p>
        </w:tc>
        <w:tc>
          <w:tcPr>
            <w:tcW w:w="1276" w:type="dxa"/>
            <w:tcBorders>
              <w:top w:val="nil"/>
              <w:left w:val="nil"/>
              <w:bottom w:val="nil"/>
              <w:right w:val="nil"/>
            </w:tcBorders>
            <w:hideMark/>
          </w:tcPr>
          <w:p w14:paraId="3355C6A1"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0.000**</w:t>
            </w:r>
          </w:p>
        </w:tc>
      </w:tr>
      <w:tr w:rsidR="00BC76B8" w:rsidRPr="00BC76B8" w14:paraId="22C9B602" w14:textId="77777777" w:rsidTr="003916BA">
        <w:trPr>
          <w:jc w:val="center"/>
        </w:trPr>
        <w:tc>
          <w:tcPr>
            <w:tcW w:w="3544" w:type="dxa"/>
            <w:tcBorders>
              <w:top w:val="nil"/>
              <w:left w:val="nil"/>
              <w:bottom w:val="single" w:sz="4" w:space="0" w:color="auto"/>
              <w:right w:val="nil"/>
            </w:tcBorders>
            <w:hideMark/>
          </w:tcPr>
          <w:p w14:paraId="4BB2A3A9" w14:textId="77777777" w:rsidR="00957E97" w:rsidRPr="00BC76B8" w:rsidRDefault="00957E97"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Populations (</w:t>
            </w:r>
            <w:r w:rsidRPr="00BC76B8">
              <w:rPr>
                <w:rFonts w:ascii="Times New Roman" w:hAnsi="Times New Roman" w:cs="Times New Roman"/>
                <w:sz w:val="20"/>
                <w:szCs w:val="20"/>
                <w:lang w:eastAsia="en-MY"/>
              </w:rPr>
              <w:t>Adults &gt; 20 years old)</w:t>
            </w:r>
          </w:p>
        </w:tc>
        <w:tc>
          <w:tcPr>
            <w:tcW w:w="1701" w:type="dxa"/>
            <w:tcBorders>
              <w:top w:val="nil"/>
              <w:left w:val="nil"/>
              <w:bottom w:val="single" w:sz="4" w:space="0" w:color="auto"/>
              <w:right w:val="nil"/>
            </w:tcBorders>
            <w:hideMark/>
          </w:tcPr>
          <w:p w14:paraId="1F3D5A58"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515,100 (</w:t>
            </w:r>
            <w:r w:rsidRPr="00BC76B8">
              <w:rPr>
                <w:rFonts w:ascii="Times New Roman" w:hAnsi="Times New Roman" w:cs="Times New Roman"/>
                <w:sz w:val="20"/>
                <w:szCs w:val="20"/>
                <w:lang w:eastAsia="en-MY"/>
              </w:rPr>
              <w:t>360,570)</w:t>
            </w:r>
          </w:p>
        </w:tc>
        <w:tc>
          <w:tcPr>
            <w:tcW w:w="1984" w:type="dxa"/>
            <w:tcBorders>
              <w:top w:val="nil"/>
              <w:left w:val="nil"/>
              <w:bottom w:val="single" w:sz="4" w:space="0" w:color="auto"/>
              <w:right w:val="nil"/>
            </w:tcBorders>
            <w:hideMark/>
          </w:tcPr>
          <w:p w14:paraId="0FBFB48B" w14:textId="77777777" w:rsidR="00957E97" w:rsidRPr="00BC76B8" w:rsidRDefault="00957E97"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eastAsia="en-MY"/>
              </w:rPr>
              <w:t>208,200 (145,740)</w:t>
            </w:r>
          </w:p>
        </w:tc>
        <w:tc>
          <w:tcPr>
            <w:tcW w:w="1276" w:type="dxa"/>
            <w:tcBorders>
              <w:top w:val="nil"/>
              <w:left w:val="nil"/>
              <w:bottom w:val="single" w:sz="4" w:space="0" w:color="auto"/>
              <w:right w:val="nil"/>
            </w:tcBorders>
          </w:tcPr>
          <w:p w14:paraId="487DF26A" w14:textId="77777777" w:rsidR="00957E97" w:rsidRPr="00BC76B8" w:rsidRDefault="00957E97" w:rsidP="00CD468E">
            <w:pPr>
              <w:ind w:leftChars="0" w:left="2" w:hanging="2"/>
              <w:jc w:val="center"/>
              <w:rPr>
                <w:rFonts w:ascii="Times New Roman" w:hAnsi="Times New Roman" w:cs="Times New Roman"/>
                <w:sz w:val="20"/>
                <w:szCs w:val="20"/>
                <w:lang w:eastAsia="en-MY"/>
              </w:rPr>
            </w:pPr>
          </w:p>
        </w:tc>
      </w:tr>
    </w:tbl>
    <w:p w14:paraId="147CDF6E" w14:textId="78BE455B" w:rsidR="00C07761" w:rsidRDefault="00C07761" w:rsidP="00CD468E">
      <w:pPr>
        <w:spacing w:after="0" w:line="240" w:lineRule="auto"/>
        <w:ind w:leftChars="0" w:left="2" w:hanging="2"/>
        <w:jc w:val="center"/>
        <w:rPr>
          <w:rFonts w:ascii="Times New Roman" w:eastAsia="Times New Roman" w:hAnsi="Times New Roman" w:cs="Times New Roman"/>
          <w:sz w:val="20"/>
          <w:szCs w:val="20"/>
          <w:lang w:eastAsia="en-MY"/>
        </w:rPr>
      </w:pPr>
      <w:r w:rsidRPr="00BC76B8">
        <w:rPr>
          <w:rFonts w:ascii="Times New Roman" w:hAnsi="Times New Roman" w:cs="Times New Roman"/>
          <w:b/>
          <w:bCs/>
          <w:sz w:val="20"/>
          <w:szCs w:val="20"/>
        </w:rPr>
        <w:lastRenderedPageBreak/>
        <w:t xml:space="preserve">Table </w:t>
      </w:r>
      <w:r w:rsidR="00957E97" w:rsidRPr="00BC76B8">
        <w:rPr>
          <w:rFonts w:ascii="Times New Roman" w:hAnsi="Times New Roman" w:cs="Times New Roman"/>
          <w:b/>
          <w:bCs/>
          <w:sz w:val="20"/>
          <w:szCs w:val="20"/>
        </w:rPr>
        <w:t>3</w:t>
      </w:r>
      <w:r w:rsidRPr="00BC76B8">
        <w:rPr>
          <w:rFonts w:ascii="Times New Roman" w:hAnsi="Times New Roman" w:cs="Times New Roman"/>
          <w:sz w:val="20"/>
          <w:szCs w:val="20"/>
        </w:rPr>
        <w:t xml:space="preserve">. </w:t>
      </w:r>
      <w:r w:rsidRPr="00BC76B8">
        <w:rPr>
          <w:rFonts w:ascii="Times New Roman" w:eastAsia="Times New Roman" w:hAnsi="Times New Roman" w:cs="Times New Roman"/>
          <w:sz w:val="20"/>
          <w:szCs w:val="20"/>
          <w:lang w:eastAsia="en-MY"/>
        </w:rPr>
        <w:t>Demographic profile of respondents</w:t>
      </w:r>
      <w:r w:rsidR="0006388D">
        <w:rPr>
          <w:rFonts w:ascii="Times New Roman" w:eastAsia="Times New Roman" w:hAnsi="Times New Roman" w:cs="Times New Roman"/>
          <w:sz w:val="20"/>
          <w:szCs w:val="20"/>
          <w:lang w:eastAsia="en-MY"/>
        </w:rPr>
        <w:t>.</w:t>
      </w:r>
    </w:p>
    <w:p w14:paraId="3677BDA1" w14:textId="77777777" w:rsidR="0006388D" w:rsidRPr="00BC76B8" w:rsidRDefault="0006388D" w:rsidP="00CD468E">
      <w:pPr>
        <w:spacing w:after="0" w:line="240" w:lineRule="auto"/>
        <w:ind w:leftChars="0" w:left="2" w:hanging="2"/>
        <w:jc w:val="center"/>
        <w:rPr>
          <w:rFonts w:ascii="Times New Roman" w:hAnsi="Times New Roman" w:cs="Times New Roman"/>
          <w:sz w:val="20"/>
          <w:szCs w:val="20"/>
        </w:rPr>
      </w:pPr>
    </w:p>
    <w:tbl>
      <w:tblPr>
        <w:tblStyle w:val="TableGrid"/>
        <w:tblW w:w="6375" w:type="dxa"/>
        <w:tblInd w:w="15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5"/>
        <w:gridCol w:w="708"/>
        <w:gridCol w:w="992"/>
        <w:gridCol w:w="697"/>
        <w:gridCol w:w="1003"/>
      </w:tblGrid>
      <w:tr w:rsidR="00BC76B8" w:rsidRPr="00BC76B8" w14:paraId="1C545371" w14:textId="77777777" w:rsidTr="0006388D">
        <w:tc>
          <w:tcPr>
            <w:tcW w:w="2977" w:type="dxa"/>
            <w:vMerge w:val="restart"/>
            <w:tcBorders>
              <w:top w:val="single" w:sz="4" w:space="0" w:color="auto"/>
              <w:left w:val="nil"/>
              <w:bottom w:val="nil"/>
              <w:right w:val="nil"/>
            </w:tcBorders>
            <w:shd w:val="clear" w:color="auto" w:fill="8DB3E2" w:themeFill="text2" w:themeFillTint="66"/>
            <w:hideMark/>
          </w:tcPr>
          <w:p w14:paraId="15943CA1" w14:textId="77777777" w:rsidR="00C07761" w:rsidRPr="00BC76B8" w:rsidRDefault="00C07761" w:rsidP="00CD468E">
            <w:pPr>
              <w:ind w:leftChars="0" w:left="2" w:hanging="2"/>
              <w:rPr>
                <w:rFonts w:ascii="Times New Roman" w:hAnsi="Times New Roman" w:cs="Times New Roman"/>
                <w:b/>
                <w:sz w:val="20"/>
                <w:szCs w:val="20"/>
              </w:rPr>
            </w:pPr>
            <w:r w:rsidRPr="00BC76B8">
              <w:rPr>
                <w:rFonts w:ascii="Times New Roman" w:hAnsi="Times New Roman" w:cs="Times New Roman"/>
                <w:b/>
                <w:sz w:val="20"/>
                <w:szCs w:val="20"/>
              </w:rPr>
              <w:t>Demographics</w:t>
            </w:r>
          </w:p>
        </w:tc>
        <w:tc>
          <w:tcPr>
            <w:tcW w:w="1701" w:type="dxa"/>
            <w:gridSpan w:val="2"/>
            <w:tcBorders>
              <w:top w:val="single" w:sz="4" w:space="0" w:color="auto"/>
              <w:left w:val="nil"/>
              <w:bottom w:val="single" w:sz="4" w:space="0" w:color="auto"/>
              <w:right w:val="nil"/>
            </w:tcBorders>
            <w:shd w:val="clear" w:color="auto" w:fill="8DB3E2" w:themeFill="text2" w:themeFillTint="66"/>
            <w:hideMark/>
          </w:tcPr>
          <w:p w14:paraId="72E6B2C5" w14:textId="77777777" w:rsidR="00C07761" w:rsidRPr="00BC76B8" w:rsidRDefault="00C07761"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Putrajaya Lake</w:t>
            </w:r>
          </w:p>
        </w:tc>
        <w:tc>
          <w:tcPr>
            <w:tcW w:w="1701" w:type="dxa"/>
            <w:gridSpan w:val="2"/>
            <w:tcBorders>
              <w:top w:val="single" w:sz="4" w:space="0" w:color="auto"/>
              <w:left w:val="nil"/>
              <w:bottom w:val="single" w:sz="4" w:space="0" w:color="auto"/>
              <w:right w:val="nil"/>
            </w:tcBorders>
            <w:shd w:val="clear" w:color="auto" w:fill="8DB3E2" w:themeFill="text2" w:themeFillTint="66"/>
            <w:hideMark/>
          </w:tcPr>
          <w:p w14:paraId="176517F2" w14:textId="77777777" w:rsidR="00C07761" w:rsidRPr="00BC76B8" w:rsidRDefault="00C07761"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Muda Lake</w:t>
            </w:r>
          </w:p>
        </w:tc>
      </w:tr>
      <w:tr w:rsidR="00BC76B8" w:rsidRPr="00BC76B8" w14:paraId="2C16D62D" w14:textId="77777777" w:rsidTr="0006388D">
        <w:tc>
          <w:tcPr>
            <w:tcW w:w="2977" w:type="dxa"/>
            <w:vMerge/>
            <w:tcBorders>
              <w:top w:val="single" w:sz="4" w:space="0" w:color="auto"/>
              <w:left w:val="nil"/>
              <w:bottom w:val="nil"/>
              <w:right w:val="nil"/>
            </w:tcBorders>
            <w:vAlign w:val="center"/>
            <w:hideMark/>
          </w:tcPr>
          <w:p w14:paraId="6A11D630" w14:textId="77777777" w:rsidR="00C07761" w:rsidRPr="00BC76B8" w:rsidRDefault="00C07761" w:rsidP="00CD468E">
            <w:pPr>
              <w:ind w:leftChars="0" w:left="2" w:hanging="2"/>
              <w:rPr>
                <w:rFonts w:ascii="Times New Roman" w:hAnsi="Times New Roman" w:cs="Times New Roman"/>
                <w:b/>
                <w:sz w:val="20"/>
                <w:szCs w:val="20"/>
              </w:rPr>
            </w:pPr>
          </w:p>
        </w:tc>
        <w:tc>
          <w:tcPr>
            <w:tcW w:w="708" w:type="dxa"/>
            <w:tcBorders>
              <w:top w:val="single" w:sz="4" w:space="0" w:color="auto"/>
              <w:left w:val="nil"/>
              <w:bottom w:val="nil"/>
              <w:right w:val="nil"/>
            </w:tcBorders>
            <w:shd w:val="clear" w:color="auto" w:fill="8DB3E2" w:themeFill="text2" w:themeFillTint="66"/>
            <w:hideMark/>
          </w:tcPr>
          <w:p w14:paraId="4952DBDC"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Freq</w:t>
            </w:r>
          </w:p>
        </w:tc>
        <w:tc>
          <w:tcPr>
            <w:tcW w:w="993" w:type="dxa"/>
            <w:tcBorders>
              <w:top w:val="single" w:sz="4" w:space="0" w:color="auto"/>
              <w:left w:val="nil"/>
              <w:bottom w:val="nil"/>
              <w:right w:val="nil"/>
            </w:tcBorders>
            <w:shd w:val="clear" w:color="auto" w:fill="8DB3E2" w:themeFill="text2" w:themeFillTint="66"/>
            <w:hideMark/>
          </w:tcPr>
          <w:p w14:paraId="0AC95A65"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697" w:type="dxa"/>
            <w:tcBorders>
              <w:top w:val="single" w:sz="4" w:space="0" w:color="auto"/>
              <w:left w:val="nil"/>
              <w:bottom w:val="nil"/>
              <w:right w:val="nil"/>
            </w:tcBorders>
            <w:shd w:val="clear" w:color="auto" w:fill="8DB3E2" w:themeFill="text2" w:themeFillTint="66"/>
            <w:hideMark/>
          </w:tcPr>
          <w:p w14:paraId="699D9581"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Freq</w:t>
            </w:r>
          </w:p>
        </w:tc>
        <w:tc>
          <w:tcPr>
            <w:tcW w:w="1004" w:type="dxa"/>
            <w:tcBorders>
              <w:top w:val="single" w:sz="4" w:space="0" w:color="auto"/>
              <w:left w:val="nil"/>
              <w:bottom w:val="nil"/>
              <w:right w:val="nil"/>
            </w:tcBorders>
            <w:shd w:val="clear" w:color="auto" w:fill="8DB3E2" w:themeFill="text2" w:themeFillTint="66"/>
            <w:hideMark/>
          </w:tcPr>
          <w:p w14:paraId="5D7D5445"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r>
      <w:tr w:rsidR="00BC76B8" w:rsidRPr="00BC76B8" w14:paraId="6E43DDCD" w14:textId="77777777" w:rsidTr="00C07761">
        <w:tc>
          <w:tcPr>
            <w:tcW w:w="2977" w:type="dxa"/>
            <w:tcBorders>
              <w:top w:val="single" w:sz="4" w:space="0" w:color="auto"/>
              <w:left w:val="nil"/>
              <w:bottom w:val="nil"/>
              <w:right w:val="nil"/>
            </w:tcBorders>
            <w:hideMark/>
          </w:tcPr>
          <w:p w14:paraId="03234089" w14:textId="77777777" w:rsidR="00C07761" w:rsidRPr="00BC76B8" w:rsidRDefault="00C07761"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Age (years)</w:t>
            </w:r>
          </w:p>
        </w:tc>
        <w:tc>
          <w:tcPr>
            <w:tcW w:w="708" w:type="dxa"/>
            <w:tcBorders>
              <w:top w:val="single" w:sz="4" w:space="0" w:color="auto"/>
              <w:left w:val="nil"/>
              <w:bottom w:val="nil"/>
              <w:right w:val="nil"/>
            </w:tcBorders>
          </w:tcPr>
          <w:p w14:paraId="7A6F867B" w14:textId="77777777" w:rsidR="00C07761" w:rsidRPr="00BC76B8" w:rsidRDefault="00C07761" w:rsidP="00CD468E">
            <w:pPr>
              <w:ind w:leftChars="0" w:left="2" w:hanging="2"/>
              <w:jc w:val="center"/>
              <w:rPr>
                <w:rFonts w:ascii="Times New Roman" w:hAnsi="Times New Roman" w:cs="Times New Roman"/>
                <w:sz w:val="20"/>
                <w:szCs w:val="20"/>
              </w:rPr>
            </w:pPr>
          </w:p>
        </w:tc>
        <w:tc>
          <w:tcPr>
            <w:tcW w:w="993" w:type="dxa"/>
            <w:tcBorders>
              <w:top w:val="single" w:sz="4" w:space="0" w:color="auto"/>
              <w:left w:val="nil"/>
              <w:bottom w:val="nil"/>
              <w:right w:val="nil"/>
            </w:tcBorders>
          </w:tcPr>
          <w:p w14:paraId="23871E2A" w14:textId="77777777" w:rsidR="00C07761" w:rsidRPr="00BC76B8" w:rsidRDefault="00C07761" w:rsidP="00CD468E">
            <w:pPr>
              <w:ind w:leftChars="0" w:left="2" w:hanging="2"/>
              <w:jc w:val="center"/>
              <w:rPr>
                <w:rFonts w:ascii="Times New Roman" w:hAnsi="Times New Roman" w:cs="Times New Roman"/>
                <w:sz w:val="20"/>
                <w:szCs w:val="20"/>
              </w:rPr>
            </w:pPr>
          </w:p>
        </w:tc>
        <w:tc>
          <w:tcPr>
            <w:tcW w:w="697" w:type="dxa"/>
            <w:tcBorders>
              <w:top w:val="single" w:sz="4" w:space="0" w:color="auto"/>
              <w:left w:val="nil"/>
              <w:bottom w:val="nil"/>
              <w:right w:val="nil"/>
            </w:tcBorders>
          </w:tcPr>
          <w:p w14:paraId="119CF705" w14:textId="77777777" w:rsidR="00C07761" w:rsidRPr="00BC76B8" w:rsidRDefault="00C07761" w:rsidP="00CD468E">
            <w:pPr>
              <w:ind w:leftChars="0" w:left="2" w:hanging="2"/>
              <w:jc w:val="center"/>
              <w:rPr>
                <w:rFonts w:ascii="Times New Roman" w:hAnsi="Times New Roman" w:cs="Times New Roman"/>
                <w:sz w:val="20"/>
                <w:szCs w:val="20"/>
              </w:rPr>
            </w:pPr>
          </w:p>
        </w:tc>
        <w:tc>
          <w:tcPr>
            <w:tcW w:w="1004" w:type="dxa"/>
            <w:tcBorders>
              <w:top w:val="single" w:sz="4" w:space="0" w:color="auto"/>
              <w:left w:val="nil"/>
              <w:bottom w:val="nil"/>
              <w:right w:val="nil"/>
            </w:tcBorders>
          </w:tcPr>
          <w:p w14:paraId="4DBD326A" w14:textId="77777777" w:rsidR="00C07761" w:rsidRPr="00BC76B8" w:rsidRDefault="00C07761" w:rsidP="00CD468E">
            <w:pPr>
              <w:ind w:leftChars="0" w:left="2" w:hanging="2"/>
              <w:jc w:val="center"/>
              <w:rPr>
                <w:rFonts w:ascii="Times New Roman" w:hAnsi="Times New Roman" w:cs="Times New Roman"/>
                <w:sz w:val="20"/>
                <w:szCs w:val="20"/>
              </w:rPr>
            </w:pPr>
          </w:p>
        </w:tc>
      </w:tr>
      <w:tr w:rsidR="00BC76B8" w:rsidRPr="00BC76B8" w14:paraId="649C4554" w14:textId="77777777" w:rsidTr="00C07761">
        <w:tc>
          <w:tcPr>
            <w:tcW w:w="2977" w:type="dxa"/>
            <w:tcBorders>
              <w:top w:val="nil"/>
              <w:left w:val="nil"/>
              <w:bottom w:val="nil"/>
              <w:right w:val="nil"/>
            </w:tcBorders>
            <w:vAlign w:val="center"/>
            <w:hideMark/>
          </w:tcPr>
          <w:p w14:paraId="3CA104BF"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eastAsia="en-MY"/>
              </w:rPr>
              <w:t>≤ 20</w:t>
            </w:r>
          </w:p>
        </w:tc>
        <w:tc>
          <w:tcPr>
            <w:tcW w:w="708" w:type="dxa"/>
            <w:tcBorders>
              <w:top w:val="nil"/>
              <w:left w:val="nil"/>
              <w:bottom w:val="nil"/>
              <w:right w:val="nil"/>
            </w:tcBorders>
            <w:vAlign w:val="center"/>
            <w:hideMark/>
          </w:tcPr>
          <w:p w14:paraId="083FF63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54</w:t>
            </w:r>
          </w:p>
        </w:tc>
        <w:tc>
          <w:tcPr>
            <w:tcW w:w="993" w:type="dxa"/>
            <w:tcBorders>
              <w:top w:val="nil"/>
              <w:left w:val="nil"/>
              <w:bottom w:val="nil"/>
              <w:right w:val="nil"/>
            </w:tcBorders>
            <w:vAlign w:val="center"/>
            <w:hideMark/>
          </w:tcPr>
          <w:p w14:paraId="18D58C3A"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eastAsia="en-MY"/>
              </w:rPr>
              <w:t>17.4</w:t>
            </w:r>
          </w:p>
        </w:tc>
        <w:tc>
          <w:tcPr>
            <w:tcW w:w="697" w:type="dxa"/>
            <w:tcBorders>
              <w:top w:val="nil"/>
              <w:left w:val="nil"/>
              <w:bottom w:val="nil"/>
              <w:right w:val="nil"/>
            </w:tcBorders>
            <w:vAlign w:val="bottom"/>
            <w:hideMark/>
          </w:tcPr>
          <w:p w14:paraId="5371444B"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17</w:t>
            </w:r>
          </w:p>
        </w:tc>
        <w:tc>
          <w:tcPr>
            <w:tcW w:w="1004" w:type="dxa"/>
            <w:tcBorders>
              <w:top w:val="nil"/>
              <w:left w:val="nil"/>
              <w:bottom w:val="nil"/>
              <w:right w:val="nil"/>
            </w:tcBorders>
            <w:vAlign w:val="bottom"/>
            <w:hideMark/>
          </w:tcPr>
          <w:p w14:paraId="3B55C611"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5.9</w:t>
            </w:r>
          </w:p>
        </w:tc>
      </w:tr>
      <w:tr w:rsidR="00BC76B8" w:rsidRPr="00BC76B8" w14:paraId="1D8B5E84" w14:textId="77777777" w:rsidTr="00C07761">
        <w:tc>
          <w:tcPr>
            <w:tcW w:w="2977" w:type="dxa"/>
            <w:tcBorders>
              <w:top w:val="nil"/>
              <w:left w:val="nil"/>
              <w:bottom w:val="nil"/>
              <w:right w:val="nil"/>
            </w:tcBorders>
            <w:vAlign w:val="bottom"/>
            <w:hideMark/>
          </w:tcPr>
          <w:p w14:paraId="5A1C8879"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21-30</w:t>
            </w:r>
          </w:p>
        </w:tc>
        <w:tc>
          <w:tcPr>
            <w:tcW w:w="708" w:type="dxa"/>
            <w:tcBorders>
              <w:top w:val="nil"/>
              <w:left w:val="nil"/>
              <w:bottom w:val="nil"/>
              <w:right w:val="nil"/>
            </w:tcBorders>
            <w:vAlign w:val="bottom"/>
            <w:hideMark/>
          </w:tcPr>
          <w:p w14:paraId="13AC6573"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139</w:t>
            </w:r>
          </w:p>
        </w:tc>
        <w:tc>
          <w:tcPr>
            <w:tcW w:w="993" w:type="dxa"/>
            <w:tcBorders>
              <w:top w:val="nil"/>
              <w:left w:val="nil"/>
              <w:bottom w:val="nil"/>
              <w:right w:val="nil"/>
            </w:tcBorders>
            <w:vAlign w:val="bottom"/>
            <w:hideMark/>
          </w:tcPr>
          <w:p w14:paraId="57BC97EF"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44.8</w:t>
            </w:r>
          </w:p>
        </w:tc>
        <w:tc>
          <w:tcPr>
            <w:tcW w:w="697" w:type="dxa"/>
            <w:tcBorders>
              <w:top w:val="nil"/>
              <w:left w:val="nil"/>
              <w:bottom w:val="nil"/>
              <w:right w:val="nil"/>
            </w:tcBorders>
            <w:vAlign w:val="bottom"/>
            <w:hideMark/>
          </w:tcPr>
          <w:p w14:paraId="791D9DA3"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136</w:t>
            </w:r>
          </w:p>
        </w:tc>
        <w:tc>
          <w:tcPr>
            <w:tcW w:w="1004" w:type="dxa"/>
            <w:tcBorders>
              <w:top w:val="nil"/>
              <w:left w:val="nil"/>
              <w:bottom w:val="nil"/>
              <w:right w:val="nil"/>
            </w:tcBorders>
            <w:vAlign w:val="bottom"/>
            <w:hideMark/>
          </w:tcPr>
          <w:p w14:paraId="0035730D"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47.2</w:t>
            </w:r>
          </w:p>
        </w:tc>
      </w:tr>
      <w:tr w:rsidR="00BC76B8" w:rsidRPr="00BC76B8" w14:paraId="76DA0318" w14:textId="77777777" w:rsidTr="00C07761">
        <w:tc>
          <w:tcPr>
            <w:tcW w:w="2977" w:type="dxa"/>
            <w:tcBorders>
              <w:top w:val="nil"/>
              <w:left w:val="nil"/>
              <w:bottom w:val="nil"/>
              <w:right w:val="nil"/>
            </w:tcBorders>
            <w:vAlign w:val="bottom"/>
            <w:hideMark/>
          </w:tcPr>
          <w:p w14:paraId="06B5A88D"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31-40</w:t>
            </w:r>
          </w:p>
        </w:tc>
        <w:tc>
          <w:tcPr>
            <w:tcW w:w="708" w:type="dxa"/>
            <w:tcBorders>
              <w:top w:val="nil"/>
              <w:left w:val="nil"/>
              <w:bottom w:val="nil"/>
              <w:right w:val="nil"/>
            </w:tcBorders>
            <w:vAlign w:val="bottom"/>
            <w:hideMark/>
          </w:tcPr>
          <w:p w14:paraId="020FECBD"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56</w:t>
            </w:r>
          </w:p>
        </w:tc>
        <w:tc>
          <w:tcPr>
            <w:tcW w:w="993" w:type="dxa"/>
            <w:tcBorders>
              <w:top w:val="nil"/>
              <w:left w:val="nil"/>
              <w:bottom w:val="nil"/>
              <w:right w:val="nil"/>
            </w:tcBorders>
            <w:vAlign w:val="bottom"/>
            <w:hideMark/>
          </w:tcPr>
          <w:p w14:paraId="37F9B506"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18.1</w:t>
            </w:r>
          </w:p>
        </w:tc>
        <w:tc>
          <w:tcPr>
            <w:tcW w:w="697" w:type="dxa"/>
            <w:tcBorders>
              <w:top w:val="nil"/>
              <w:left w:val="nil"/>
              <w:bottom w:val="nil"/>
              <w:right w:val="nil"/>
            </w:tcBorders>
            <w:vAlign w:val="bottom"/>
            <w:hideMark/>
          </w:tcPr>
          <w:p w14:paraId="01A28106"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103</w:t>
            </w:r>
          </w:p>
        </w:tc>
        <w:tc>
          <w:tcPr>
            <w:tcW w:w="1004" w:type="dxa"/>
            <w:tcBorders>
              <w:top w:val="nil"/>
              <w:left w:val="nil"/>
              <w:bottom w:val="nil"/>
              <w:right w:val="nil"/>
            </w:tcBorders>
            <w:vAlign w:val="bottom"/>
            <w:hideMark/>
          </w:tcPr>
          <w:p w14:paraId="523C857E"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35.8</w:t>
            </w:r>
          </w:p>
        </w:tc>
      </w:tr>
      <w:tr w:rsidR="00BC76B8" w:rsidRPr="00BC76B8" w14:paraId="50C17CA5" w14:textId="77777777" w:rsidTr="00C07761">
        <w:tc>
          <w:tcPr>
            <w:tcW w:w="2977" w:type="dxa"/>
            <w:tcBorders>
              <w:top w:val="nil"/>
              <w:left w:val="nil"/>
              <w:bottom w:val="nil"/>
              <w:right w:val="nil"/>
            </w:tcBorders>
            <w:vAlign w:val="bottom"/>
            <w:hideMark/>
          </w:tcPr>
          <w:p w14:paraId="24B5B099"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41-50</w:t>
            </w:r>
          </w:p>
        </w:tc>
        <w:tc>
          <w:tcPr>
            <w:tcW w:w="708" w:type="dxa"/>
            <w:tcBorders>
              <w:top w:val="nil"/>
              <w:left w:val="nil"/>
              <w:bottom w:val="nil"/>
              <w:right w:val="nil"/>
            </w:tcBorders>
            <w:vAlign w:val="bottom"/>
            <w:hideMark/>
          </w:tcPr>
          <w:p w14:paraId="6944A13D"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25</w:t>
            </w:r>
          </w:p>
        </w:tc>
        <w:tc>
          <w:tcPr>
            <w:tcW w:w="993" w:type="dxa"/>
            <w:tcBorders>
              <w:top w:val="nil"/>
              <w:left w:val="nil"/>
              <w:bottom w:val="nil"/>
              <w:right w:val="nil"/>
            </w:tcBorders>
            <w:vAlign w:val="bottom"/>
            <w:hideMark/>
          </w:tcPr>
          <w:p w14:paraId="08EAA231"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8.1</w:t>
            </w:r>
          </w:p>
        </w:tc>
        <w:tc>
          <w:tcPr>
            <w:tcW w:w="697" w:type="dxa"/>
            <w:tcBorders>
              <w:top w:val="nil"/>
              <w:left w:val="nil"/>
              <w:bottom w:val="nil"/>
              <w:right w:val="nil"/>
            </w:tcBorders>
            <w:vAlign w:val="bottom"/>
            <w:hideMark/>
          </w:tcPr>
          <w:p w14:paraId="2C5CDD0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23</w:t>
            </w:r>
          </w:p>
        </w:tc>
        <w:tc>
          <w:tcPr>
            <w:tcW w:w="1004" w:type="dxa"/>
            <w:tcBorders>
              <w:top w:val="nil"/>
              <w:left w:val="nil"/>
              <w:bottom w:val="nil"/>
              <w:right w:val="nil"/>
            </w:tcBorders>
            <w:vAlign w:val="bottom"/>
            <w:hideMark/>
          </w:tcPr>
          <w:p w14:paraId="019874B2"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8.0</w:t>
            </w:r>
          </w:p>
        </w:tc>
      </w:tr>
      <w:tr w:rsidR="00BC76B8" w:rsidRPr="00BC76B8" w14:paraId="02CFD7C7" w14:textId="77777777" w:rsidTr="00C07761">
        <w:tc>
          <w:tcPr>
            <w:tcW w:w="2977" w:type="dxa"/>
            <w:tcBorders>
              <w:top w:val="nil"/>
              <w:left w:val="nil"/>
              <w:bottom w:val="nil"/>
              <w:right w:val="nil"/>
            </w:tcBorders>
            <w:vAlign w:val="bottom"/>
            <w:hideMark/>
          </w:tcPr>
          <w:p w14:paraId="29D7B7AF"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51-60</w:t>
            </w:r>
          </w:p>
        </w:tc>
        <w:tc>
          <w:tcPr>
            <w:tcW w:w="708" w:type="dxa"/>
            <w:tcBorders>
              <w:top w:val="nil"/>
              <w:left w:val="nil"/>
              <w:bottom w:val="nil"/>
              <w:right w:val="nil"/>
            </w:tcBorders>
            <w:vAlign w:val="bottom"/>
            <w:hideMark/>
          </w:tcPr>
          <w:p w14:paraId="53AE8F8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24</w:t>
            </w:r>
          </w:p>
        </w:tc>
        <w:tc>
          <w:tcPr>
            <w:tcW w:w="993" w:type="dxa"/>
            <w:tcBorders>
              <w:top w:val="nil"/>
              <w:left w:val="nil"/>
              <w:bottom w:val="nil"/>
              <w:right w:val="nil"/>
            </w:tcBorders>
            <w:vAlign w:val="bottom"/>
            <w:hideMark/>
          </w:tcPr>
          <w:p w14:paraId="6AC5683D"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7.7</w:t>
            </w:r>
          </w:p>
        </w:tc>
        <w:tc>
          <w:tcPr>
            <w:tcW w:w="697" w:type="dxa"/>
            <w:tcBorders>
              <w:top w:val="nil"/>
              <w:left w:val="nil"/>
              <w:bottom w:val="nil"/>
              <w:right w:val="nil"/>
            </w:tcBorders>
            <w:vAlign w:val="bottom"/>
            <w:hideMark/>
          </w:tcPr>
          <w:p w14:paraId="323CD476"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7</w:t>
            </w:r>
          </w:p>
        </w:tc>
        <w:tc>
          <w:tcPr>
            <w:tcW w:w="1004" w:type="dxa"/>
            <w:tcBorders>
              <w:top w:val="nil"/>
              <w:left w:val="nil"/>
              <w:bottom w:val="nil"/>
              <w:right w:val="nil"/>
            </w:tcBorders>
            <w:vAlign w:val="bottom"/>
            <w:hideMark/>
          </w:tcPr>
          <w:p w14:paraId="62AF86B6"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2.4</w:t>
            </w:r>
          </w:p>
        </w:tc>
      </w:tr>
      <w:tr w:rsidR="00BC76B8" w:rsidRPr="00BC76B8" w14:paraId="792D07DB" w14:textId="77777777" w:rsidTr="00C07761">
        <w:tc>
          <w:tcPr>
            <w:tcW w:w="2977" w:type="dxa"/>
            <w:tcBorders>
              <w:top w:val="nil"/>
              <w:left w:val="nil"/>
              <w:bottom w:val="nil"/>
              <w:right w:val="nil"/>
            </w:tcBorders>
            <w:vAlign w:val="bottom"/>
            <w:hideMark/>
          </w:tcPr>
          <w:p w14:paraId="7A9590BB"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eastAsia="en-MY"/>
              </w:rPr>
              <w:t xml:space="preserve">≥ </w:t>
            </w:r>
            <w:r w:rsidRPr="00BC76B8">
              <w:rPr>
                <w:rFonts w:ascii="Times New Roman" w:hAnsi="Times New Roman" w:cs="Times New Roman"/>
                <w:sz w:val="20"/>
                <w:szCs w:val="20"/>
                <w:lang w:val="en-MY" w:eastAsia="en-MY"/>
              </w:rPr>
              <w:t>61</w:t>
            </w:r>
          </w:p>
        </w:tc>
        <w:tc>
          <w:tcPr>
            <w:tcW w:w="708" w:type="dxa"/>
            <w:tcBorders>
              <w:top w:val="nil"/>
              <w:left w:val="nil"/>
              <w:bottom w:val="nil"/>
              <w:right w:val="nil"/>
            </w:tcBorders>
            <w:vAlign w:val="bottom"/>
            <w:hideMark/>
          </w:tcPr>
          <w:p w14:paraId="56DE52EA"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12</w:t>
            </w:r>
          </w:p>
        </w:tc>
        <w:tc>
          <w:tcPr>
            <w:tcW w:w="993" w:type="dxa"/>
            <w:tcBorders>
              <w:top w:val="nil"/>
              <w:left w:val="nil"/>
              <w:bottom w:val="nil"/>
              <w:right w:val="nil"/>
            </w:tcBorders>
            <w:vAlign w:val="bottom"/>
            <w:hideMark/>
          </w:tcPr>
          <w:p w14:paraId="2A1FCB07"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3.9</w:t>
            </w:r>
          </w:p>
        </w:tc>
        <w:tc>
          <w:tcPr>
            <w:tcW w:w="697" w:type="dxa"/>
            <w:tcBorders>
              <w:top w:val="nil"/>
              <w:left w:val="nil"/>
              <w:bottom w:val="nil"/>
              <w:right w:val="nil"/>
            </w:tcBorders>
            <w:vAlign w:val="bottom"/>
            <w:hideMark/>
          </w:tcPr>
          <w:p w14:paraId="20BC943A"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w:t>
            </w:r>
          </w:p>
        </w:tc>
        <w:tc>
          <w:tcPr>
            <w:tcW w:w="1004" w:type="dxa"/>
            <w:tcBorders>
              <w:top w:val="nil"/>
              <w:left w:val="nil"/>
              <w:bottom w:val="nil"/>
              <w:right w:val="nil"/>
            </w:tcBorders>
            <w:vAlign w:val="bottom"/>
            <w:hideMark/>
          </w:tcPr>
          <w:p w14:paraId="7D8F2FE3"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0.7</w:t>
            </w:r>
          </w:p>
        </w:tc>
      </w:tr>
      <w:tr w:rsidR="00BC76B8" w:rsidRPr="00BC76B8" w14:paraId="48D2BEB9" w14:textId="77777777" w:rsidTr="00C07761">
        <w:tc>
          <w:tcPr>
            <w:tcW w:w="2977" w:type="dxa"/>
            <w:tcBorders>
              <w:top w:val="nil"/>
              <w:left w:val="nil"/>
              <w:bottom w:val="nil"/>
              <w:right w:val="nil"/>
            </w:tcBorders>
            <w:hideMark/>
          </w:tcPr>
          <w:p w14:paraId="4F934814" w14:textId="77777777" w:rsidR="00C07761" w:rsidRPr="00BC76B8" w:rsidRDefault="00C07761"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Education</w:t>
            </w:r>
          </w:p>
        </w:tc>
        <w:tc>
          <w:tcPr>
            <w:tcW w:w="708" w:type="dxa"/>
            <w:tcBorders>
              <w:top w:val="nil"/>
              <w:left w:val="nil"/>
              <w:bottom w:val="nil"/>
              <w:right w:val="nil"/>
            </w:tcBorders>
          </w:tcPr>
          <w:p w14:paraId="60411A47" w14:textId="77777777" w:rsidR="00C07761" w:rsidRPr="00BC76B8" w:rsidRDefault="00C07761" w:rsidP="00CD468E">
            <w:pPr>
              <w:ind w:leftChars="0" w:left="2" w:hanging="2"/>
              <w:jc w:val="center"/>
              <w:rPr>
                <w:rFonts w:ascii="Times New Roman" w:hAnsi="Times New Roman" w:cs="Times New Roman"/>
                <w:sz w:val="20"/>
                <w:szCs w:val="20"/>
              </w:rPr>
            </w:pPr>
          </w:p>
        </w:tc>
        <w:tc>
          <w:tcPr>
            <w:tcW w:w="993" w:type="dxa"/>
            <w:tcBorders>
              <w:top w:val="nil"/>
              <w:left w:val="nil"/>
              <w:bottom w:val="nil"/>
              <w:right w:val="nil"/>
            </w:tcBorders>
          </w:tcPr>
          <w:p w14:paraId="3C9A0F07" w14:textId="77777777" w:rsidR="00C07761" w:rsidRPr="00BC76B8" w:rsidRDefault="00C07761" w:rsidP="00CD468E">
            <w:pPr>
              <w:ind w:leftChars="0" w:left="2" w:hanging="2"/>
              <w:jc w:val="center"/>
              <w:rPr>
                <w:rFonts w:ascii="Times New Roman" w:hAnsi="Times New Roman" w:cs="Times New Roman"/>
                <w:sz w:val="20"/>
                <w:szCs w:val="20"/>
              </w:rPr>
            </w:pPr>
          </w:p>
        </w:tc>
        <w:tc>
          <w:tcPr>
            <w:tcW w:w="697" w:type="dxa"/>
            <w:tcBorders>
              <w:top w:val="nil"/>
              <w:left w:val="nil"/>
              <w:bottom w:val="nil"/>
              <w:right w:val="nil"/>
            </w:tcBorders>
          </w:tcPr>
          <w:p w14:paraId="7D3F5555" w14:textId="77777777" w:rsidR="00C07761" w:rsidRPr="00BC76B8" w:rsidRDefault="00C07761" w:rsidP="00CD468E">
            <w:pPr>
              <w:ind w:leftChars="0" w:left="2" w:hanging="2"/>
              <w:jc w:val="center"/>
              <w:rPr>
                <w:rFonts w:ascii="Times New Roman" w:hAnsi="Times New Roman" w:cs="Times New Roman"/>
                <w:sz w:val="20"/>
                <w:szCs w:val="20"/>
              </w:rPr>
            </w:pPr>
          </w:p>
        </w:tc>
        <w:tc>
          <w:tcPr>
            <w:tcW w:w="1004" w:type="dxa"/>
            <w:tcBorders>
              <w:top w:val="nil"/>
              <w:left w:val="nil"/>
              <w:bottom w:val="nil"/>
              <w:right w:val="nil"/>
            </w:tcBorders>
          </w:tcPr>
          <w:p w14:paraId="01B99D43" w14:textId="77777777" w:rsidR="00C07761" w:rsidRPr="00BC76B8" w:rsidRDefault="00C07761" w:rsidP="00CD468E">
            <w:pPr>
              <w:ind w:leftChars="0" w:left="2" w:hanging="2"/>
              <w:jc w:val="center"/>
              <w:rPr>
                <w:rFonts w:ascii="Times New Roman" w:hAnsi="Times New Roman" w:cs="Times New Roman"/>
                <w:sz w:val="20"/>
                <w:szCs w:val="20"/>
              </w:rPr>
            </w:pPr>
          </w:p>
        </w:tc>
      </w:tr>
      <w:tr w:rsidR="00BC76B8" w:rsidRPr="00BC76B8" w14:paraId="66A87841" w14:textId="77777777" w:rsidTr="00C07761">
        <w:tc>
          <w:tcPr>
            <w:tcW w:w="2977" w:type="dxa"/>
            <w:tcBorders>
              <w:top w:val="nil"/>
              <w:left w:val="nil"/>
              <w:bottom w:val="nil"/>
              <w:right w:val="nil"/>
            </w:tcBorders>
            <w:vAlign w:val="center"/>
            <w:hideMark/>
          </w:tcPr>
          <w:p w14:paraId="57EB9F91" w14:textId="77777777" w:rsidR="00C07761" w:rsidRPr="00BC76B8" w:rsidRDefault="00C07761" w:rsidP="00CD468E">
            <w:pPr>
              <w:ind w:leftChars="0" w:left="0" w:firstLineChars="159" w:firstLine="318"/>
              <w:rPr>
                <w:rFonts w:ascii="Times New Roman" w:hAnsi="Times New Roman" w:cs="Times New Roman"/>
                <w:sz w:val="20"/>
                <w:szCs w:val="20"/>
              </w:rPr>
            </w:pPr>
            <w:r w:rsidRPr="00BC76B8">
              <w:rPr>
                <w:rFonts w:ascii="Times New Roman" w:hAnsi="Times New Roman" w:cs="Times New Roman"/>
                <w:sz w:val="20"/>
                <w:szCs w:val="20"/>
                <w:lang w:eastAsia="en-MY"/>
              </w:rPr>
              <w:t>No formal education</w:t>
            </w:r>
          </w:p>
        </w:tc>
        <w:tc>
          <w:tcPr>
            <w:tcW w:w="708" w:type="dxa"/>
            <w:tcBorders>
              <w:top w:val="nil"/>
              <w:left w:val="nil"/>
              <w:bottom w:val="nil"/>
              <w:right w:val="nil"/>
            </w:tcBorders>
            <w:vAlign w:val="bottom"/>
            <w:hideMark/>
          </w:tcPr>
          <w:p w14:paraId="05555EC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w:t>
            </w:r>
          </w:p>
        </w:tc>
        <w:tc>
          <w:tcPr>
            <w:tcW w:w="993" w:type="dxa"/>
            <w:tcBorders>
              <w:top w:val="nil"/>
              <w:left w:val="nil"/>
              <w:bottom w:val="nil"/>
              <w:right w:val="nil"/>
            </w:tcBorders>
            <w:vAlign w:val="bottom"/>
            <w:hideMark/>
          </w:tcPr>
          <w:p w14:paraId="37220815"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0.3</w:t>
            </w:r>
          </w:p>
        </w:tc>
        <w:tc>
          <w:tcPr>
            <w:tcW w:w="697" w:type="dxa"/>
            <w:tcBorders>
              <w:top w:val="nil"/>
              <w:left w:val="nil"/>
              <w:bottom w:val="nil"/>
              <w:right w:val="nil"/>
            </w:tcBorders>
            <w:vAlign w:val="bottom"/>
            <w:hideMark/>
          </w:tcPr>
          <w:p w14:paraId="2F9CD6E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5</w:t>
            </w:r>
          </w:p>
        </w:tc>
        <w:tc>
          <w:tcPr>
            <w:tcW w:w="1004" w:type="dxa"/>
            <w:tcBorders>
              <w:top w:val="nil"/>
              <w:left w:val="nil"/>
              <w:bottom w:val="nil"/>
              <w:right w:val="nil"/>
            </w:tcBorders>
            <w:vAlign w:val="bottom"/>
            <w:hideMark/>
          </w:tcPr>
          <w:p w14:paraId="2EED74D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1.6</w:t>
            </w:r>
          </w:p>
        </w:tc>
      </w:tr>
      <w:tr w:rsidR="00BC76B8" w:rsidRPr="00BC76B8" w14:paraId="3B8B35A6" w14:textId="77777777" w:rsidTr="00C07761">
        <w:tc>
          <w:tcPr>
            <w:tcW w:w="2977" w:type="dxa"/>
            <w:tcBorders>
              <w:top w:val="nil"/>
              <w:left w:val="nil"/>
              <w:bottom w:val="nil"/>
              <w:right w:val="nil"/>
            </w:tcBorders>
            <w:vAlign w:val="center"/>
            <w:hideMark/>
          </w:tcPr>
          <w:p w14:paraId="681A4421" w14:textId="77777777" w:rsidR="00C07761" w:rsidRPr="00BC76B8" w:rsidRDefault="00C07761" w:rsidP="00CD468E">
            <w:pPr>
              <w:ind w:leftChars="0" w:left="0" w:firstLineChars="159" w:firstLine="318"/>
              <w:rPr>
                <w:rFonts w:ascii="Times New Roman" w:hAnsi="Times New Roman" w:cs="Times New Roman"/>
                <w:sz w:val="20"/>
                <w:szCs w:val="20"/>
              </w:rPr>
            </w:pPr>
            <w:r w:rsidRPr="00BC76B8">
              <w:rPr>
                <w:rFonts w:ascii="Times New Roman" w:hAnsi="Times New Roman" w:cs="Times New Roman"/>
                <w:sz w:val="20"/>
                <w:szCs w:val="20"/>
                <w:lang w:eastAsia="en-MY"/>
              </w:rPr>
              <w:t xml:space="preserve">Primary </w:t>
            </w:r>
          </w:p>
        </w:tc>
        <w:tc>
          <w:tcPr>
            <w:tcW w:w="708" w:type="dxa"/>
            <w:tcBorders>
              <w:top w:val="nil"/>
              <w:left w:val="nil"/>
              <w:bottom w:val="nil"/>
              <w:right w:val="nil"/>
            </w:tcBorders>
            <w:vAlign w:val="bottom"/>
            <w:hideMark/>
          </w:tcPr>
          <w:p w14:paraId="52B4A31E"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w:t>
            </w:r>
          </w:p>
        </w:tc>
        <w:tc>
          <w:tcPr>
            <w:tcW w:w="993" w:type="dxa"/>
            <w:tcBorders>
              <w:top w:val="nil"/>
              <w:left w:val="nil"/>
              <w:bottom w:val="nil"/>
              <w:right w:val="nil"/>
            </w:tcBorders>
            <w:vAlign w:val="bottom"/>
            <w:hideMark/>
          </w:tcPr>
          <w:p w14:paraId="76E29CC6"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1.6</w:t>
            </w:r>
          </w:p>
        </w:tc>
        <w:tc>
          <w:tcPr>
            <w:tcW w:w="697" w:type="dxa"/>
            <w:tcBorders>
              <w:top w:val="nil"/>
              <w:left w:val="nil"/>
              <w:bottom w:val="nil"/>
              <w:right w:val="nil"/>
            </w:tcBorders>
            <w:vAlign w:val="bottom"/>
            <w:hideMark/>
          </w:tcPr>
          <w:p w14:paraId="6EA540D4"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18</w:t>
            </w:r>
          </w:p>
        </w:tc>
        <w:tc>
          <w:tcPr>
            <w:tcW w:w="1004" w:type="dxa"/>
            <w:tcBorders>
              <w:top w:val="nil"/>
              <w:left w:val="nil"/>
              <w:bottom w:val="nil"/>
              <w:right w:val="nil"/>
            </w:tcBorders>
            <w:vAlign w:val="bottom"/>
            <w:hideMark/>
          </w:tcPr>
          <w:p w14:paraId="54B4EA3E"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5.6</w:t>
            </w:r>
          </w:p>
        </w:tc>
      </w:tr>
      <w:tr w:rsidR="00BC76B8" w:rsidRPr="00BC76B8" w14:paraId="2A6F76D7" w14:textId="77777777" w:rsidTr="00C07761">
        <w:tc>
          <w:tcPr>
            <w:tcW w:w="2977" w:type="dxa"/>
            <w:tcBorders>
              <w:top w:val="nil"/>
              <w:left w:val="nil"/>
              <w:bottom w:val="nil"/>
              <w:right w:val="nil"/>
            </w:tcBorders>
            <w:vAlign w:val="center"/>
            <w:hideMark/>
          </w:tcPr>
          <w:p w14:paraId="6695F513" w14:textId="77777777" w:rsidR="00C07761" w:rsidRPr="00BC76B8" w:rsidRDefault="00C07761" w:rsidP="00CD468E">
            <w:pPr>
              <w:ind w:leftChars="0" w:left="0" w:firstLineChars="159" w:firstLine="318"/>
              <w:rPr>
                <w:rFonts w:ascii="Times New Roman" w:hAnsi="Times New Roman" w:cs="Times New Roman"/>
                <w:sz w:val="20"/>
                <w:szCs w:val="20"/>
              </w:rPr>
            </w:pPr>
            <w:r w:rsidRPr="00BC76B8">
              <w:rPr>
                <w:rFonts w:ascii="Times New Roman" w:hAnsi="Times New Roman" w:cs="Times New Roman"/>
                <w:sz w:val="20"/>
                <w:szCs w:val="20"/>
                <w:lang w:eastAsia="en-MY"/>
              </w:rPr>
              <w:t xml:space="preserve">Lower secondary </w:t>
            </w:r>
          </w:p>
        </w:tc>
        <w:tc>
          <w:tcPr>
            <w:tcW w:w="708" w:type="dxa"/>
            <w:tcBorders>
              <w:top w:val="nil"/>
              <w:left w:val="nil"/>
              <w:bottom w:val="nil"/>
              <w:right w:val="nil"/>
            </w:tcBorders>
            <w:vAlign w:val="bottom"/>
            <w:hideMark/>
          </w:tcPr>
          <w:p w14:paraId="21E7B697"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6</w:t>
            </w:r>
          </w:p>
        </w:tc>
        <w:tc>
          <w:tcPr>
            <w:tcW w:w="993" w:type="dxa"/>
            <w:tcBorders>
              <w:top w:val="nil"/>
              <w:left w:val="nil"/>
              <w:bottom w:val="nil"/>
              <w:right w:val="nil"/>
            </w:tcBorders>
            <w:vAlign w:val="bottom"/>
            <w:hideMark/>
          </w:tcPr>
          <w:p w14:paraId="51548CC8"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2.05</w:t>
            </w:r>
          </w:p>
        </w:tc>
        <w:tc>
          <w:tcPr>
            <w:tcW w:w="697" w:type="dxa"/>
            <w:tcBorders>
              <w:top w:val="nil"/>
              <w:left w:val="nil"/>
              <w:bottom w:val="nil"/>
              <w:right w:val="nil"/>
            </w:tcBorders>
            <w:vAlign w:val="bottom"/>
            <w:hideMark/>
          </w:tcPr>
          <w:p w14:paraId="33A9AAE6"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24</w:t>
            </w:r>
          </w:p>
        </w:tc>
        <w:tc>
          <w:tcPr>
            <w:tcW w:w="1004" w:type="dxa"/>
            <w:tcBorders>
              <w:top w:val="nil"/>
              <w:left w:val="nil"/>
              <w:bottom w:val="nil"/>
              <w:right w:val="nil"/>
            </w:tcBorders>
            <w:vAlign w:val="bottom"/>
            <w:hideMark/>
          </w:tcPr>
          <w:p w14:paraId="0F0E1605"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7.4</w:t>
            </w:r>
          </w:p>
        </w:tc>
      </w:tr>
      <w:tr w:rsidR="00BC76B8" w:rsidRPr="00BC76B8" w14:paraId="10B89401" w14:textId="77777777" w:rsidTr="00C07761">
        <w:tc>
          <w:tcPr>
            <w:tcW w:w="2977" w:type="dxa"/>
            <w:tcBorders>
              <w:top w:val="nil"/>
              <w:left w:val="nil"/>
              <w:bottom w:val="nil"/>
              <w:right w:val="nil"/>
            </w:tcBorders>
            <w:vAlign w:val="center"/>
            <w:hideMark/>
          </w:tcPr>
          <w:p w14:paraId="112ED25A" w14:textId="77777777" w:rsidR="00C07761" w:rsidRPr="00BC76B8" w:rsidRDefault="00C07761" w:rsidP="00CD468E">
            <w:pPr>
              <w:ind w:leftChars="0" w:left="0" w:firstLineChars="159" w:firstLine="318"/>
              <w:rPr>
                <w:rFonts w:ascii="Times New Roman" w:hAnsi="Times New Roman" w:cs="Times New Roman"/>
                <w:sz w:val="20"/>
                <w:szCs w:val="20"/>
              </w:rPr>
            </w:pPr>
            <w:r w:rsidRPr="00BC76B8">
              <w:rPr>
                <w:rFonts w:ascii="Times New Roman" w:hAnsi="Times New Roman" w:cs="Times New Roman"/>
                <w:sz w:val="20"/>
                <w:szCs w:val="20"/>
                <w:lang w:eastAsia="en-MY"/>
              </w:rPr>
              <w:t xml:space="preserve">Upper secondary </w:t>
            </w:r>
          </w:p>
        </w:tc>
        <w:tc>
          <w:tcPr>
            <w:tcW w:w="708" w:type="dxa"/>
            <w:tcBorders>
              <w:top w:val="nil"/>
              <w:left w:val="nil"/>
              <w:bottom w:val="nil"/>
              <w:right w:val="nil"/>
            </w:tcBorders>
            <w:vAlign w:val="bottom"/>
            <w:hideMark/>
          </w:tcPr>
          <w:p w14:paraId="4C487BAB"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66</w:t>
            </w:r>
          </w:p>
        </w:tc>
        <w:tc>
          <w:tcPr>
            <w:tcW w:w="993" w:type="dxa"/>
            <w:tcBorders>
              <w:top w:val="nil"/>
              <w:left w:val="nil"/>
              <w:bottom w:val="nil"/>
              <w:right w:val="nil"/>
            </w:tcBorders>
            <w:vAlign w:val="bottom"/>
            <w:hideMark/>
          </w:tcPr>
          <w:p w14:paraId="13BD3913"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22.7</w:t>
            </w:r>
          </w:p>
        </w:tc>
        <w:tc>
          <w:tcPr>
            <w:tcW w:w="697" w:type="dxa"/>
            <w:tcBorders>
              <w:top w:val="nil"/>
              <w:left w:val="nil"/>
              <w:bottom w:val="nil"/>
              <w:right w:val="nil"/>
            </w:tcBorders>
            <w:vAlign w:val="bottom"/>
            <w:hideMark/>
          </w:tcPr>
          <w:p w14:paraId="5D433B3C"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119</w:t>
            </w:r>
          </w:p>
        </w:tc>
        <w:tc>
          <w:tcPr>
            <w:tcW w:w="1004" w:type="dxa"/>
            <w:tcBorders>
              <w:top w:val="nil"/>
              <w:left w:val="nil"/>
              <w:bottom w:val="nil"/>
              <w:right w:val="nil"/>
            </w:tcBorders>
            <w:vAlign w:val="bottom"/>
            <w:hideMark/>
          </w:tcPr>
          <w:p w14:paraId="77444283"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36.8</w:t>
            </w:r>
          </w:p>
        </w:tc>
      </w:tr>
      <w:tr w:rsidR="00BC76B8" w:rsidRPr="00BC76B8" w14:paraId="48DE61EA" w14:textId="77777777" w:rsidTr="00C07761">
        <w:tc>
          <w:tcPr>
            <w:tcW w:w="2977" w:type="dxa"/>
            <w:tcBorders>
              <w:top w:val="nil"/>
              <w:left w:val="nil"/>
              <w:bottom w:val="nil"/>
              <w:right w:val="nil"/>
            </w:tcBorders>
            <w:vAlign w:val="center"/>
            <w:hideMark/>
          </w:tcPr>
          <w:p w14:paraId="141299F2" w14:textId="77777777" w:rsidR="00C07761" w:rsidRPr="00BC76B8" w:rsidRDefault="00C07761" w:rsidP="00CD468E">
            <w:pPr>
              <w:ind w:leftChars="0" w:left="0" w:firstLineChars="159" w:firstLine="318"/>
              <w:rPr>
                <w:rFonts w:ascii="Times New Roman" w:hAnsi="Times New Roman" w:cs="Times New Roman"/>
                <w:sz w:val="20"/>
                <w:szCs w:val="20"/>
              </w:rPr>
            </w:pPr>
            <w:r w:rsidRPr="00BC76B8">
              <w:rPr>
                <w:rFonts w:ascii="Times New Roman" w:hAnsi="Times New Roman" w:cs="Times New Roman"/>
                <w:sz w:val="20"/>
                <w:szCs w:val="20"/>
                <w:lang w:eastAsia="en-MY"/>
              </w:rPr>
              <w:t xml:space="preserve">College </w:t>
            </w:r>
          </w:p>
        </w:tc>
        <w:tc>
          <w:tcPr>
            <w:tcW w:w="708" w:type="dxa"/>
            <w:tcBorders>
              <w:top w:val="nil"/>
              <w:left w:val="nil"/>
              <w:bottom w:val="nil"/>
              <w:right w:val="nil"/>
            </w:tcBorders>
            <w:vAlign w:val="bottom"/>
            <w:hideMark/>
          </w:tcPr>
          <w:p w14:paraId="28A89981"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87</w:t>
            </w:r>
          </w:p>
        </w:tc>
        <w:tc>
          <w:tcPr>
            <w:tcW w:w="993" w:type="dxa"/>
            <w:tcBorders>
              <w:top w:val="nil"/>
              <w:left w:val="nil"/>
              <w:bottom w:val="nil"/>
              <w:right w:val="nil"/>
            </w:tcBorders>
            <w:vAlign w:val="bottom"/>
            <w:hideMark/>
          </w:tcPr>
          <w:p w14:paraId="6715B35E"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29.9</w:t>
            </w:r>
          </w:p>
        </w:tc>
        <w:tc>
          <w:tcPr>
            <w:tcW w:w="697" w:type="dxa"/>
            <w:tcBorders>
              <w:top w:val="nil"/>
              <w:left w:val="nil"/>
              <w:bottom w:val="nil"/>
              <w:right w:val="nil"/>
            </w:tcBorders>
            <w:vAlign w:val="bottom"/>
            <w:hideMark/>
          </w:tcPr>
          <w:p w14:paraId="468EFE41"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92</w:t>
            </w:r>
          </w:p>
        </w:tc>
        <w:tc>
          <w:tcPr>
            <w:tcW w:w="1004" w:type="dxa"/>
            <w:tcBorders>
              <w:top w:val="nil"/>
              <w:left w:val="nil"/>
              <w:bottom w:val="nil"/>
              <w:right w:val="nil"/>
            </w:tcBorders>
            <w:vAlign w:val="bottom"/>
            <w:hideMark/>
          </w:tcPr>
          <w:p w14:paraId="76BCED0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28.5</w:t>
            </w:r>
          </w:p>
        </w:tc>
      </w:tr>
      <w:tr w:rsidR="00BC76B8" w:rsidRPr="00BC76B8" w14:paraId="3B4E29BE" w14:textId="77777777" w:rsidTr="00C07761">
        <w:tc>
          <w:tcPr>
            <w:tcW w:w="2977" w:type="dxa"/>
            <w:tcBorders>
              <w:top w:val="nil"/>
              <w:left w:val="nil"/>
              <w:bottom w:val="nil"/>
              <w:right w:val="nil"/>
            </w:tcBorders>
            <w:vAlign w:val="center"/>
            <w:hideMark/>
          </w:tcPr>
          <w:p w14:paraId="165F1A5D" w14:textId="77777777" w:rsidR="00C07761" w:rsidRPr="00BC76B8" w:rsidRDefault="00C07761" w:rsidP="00CD468E">
            <w:pPr>
              <w:ind w:leftChars="0" w:left="0" w:firstLineChars="159" w:firstLine="318"/>
              <w:rPr>
                <w:rFonts w:ascii="Times New Roman" w:hAnsi="Times New Roman" w:cs="Times New Roman"/>
                <w:sz w:val="20"/>
                <w:szCs w:val="20"/>
              </w:rPr>
            </w:pPr>
            <w:r w:rsidRPr="00BC76B8">
              <w:rPr>
                <w:rFonts w:ascii="Times New Roman" w:hAnsi="Times New Roman" w:cs="Times New Roman"/>
                <w:sz w:val="20"/>
                <w:szCs w:val="20"/>
              </w:rPr>
              <w:t>University</w:t>
            </w:r>
          </w:p>
        </w:tc>
        <w:tc>
          <w:tcPr>
            <w:tcW w:w="708" w:type="dxa"/>
            <w:tcBorders>
              <w:top w:val="nil"/>
              <w:left w:val="nil"/>
              <w:bottom w:val="nil"/>
              <w:right w:val="nil"/>
            </w:tcBorders>
            <w:vAlign w:val="bottom"/>
            <w:hideMark/>
          </w:tcPr>
          <w:p w14:paraId="598318C8"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129</w:t>
            </w:r>
          </w:p>
        </w:tc>
        <w:tc>
          <w:tcPr>
            <w:tcW w:w="993" w:type="dxa"/>
            <w:tcBorders>
              <w:top w:val="nil"/>
              <w:left w:val="nil"/>
              <w:bottom w:val="nil"/>
              <w:right w:val="nil"/>
            </w:tcBorders>
            <w:vAlign w:val="bottom"/>
            <w:hideMark/>
          </w:tcPr>
          <w:p w14:paraId="155A96F0"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44.4</w:t>
            </w:r>
          </w:p>
        </w:tc>
        <w:tc>
          <w:tcPr>
            <w:tcW w:w="697" w:type="dxa"/>
            <w:tcBorders>
              <w:top w:val="nil"/>
              <w:left w:val="nil"/>
              <w:bottom w:val="nil"/>
              <w:right w:val="nil"/>
            </w:tcBorders>
            <w:vAlign w:val="bottom"/>
            <w:hideMark/>
          </w:tcPr>
          <w:p w14:paraId="4F5D2657"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65</w:t>
            </w:r>
          </w:p>
        </w:tc>
        <w:tc>
          <w:tcPr>
            <w:tcW w:w="1004" w:type="dxa"/>
            <w:tcBorders>
              <w:top w:val="nil"/>
              <w:left w:val="nil"/>
              <w:bottom w:val="nil"/>
              <w:right w:val="nil"/>
            </w:tcBorders>
            <w:vAlign w:val="bottom"/>
            <w:hideMark/>
          </w:tcPr>
          <w:p w14:paraId="4394B770"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20.1</w:t>
            </w:r>
          </w:p>
        </w:tc>
      </w:tr>
      <w:tr w:rsidR="00BC76B8" w:rsidRPr="00BC76B8" w14:paraId="26115D80" w14:textId="77777777" w:rsidTr="00C07761">
        <w:tc>
          <w:tcPr>
            <w:tcW w:w="2977" w:type="dxa"/>
            <w:tcBorders>
              <w:top w:val="nil"/>
              <w:left w:val="nil"/>
              <w:bottom w:val="nil"/>
              <w:right w:val="nil"/>
            </w:tcBorders>
            <w:hideMark/>
          </w:tcPr>
          <w:p w14:paraId="40A420A3" w14:textId="77777777" w:rsidR="00C07761" w:rsidRPr="00BC76B8" w:rsidRDefault="00C07761"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Income (RM)</w:t>
            </w:r>
          </w:p>
        </w:tc>
        <w:tc>
          <w:tcPr>
            <w:tcW w:w="708" w:type="dxa"/>
            <w:tcBorders>
              <w:top w:val="nil"/>
              <w:left w:val="nil"/>
              <w:bottom w:val="nil"/>
              <w:right w:val="nil"/>
            </w:tcBorders>
          </w:tcPr>
          <w:p w14:paraId="7384D30C" w14:textId="77777777" w:rsidR="00C07761" w:rsidRPr="00BC76B8" w:rsidRDefault="00C07761" w:rsidP="00CD468E">
            <w:pPr>
              <w:ind w:leftChars="0" w:left="2" w:hanging="2"/>
              <w:jc w:val="center"/>
              <w:rPr>
                <w:rFonts w:ascii="Times New Roman" w:hAnsi="Times New Roman" w:cs="Times New Roman"/>
                <w:sz w:val="20"/>
                <w:szCs w:val="20"/>
              </w:rPr>
            </w:pPr>
          </w:p>
        </w:tc>
        <w:tc>
          <w:tcPr>
            <w:tcW w:w="993" w:type="dxa"/>
            <w:tcBorders>
              <w:top w:val="nil"/>
              <w:left w:val="nil"/>
              <w:bottom w:val="nil"/>
              <w:right w:val="nil"/>
            </w:tcBorders>
          </w:tcPr>
          <w:p w14:paraId="49A1584A" w14:textId="77777777" w:rsidR="00C07761" w:rsidRPr="00BC76B8" w:rsidRDefault="00C07761" w:rsidP="00CD468E">
            <w:pPr>
              <w:ind w:leftChars="0" w:left="2" w:hanging="2"/>
              <w:jc w:val="center"/>
              <w:rPr>
                <w:rFonts w:ascii="Times New Roman" w:hAnsi="Times New Roman" w:cs="Times New Roman"/>
                <w:sz w:val="20"/>
                <w:szCs w:val="20"/>
              </w:rPr>
            </w:pPr>
          </w:p>
        </w:tc>
        <w:tc>
          <w:tcPr>
            <w:tcW w:w="697" w:type="dxa"/>
            <w:tcBorders>
              <w:top w:val="nil"/>
              <w:left w:val="nil"/>
              <w:bottom w:val="nil"/>
              <w:right w:val="nil"/>
            </w:tcBorders>
          </w:tcPr>
          <w:p w14:paraId="4DC4DC22" w14:textId="77777777" w:rsidR="00C07761" w:rsidRPr="00BC76B8" w:rsidRDefault="00C07761" w:rsidP="00CD468E">
            <w:pPr>
              <w:ind w:leftChars="0" w:left="2" w:hanging="2"/>
              <w:jc w:val="center"/>
              <w:rPr>
                <w:rFonts w:ascii="Times New Roman" w:hAnsi="Times New Roman" w:cs="Times New Roman"/>
                <w:sz w:val="20"/>
                <w:szCs w:val="20"/>
              </w:rPr>
            </w:pPr>
          </w:p>
        </w:tc>
        <w:tc>
          <w:tcPr>
            <w:tcW w:w="1004" w:type="dxa"/>
            <w:tcBorders>
              <w:top w:val="nil"/>
              <w:left w:val="nil"/>
              <w:bottom w:val="nil"/>
              <w:right w:val="nil"/>
            </w:tcBorders>
          </w:tcPr>
          <w:p w14:paraId="143DE89C" w14:textId="77777777" w:rsidR="00C07761" w:rsidRPr="00BC76B8" w:rsidRDefault="00C07761" w:rsidP="00CD468E">
            <w:pPr>
              <w:ind w:leftChars="0" w:left="2" w:hanging="2"/>
              <w:jc w:val="center"/>
              <w:rPr>
                <w:rFonts w:ascii="Times New Roman" w:hAnsi="Times New Roman" w:cs="Times New Roman"/>
                <w:sz w:val="20"/>
                <w:szCs w:val="20"/>
              </w:rPr>
            </w:pPr>
          </w:p>
        </w:tc>
      </w:tr>
      <w:tr w:rsidR="00BC76B8" w:rsidRPr="00BC76B8" w14:paraId="0C08672C" w14:textId="77777777" w:rsidTr="00C07761">
        <w:tc>
          <w:tcPr>
            <w:tcW w:w="2977" w:type="dxa"/>
            <w:tcBorders>
              <w:top w:val="nil"/>
              <w:left w:val="nil"/>
              <w:bottom w:val="nil"/>
              <w:right w:val="nil"/>
            </w:tcBorders>
            <w:vAlign w:val="center"/>
            <w:hideMark/>
          </w:tcPr>
          <w:p w14:paraId="033CAD27"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eastAsia="en-MY"/>
              </w:rPr>
              <w:t>≤ 500</w:t>
            </w:r>
          </w:p>
        </w:tc>
        <w:tc>
          <w:tcPr>
            <w:tcW w:w="708" w:type="dxa"/>
            <w:tcBorders>
              <w:top w:val="nil"/>
              <w:left w:val="nil"/>
              <w:bottom w:val="nil"/>
              <w:right w:val="nil"/>
            </w:tcBorders>
            <w:vAlign w:val="bottom"/>
            <w:hideMark/>
          </w:tcPr>
          <w:p w14:paraId="49CB66BE"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9</w:t>
            </w:r>
          </w:p>
        </w:tc>
        <w:tc>
          <w:tcPr>
            <w:tcW w:w="993" w:type="dxa"/>
            <w:tcBorders>
              <w:top w:val="nil"/>
              <w:left w:val="nil"/>
              <w:bottom w:val="nil"/>
              <w:right w:val="nil"/>
            </w:tcBorders>
            <w:vAlign w:val="bottom"/>
            <w:hideMark/>
          </w:tcPr>
          <w:p w14:paraId="1B315BFF"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3.6</w:t>
            </w:r>
          </w:p>
        </w:tc>
        <w:tc>
          <w:tcPr>
            <w:tcW w:w="697" w:type="dxa"/>
            <w:tcBorders>
              <w:top w:val="nil"/>
              <w:left w:val="nil"/>
              <w:bottom w:val="nil"/>
              <w:right w:val="nil"/>
            </w:tcBorders>
            <w:vAlign w:val="bottom"/>
            <w:hideMark/>
          </w:tcPr>
          <w:p w14:paraId="4FA30F5E"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43</w:t>
            </w:r>
          </w:p>
        </w:tc>
        <w:tc>
          <w:tcPr>
            <w:tcW w:w="1004" w:type="dxa"/>
            <w:tcBorders>
              <w:top w:val="nil"/>
              <w:left w:val="nil"/>
              <w:bottom w:val="nil"/>
              <w:right w:val="nil"/>
            </w:tcBorders>
            <w:vAlign w:val="bottom"/>
            <w:hideMark/>
          </w:tcPr>
          <w:p w14:paraId="3D9158CC"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17.3</w:t>
            </w:r>
          </w:p>
        </w:tc>
      </w:tr>
      <w:tr w:rsidR="00BC76B8" w:rsidRPr="00BC76B8" w14:paraId="679B415B" w14:textId="77777777" w:rsidTr="00C07761">
        <w:tc>
          <w:tcPr>
            <w:tcW w:w="2977" w:type="dxa"/>
            <w:tcBorders>
              <w:top w:val="nil"/>
              <w:left w:val="nil"/>
              <w:bottom w:val="nil"/>
              <w:right w:val="nil"/>
            </w:tcBorders>
            <w:vAlign w:val="bottom"/>
            <w:hideMark/>
          </w:tcPr>
          <w:p w14:paraId="396ACD64"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501-1000</w:t>
            </w:r>
          </w:p>
        </w:tc>
        <w:tc>
          <w:tcPr>
            <w:tcW w:w="708" w:type="dxa"/>
            <w:tcBorders>
              <w:top w:val="nil"/>
              <w:left w:val="nil"/>
              <w:bottom w:val="nil"/>
              <w:right w:val="nil"/>
            </w:tcBorders>
            <w:vAlign w:val="bottom"/>
            <w:hideMark/>
          </w:tcPr>
          <w:p w14:paraId="515636F7"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21</w:t>
            </w:r>
          </w:p>
        </w:tc>
        <w:tc>
          <w:tcPr>
            <w:tcW w:w="993" w:type="dxa"/>
            <w:tcBorders>
              <w:top w:val="nil"/>
              <w:left w:val="nil"/>
              <w:bottom w:val="nil"/>
              <w:right w:val="nil"/>
            </w:tcBorders>
            <w:vAlign w:val="bottom"/>
            <w:hideMark/>
          </w:tcPr>
          <w:p w14:paraId="73878010"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8.4</w:t>
            </w:r>
          </w:p>
        </w:tc>
        <w:tc>
          <w:tcPr>
            <w:tcW w:w="697" w:type="dxa"/>
            <w:tcBorders>
              <w:top w:val="nil"/>
              <w:left w:val="nil"/>
              <w:bottom w:val="nil"/>
              <w:right w:val="nil"/>
            </w:tcBorders>
            <w:vAlign w:val="bottom"/>
            <w:hideMark/>
          </w:tcPr>
          <w:p w14:paraId="3048D9F4"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91</w:t>
            </w:r>
          </w:p>
        </w:tc>
        <w:tc>
          <w:tcPr>
            <w:tcW w:w="1004" w:type="dxa"/>
            <w:tcBorders>
              <w:top w:val="nil"/>
              <w:left w:val="nil"/>
              <w:bottom w:val="nil"/>
              <w:right w:val="nil"/>
            </w:tcBorders>
            <w:vAlign w:val="bottom"/>
            <w:hideMark/>
          </w:tcPr>
          <w:p w14:paraId="75DE2E18"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36.7</w:t>
            </w:r>
          </w:p>
        </w:tc>
      </w:tr>
      <w:tr w:rsidR="00BC76B8" w:rsidRPr="00BC76B8" w14:paraId="15DA273A" w14:textId="77777777" w:rsidTr="00C07761">
        <w:tc>
          <w:tcPr>
            <w:tcW w:w="2977" w:type="dxa"/>
            <w:tcBorders>
              <w:top w:val="nil"/>
              <w:left w:val="nil"/>
              <w:bottom w:val="nil"/>
              <w:right w:val="nil"/>
            </w:tcBorders>
            <w:vAlign w:val="bottom"/>
            <w:hideMark/>
          </w:tcPr>
          <w:p w14:paraId="4A273CF7"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1001-1500</w:t>
            </w:r>
          </w:p>
        </w:tc>
        <w:tc>
          <w:tcPr>
            <w:tcW w:w="708" w:type="dxa"/>
            <w:tcBorders>
              <w:top w:val="nil"/>
              <w:left w:val="nil"/>
              <w:bottom w:val="nil"/>
              <w:right w:val="nil"/>
            </w:tcBorders>
            <w:vAlign w:val="bottom"/>
            <w:hideMark/>
          </w:tcPr>
          <w:p w14:paraId="5E5AA1B3"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21</w:t>
            </w:r>
          </w:p>
        </w:tc>
        <w:tc>
          <w:tcPr>
            <w:tcW w:w="993" w:type="dxa"/>
            <w:tcBorders>
              <w:top w:val="nil"/>
              <w:left w:val="nil"/>
              <w:bottom w:val="nil"/>
              <w:right w:val="nil"/>
            </w:tcBorders>
            <w:vAlign w:val="bottom"/>
            <w:hideMark/>
          </w:tcPr>
          <w:p w14:paraId="55FA454A"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8.4</w:t>
            </w:r>
          </w:p>
        </w:tc>
        <w:tc>
          <w:tcPr>
            <w:tcW w:w="697" w:type="dxa"/>
            <w:tcBorders>
              <w:top w:val="nil"/>
              <w:left w:val="nil"/>
              <w:bottom w:val="nil"/>
              <w:right w:val="nil"/>
            </w:tcBorders>
            <w:vAlign w:val="bottom"/>
            <w:hideMark/>
          </w:tcPr>
          <w:p w14:paraId="7D410BFC"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47</w:t>
            </w:r>
          </w:p>
        </w:tc>
        <w:tc>
          <w:tcPr>
            <w:tcW w:w="1004" w:type="dxa"/>
            <w:tcBorders>
              <w:top w:val="nil"/>
              <w:left w:val="nil"/>
              <w:bottom w:val="nil"/>
              <w:right w:val="nil"/>
            </w:tcBorders>
            <w:vAlign w:val="bottom"/>
            <w:hideMark/>
          </w:tcPr>
          <w:p w14:paraId="4375B62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18.9</w:t>
            </w:r>
          </w:p>
        </w:tc>
      </w:tr>
      <w:tr w:rsidR="00BC76B8" w:rsidRPr="00BC76B8" w14:paraId="04134646" w14:textId="77777777" w:rsidTr="00C07761">
        <w:tc>
          <w:tcPr>
            <w:tcW w:w="2977" w:type="dxa"/>
            <w:tcBorders>
              <w:top w:val="nil"/>
              <w:left w:val="nil"/>
              <w:bottom w:val="nil"/>
              <w:right w:val="nil"/>
            </w:tcBorders>
            <w:vAlign w:val="bottom"/>
            <w:hideMark/>
          </w:tcPr>
          <w:p w14:paraId="6D1F97DC"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1501-2000</w:t>
            </w:r>
          </w:p>
        </w:tc>
        <w:tc>
          <w:tcPr>
            <w:tcW w:w="708" w:type="dxa"/>
            <w:tcBorders>
              <w:top w:val="nil"/>
              <w:left w:val="nil"/>
              <w:bottom w:val="nil"/>
              <w:right w:val="nil"/>
            </w:tcBorders>
            <w:vAlign w:val="bottom"/>
            <w:hideMark/>
          </w:tcPr>
          <w:p w14:paraId="7011D12C"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39</w:t>
            </w:r>
          </w:p>
        </w:tc>
        <w:tc>
          <w:tcPr>
            <w:tcW w:w="993" w:type="dxa"/>
            <w:tcBorders>
              <w:top w:val="nil"/>
              <w:left w:val="nil"/>
              <w:bottom w:val="nil"/>
              <w:right w:val="nil"/>
            </w:tcBorders>
            <w:vAlign w:val="bottom"/>
            <w:hideMark/>
          </w:tcPr>
          <w:p w14:paraId="769287BB"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15.5</w:t>
            </w:r>
          </w:p>
        </w:tc>
        <w:tc>
          <w:tcPr>
            <w:tcW w:w="697" w:type="dxa"/>
            <w:tcBorders>
              <w:top w:val="nil"/>
              <w:left w:val="nil"/>
              <w:bottom w:val="nil"/>
              <w:right w:val="nil"/>
            </w:tcBorders>
            <w:vAlign w:val="bottom"/>
            <w:hideMark/>
          </w:tcPr>
          <w:p w14:paraId="6E6E0FC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40</w:t>
            </w:r>
          </w:p>
        </w:tc>
        <w:tc>
          <w:tcPr>
            <w:tcW w:w="1004" w:type="dxa"/>
            <w:tcBorders>
              <w:top w:val="nil"/>
              <w:left w:val="nil"/>
              <w:bottom w:val="nil"/>
              <w:right w:val="nil"/>
            </w:tcBorders>
            <w:vAlign w:val="bottom"/>
            <w:hideMark/>
          </w:tcPr>
          <w:p w14:paraId="0F607FCB"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16.1</w:t>
            </w:r>
          </w:p>
        </w:tc>
      </w:tr>
      <w:tr w:rsidR="00BC76B8" w:rsidRPr="00BC76B8" w14:paraId="04CCA85C" w14:textId="77777777" w:rsidTr="00C07761">
        <w:tc>
          <w:tcPr>
            <w:tcW w:w="2977" w:type="dxa"/>
            <w:tcBorders>
              <w:top w:val="nil"/>
              <w:left w:val="nil"/>
              <w:bottom w:val="nil"/>
              <w:right w:val="nil"/>
            </w:tcBorders>
            <w:vAlign w:val="bottom"/>
            <w:hideMark/>
          </w:tcPr>
          <w:p w14:paraId="727B8F64"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2001-2500</w:t>
            </w:r>
          </w:p>
        </w:tc>
        <w:tc>
          <w:tcPr>
            <w:tcW w:w="708" w:type="dxa"/>
            <w:tcBorders>
              <w:top w:val="nil"/>
              <w:left w:val="nil"/>
              <w:bottom w:val="nil"/>
              <w:right w:val="nil"/>
            </w:tcBorders>
            <w:vAlign w:val="bottom"/>
            <w:hideMark/>
          </w:tcPr>
          <w:p w14:paraId="0938F6BA"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10</w:t>
            </w:r>
          </w:p>
        </w:tc>
        <w:tc>
          <w:tcPr>
            <w:tcW w:w="993" w:type="dxa"/>
            <w:tcBorders>
              <w:top w:val="nil"/>
              <w:left w:val="nil"/>
              <w:bottom w:val="nil"/>
              <w:right w:val="nil"/>
            </w:tcBorders>
            <w:vAlign w:val="bottom"/>
            <w:hideMark/>
          </w:tcPr>
          <w:p w14:paraId="695DF9BC"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4.0</w:t>
            </w:r>
          </w:p>
        </w:tc>
        <w:tc>
          <w:tcPr>
            <w:tcW w:w="697" w:type="dxa"/>
            <w:tcBorders>
              <w:top w:val="nil"/>
              <w:left w:val="nil"/>
              <w:bottom w:val="nil"/>
              <w:right w:val="nil"/>
            </w:tcBorders>
            <w:vAlign w:val="bottom"/>
            <w:hideMark/>
          </w:tcPr>
          <w:p w14:paraId="55429C07"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9</w:t>
            </w:r>
          </w:p>
        </w:tc>
        <w:tc>
          <w:tcPr>
            <w:tcW w:w="1004" w:type="dxa"/>
            <w:tcBorders>
              <w:top w:val="nil"/>
              <w:left w:val="nil"/>
              <w:bottom w:val="nil"/>
              <w:right w:val="nil"/>
            </w:tcBorders>
            <w:vAlign w:val="bottom"/>
            <w:hideMark/>
          </w:tcPr>
          <w:p w14:paraId="7768A69C"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3.6</w:t>
            </w:r>
          </w:p>
        </w:tc>
      </w:tr>
      <w:tr w:rsidR="00BC76B8" w:rsidRPr="00BC76B8" w14:paraId="7838CEC1" w14:textId="77777777" w:rsidTr="00C07761">
        <w:tc>
          <w:tcPr>
            <w:tcW w:w="2977" w:type="dxa"/>
            <w:tcBorders>
              <w:top w:val="nil"/>
              <w:left w:val="nil"/>
              <w:bottom w:val="nil"/>
              <w:right w:val="nil"/>
            </w:tcBorders>
            <w:vAlign w:val="bottom"/>
            <w:hideMark/>
          </w:tcPr>
          <w:p w14:paraId="3A63844D" w14:textId="77777777" w:rsidR="00C07761" w:rsidRPr="00BC76B8" w:rsidRDefault="00C07761" w:rsidP="00CD468E">
            <w:pPr>
              <w:ind w:leftChars="0" w:left="0" w:firstLineChars="158" w:firstLine="316"/>
              <w:rPr>
                <w:rFonts w:ascii="Times New Roman" w:hAnsi="Times New Roman" w:cs="Times New Roman"/>
                <w:sz w:val="20"/>
                <w:szCs w:val="20"/>
              </w:rPr>
            </w:pPr>
            <w:r w:rsidRPr="00BC76B8">
              <w:rPr>
                <w:rFonts w:ascii="Times New Roman" w:hAnsi="Times New Roman" w:cs="Times New Roman"/>
                <w:sz w:val="20"/>
                <w:szCs w:val="20"/>
                <w:lang w:val="en-MY" w:eastAsia="en-MY"/>
              </w:rPr>
              <w:t>2501-3000</w:t>
            </w:r>
          </w:p>
        </w:tc>
        <w:tc>
          <w:tcPr>
            <w:tcW w:w="708" w:type="dxa"/>
            <w:tcBorders>
              <w:top w:val="nil"/>
              <w:left w:val="nil"/>
              <w:bottom w:val="nil"/>
              <w:right w:val="nil"/>
            </w:tcBorders>
            <w:vAlign w:val="bottom"/>
            <w:hideMark/>
          </w:tcPr>
          <w:p w14:paraId="16D73E44"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40</w:t>
            </w:r>
          </w:p>
        </w:tc>
        <w:tc>
          <w:tcPr>
            <w:tcW w:w="993" w:type="dxa"/>
            <w:tcBorders>
              <w:top w:val="nil"/>
              <w:left w:val="nil"/>
              <w:bottom w:val="nil"/>
              <w:right w:val="nil"/>
            </w:tcBorders>
            <w:vAlign w:val="bottom"/>
            <w:hideMark/>
          </w:tcPr>
          <w:p w14:paraId="5A7C6455"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15.9</w:t>
            </w:r>
          </w:p>
        </w:tc>
        <w:tc>
          <w:tcPr>
            <w:tcW w:w="697" w:type="dxa"/>
            <w:tcBorders>
              <w:top w:val="nil"/>
              <w:left w:val="nil"/>
              <w:bottom w:val="nil"/>
              <w:right w:val="nil"/>
            </w:tcBorders>
            <w:vAlign w:val="bottom"/>
            <w:hideMark/>
          </w:tcPr>
          <w:p w14:paraId="71220278"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10</w:t>
            </w:r>
          </w:p>
        </w:tc>
        <w:tc>
          <w:tcPr>
            <w:tcW w:w="1004" w:type="dxa"/>
            <w:tcBorders>
              <w:top w:val="nil"/>
              <w:left w:val="nil"/>
              <w:bottom w:val="nil"/>
              <w:right w:val="nil"/>
            </w:tcBorders>
            <w:vAlign w:val="bottom"/>
            <w:hideMark/>
          </w:tcPr>
          <w:p w14:paraId="40C59D85"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4.0</w:t>
            </w:r>
          </w:p>
        </w:tc>
      </w:tr>
      <w:tr w:rsidR="00BC76B8" w:rsidRPr="00BC76B8" w14:paraId="47C47ED1" w14:textId="77777777" w:rsidTr="00C07761">
        <w:tc>
          <w:tcPr>
            <w:tcW w:w="2977" w:type="dxa"/>
            <w:tcBorders>
              <w:top w:val="nil"/>
              <w:left w:val="nil"/>
              <w:bottom w:val="nil"/>
              <w:right w:val="nil"/>
            </w:tcBorders>
            <w:vAlign w:val="bottom"/>
            <w:hideMark/>
          </w:tcPr>
          <w:p w14:paraId="3660C158" w14:textId="77777777" w:rsidR="00C07761" w:rsidRPr="00BC76B8" w:rsidRDefault="00C07761" w:rsidP="00CD468E">
            <w:pPr>
              <w:ind w:leftChars="0" w:left="0" w:firstLineChars="158" w:firstLine="316"/>
              <w:rPr>
                <w:rFonts w:ascii="Times New Roman" w:hAnsi="Times New Roman" w:cs="Times New Roman"/>
                <w:sz w:val="20"/>
                <w:szCs w:val="20"/>
                <w:lang w:val="en-MY" w:eastAsia="en-MY"/>
              </w:rPr>
            </w:pPr>
            <w:r w:rsidRPr="00BC76B8">
              <w:rPr>
                <w:rFonts w:ascii="Times New Roman" w:hAnsi="Times New Roman" w:cs="Times New Roman"/>
                <w:sz w:val="20"/>
                <w:szCs w:val="20"/>
                <w:lang w:eastAsia="en-MY"/>
              </w:rPr>
              <w:t>≥ 3501</w:t>
            </w:r>
          </w:p>
        </w:tc>
        <w:tc>
          <w:tcPr>
            <w:tcW w:w="708" w:type="dxa"/>
            <w:tcBorders>
              <w:top w:val="nil"/>
              <w:left w:val="nil"/>
              <w:bottom w:val="nil"/>
              <w:right w:val="nil"/>
            </w:tcBorders>
            <w:hideMark/>
          </w:tcPr>
          <w:p w14:paraId="38E610EE"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97</w:t>
            </w:r>
          </w:p>
        </w:tc>
        <w:tc>
          <w:tcPr>
            <w:tcW w:w="993" w:type="dxa"/>
            <w:tcBorders>
              <w:top w:val="nil"/>
              <w:left w:val="nil"/>
              <w:bottom w:val="nil"/>
              <w:right w:val="nil"/>
            </w:tcBorders>
            <w:hideMark/>
          </w:tcPr>
          <w:p w14:paraId="6D244AA2"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38.6</w:t>
            </w:r>
          </w:p>
        </w:tc>
        <w:tc>
          <w:tcPr>
            <w:tcW w:w="697" w:type="dxa"/>
            <w:tcBorders>
              <w:top w:val="nil"/>
              <w:left w:val="nil"/>
              <w:bottom w:val="nil"/>
              <w:right w:val="nil"/>
            </w:tcBorders>
            <w:vAlign w:val="bottom"/>
            <w:hideMark/>
          </w:tcPr>
          <w:p w14:paraId="24501054"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w:t>
            </w:r>
          </w:p>
        </w:tc>
        <w:tc>
          <w:tcPr>
            <w:tcW w:w="1004" w:type="dxa"/>
            <w:tcBorders>
              <w:top w:val="nil"/>
              <w:left w:val="nil"/>
              <w:bottom w:val="nil"/>
              <w:right w:val="nil"/>
            </w:tcBorders>
            <w:vAlign w:val="bottom"/>
            <w:hideMark/>
          </w:tcPr>
          <w:p w14:paraId="2E8F3A83"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0.8</w:t>
            </w:r>
          </w:p>
        </w:tc>
      </w:tr>
      <w:tr w:rsidR="00BC76B8" w:rsidRPr="00BC76B8" w14:paraId="308C5AD7" w14:textId="77777777" w:rsidTr="00C07761">
        <w:tc>
          <w:tcPr>
            <w:tcW w:w="2977" w:type="dxa"/>
            <w:tcBorders>
              <w:top w:val="nil"/>
              <w:left w:val="nil"/>
              <w:bottom w:val="nil"/>
              <w:right w:val="nil"/>
            </w:tcBorders>
            <w:vAlign w:val="bottom"/>
            <w:hideMark/>
          </w:tcPr>
          <w:p w14:paraId="5841FFDA" w14:textId="1B5A4639" w:rsidR="00C07761" w:rsidRPr="00BC76B8" w:rsidRDefault="00C07761"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Category of employment</w:t>
            </w:r>
          </w:p>
        </w:tc>
        <w:tc>
          <w:tcPr>
            <w:tcW w:w="708" w:type="dxa"/>
            <w:tcBorders>
              <w:top w:val="nil"/>
              <w:left w:val="nil"/>
              <w:bottom w:val="nil"/>
              <w:right w:val="nil"/>
            </w:tcBorders>
          </w:tcPr>
          <w:p w14:paraId="7701258F" w14:textId="77777777" w:rsidR="00C07761" w:rsidRPr="00BC76B8" w:rsidRDefault="00C07761" w:rsidP="00CD468E">
            <w:pPr>
              <w:ind w:leftChars="0" w:left="2" w:hanging="2"/>
              <w:jc w:val="center"/>
              <w:rPr>
                <w:rFonts w:ascii="Times New Roman" w:hAnsi="Times New Roman" w:cs="Times New Roman"/>
                <w:sz w:val="20"/>
                <w:szCs w:val="20"/>
              </w:rPr>
            </w:pPr>
          </w:p>
        </w:tc>
        <w:tc>
          <w:tcPr>
            <w:tcW w:w="993" w:type="dxa"/>
            <w:tcBorders>
              <w:top w:val="nil"/>
              <w:left w:val="nil"/>
              <w:bottom w:val="nil"/>
              <w:right w:val="nil"/>
            </w:tcBorders>
          </w:tcPr>
          <w:p w14:paraId="020AD737" w14:textId="77777777" w:rsidR="00C07761" w:rsidRPr="00BC76B8" w:rsidRDefault="00C07761" w:rsidP="00CD468E">
            <w:pPr>
              <w:ind w:leftChars="0" w:left="2" w:hanging="2"/>
              <w:jc w:val="center"/>
              <w:rPr>
                <w:rFonts w:ascii="Times New Roman" w:hAnsi="Times New Roman" w:cs="Times New Roman"/>
                <w:sz w:val="20"/>
                <w:szCs w:val="20"/>
              </w:rPr>
            </w:pPr>
          </w:p>
        </w:tc>
        <w:tc>
          <w:tcPr>
            <w:tcW w:w="697" w:type="dxa"/>
            <w:tcBorders>
              <w:top w:val="nil"/>
              <w:left w:val="nil"/>
              <w:bottom w:val="nil"/>
              <w:right w:val="nil"/>
            </w:tcBorders>
            <w:vAlign w:val="bottom"/>
          </w:tcPr>
          <w:p w14:paraId="74EEFA9F"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p>
        </w:tc>
        <w:tc>
          <w:tcPr>
            <w:tcW w:w="1004" w:type="dxa"/>
            <w:tcBorders>
              <w:top w:val="nil"/>
              <w:left w:val="nil"/>
              <w:bottom w:val="nil"/>
              <w:right w:val="nil"/>
            </w:tcBorders>
            <w:vAlign w:val="bottom"/>
          </w:tcPr>
          <w:p w14:paraId="0F1194F6"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p>
        </w:tc>
      </w:tr>
      <w:tr w:rsidR="00BC76B8" w:rsidRPr="00BC76B8" w14:paraId="192AE933" w14:textId="77777777" w:rsidTr="00C07761">
        <w:tc>
          <w:tcPr>
            <w:tcW w:w="2977" w:type="dxa"/>
            <w:tcBorders>
              <w:top w:val="nil"/>
              <w:left w:val="nil"/>
              <w:bottom w:val="nil"/>
              <w:right w:val="nil"/>
            </w:tcBorders>
            <w:hideMark/>
          </w:tcPr>
          <w:p w14:paraId="1385A9CC" w14:textId="77777777" w:rsidR="00C07761" w:rsidRPr="00BC76B8" w:rsidRDefault="00C07761" w:rsidP="00CD468E">
            <w:pPr>
              <w:ind w:leftChars="0" w:left="0" w:firstLineChars="158" w:firstLine="316"/>
              <w:rPr>
                <w:rFonts w:ascii="Times New Roman" w:hAnsi="Times New Roman" w:cs="Times New Roman"/>
                <w:sz w:val="20"/>
                <w:szCs w:val="20"/>
                <w:lang w:eastAsia="en-MY"/>
              </w:rPr>
            </w:pPr>
            <w:r w:rsidRPr="00BC76B8">
              <w:rPr>
                <w:rFonts w:ascii="Times New Roman" w:hAnsi="Times New Roman" w:cs="Times New Roman"/>
                <w:sz w:val="20"/>
                <w:szCs w:val="20"/>
                <w:lang w:eastAsia="en-MY"/>
              </w:rPr>
              <w:t xml:space="preserve">Government </w:t>
            </w:r>
          </w:p>
        </w:tc>
        <w:tc>
          <w:tcPr>
            <w:tcW w:w="708" w:type="dxa"/>
            <w:tcBorders>
              <w:top w:val="nil"/>
              <w:left w:val="nil"/>
              <w:bottom w:val="nil"/>
              <w:right w:val="nil"/>
            </w:tcBorders>
            <w:vAlign w:val="bottom"/>
            <w:hideMark/>
          </w:tcPr>
          <w:p w14:paraId="09CFB9B9"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91</w:t>
            </w:r>
          </w:p>
        </w:tc>
        <w:tc>
          <w:tcPr>
            <w:tcW w:w="993" w:type="dxa"/>
            <w:tcBorders>
              <w:top w:val="nil"/>
              <w:left w:val="nil"/>
              <w:bottom w:val="nil"/>
              <w:right w:val="nil"/>
            </w:tcBorders>
            <w:vAlign w:val="bottom"/>
            <w:hideMark/>
          </w:tcPr>
          <w:p w14:paraId="0114B40B"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31.1</w:t>
            </w:r>
          </w:p>
        </w:tc>
        <w:tc>
          <w:tcPr>
            <w:tcW w:w="697" w:type="dxa"/>
            <w:tcBorders>
              <w:top w:val="nil"/>
              <w:left w:val="nil"/>
              <w:bottom w:val="nil"/>
              <w:right w:val="nil"/>
            </w:tcBorders>
            <w:vAlign w:val="bottom"/>
            <w:hideMark/>
          </w:tcPr>
          <w:p w14:paraId="124BC890"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43</w:t>
            </w:r>
          </w:p>
        </w:tc>
        <w:tc>
          <w:tcPr>
            <w:tcW w:w="1004" w:type="dxa"/>
            <w:tcBorders>
              <w:top w:val="nil"/>
              <w:left w:val="nil"/>
              <w:bottom w:val="nil"/>
              <w:right w:val="nil"/>
            </w:tcBorders>
            <w:vAlign w:val="bottom"/>
            <w:hideMark/>
          </w:tcPr>
          <w:p w14:paraId="005A097E"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13.3</w:t>
            </w:r>
          </w:p>
        </w:tc>
      </w:tr>
      <w:tr w:rsidR="00BC76B8" w:rsidRPr="00BC76B8" w14:paraId="56685443" w14:textId="77777777" w:rsidTr="00C07761">
        <w:tc>
          <w:tcPr>
            <w:tcW w:w="2977" w:type="dxa"/>
            <w:tcBorders>
              <w:top w:val="nil"/>
              <w:left w:val="nil"/>
              <w:bottom w:val="nil"/>
              <w:right w:val="nil"/>
            </w:tcBorders>
            <w:hideMark/>
          </w:tcPr>
          <w:p w14:paraId="1E411120" w14:textId="77777777" w:rsidR="00C07761" w:rsidRPr="00BC76B8" w:rsidRDefault="00C07761" w:rsidP="00CD468E">
            <w:pPr>
              <w:ind w:leftChars="0" w:left="0" w:firstLineChars="158" w:firstLine="316"/>
              <w:rPr>
                <w:rFonts w:ascii="Times New Roman" w:hAnsi="Times New Roman" w:cs="Times New Roman"/>
                <w:sz w:val="20"/>
                <w:szCs w:val="20"/>
                <w:lang w:eastAsia="en-MY"/>
              </w:rPr>
            </w:pPr>
            <w:r w:rsidRPr="00BC76B8">
              <w:rPr>
                <w:rFonts w:ascii="Times New Roman" w:hAnsi="Times New Roman" w:cs="Times New Roman"/>
                <w:sz w:val="20"/>
                <w:szCs w:val="20"/>
                <w:lang w:eastAsia="en-MY"/>
              </w:rPr>
              <w:t xml:space="preserve">Private </w:t>
            </w:r>
          </w:p>
        </w:tc>
        <w:tc>
          <w:tcPr>
            <w:tcW w:w="708" w:type="dxa"/>
            <w:tcBorders>
              <w:top w:val="nil"/>
              <w:left w:val="nil"/>
              <w:bottom w:val="nil"/>
              <w:right w:val="nil"/>
            </w:tcBorders>
            <w:vAlign w:val="bottom"/>
            <w:hideMark/>
          </w:tcPr>
          <w:p w14:paraId="413ABCAE"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104</w:t>
            </w:r>
          </w:p>
        </w:tc>
        <w:tc>
          <w:tcPr>
            <w:tcW w:w="993" w:type="dxa"/>
            <w:tcBorders>
              <w:top w:val="nil"/>
              <w:left w:val="nil"/>
              <w:bottom w:val="nil"/>
              <w:right w:val="nil"/>
            </w:tcBorders>
            <w:vAlign w:val="bottom"/>
            <w:hideMark/>
          </w:tcPr>
          <w:p w14:paraId="05652E7D"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35.5</w:t>
            </w:r>
          </w:p>
        </w:tc>
        <w:tc>
          <w:tcPr>
            <w:tcW w:w="697" w:type="dxa"/>
            <w:tcBorders>
              <w:top w:val="nil"/>
              <w:left w:val="nil"/>
              <w:bottom w:val="nil"/>
              <w:right w:val="nil"/>
            </w:tcBorders>
            <w:vAlign w:val="bottom"/>
            <w:hideMark/>
          </w:tcPr>
          <w:p w14:paraId="15B52BA2"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76</w:t>
            </w:r>
          </w:p>
        </w:tc>
        <w:tc>
          <w:tcPr>
            <w:tcW w:w="1004" w:type="dxa"/>
            <w:tcBorders>
              <w:top w:val="nil"/>
              <w:left w:val="nil"/>
              <w:bottom w:val="nil"/>
              <w:right w:val="nil"/>
            </w:tcBorders>
            <w:vAlign w:val="bottom"/>
            <w:hideMark/>
          </w:tcPr>
          <w:p w14:paraId="62579E7F"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23.5</w:t>
            </w:r>
          </w:p>
        </w:tc>
      </w:tr>
      <w:tr w:rsidR="00BC76B8" w:rsidRPr="00BC76B8" w14:paraId="4FF69931" w14:textId="77777777" w:rsidTr="00C07761">
        <w:tc>
          <w:tcPr>
            <w:tcW w:w="2977" w:type="dxa"/>
            <w:tcBorders>
              <w:top w:val="nil"/>
              <w:left w:val="nil"/>
              <w:bottom w:val="nil"/>
              <w:right w:val="nil"/>
            </w:tcBorders>
            <w:hideMark/>
          </w:tcPr>
          <w:p w14:paraId="7B757E48" w14:textId="77777777" w:rsidR="00C07761" w:rsidRPr="00BC76B8" w:rsidRDefault="00C07761" w:rsidP="00CD468E">
            <w:pPr>
              <w:ind w:leftChars="0" w:left="0" w:firstLineChars="158" w:firstLine="316"/>
              <w:rPr>
                <w:rFonts w:ascii="Times New Roman" w:hAnsi="Times New Roman" w:cs="Times New Roman"/>
                <w:sz w:val="20"/>
                <w:szCs w:val="20"/>
                <w:lang w:eastAsia="en-MY"/>
              </w:rPr>
            </w:pPr>
            <w:r w:rsidRPr="00BC76B8">
              <w:rPr>
                <w:rFonts w:ascii="Times New Roman" w:hAnsi="Times New Roman" w:cs="Times New Roman"/>
                <w:sz w:val="20"/>
                <w:szCs w:val="20"/>
                <w:lang w:eastAsia="en-MY"/>
              </w:rPr>
              <w:t>Self-employed</w:t>
            </w:r>
          </w:p>
        </w:tc>
        <w:tc>
          <w:tcPr>
            <w:tcW w:w="708" w:type="dxa"/>
            <w:tcBorders>
              <w:top w:val="nil"/>
              <w:left w:val="nil"/>
              <w:bottom w:val="nil"/>
              <w:right w:val="nil"/>
            </w:tcBorders>
            <w:vAlign w:val="bottom"/>
            <w:hideMark/>
          </w:tcPr>
          <w:p w14:paraId="657A783B"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36</w:t>
            </w:r>
          </w:p>
        </w:tc>
        <w:tc>
          <w:tcPr>
            <w:tcW w:w="993" w:type="dxa"/>
            <w:tcBorders>
              <w:top w:val="nil"/>
              <w:left w:val="nil"/>
              <w:bottom w:val="nil"/>
              <w:right w:val="nil"/>
            </w:tcBorders>
            <w:vAlign w:val="bottom"/>
            <w:hideMark/>
          </w:tcPr>
          <w:p w14:paraId="266354D0"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12.3</w:t>
            </w:r>
          </w:p>
        </w:tc>
        <w:tc>
          <w:tcPr>
            <w:tcW w:w="697" w:type="dxa"/>
            <w:tcBorders>
              <w:top w:val="nil"/>
              <w:left w:val="nil"/>
              <w:bottom w:val="nil"/>
              <w:right w:val="nil"/>
            </w:tcBorders>
            <w:vAlign w:val="bottom"/>
            <w:hideMark/>
          </w:tcPr>
          <w:p w14:paraId="4BB9802F"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116</w:t>
            </w:r>
          </w:p>
        </w:tc>
        <w:tc>
          <w:tcPr>
            <w:tcW w:w="1004" w:type="dxa"/>
            <w:tcBorders>
              <w:top w:val="nil"/>
              <w:left w:val="nil"/>
              <w:bottom w:val="nil"/>
              <w:right w:val="nil"/>
            </w:tcBorders>
            <w:vAlign w:val="bottom"/>
            <w:hideMark/>
          </w:tcPr>
          <w:p w14:paraId="26777600"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35.8</w:t>
            </w:r>
          </w:p>
        </w:tc>
      </w:tr>
      <w:tr w:rsidR="00BC76B8" w:rsidRPr="00BC76B8" w14:paraId="111EF6D5" w14:textId="77777777" w:rsidTr="00C07761">
        <w:tc>
          <w:tcPr>
            <w:tcW w:w="2977" w:type="dxa"/>
            <w:tcBorders>
              <w:top w:val="nil"/>
              <w:left w:val="nil"/>
              <w:bottom w:val="single" w:sz="4" w:space="0" w:color="auto"/>
              <w:right w:val="nil"/>
            </w:tcBorders>
            <w:hideMark/>
          </w:tcPr>
          <w:p w14:paraId="425FD9AC" w14:textId="77777777" w:rsidR="00C07761" w:rsidRPr="00BC76B8" w:rsidRDefault="00C07761" w:rsidP="00CD468E">
            <w:pPr>
              <w:ind w:leftChars="0" w:left="0" w:firstLineChars="158" w:firstLine="316"/>
              <w:rPr>
                <w:rFonts w:ascii="Times New Roman" w:hAnsi="Times New Roman" w:cs="Times New Roman"/>
                <w:sz w:val="20"/>
                <w:szCs w:val="20"/>
                <w:lang w:eastAsia="en-MY"/>
              </w:rPr>
            </w:pPr>
            <w:r w:rsidRPr="00BC76B8">
              <w:rPr>
                <w:rFonts w:ascii="Times New Roman" w:hAnsi="Times New Roman" w:cs="Times New Roman"/>
                <w:sz w:val="20"/>
                <w:szCs w:val="20"/>
                <w:lang w:eastAsia="en-MY"/>
              </w:rPr>
              <w:t>Pensioners/Others</w:t>
            </w:r>
          </w:p>
        </w:tc>
        <w:tc>
          <w:tcPr>
            <w:tcW w:w="708" w:type="dxa"/>
            <w:tcBorders>
              <w:top w:val="nil"/>
              <w:left w:val="nil"/>
              <w:bottom w:val="single" w:sz="4" w:space="0" w:color="auto"/>
              <w:right w:val="nil"/>
            </w:tcBorders>
            <w:vAlign w:val="bottom"/>
            <w:hideMark/>
          </w:tcPr>
          <w:p w14:paraId="722E7266"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62</w:t>
            </w:r>
          </w:p>
        </w:tc>
        <w:tc>
          <w:tcPr>
            <w:tcW w:w="993" w:type="dxa"/>
            <w:tcBorders>
              <w:top w:val="nil"/>
              <w:left w:val="nil"/>
              <w:bottom w:val="single" w:sz="4" w:space="0" w:color="auto"/>
              <w:right w:val="nil"/>
            </w:tcBorders>
            <w:vAlign w:val="bottom"/>
            <w:hideMark/>
          </w:tcPr>
          <w:p w14:paraId="7AE7A7DD" w14:textId="77777777" w:rsidR="00C07761" w:rsidRPr="00BC76B8" w:rsidRDefault="00C07761"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21.2</w:t>
            </w:r>
          </w:p>
        </w:tc>
        <w:tc>
          <w:tcPr>
            <w:tcW w:w="697" w:type="dxa"/>
            <w:tcBorders>
              <w:top w:val="nil"/>
              <w:left w:val="nil"/>
              <w:bottom w:val="single" w:sz="4" w:space="0" w:color="auto"/>
              <w:right w:val="nil"/>
            </w:tcBorders>
            <w:vAlign w:val="bottom"/>
            <w:hideMark/>
          </w:tcPr>
          <w:p w14:paraId="241FD062"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89</w:t>
            </w:r>
          </w:p>
        </w:tc>
        <w:tc>
          <w:tcPr>
            <w:tcW w:w="1004" w:type="dxa"/>
            <w:tcBorders>
              <w:top w:val="nil"/>
              <w:left w:val="nil"/>
              <w:bottom w:val="single" w:sz="4" w:space="0" w:color="auto"/>
              <w:right w:val="nil"/>
            </w:tcBorders>
            <w:vAlign w:val="bottom"/>
            <w:hideMark/>
          </w:tcPr>
          <w:p w14:paraId="738A0642" w14:textId="77777777" w:rsidR="00C07761" w:rsidRPr="00BC76B8" w:rsidRDefault="00C07761"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27.5</w:t>
            </w:r>
          </w:p>
        </w:tc>
      </w:tr>
    </w:tbl>
    <w:p w14:paraId="4464AA6D" w14:textId="77777777" w:rsidR="0057758A" w:rsidRPr="0057758A" w:rsidRDefault="0057758A" w:rsidP="00CD468E">
      <w:pPr>
        <w:spacing w:after="0" w:line="240" w:lineRule="auto"/>
        <w:ind w:leftChars="0" w:left="0" w:firstLineChars="176" w:firstLine="493"/>
        <w:jc w:val="both"/>
        <w:rPr>
          <w:rFonts w:ascii="Times New Roman" w:hAnsi="Times New Roman"/>
          <w:sz w:val="28"/>
          <w:szCs w:val="28"/>
        </w:rPr>
      </w:pPr>
    </w:p>
    <w:p w14:paraId="2431DE17" w14:textId="25B8964A" w:rsidR="004D1E57" w:rsidRPr="00BC76B8" w:rsidRDefault="004D1E57" w:rsidP="0057758A">
      <w:pPr>
        <w:spacing w:after="0" w:line="240" w:lineRule="auto"/>
        <w:ind w:leftChars="0" w:left="0" w:firstLineChars="0" w:firstLine="720"/>
        <w:jc w:val="both"/>
        <w:rPr>
          <w:rFonts w:ascii="Times New Roman" w:hAnsi="Times New Roman" w:cs="Times New Roman"/>
          <w:sz w:val="24"/>
          <w:szCs w:val="24"/>
        </w:rPr>
      </w:pPr>
      <w:r w:rsidRPr="00BC76B8">
        <w:rPr>
          <w:rFonts w:ascii="Times New Roman" w:hAnsi="Times New Roman" w:cs="Times New Roman"/>
          <w:sz w:val="24"/>
          <w:szCs w:val="24"/>
        </w:rPr>
        <w:t xml:space="preserve">High positive responses were received in both the Putrajaya and Muda Lake survey in terms of government policy allowing lake protection using the annual budget and enhancing lake management. In terms of the lake function, the highest ranking from respondent’s perception in both lakes was the lake function for future generations' use, highlighting the natural beauty and enhancing water quality (Figure 2). The lowest score in terms of lake function was as an education and research site for Muda Lake and enhancing wildlife habitat for Putrajaya Lake. Muda Lake is positioned among the rural areas and not much research has been performed out there relative to other lakes in Malaysia. A review on </w:t>
      </w:r>
      <w:r w:rsidR="00A82EBC" w:rsidRPr="00BC76B8">
        <w:rPr>
          <w:rFonts w:ascii="Times New Roman" w:hAnsi="Times New Roman" w:cs="Times New Roman"/>
          <w:sz w:val="24"/>
          <w:szCs w:val="24"/>
        </w:rPr>
        <w:t xml:space="preserve">a </w:t>
      </w:r>
      <w:r w:rsidRPr="00BC76B8">
        <w:rPr>
          <w:rFonts w:ascii="Times New Roman" w:hAnsi="Times New Roman" w:cs="Times New Roman"/>
          <w:sz w:val="24"/>
          <w:szCs w:val="24"/>
        </w:rPr>
        <w:t xml:space="preserve">lake study in Malaysia performed by Sharip et al. (2018) confirmed Muda Lake is not one of the most studied lakes. In contrast, Putrajaya Lake was identified as one of the most well-researched lakes in the country (Sharip et al., 2018). For Putrajaya, the lowest score in enhancing wildlife habitat is likely due to the origin of the lake formation where it was transformed from an oil palm plantation to an urban setting. Thus, wildlife presences were not dominant in the increasing urban ecosystem that is being created. Enhancing wildlife habitat ranked second lowest in lake function for Muda Lake. This result is worrying since wildlife habitat is important for the Ulu Muda Forest since it contains many endangered and endemic species. The reason for such lower score could probably due to low awareness among the surveyed respondents on the values of Ulu Muda wildlife that resulted from low media coverage of the importance of </w:t>
      </w:r>
      <w:r w:rsidR="00701383" w:rsidRPr="00BC76B8">
        <w:rPr>
          <w:rFonts w:ascii="Times New Roman" w:hAnsi="Times New Roman" w:cs="Times New Roman"/>
          <w:sz w:val="24"/>
          <w:szCs w:val="24"/>
        </w:rPr>
        <w:t>Ulu Muda Forest</w:t>
      </w:r>
      <w:r w:rsidRPr="00BC76B8">
        <w:rPr>
          <w:rFonts w:ascii="Times New Roman" w:hAnsi="Times New Roman" w:cs="Times New Roman"/>
          <w:sz w:val="24"/>
          <w:szCs w:val="24"/>
        </w:rPr>
        <w:t xml:space="preserve"> compared to other lake basin forest ecosystem such as the Belum Temenggor Reserve (Gwee et al., 2018).</w:t>
      </w:r>
    </w:p>
    <w:p w14:paraId="59F42336" w14:textId="77777777" w:rsidR="0006388D" w:rsidRDefault="009F1527" w:rsidP="0006388D">
      <w:pPr>
        <w:spacing w:after="0" w:line="240" w:lineRule="auto"/>
        <w:ind w:leftChars="0" w:left="2" w:hanging="2"/>
        <w:jc w:val="center"/>
        <w:rPr>
          <w:rFonts w:ascii="Times New Roman" w:hAnsi="Times New Roman" w:cs="Times New Roman"/>
          <w:b/>
          <w:sz w:val="20"/>
          <w:szCs w:val="20"/>
        </w:rPr>
      </w:pPr>
      <w:r w:rsidRPr="00BC76B8">
        <w:rPr>
          <w:noProof/>
          <w:lang w:val="en-MY" w:eastAsia="en-MY"/>
        </w:rPr>
        <w:lastRenderedPageBreak/>
        <mc:AlternateContent>
          <mc:Choice Requires="wps">
            <w:drawing>
              <wp:inline distT="0" distB="0" distL="0" distR="0" wp14:anchorId="04E89E0C" wp14:editId="11278250">
                <wp:extent cx="5867400" cy="5684520"/>
                <wp:effectExtent l="0" t="0" r="19050" b="11430"/>
                <wp:docPr id="11" name="Rectangle 11"/>
                <wp:cNvGraphicFramePr/>
                <a:graphic xmlns:a="http://schemas.openxmlformats.org/drawingml/2006/main">
                  <a:graphicData uri="http://schemas.microsoft.com/office/word/2010/wordprocessingShape">
                    <wps:wsp>
                      <wps:cNvSpPr/>
                      <wps:spPr>
                        <a:xfrm>
                          <a:off x="0" y="0"/>
                          <a:ext cx="5867400" cy="56845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2AAA2E2" w14:textId="77777777" w:rsidR="009F1527" w:rsidRDefault="009F1527" w:rsidP="009F1527">
                            <w:pPr>
                              <w:spacing w:line="240" w:lineRule="auto"/>
                              <w:ind w:leftChars="0" w:left="2" w:hanging="2"/>
                            </w:pPr>
                            <w:r>
                              <w:rPr>
                                <w:noProof/>
                                <w:position w:val="0"/>
                                <w:sz w:val="20"/>
                                <w:szCs w:val="20"/>
                                <w:lang w:val="en-MY" w:eastAsia="en-MY"/>
                              </w:rPr>
                              <w:drawing>
                                <wp:inline distT="0" distB="0" distL="0" distR="0" wp14:anchorId="57377A90" wp14:editId="0665C493">
                                  <wp:extent cx="5676900" cy="5387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l="1524"/>
                                          <a:stretch>
                                            <a:fillRect/>
                                          </a:stretch>
                                        </pic:blipFill>
                                        <pic:spPr bwMode="auto">
                                          <a:xfrm>
                                            <a:off x="0" y="0"/>
                                            <a:ext cx="5676900" cy="5387340"/>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inline>
            </w:drawing>
          </mc:Choice>
          <mc:Fallback>
            <w:pict>
              <v:rect w14:anchorId="04E89E0C" id="Rectangle 11" o:spid="_x0000_s1027" style="width:462pt;height:44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">
                <v:stroke startarrowwidth="narrow" startarrowlength="short" endarrowwidth="narrow" endarrowlength="short" joinstyle="round"/>
                <v:textbox inset="2.53958mm,2.53958mm,2.53958mm,2.53958mm">
                  <w:txbxContent>
                    <w:p w14:paraId="32AAA2E2" w14:textId="77777777" w:rsidR="009F1527" w:rsidRDefault="009F1527" w:rsidP="009F1527">
                      <w:pPr>
                        <w:spacing w:line="240" w:lineRule="auto"/>
                        <w:ind w:leftChars="0" w:left="2" w:hanging="2"/>
                      </w:pPr>
                      <w:r>
                        <w:rPr>
                          <w:noProof/>
                          <w:position w:val="0"/>
                          <w:sz w:val="20"/>
                          <w:szCs w:val="20"/>
                          <w:lang w:val="en-MY" w:eastAsia="en-MY"/>
                        </w:rPr>
                        <w:drawing>
                          <wp:inline distT="0" distB="0" distL="0" distR="0" wp14:anchorId="57377A90" wp14:editId="0665C493">
                            <wp:extent cx="5676900" cy="5387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l="1524"/>
                                    <a:stretch>
                                      <a:fillRect/>
                                    </a:stretch>
                                  </pic:blipFill>
                                  <pic:spPr bwMode="auto">
                                    <a:xfrm>
                                      <a:off x="0" y="0"/>
                                      <a:ext cx="5676900" cy="5387340"/>
                                    </a:xfrm>
                                    <a:prstGeom prst="rect">
                                      <a:avLst/>
                                    </a:prstGeom>
                                    <a:noFill/>
                                    <a:ln>
                                      <a:noFill/>
                                    </a:ln>
                                  </pic:spPr>
                                </pic:pic>
                              </a:graphicData>
                            </a:graphic>
                          </wp:inline>
                        </w:drawing>
                      </w:r>
                    </w:p>
                  </w:txbxContent>
                </v:textbox>
                <w10:anchorlock/>
              </v:rect>
            </w:pict>
          </mc:Fallback>
        </mc:AlternateContent>
      </w:r>
    </w:p>
    <w:p w14:paraId="0C257E3A" w14:textId="77777777" w:rsidR="0006388D" w:rsidRPr="0006388D" w:rsidRDefault="0006388D" w:rsidP="0006388D">
      <w:pPr>
        <w:spacing w:after="0" w:line="240" w:lineRule="auto"/>
        <w:ind w:leftChars="0" w:left="1"/>
        <w:jc w:val="center"/>
        <w:rPr>
          <w:rFonts w:ascii="Times New Roman" w:hAnsi="Times New Roman" w:cs="Times New Roman"/>
          <w:b/>
          <w:sz w:val="10"/>
          <w:szCs w:val="10"/>
        </w:rPr>
      </w:pPr>
    </w:p>
    <w:p w14:paraId="2F3055F5" w14:textId="48C1F3C4" w:rsidR="00C07761" w:rsidRPr="00BC76B8" w:rsidRDefault="00C07761" w:rsidP="0006388D">
      <w:pPr>
        <w:spacing w:after="0" w:line="240" w:lineRule="auto"/>
        <w:ind w:leftChars="0" w:left="2" w:hanging="2"/>
        <w:jc w:val="center"/>
        <w:rPr>
          <w:rFonts w:ascii="Times New Roman" w:hAnsi="Times New Roman" w:cs="Times New Roman"/>
          <w:sz w:val="20"/>
          <w:szCs w:val="20"/>
        </w:rPr>
      </w:pPr>
      <w:r w:rsidRPr="00BC76B8">
        <w:rPr>
          <w:rFonts w:ascii="Times New Roman" w:hAnsi="Times New Roman" w:cs="Times New Roman"/>
          <w:b/>
          <w:sz w:val="20"/>
          <w:szCs w:val="20"/>
        </w:rPr>
        <w:t>Figure 2</w:t>
      </w:r>
      <w:r w:rsidRPr="00BC76B8">
        <w:rPr>
          <w:rFonts w:ascii="Times New Roman" w:hAnsi="Times New Roman" w:cs="Times New Roman"/>
          <w:sz w:val="20"/>
          <w:szCs w:val="20"/>
        </w:rPr>
        <w:t>. Respondent perception (%) on the function of (a) Muda Lake (b) Putrajaya Lake</w:t>
      </w:r>
    </w:p>
    <w:p w14:paraId="1F4540D1" w14:textId="77777777" w:rsidR="0006388D" w:rsidRDefault="0006388D" w:rsidP="0006388D">
      <w:pPr>
        <w:spacing w:after="0" w:line="240" w:lineRule="auto"/>
        <w:ind w:leftChars="0" w:left="0" w:firstLineChars="0" w:firstLine="0"/>
        <w:jc w:val="both"/>
        <w:rPr>
          <w:rFonts w:ascii="Times New Roman" w:hAnsi="Times New Roman" w:cs="Times New Roman"/>
          <w:sz w:val="24"/>
          <w:szCs w:val="24"/>
        </w:rPr>
      </w:pPr>
    </w:p>
    <w:p w14:paraId="7C0BF69D" w14:textId="2AB28FD9" w:rsidR="00C07761" w:rsidRPr="00BC76B8" w:rsidRDefault="00C07761" w:rsidP="0057758A">
      <w:pPr>
        <w:spacing w:after="0" w:line="240" w:lineRule="auto"/>
        <w:ind w:leftChars="0" w:left="0" w:firstLineChars="0" w:firstLine="720"/>
        <w:jc w:val="both"/>
        <w:rPr>
          <w:rFonts w:ascii="Times New Roman" w:hAnsi="Times New Roman" w:cs="Times New Roman"/>
          <w:sz w:val="24"/>
          <w:szCs w:val="24"/>
        </w:rPr>
      </w:pPr>
      <w:r w:rsidRPr="00BC76B8">
        <w:rPr>
          <w:rFonts w:ascii="Times New Roman" w:hAnsi="Times New Roman" w:cs="Times New Roman"/>
          <w:sz w:val="24"/>
          <w:szCs w:val="24"/>
        </w:rPr>
        <w:t>Three logit models were considered</w:t>
      </w:r>
      <w:r w:rsidR="00FA553F" w:rsidRPr="00BC76B8">
        <w:rPr>
          <w:rFonts w:ascii="Times New Roman" w:hAnsi="Times New Roman" w:cs="Times New Roman"/>
          <w:sz w:val="24"/>
          <w:szCs w:val="24"/>
        </w:rPr>
        <w:t xml:space="preserve"> for </w:t>
      </w:r>
      <w:r w:rsidR="00E97B43" w:rsidRPr="00BC76B8">
        <w:rPr>
          <w:rFonts w:ascii="Times New Roman" w:hAnsi="Times New Roman" w:cs="Times New Roman"/>
          <w:sz w:val="24"/>
          <w:szCs w:val="24"/>
        </w:rPr>
        <w:t xml:space="preserve">the </w:t>
      </w:r>
      <w:r w:rsidR="00FA553F" w:rsidRPr="00BC76B8">
        <w:rPr>
          <w:rFonts w:ascii="Times New Roman" w:hAnsi="Times New Roman" w:cs="Times New Roman"/>
          <w:sz w:val="24"/>
          <w:szCs w:val="24"/>
        </w:rPr>
        <w:t>calculation of WTP</w:t>
      </w:r>
      <w:r w:rsidRPr="00BC76B8">
        <w:rPr>
          <w:rFonts w:ascii="Times New Roman" w:hAnsi="Times New Roman" w:cs="Times New Roman"/>
          <w:sz w:val="24"/>
          <w:szCs w:val="24"/>
        </w:rPr>
        <w:t xml:space="preserve"> based on the inclusion of independent variables in </w:t>
      </w:r>
      <w:r w:rsidR="00E97B43" w:rsidRPr="00BC76B8">
        <w:rPr>
          <w:rFonts w:ascii="Times New Roman" w:hAnsi="Times New Roman" w:cs="Times New Roman"/>
          <w:sz w:val="24"/>
          <w:szCs w:val="24"/>
        </w:rPr>
        <w:t>E</w:t>
      </w:r>
      <w:r w:rsidRPr="00BC76B8">
        <w:rPr>
          <w:rFonts w:ascii="Times New Roman" w:hAnsi="Times New Roman" w:cs="Times New Roman"/>
          <w:sz w:val="24"/>
          <w:szCs w:val="24"/>
        </w:rPr>
        <w:t xml:space="preserve">quation 2. </w:t>
      </w:r>
      <w:r w:rsidR="00FA553F" w:rsidRPr="00BC76B8">
        <w:rPr>
          <w:rFonts w:ascii="Times New Roman" w:hAnsi="Times New Roman" w:cs="Times New Roman"/>
          <w:sz w:val="24"/>
          <w:szCs w:val="24"/>
        </w:rPr>
        <w:t>M</w:t>
      </w:r>
      <w:r w:rsidRPr="00BC76B8">
        <w:rPr>
          <w:rFonts w:ascii="Times New Roman" w:hAnsi="Times New Roman" w:cs="Times New Roman"/>
          <w:sz w:val="24"/>
          <w:szCs w:val="24"/>
        </w:rPr>
        <w:t xml:space="preserve">odel </w:t>
      </w:r>
      <w:r w:rsidR="00FA553F" w:rsidRPr="00BC76B8">
        <w:rPr>
          <w:rFonts w:ascii="Times New Roman" w:hAnsi="Times New Roman" w:cs="Times New Roman"/>
          <w:sz w:val="24"/>
          <w:szCs w:val="24"/>
        </w:rPr>
        <w:t xml:space="preserve">1 </w:t>
      </w:r>
      <w:r w:rsidR="00FA553F" w:rsidRPr="00BC76B8">
        <w:rPr>
          <w:rFonts w:ascii="Cambria" w:hAnsi="Cambria" w:cs="Cambria"/>
          <w:position w:val="0"/>
          <w:sz w:val="24"/>
          <w:szCs w:val="24"/>
          <w:lang w:eastAsia="en-GB"/>
        </w:rPr>
        <w:t xml:space="preserve">is a full model that includes all variables in the equation namely </w:t>
      </w:r>
      <w:r w:rsidRPr="00BC76B8">
        <w:rPr>
          <w:rFonts w:ascii="Times New Roman" w:hAnsi="Times New Roman" w:cs="Times New Roman"/>
          <w:sz w:val="24"/>
          <w:szCs w:val="24"/>
        </w:rPr>
        <w:t>income, age, gender, marital status, job category, household size, income</w:t>
      </w:r>
      <w:r w:rsidR="00193F4B" w:rsidRPr="00BC76B8">
        <w:rPr>
          <w:rFonts w:ascii="Times New Roman" w:hAnsi="Times New Roman" w:cs="Times New Roman"/>
          <w:sz w:val="24"/>
          <w:szCs w:val="24"/>
        </w:rPr>
        <w:t>,</w:t>
      </w:r>
      <w:r w:rsidRPr="00BC76B8">
        <w:rPr>
          <w:rFonts w:ascii="Times New Roman" w:hAnsi="Times New Roman" w:cs="Times New Roman"/>
          <w:sz w:val="24"/>
          <w:szCs w:val="24"/>
        </w:rPr>
        <w:t xml:space="preserve"> and confidence in contributing </w:t>
      </w:r>
      <w:r w:rsidR="00E97B43" w:rsidRPr="00BC76B8">
        <w:rPr>
          <w:rFonts w:ascii="Times New Roman" w:hAnsi="Times New Roman" w:cs="Times New Roman"/>
          <w:sz w:val="24"/>
          <w:szCs w:val="24"/>
        </w:rPr>
        <w:t xml:space="preserve">to </w:t>
      </w:r>
      <w:r w:rsidRPr="00BC76B8">
        <w:rPr>
          <w:rFonts w:ascii="Times New Roman" w:hAnsi="Times New Roman" w:cs="Times New Roman"/>
          <w:sz w:val="24"/>
          <w:szCs w:val="24"/>
        </w:rPr>
        <w:t>the trust fund. Few variables</w:t>
      </w:r>
      <w:r w:rsidR="00D608B1" w:rsidRPr="00BC76B8">
        <w:rPr>
          <w:rFonts w:ascii="Times New Roman" w:hAnsi="Times New Roman" w:cs="Times New Roman"/>
          <w:sz w:val="24"/>
          <w:szCs w:val="24"/>
        </w:rPr>
        <w:t>,</w:t>
      </w:r>
      <w:r w:rsidRPr="00BC76B8">
        <w:rPr>
          <w:rFonts w:ascii="Times New Roman" w:hAnsi="Times New Roman" w:cs="Times New Roman"/>
          <w:sz w:val="24"/>
          <w:szCs w:val="24"/>
        </w:rPr>
        <w:t xml:space="preserve"> </w:t>
      </w:r>
      <w:r w:rsidR="00D608B1" w:rsidRPr="00BC76B8">
        <w:rPr>
          <w:rFonts w:ascii="Times New Roman" w:hAnsi="Times New Roman" w:cs="Times New Roman"/>
          <w:sz w:val="24"/>
          <w:szCs w:val="24"/>
        </w:rPr>
        <w:t xml:space="preserve">such as gender, marital status, and </w:t>
      </w:r>
      <w:r w:rsidR="00176826" w:rsidRPr="00BC76B8">
        <w:rPr>
          <w:rFonts w:ascii="Times New Roman" w:hAnsi="Times New Roman" w:cs="Times New Roman"/>
          <w:sz w:val="24"/>
          <w:szCs w:val="24"/>
        </w:rPr>
        <w:t>employment</w:t>
      </w:r>
      <w:r w:rsidR="00D608B1" w:rsidRPr="00BC76B8">
        <w:rPr>
          <w:rFonts w:ascii="Times New Roman" w:hAnsi="Times New Roman" w:cs="Times New Roman"/>
          <w:sz w:val="24"/>
          <w:szCs w:val="24"/>
        </w:rPr>
        <w:t xml:space="preserve"> category, </w:t>
      </w:r>
      <w:r w:rsidRPr="00BC76B8">
        <w:rPr>
          <w:rFonts w:ascii="Times New Roman" w:hAnsi="Times New Roman" w:cs="Times New Roman"/>
          <w:sz w:val="24"/>
          <w:szCs w:val="24"/>
        </w:rPr>
        <w:t xml:space="preserve">were found to be insignificant indicating that they were not influencing WTP. In </w:t>
      </w:r>
      <w:r w:rsidR="00FA553F" w:rsidRPr="00BC76B8">
        <w:rPr>
          <w:rFonts w:ascii="Times New Roman" w:hAnsi="Times New Roman" w:cs="Times New Roman"/>
          <w:sz w:val="24"/>
          <w:szCs w:val="24"/>
        </w:rPr>
        <w:t>M</w:t>
      </w:r>
      <w:r w:rsidRPr="00BC76B8">
        <w:rPr>
          <w:rFonts w:ascii="Times New Roman" w:hAnsi="Times New Roman" w:cs="Times New Roman"/>
          <w:sz w:val="24"/>
          <w:szCs w:val="24"/>
        </w:rPr>
        <w:t>odel</w:t>
      </w:r>
      <w:r w:rsidR="00FA553F" w:rsidRPr="00BC76B8">
        <w:rPr>
          <w:rFonts w:ascii="Times New Roman" w:hAnsi="Times New Roman" w:cs="Times New Roman"/>
          <w:sz w:val="24"/>
          <w:szCs w:val="24"/>
        </w:rPr>
        <w:t xml:space="preserve"> 2</w:t>
      </w:r>
      <w:r w:rsidRPr="00BC76B8">
        <w:rPr>
          <w:rFonts w:ascii="Times New Roman" w:hAnsi="Times New Roman" w:cs="Times New Roman"/>
          <w:sz w:val="24"/>
          <w:szCs w:val="24"/>
        </w:rPr>
        <w:t xml:space="preserve">, the number of independent variables was reduced to include only significant variables. </w:t>
      </w:r>
      <w:r w:rsidR="0008143D" w:rsidRPr="00BC76B8">
        <w:rPr>
          <w:rFonts w:ascii="Times New Roman" w:hAnsi="Times New Roman" w:cs="Times New Roman"/>
          <w:sz w:val="24"/>
          <w:szCs w:val="24"/>
        </w:rPr>
        <w:t>After running the full model (Model 2), only the significant independent variables</w:t>
      </w:r>
      <w:r w:rsidR="008879B8" w:rsidRPr="00BC76B8">
        <w:rPr>
          <w:rFonts w:ascii="Times New Roman" w:hAnsi="Times New Roman" w:cs="Times New Roman"/>
          <w:sz w:val="24"/>
          <w:szCs w:val="24"/>
        </w:rPr>
        <w:t>, namely bid and confidence</w:t>
      </w:r>
      <w:r w:rsidR="0008143D" w:rsidRPr="00BC76B8">
        <w:rPr>
          <w:rFonts w:ascii="Times New Roman" w:hAnsi="Times New Roman" w:cs="Times New Roman"/>
          <w:sz w:val="24"/>
          <w:szCs w:val="24"/>
        </w:rPr>
        <w:t xml:space="preserve"> were included in Model 3.</w:t>
      </w:r>
      <w:r w:rsidR="008879B8" w:rsidRPr="00BC76B8">
        <w:rPr>
          <w:rFonts w:ascii="Times New Roman" w:hAnsi="Times New Roman" w:cs="Times New Roman"/>
          <w:sz w:val="24"/>
          <w:szCs w:val="24"/>
        </w:rPr>
        <w:t xml:space="preserve"> Education year was also a significant variable in Muda Lake.</w:t>
      </w:r>
      <w:r w:rsidR="0008143D" w:rsidRPr="00BC76B8">
        <w:rPr>
          <w:rFonts w:ascii="Times New Roman" w:hAnsi="Times New Roman" w:cs="Times New Roman"/>
          <w:sz w:val="24"/>
          <w:szCs w:val="24"/>
        </w:rPr>
        <w:t xml:space="preserve"> </w:t>
      </w:r>
      <w:r w:rsidR="00334FBB" w:rsidRPr="00BC76B8">
        <w:rPr>
          <w:rFonts w:ascii="Times New Roman" w:hAnsi="Times New Roman" w:cs="Times New Roman"/>
          <w:sz w:val="24"/>
          <w:szCs w:val="24"/>
        </w:rPr>
        <w:t xml:space="preserve">The WTP for Muda Lake ranged between USD 2.89 to USD3.50 with </w:t>
      </w:r>
      <w:r w:rsidR="00E97B43" w:rsidRPr="00BC76B8">
        <w:rPr>
          <w:rFonts w:ascii="Times New Roman" w:hAnsi="Times New Roman" w:cs="Times New Roman"/>
          <w:sz w:val="24"/>
          <w:szCs w:val="24"/>
        </w:rPr>
        <w:t>a M</w:t>
      </w:r>
      <w:r w:rsidR="00334FBB" w:rsidRPr="00BC76B8">
        <w:rPr>
          <w:rFonts w:ascii="Times New Roman" w:hAnsi="Times New Roman" w:cs="Times New Roman"/>
          <w:sz w:val="24"/>
          <w:szCs w:val="24"/>
        </w:rPr>
        <w:t>ean maximum WTP ~ USD 3.20 (</w:t>
      </w:r>
      <w:r w:rsidR="00825580" w:rsidRPr="00BC76B8">
        <w:rPr>
          <w:rFonts w:ascii="Times New Roman" w:hAnsi="Times New Roman" w:cs="Times New Roman"/>
          <w:sz w:val="24"/>
          <w:szCs w:val="24"/>
        </w:rPr>
        <w:t>Table 4</w:t>
      </w:r>
      <w:r w:rsidR="00334FBB" w:rsidRPr="00BC76B8">
        <w:rPr>
          <w:rFonts w:ascii="Times New Roman" w:hAnsi="Times New Roman" w:cs="Times New Roman"/>
          <w:sz w:val="24"/>
          <w:szCs w:val="24"/>
        </w:rPr>
        <w:t xml:space="preserve">). The WTP for Putrajaya Lake ranged between USD 2.96 to USD3.73 with </w:t>
      </w:r>
      <w:r w:rsidR="00E97B43" w:rsidRPr="00BC76B8">
        <w:rPr>
          <w:rFonts w:ascii="Times New Roman" w:hAnsi="Times New Roman" w:cs="Times New Roman"/>
          <w:sz w:val="24"/>
          <w:szCs w:val="24"/>
        </w:rPr>
        <w:t>a M</w:t>
      </w:r>
      <w:r w:rsidR="00334FBB" w:rsidRPr="00BC76B8">
        <w:rPr>
          <w:rFonts w:ascii="Times New Roman" w:hAnsi="Times New Roman" w:cs="Times New Roman"/>
          <w:sz w:val="24"/>
          <w:szCs w:val="24"/>
        </w:rPr>
        <w:t xml:space="preserve">ean maximum WTP ~ USD 3.35. </w:t>
      </w:r>
      <w:r w:rsidR="009F1527" w:rsidRPr="00BC76B8">
        <w:rPr>
          <w:rFonts w:ascii="Times New Roman" w:hAnsi="Times New Roman" w:cs="Times New Roman"/>
          <w:sz w:val="24"/>
          <w:szCs w:val="24"/>
        </w:rPr>
        <w:t xml:space="preserve">The coefficient on education for Muda Lake is positive and significant, suggesting that WTP increases with the number of education </w:t>
      </w:r>
      <w:r w:rsidR="009F1527" w:rsidRPr="00BC76B8">
        <w:rPr>
          <w:rFonts w:ascii="Times New Roman" w:hAnsi="Times New Roman" w:cs="Times New Roman"/>
          <w:sz w:val="24"/>
          <w:szCs w:val="24"/>
        </w:rPr>
        <w:lastRenderedPageBreak/>
        <w:t xml:space="preserve">years. WTP does not appear to be sensitive for education year for Putrajaya Lake probably due to small gaps in education year as the most respondent has tertiary education. </w:t>
      </w:r>
    </w:p>
    <w:p w14:paraId="685134D0" w14:textId="0E63FD69" w:rsidR="007D7FE0" w:rsidRPr="00BC76B8" w:rsidRDefault="007D7FE0" w:rsidP="00CD468E">
      <w:pPr>
        <w:spacing w:after="0" w:line="240" w:lineRule="auto"/>
        <w:ind w:leftChars="0" w:left="0" w:firstLineChars="177" w:firstLine="425"/>
        <w:jc w:val="both"/>
        <w:rPr>
          <w:rFonts w:ascii="Times New Roman" w:hAnsi="Times New Roman" w:cs="Times New Roman"/>
          <w:sz w:val="24"/>
          <w:szCs w:val="24"/>
        </w:rPr>
      </w:pPr>
    </w:p>
    <w:p w14:paraId="5F735CE2" w14:textId="51D67939" w:rsidR="007D7FE0" w:rsidRPr="00BC76B8" w:rsidRDefault="007D7FE0" w:rsidP="00CD468E">
      <w:pPr>
        <w:spacing w:after="0" w:line="240" w:lineRule="auto"/>
        <w:ind w:leftChars="0" w:left="2" w:hanging="2"/>
        <w:jc w:val="center"/>
        <w:rPr>
          <w:rFonts w:ascii="Times New Roman" w:eastAsia="Times New Roman" w:hAnsi="Times New Roman"/>
          <w:sz w:val="20"/>
          <w:szCs w:val="20"/>
          <w:lang w:eastAsia="en-MY"/>
        </w:rPr>
      </w:pPr>
      <w:r w:rsidRPr="00BC76B8">
        <w:rPr>
          <w:rFonts w:ascii="Times New Roman" w:eastAsia="Times New Roman" w:hAnsi="Times New Roman"/>
          <w:b/>
          <w:bCs/>
          <w:sz w:val="20"/>
          <w:szCs w:val="20"/>
          <w:lang w:eastAsia="en-MY"/>
        </w:rPr>
        <w:t>Table 4</w:t>
      </w:r>
      <w:r w:rsidRPr="00BC76B8">
        <w:rPr>
          <w:rFonts w:ascii="Times New Roman" w:eastAsia="Times New Roman" w:hAnsi="Times New Roman"/>
          <w:sz w:val="20"/>
          <w:szCs w:val="20"/>
          <w:lang w:eastAsia="en-MY"/>
        </w:rPr>
        <w:t xml:space="preserve">. The results of logit models for Muda and </w:t>
      </w:r>
      <w:r w:rsidR="00BD0620" w:rsidRPr="00BC76B8">
        <w:rPr>
          <w:rFonts w:ascii="Times New Roman" w:eastAsia="Times New Roman" w:hAnsi="Times New Roman"/>
          <w:sz w:val="20"/>
          <w:szCs w:val="20"/>
          <w:lang w:eastAsia="en-MY"/>
        </w:rPr>
        <w:t>Putrajaya Lake</w:t>
      </w:r>
    </w:p>
    <w:p w14:paraId="0814413B" w14:textId="77777777" w:rsidR="00BE53F4" w:rsidRPr="00BC76B8" w:rsidRDefault="00BE53F4" w:rsidP="00CD468E">
      <w:pPr>
        <w:spacing w:after="0" w:line="240" w:lineRule="auto"/>
        <w:ind w:leftChars="0" w:left="2" w:hanging="2"/>
        <w:jc w:val="center"/>
        <w:rPr>
          <w:rFonts w:ascii="Times New Roman" w:eastAsia="Times New Roman" w:hAnsi="Times New Roman"/>
          <w:sz w:val="20"/>
          <w:szCs w:val="20"/>
          <w:lang w:eastAsia="en-MY"/>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20"/>
        <w:gridCol w:w="926"/>
        <w:gridCol w:w="1417"/>
        <w:gridCol w:w="907"/>
        <w:gridCol w:w="1467"/>
        <w:gridCol w:w="850"/>
      </w:tblGrid>
      <w:tr w:rsidR="00894CCD" w:rsidRPr="00BC76B8" w14:paraId="59027653" w14:textId="77777777" w:rsidTr="0006388D">
        <w:tc>
          <w:tcPr>
            <w:tcW w:w="2552" w:type="dxa"/>
            <w:tcBorders>
              <w:top w:val="single" w:sz="4" w:space="0" w:color="auto"/>
            </w:tcBorders>
            <w:shd w:val="clear" w:color="auto" w:fill="8DB3E2" w:themeFill="text2" w:themeFillTint="66"/>
            <w:vAlign w:val="center"/>
          </w:tcPr>
          <w:p w14:paraId="50F5E8C0" w14:textId="77777777" w:rsidR="007D7FE0" w:rsidRPr="00BC76B8" w:rsidRDefault="007D7FE0" w:rsidP="00CD468E">
            <w:pPr>
              <w:ind w:leftChars="0" w:left="2" w:hanging="2"/>
              <w:jc w:val="center"/>
              <w:rPr>
                <w:rFonts w:ascii="Times New Roman" w:hAnsi="Times New Roman" w:cs="Times New Roman"/>
                <w:b/>
                <w:sz w:val="20"/>
                <w:szCs w:val="20"/>
              </w:rPr>
            </w:pPr>
          </w:p>
        </w:tc>
        <w:tc>
          <w:tcPr>
            <w:tcW w:w="2446" w:type="dxa"/>
            <w:gridSpan w:val="2"/>
            <w:tcBorders>
              <w:top w:val="single" w:sz="4" w:space="0" w:color="auto"/>
            </w:tcBorders>
            <w:shd w:val="clear" w:color="auto" w:fill="8DB3E2" w:themeFill="text2" w:themeFillTint="66"/>
            <w:vAlign w:val="center"/>
          </w:tcPr>
          <w:p w14:paraId="04EEEC50"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Model 1</w:t>
            </w:r>
          </w:p>
        </w:tc>
        <w:tc>
          <w:tcPr>
            <w:tcW w:w="2324" w:type="dxa"/>
            <w:gridSpan w:val="2"/>
            <w:tcBorders>
              <w:top w:val="single" w:sz="4" w:space="0" w:color="auto"/>
            </w:tcBorders>
            <w:shd w:val="clear" w:color="auto" w:fill="8DB3E2" w:themeFill="text2" w:themeFillTint="66"/>
            <w:vAlign w:val="center"/>
          </w:tcPr>
          <w:p w14:paraId="5CEC7561"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Model 2</w:t>
            </w:r>
          </w:p>
        </w:tc>
        <w:tc>
          <w:tcPr>
            <w:tcW w:w="2317" w:type="dxa"/>
            <w:gridSpan w:val="2"/>
            <w:tcBorders>
              <w:top w:val="single" w:sz="4" w:space="0" w:color="auto"/>
            </w:tcBorders>
            <w:shd w:val="clear" w:color="auto" w:fill="8DB3E2" w:themeFill="text2" w:themeFillTint="66"/>
            <w:vAlign w:val="center"/>
          </w:tcPr>
          <w:p w14:paraId="765FEC8B"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Model 3</w:t>
            </w:r>
          </w:p>
        </w:tc>
      </w:tr>
      <w:tr w:rsidR="00894CCD" w:rsidRPr="00BC76B8" w14:paraId="5FF13853" w14:textId="77777777" w:rsidTr="0006388D">
        <w:tc>
          <w:tcPr>
            <w:tcW w:w="2552" w:type="dxa"/>
            <w:tcBorders>
              <w:bottom w:val="single" w:sz="4" w:space="0" w:color="auto"/>
            </w:tcBorders>
            <w:shd w:val="clear" w:color="auto" w:fill="8DB3E2" w:themeFill="text2" w:themeFillTint="66"/>
            <w:vAlign w:val="center"/>
          </w:tcPr>
          <w:p w14:paraId="4E82224C" w14:textId="77777777" w:rsidR="007D7FE0" w:rsidRPr="00BC76B8" w:rsidRDefault="007D7FE0" w:rsidP="00CD468E">
            <w:pPr>
              <w:ind w:leftChars="0" w:left="2" w:hanging="2"/>
              <w:rPr>
                <w:rFonts w:ascii="Times New Roman" w:hAnsi="Times New Roman" w:cs="Times New Roman"/>
                <w:b/>
                <w:sz w:val="20"/>
                <w:szCs w:val="20"/>
              </w:rPr>
            </w:pPr>
            <w:r w:rsidRPr="00BC76B8">
              <w:rPr>
                <w:rFonts w:ascii="Times New Roman" w:hAnsi="Times New Roman" w:cs="Times New Roman"/>
                <w:b/>
                <w:sz w:val="20"/>
                <w:szCs w:val="20"/>
              </w:rPr>
              <w:t>Variable</w:t>
            </w:r>
          </w:p>
        </w:tc>
        <w:tc>
          <w:tcPr>
            <w:tcW w:w="1520" w:type="dxa"/>
            <w:tcBorders>
              <w:bottom w:val="single" w:sz="4" w:space="0" w:color="auto"/>
            </w:tcBorders>
            <w:shd w:val="clear" w:color="auto" w:fill="8DB3E2" w:themeFill="text2" w:themeFillTint="66"/>
            <w:vAlign w:val="center"/>
          </w:tcPr>
          <w:p w14:paraId="716A96C5"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Coefficient</w:t>
            </w:r>
          </w:p>
        </w:tc>
        <w:tc>
          <w:tcPr>
            <w:tcW w:w="926" w:type="dxa"/>
            <w:tcBorders>
              <w:bottom w:val="single" w:sz="4" w:space="0" w:color="auto"/>
            </w:tcBorders>
            <w:shd w:val="clear" w:color="auto" w:fill="8DB3E2" w:themeFill="text2" w:themeFillTint="66"/>
            <w:vAlign w:val="center"/>
          </w:tcPr>
          <w:p w14:paraId="2127099E"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SE</w:t>
            </w:r>
          </w:p>
        </w:tc>
        <w:tc>
          <w:tcPr>
            <w:tcW w:w="1417" w:type="dxa"/>
            <w:tcBorders>
              <w:bottom w:val="single" w:sz="4" w:space="0" w:color="auto"/>
            </w:tcBorders>
            <w:shd w:val="clear" w:color="auto" w:fill="8DB3E2" w:themeFill="text2" w:themeFillTint="66"/>
            <w:vAlign w:val="center"/>
          </w:tcPr>
          <w:p w14:paraId="71A8A439"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Coefficient</w:t>
            </w:r>
          </w:p>
        </w:tc>
        <w:tc>
          <w:tcPr>
            <w:tcW w:w="907" w:type="dxa"/>
            <w:tcBorders>
              <w:bottom w:val="single" w:sz="4" w:space="0" w:color="auto"/>
            </w:tcBorders>
            <w:shd w:val="clear" w:color="auto" w:fill="8DB3E2" w:themeFill="text2" w:themeFillTint="66"/>
            <w:vAlign w:val="center"/>
          </w:tcPr>
          <w:p w14:paraId="6DB116E4"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SE</w:t>
            </w:r>
          </w:p>
        </w:tc>
        <w:tc>
          <w:tcPr>
            <w:tcW w:w="1467" w:type="dxa"/>
            <w:tcBorders>
              <w:bottom w:val="single" w:sz="4" w:space="0" w:color="auto"/>
            </w:tcBorders>
            <w:shd w:val="clear" w:color="auto" w:fill="8DB3E2" w:themeFill="text2" w:themeFillTint="66"/>
            <w:vAlign w:val="center"/>
          </w:tcPr>
          <w:p w14:paraId="3DC81028"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Coefficient</w:t>
            </w:r>
          </w:p>
        </w:tc>
        <w:tc>
          <w:tcPr>
            <w:tcW w:w="850" w:type="dxa"/>
            <w:tcBorders>
              <w:bottom w:val="single" w:sz="4" w:space="0" w:color="auto"/>
            </w:tcBorders>
            <w:shd w:val="clear" w:color="auto" w:fill="8DB3E2" w:themeFill="text2" w:themeFillTint="66"/>
            <w:vAlign w:val="center"/>
          </w:tcPr>
          <w:p w14:paraId="3F209497" w14:textId="77777777" w:rsidR="007D7FE0" w:rsidRPr="00BC76B8" w:rsidRDefault="007D7FE0"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SE</w:t>
            </w:r>
          </w:p>
        </w:tc>
      </w:tr>
      <w:tr w:rsidR="00894CCD" w:rsidRPr="00BC76B8" w14:paraId="7E027F9E" w14:textId="77777777" w:rsidTr="0006388D">
        <w:trPr>
          <w:trHeight w:val="340"/>
        </w:trPr>
        <w:tc>
          <w:tcPr>
            <w:tcW w:w="2552" w:type="dxa"/>
            <w:tcBorders>
              <w:top w:val="single" w:sz="4" w:space="0" w:color="auto"/>
            </w:tcBorders>
            <w:shd w:val="clear" w:color="auto" w:fill="D9D9D9" w:themeFill="background1" w:themeFillShade="D9"/>
            <w:vAlign w:val="center"/>
          </w:tcPr>
          <w:p w14:paraId="46AACD85" w14:textId="75BE1470"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Muda Lake</w:t>
            </w:r>
          </w:p>
        </w:tc>
        <w:tc>
          <w:tcPr>
            <w:tcW w:w="1520" w:type="dxa"/>
            <w:tcBorders>
              <w:top w:val="single" w:sz="4" w:space="0" w:color="auto"/>
            </w:tcBorders>
            <w:shd w:val="clear" w:color="auto" w:fill="D9D9D9" w:themeFill="background1" w:themeFillShade="D9"/>
            <w:vAlign w:val="center"/>
          </w:tcPr>
          <w:p w14:paraId="219B2EF3" w14:textId="77777777" w:rsidR="007D7FE0" w:rsidRPr="00BC76B8" w:rsidRDefault="007D7FE0" w:rsidP="00CD468E">
            <w:pPr>
              <w:ind w:leftChars="0" w:left="2" w:hanging="2"/>
              <w:jc w:val="center"/>
              <w:rPr>
                <w:rFonts w:ascii="Times New Roman" w:hAnsi="Times New Roman" w:cs="Times New Roman"/>
                <w:sz w:val="20"/>
                <w:szCs w:val="20"/>
              </w:rPr>
            </w:pPr>
          </w:p>
        </w:tc>
        <w:tc>
          <w:tcPr>
            <w:tcW w:w="926" w:type="dxa"/>
            <w:tcBorders>
              <w:top w:val="single" w:sz="4" w:space="0" w:color="auto"/>
            </w:tcBorders>
            <w:shd w:val="clear" w:color="auto" w:fill="D9D9D9" w:themeFill="background1" w:themeFillShade="D9"/>
            <w:vAlign w:val="center"/>
          </w:tcPr>
          <w:p w14:paraId="5964ECA1" w14:textId="77777777" w:rsidR="007D7FE0" w:rsidRPr="00BC76B8" w:rsidRDefault="007D7FE0" w:rsidP="00CD468E">
            <w:pPr>
              <w:ind w:leftChars="0" w:left="2" w:hanging="2"/>
              <w:jc w:val="center"/>
              <w:rPr>
                <w:rFonts w:ascii="Times New Roman" w:hAnsi="Times New Roman" w:cs="Times New Roman"/>
                <w:sz w:val="20"/>
                <w:szCs w:val="20"/>
              </w:rPr>
            </w:pPr>
          </w:p>
        </w:tc>
        <w:tc>
          <w:tcPr>
            <w:tcW w:w="1417" w:type="dxa"/>
            <w:tcBorders>
              <w:top w:val="single" w:sz="4" w:space="0" w:color="auto"/>
            </w:tcBorders>
            <w:shd w:val="clear" w:color="auto" w:fill="D9D9D9" w:themeFill="background1" w:themeFillShade="D9"/>
            <w:vAlign w:val="center"/>
          </w:tcPr>
          <w:p w14:paraId="0FD6B9DA" w14:textId="77777777" w:rsidR="007D7FE0" w:rsidRPr="00BC76B8" w:rsidRDefault="007D7FE0" w:rsidP="00CD468E">
            <w:pPr>
              <w:ind w:leftChars="0" w:left="2" w:hanging="2"/>
              <w:jc w:val="center"/>
              <w:rPr>
                <w:rFonts w:ascii="Times New Roman" w:hAnsi="Times New Roman" w:cs="Times New Roman"/>
                <w:sz w:val="20"/>
                <w:szCs w:val="20"/>
              </w:rPr>
            </w:pPr>
          </w:p>
        </w:tc>
        <w:tc>
          <w:tcPr>
            <w:tcW w:w="907" w:type="dxa"/>
            <w:tcBorders>
              <w:top w:val="single" w:sz="4" w:space="0" w:color="auto"/>
            </w:tcBorders>
            <w:shd w:val="clear" w:color="auto" w:fill="D9D9D9" w:themeFill="background1" w:themeFillShade="D9"/>
            <w:vAlign w:val="center"/>
          </w:tcPr>
          <w:p w14:paraId="3BA4A01C" w14:textId="77777777" w:rsidR="007D7FE0" w:rsidRPr="00BC76B8" w:rsidRDefault="007D7FE0" w:rsidP="00CD468E">
            <w:pPr>
              <w:ind w:leftChars="0" w:left="2" w:hanging="2"/>
              <w:jc w:val="center"/>
              <w:rPr>
                <w:rFonts w:ascii="Times New Roman" w:hAnsi="Times New Roman" w:cs="Times New Roman"/>
                <w:sz w:val="20"/>
                <w:szCs w:val="20"/>
              </w:rPr>
            </w:pPr>
          </w:p>
        </w:tc>
        <w:tc>
          <w:tcPr>
            <w:tcW w:w="1467" w:type="dxa"/>
            <w:tcBorders>
              <w:top w:val="single" w:sz="4" w:space="0" w:color="auto"/>
            </w:tcBorders>
            <w:shd w:val="clear" w:color="auto" w:fill="D9D9D9" w:themeFill="background1" w:themeFillShade="D9"/>
            <w:vAlign w:val="center"/>
          </w:tcPr>
          <w:p w14:paraId="359F29B0" w14:textId="77777777" w:rsidR="007D7FE0" w:rsidRPr="00BC76B8" w:rsidRDefault="007D7FE0" w:rsidP="00CD468E">
            <w:pPr>
              <w:ind w:leftChars="0" w:left="2" w:hanging="2"/>
              <w:jc w:val="center"/>
              <w:rPr>
                <w:rFonts w:ascii="Times New Roman" w:hAnsi="Times New Roman" w:cs="Times New Roman"/>
                <w:sz w:val="20"/>
                <w:szCs w:val="20"/>
              </w:rPr>
            </w:pPr>
          </w:p>
        </w:tc>
        <w:tc>
          <w:tcPr>
            <w:tcW w:w="850" w:type="dxa"/>
            <w:tcBorders>
              <w:top w:val="single" w:sz="4" w:space="0" w:color="auto"/>
            </w:tcBorders>
            <w:shd w:val="clear" w:color="auto" w:fill="D9D9D9" w:themeFill="background1" w:themeFillShade="D9"/>
            <w:vAlign w:val="center"/>
          </w:tcPr>
          <w:p w14:paraId="360F24C6" w14:textId="77777777" w:rsidR="007D7FE0" w:rsidRPr="00BC76B8" w:rsidRDefault="007D7FE0" w:rsidP="00CD468E">
            <w:pPr>
              <w:ind w:leftChars="0" w:left="2" w:hanging="2"/>
              <w:jc w:val="center"/>
              <w:rPr>
                <w:rFonts w:ascii="Times New Roman" w:hAnsi="Times New Roman" w:cs="Times New Roman"/>
                <w:sz w:val="20"/>
                <w:szCs w:val="20"/>
              </w:rPr>
            </w:pPr>
          </w:p>
        </w:tc>
      </w:tr>
      <w:tr w:rsidR="00894CCD" w:rsidRPr="00BC76B8" w14:paraId="14B3158F" w14:textId="77777777" w:rsidTr="0006388D">
        <w:trPr>
          <w:trHeight w:val="295"/>
        </w:trPr>
        <w:tc>
          <w:tcPr>
            <w:tcW w:w="2552" w:type="dxa"/>
            <w:vAlign w:val="center"/>
          </w:tcPr>
          <w:p w14:paraId="440AAF54"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Constant</w:t>
            </w:r>
          </w:p>
        </w:tc>
        <w:tc>
          <w:tcPr>
            <w:tcW w:w="1520" w:type="dxa"/>
            <w:vAlign w:val="center"/>
          </w:tcPr>
          <w:p w14:paraId="68F507EC"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2.2782</w:t>
            </w:r>
          </w:p>
        </w:tc>
        <w:tc>
          <w:tcPr>
            <w:tcW w:w="926" w:type="dxa"/>
            <w:vAlign w:val="center"/>
          </w:tcPr>
          <w:p w14:paraId="1B3DE3D8"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1.713</w:t>
            </w:r>
          </w:p>
        </w:tc>
        <w:tc>
          <w:tcPr>
            <w:tcW w:w="1417" w:type="dxa"/>
            <w:vAlign w:val="center"/>
          </w:tcPr>
          <w:p w14:paraId="305A99A8"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-0.8538</w:t>
            </w:r>
          </w:p>
        </w:tc>
        <w:tc>
          <w:tcPr>
            <w:tcW w:w="907" w:type="dxa"/>
            <w:vAlign w:val="center"/>
          </w:tcPr>
          <w:p w14:paraId="1EC580C0"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0.6112</w:t>
            </w:r>
          </w:p>
        </w:tc>
        <w:tc>
          <w:tcPr>
            <w:tcW w:w="1467" w:type="dxa"/>
            <w:vAlign w:val="center"/>
          </w:tcPr>
          <w:p w14:paraId="19E8FA81"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-0.6218</w:t>
            </w:r>
          </w:p>
        </w:tc>
        <w:tc>
          <w:tcPr>
            <w:tcW w:w="850" w:type="dxa"/>
            <w:vAlign w:val="center"/>
          </w:tcPr>
          <w:p w14:paraId="19DED58C"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0.5375</w:t>
            </w:r>
          </w:p>
        </w:tc>
      </w:tr>
      <w:tr w:rsidR="00894CCD" w:rsidRPr="00BC76B8" w14:paraId="2C9C7ABB" w14:textId="77777777" w:rsidTr="0006388D">
        <w:trPr>
          <w:trHeight w:val="295"/>
        </w:trPr>
        <w:tc>
          <w:tcPr>
            <w:tcW w:w="2552" w:type="dxa"/>
            <w:vAlign w:val="center"/>
          </w:tcPr>
          <w:p w14:paraId="354EBD2E"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Bid</w:t>
            </w:r>
          </w:p>
        </w:tc>
        <w:tc>
          <w:tcPr>
            <w:tcW w:w="1520" w:type="dxa"/>
            <w:vAlign w:val="center"/>
          </w:tcPr>
          <w:p w14:paraId="28BC6A53"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-0.2478*</w:t>
            </w:r>
          </w:p>
        </w:tc>
        <w:tc>
          <w:tcPr>
            <w:tcW w:w="926" w:type="dxa"/>
            <w:vAlign w:val="center"/>
          </w:tcPr>
          <w:p w14:paraId="5F47B91C" w14:textId="127906C0"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0.042</w:t>
            </w:r>
          </w:p>
        </w:tc>
        <w:tc>
          <w:tcPr>
            <w:tcW w:w="1417" w:type="dxa"/>
            <w:vAlign w:val="center"/>
          </w:tcPr>
          <w:p w14:paraId="5D954189"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-0.2178</w:t>
            </w:r>
          </w:p>
        </w:tc>
        <w:tc>
          <w:tcPr>
            <w:tcW w:w="907" w:type="dxa"/>
            <w:vAlign w:val="center"/>
          </w:tcPr>
          <w:p w14:paraId="420000DB"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0.0312</w:t>
            </w:r>
          </w:p>
        </w:tc>
        <w:tc>
          <w:tcPr>
            <w:tcW w:w="1467" w:type="dxa"/>
            <w:vAlign w:val="center"/>
          </w:tcPr>
          <w:p w14:paraId="152DB478"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-0.2322</w:t>
            </w:r>
          </w:p>
        </w:tc>
        <w:tc>
          <w:tcPr>
            <w:tcW w:w="850" w:type="dxa"/>
            <w:vAlign w:val="center"/>
          </w:tcPr>
          <w:p w14:paraId="15710A15"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0.0288</w:t>
            </w:r>
          </w:p>
        </w:tc>
      </w:tr>
      <w:tr w:rsidR="00894CCD" w:rsidRPr="00BC76B8" w14:paraId="1BE57B6B" w14:textId="77777777" w:rsidTr="0006388D">
        <w:trPr>
          <w:trHeight w:val="295"/>
        </w:trPr>
        <w:tc>
          <w:tcPr>
            <w:tcW w:w="2552" w:type="dxa"/>
            <w:vAlign w:val="center"/>
          </w:tcPr>
          <w:p w14:paraId="0A1D2D21"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Income</w:t>
            </w:r>
          </w:p>
        </w:tc>
        <w:tc>
          <w:tcPr>
            <w:tcW w:w="1520" w:type="dxa"/>
            <w:vAlign w:val="center"/>
          </w:tcPr>
          <w:p w14:paraId="1C59129F"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0.0002</w:t>
            </w:r>
          </w:p>
        </w:tc>
        <w:tc>
          <w:tcPr>
            <w:tcW w:w="926" w:type="dxa"/>
            <w:vAlign w:val="center"/>
          </w:tcPr>
          <w:p w14:paraId="202C2A1E"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0.0002</w:t>
            </w:r>
          </w:p>
        </w:tc>
        <w:tc>
          <w:tcPr>
            <w:tcW w:w="1417" w:type="dxa"/>
            <w:vAlign w:val="center"/>
          </w:tcPr>
          <w:p w14:paraId="595877E5"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-0.0001</w:t>
            </w:r>
          </w:p>
        </w:tc>
        <w:tc>
          <w:tcPr>
            <w:tcW w:w="907" w:type="dxa"/>
            <w:vAlign w:val="center"/>
          </w:tcPr>
          <w:p w14:paraId="31FC7278"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0.0002</w:t>
            </w:r>
          </w:p>
        </w:tc>
        <w:tc>
          <w:tcPr>
            <w:tcW w:w="1467" w:type="dxa"/>
            <w:vAlign w:val="center"/>
          </w:tcPr>
          <w:p w14:paraId="3CC03D1C"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850" w:type="dxa"/>
            <w:vAlign w:val="center"/>
          </w:tcPr>
          <w:p w14:paraId="35F53B02"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r>
      <w:tr w:rsidR="00894CCD" w:rsidRPr="00BC76B8" w14:paraId="0763E52D" w14:textId="77777777" w:rsidTr="0006388D">
        <w:trPr>
          <w:trHeight w:val="295"/>
        </w:trPr>
        <w:tc>
          <w:tcPr>
            <w:tcW w:w="2552" w:type="dxa"/>
            <w:vAlign w:val="center"/>
          </w:tcPr>
          <w:p w14:paraId="4DBC7A7B"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Gender</w:t>
            </w:r>
          </w:p>
        </w:tc>
        <w:tc>
          <w:tcPr>
            <w:tcW w:w="1520" w:type="dxa"/>
            <w:vAlign w:val="center"/>
          </w:tcPr>
          <w:p w14:paraId="52B3ACE1"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-0.3829</w:t>
            </w:r>
          </w:p>
        </w:tc>
        <w:tc>
          <w:tcPr>
            <w:tcW w:w="926" w:type="dxa"/>
            <w:vAlign w:val="center"/>
          </w:tcPr>
          <w:p w14:paraId="51FC18AA"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0.4599</w:t>
            </w:r>
          </w:p>
        </w:tc>
        <w:tc>
          <w:tcPr>
            <w:tcW w:w="1417" w:type="dxa"/>
            <w:vAlign w:val="center"/>
          </w:tcPr>
          <w:p w14:paraId="4F4B254C"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907" w:type="dxa"/>
            <w:vAlign w:val="center"/>
          </w:tcPr>
          <w:p w14:paraId="10E2B1E6"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1467" w:type="dxa"/>
            <w:vAlign w:val="center"/>
          </w:tcPr>
          <w:p w14:paraId="63CF7D80"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850" w:type="dxa"/>
            <w:vAlign w:val="center"/>
          </w:tcPr>
          <w:p w14:paraId="2A0E7324"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r>
      <w:tr w:rsidR="00894CCD" w:rsidRPr="00BC76B8" w14:paraId="660F7F90" w14:textId="77777777" w:rsidTr="0006388D">
        <w:trPr>
          <w:trHeight w:val="295"/>
        </w:trPr>
        <w:tc>
          <w:tcPr>
            <w:tcW w:w="2552" w:type="dxa"/>
            <w:vAlign w:val="center"/>
          </w:tcPr>
          <w:p w14:paraId="1E5BB290"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Age</w:t>
            </w:r>
          </w:p>
        </w:tc>
        <w:tc>
          <w:tcPr>
            <w:tcW w:w="1520" w:type="dxa"/>
            <w:vAlign w:val="center"/>
          </w:tcPr>
          <w:p w14:paraId="3EDDEF2B"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-0.0253</w:t>
            </w:r>
          </w:p>
        </w:tc>
        <w:tc>
          <w:tcPr>
            <w:tcW w:w="926" w:type="dxa"/>
            <w:vAlign w:val="center"/>
          </w:tcPr>
          <w:p w14:paraId="632D0894" w14:textId="3D0863F1"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w:t>
            </w:r>
            <w:r w:rsidR="00BE53F4" w:rsidRPr="00BC76B8">
              <w:rPr>
                <w:rFonts w:ascii="Times New Roman" w:hAnsi="Times New Roman" w:cs="Times New Roman"/>
                <w:sz w:val="20"/>
                <w:szCs w:val="20"/>
              </w:rPr>
              <w:t>6</w:t>
            </w:r>
          </w:p>
        </w:tc>
        <w:tc>
          <w:tcPr>
            <w:tcW w:w="1417" w:type="dxa"/>
            <w:vAlign w:val="center"/>
          </w:tcPr>
          <w:p w14:paraId="51AF0C4D"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907" w:type="dxa"/>
            <w:vAlign w:val="center"/>
          </w:tcPr>
          <w:p w14:paraId="4377CD73"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1467" w:type="dxa"/>
            <w:vAlign w:val="center"/>
          </w:tcPr>
          <w:p w14:paraId="661188B2"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850" w:type="dxa"/>
            <w:vAlign w:val="center"/>
          </w:tcPr>
          <w:p w14:paraId="49B5FF49"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r>
      <w:tr w:rsidR="00894CCD" w:rsidRPr="00BC76B8" w14:paraId="6361DD9E" w14:textId="77777777" w:rsidTr="0006388D">
        <w:trPr>
          <w:trHeight w:val="295"/>
        </w:trPr>
        <w:tc>
          <w:tcPr>
            <w:tcW w:w="2552" w:type="dxa"/>
            <w:vAlign w:val="center"/>
          </w:tcPr>
          <w:p w14:paraId="7B9DB4AA"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Marital status</w:t>
            </w:r>
          </w:p>
        </w:tc>
        <w:tc>
          <w:tcPr>
            <w:tcW w:w="1520" w:type="dxa"/>
            <w:vAlign w:val="center"/>
          </w:tcPr>
          <w:p w14:paraId="6C28D989"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0.3340</w:t>
            </w:r>
          </w:p>
        </w:tc>
        <w:tc>
          <w:tcPr>
            <w:tcW w:w="926" w:type="dxa"/>
            <w:vAlign w:val="center"/>
          </w:tcPr>
          <w:p w14:paraId="762E5FAB" w14:textId="7CCBC1B2"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0.61</w:t>
            </w:r>
            <w:r w:rsidR="00BE53F4" w:rsidRPr="00BC76B8">
              <w:rPr>
                <w:rFonts w:ascii="Times New Roman" w:hAnsi="Times New Roman" w:cs="Times New Roman"/>
                <w:sz w:val="20"/>
                <w:szCs w:val="20"/>
                <w:lang w:val="en-MY" w:eastAsia="en-MY"/>
              </w:rPr>
              <w:t>5</w:t>
            </w:r>
          </w:p>
        </w:tc>
        <w:tc>
          <w:tcPr>
            <w:tcW w:w="1417" w:type="dxa"/>
            <w:vAlign w:val="center"/>
          </w:tcPr>
          <w:p w14:paraId="6C19098C"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907" w:type="dxa"/>
            <w:vAlign w:val="center"/>
          </w:tcPr>
          <w:p w14:paraId="17902564"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1467" w:type="dxa"/>
            <w:vAlign w:val="center"/>
          </w:tcPr>
          <w:p w14:paraId="0FF7259A"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850" w:type="dxa"/>
            <w:vAlign w:val="center"/>
          </w:tcPr>
          <w:p w14:paraId="176A483C"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r>
      <w:tr w:rsidR="00894CCD" w:rsidRPr="00BC76B8" w14:paraId="064989E0" w14:textId="77777777" w:rsidTr="0006388D">
        <w:trPr>
          <w:trHeight w:val="295"/>
        </w:trPr>
        <w:tc>
          <w:tcPr>
            <w:tcW w:w="2552" w:type="dxa"/>
            <w:vAlign w:val="center"/>
          </w:tcPr>
          <w:p w14:paraId="3C7FDC9A"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Education</w:t>
            </w:r>
          </w:p>
        </w:tc>
        <w:tc>
          <w:tcPr>
            <w:tcW w:w="1520" w:type="dxa"/>
            <w:vAlign w:val="center"/>
          </w:tcPr>
          <w:p w14:paraId="103ED07F"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0.1027</w:t>
            </w:r>
          </w:p>
        </w:tc>
        <w:tc>
          <w:tcPr>
            <w:tcW w:w="926" w:type="dxa"/>
            <w:vAlign w:val="center"/>
          </w:tcPr>
          <w:p w14:paraId="54D155BA" w14:textId="2FD2BBC8"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0.082</w:t>
            </w:r>
          </w:p>
        </w:tc>
        <w:tc>
          <w:tcPr>
            <w:tcW w:w="1417" w:type="dxa"/>
            <w:vAlign w:val="center"/>
          </w:tcPr>
          <w:p w14:paraId="7DD2A63F"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0.2001*</w:t>
            </w:r>
          </w:p>
        </w:tc>
        <w:tc>
          <w:tcPr>
            <w:tcW w:w="907" w:type="dxa"/>
            <w:vAlign w:val="center"/>
          </w:tcPr>
          <w:p w14:paraId="1540AB63"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0.0536</w:t>
            </w:r>
          </w:p>
        </w:tc>
        <w:tc>
          <w:tcPr>
            <w:tcW w:w="1467" w:type="dxa"/>
            <w:vAlign w:val="center"/>
          </w:tcPr>
          <w:p w14:paraId="6CFBA90A"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0.1669*</w:t>
            </w:r>
          </w:p>
        </w:tc>
        <w:tc>
          <w:tcPr>
            <w:tcW w:w="850" w:type="dxa"/>
            <w:vAlign w:val="center"/>
          </w:tcPr>
          <w:p w14:paraId="0D90C7B1"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0.0455</w:t>
            </w:r>
          </w:p>
        </w:tc>
      </w:tr>
      <w:tr w:rsidR="00894CCD" w:rsidRPr="00BC76B8" w14:paraId="252B37D5" w14:textId="77777777" w:rsidTr="0006388D">
        <w:trPr>
          <w:trHeight w:val="295"/>
        </w:trPr>
        <w:tc>
          <w:tcPr>
            <w:tcW w:w="2552" w:type="dxa"/>
            <w:vAlign w:val="center"/>
          </w:tcPr>
          <w:p w14:paraId="4E3B0F2C"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Household income</w:t>
            </w:r>
          </w:p>
        </w:tc>
        <w:tc>
          <w:tcPr>
            <w:tcW w:w="1520" w:type="dxa"/>
            <w:vAlign w:val="center"/>
          </w:tcPr>
          <w:p w14:paraId="4AC1D8AF"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-0.1475</w:t>
            </w:r>
          </w:p>
        </w:tc>
        <w:tc>
          <w:tcPr>
            <w:tcW w:w="926" w:type="dxa"/>
            <w:vAlign w:val="center"/>
          </w:tcPr>
          <w:p w14:paraId="09A29947" w14:textId="784D0E9A"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0.11</w:t>
            </w:r>
            <w:r w:rsidR="00BE53F4" w:rsidRPr="00BC76B8">
              <w:rPr>
                <w:rFonts w:ascii="Times New Roman" w:hAnsi="Times New Roman" w:cs="Times New Roman"/>
                <w:sz w:val="20"/>
                <w:szCs w:val="20"/>
                <w:lang w:val="en-MY" w:eastAsia="en-MY"/>
              </w:rPr>
              <w:t>8</w:t>
            </w:r>
          </w:p>
        </w:tc>
        <w:tc>
          <w:tcPr>
            <w:tcW w:w="1417" w:type="dxa"/>
            <w:vAlign w:val="center"/>
          </w:tcPr>
          <w:p w14:paraId="3DDEFB41"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907" w:type="dxa"/>
            <w:vAlign w:val="center"/>
          </w:tcPr>
          <w:p w14:paraId="2E59CAE0"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1467" w:type="dxa"/>
            <w:vAlign w:val="center"/>
          </w:tcPr>
          <w:p w14:paraId="45C8BA2F"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850" w:type="dxa"/>
            <w:vAlign w:val="center"/>
          </w:tcPr>
          <w:p w14:paraId="409B6980"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r>
      <w:tr w:rsidR="00894CCD" w:rsidRPr="00BC76B8" w14:paraId="38100F7D" w14:textId="77777777" w:rsidTr="0006388D">
        <w:trPr>
          <w:trHeight w:val="295"/>
        </w:trPr>
        <w:tc>
          <w:tcPr>
            <w:tcW w:w="2552" w:type="dxa"/>
            <w:vAlign w:val="center"/>
          </w:tcPr>
          <w:p w14:paraId="0609A22D" w14:textId="4A65FACA" w:rsidR="007D7FE0" w:rsidRPr="00BC76B8" w:rsidRDefault="00176826"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 xml:space="preserve">Employment </w:t>
            </w:r>
            <w:r w:rsidR="007D7FE0" w:rsidRPr="00BC76B8">
              <w:rPr>
                <w:rFonts w:ascii="Times New Roman" w:hAnsi="Times New Roman" w:cs="Times New Roman"/>
                <w:sz w:val="20"/>
                <w:szCs w:val="20"/>
                <w:lang w:eastAsia="en-MY"/>
              </w:rPr>
              <w:t>category</w:t>
            </w:r>
          </w:p>
        </w:tc>
        <w:tc>
          <w:tcPr>
            <w:tcW w:w="1520" w:type="dxa"/>
            <w:vAlign w:val="center"/>
          </w:tcPr>
          <w:p w14:paraId="3A9F49E0"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-0.1652</w:t>
            </w:r>
          </w:p>
        </w:tc>
        <w:tc>
          <w:tcPr>
            <w:tcW w:w="926" w:type="dxa"/>
            <w:vAlign w:val="center"/>
          </w:tcPr>
          <w:p w14:paraId="0BE1F2B1" w14:textId="3C49B56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0.46</w:t>
            </w:r>
            <w:r w:rsidR="00BE53F4" w:rsidRPr="00BC76B8">
              <w:rPr>
                <w:rFonts w:ascii="Times New Roman" w:hAnsi="Times New Roman" w:cs="Times New Roman"/>
                <w:sz w:val="20"/>
                <w:szCs w:val="20"/>
                <w:lang w:val="en-MY" w:eastAsia="en-MY"/>
              </w:rPr>
              <w:t>8</w:t>
            </w:r>
          </w:p>
        </w:tc>
        <w:tc>
          <w:tcPr>
            <w:tcW w:w="1417" w:type="dxa"/>
            <w:vAlign w:val="center"/>
          </w:tcPr>
          <w:p w14:paraId="76281B62"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907" w:type="dxa"/>
            <w:vAlign w:val="center"/>
          </w:tcPr>
          <w:p w14:paraId="7BAF6972"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1467" w:type="dxa"/>
            <w:vAlign w:val="center"/>
          </w:tcPr>
          <w:p w14:paraId="136D3B85"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850" w:type="dxa"/>
            <w:vAlign w:val="center"/>
          </w:tcPr>
          <w:p w14:paraId="60910F97"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r>
      <w:tr w:rsidR="00894CCD" w:rsidRPr="00BC76B8" w14:paraId="43C0E899" w14:textId="77777777" w:rsidTr="0006388D">
        <w:trPr>
          <w:trHeight w:val="295"/>
        </w:trPr>
        <w:tc>
          <w:tcPr>
            <w:tcW w:w="2552" w:type="dxa"/>
            <w:vAlign w:val="center"/>
          </w:tcPr>
          <w:p w14:paraId="5B2EFD02"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Confidence</w:t>
            </w:r>
          </w:p>
        </w:tc>
        <w:tc>
          <w:tcPr>
            <w:tcW w:w="1520" w:type="dxa"/>
            <w:vAlign w:val="center"/>
          </w:tcPr>
          <w:p w14:paraId="34AD2452"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-2.0073*</w:t>
            </w:r>
          </w:p>
        </w:tc>
        <w:tc>
          <w:tcPr>
            <w:tcW w:w="926" w:type="dxa"/>
            <w:vAlign w:val="center"/>
          </w:tcPr>
          <w:p w14:paraId="71573B86" w14:textId="7137E8B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0.51</w:t>
            </w:r>
            <w:r w:rsidR="00BE53F4" w:rsidRPr="00BC76B8">
              <w:rPr>
                <w:rFonts w:ascii="Times New Roman" w:hAnsi="Times New Roman" w:cs="Times New Roman"/>
                <w:sz w:val="20"/>
                <w:szCs w:val="20"/>
                <w:lang w:val="en-MY" w:eastAsia="en-MY"/>
              </w:rPr>
              <w:t>6</w:t>
            </w:r>
          </w:p>
        </w:tc>
        <w:tc>
          <w:tcPr>
            <w:tcW w:w="1417" w:type="dxa"/>
            <w:vAlign w:val="center"/>
          </w:tcPr>
          <w:p w14:paraId="3A936670"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2.3364*</w:t>
            </w:r>
          </w:p>
        </w:tc>
        <w:tc>
          <w:tcPr>
            <w:tcW w:w="907" w:type="dxa"/>
            <w:vAlign w:val="center"/>
          </w:tcPr>
          <w:p w14:paraId="43CD99C0"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0.3930</w:t>
            </w:r>
          </w:p>
        </w:tc>
        <w:tc>
          <w:tcPr>
            <w:tcW w:w="1467" w:type="dxa"/>
            <w:vAlign w:val="center"/>
          </w:tcPr>
          <w:p w14:paraId="41902408"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2.5576*</w:t>
            </w:r>
          </w:p>
        </w:tc>
        <w:tc>
          <w:tcPr>
            <w:tcW w:w="850" w:type="dxa"/>
            <w:vAlign w:val="center"/>
          </w:tcPr>
          <w:p w14:paraId="51C3131C"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0.3686</w:t>
            </w:r>
          </w:p>
        </w:tc>
      </w:tr>
      <w:tr w:rsidR="00894CCD" w:rsidRPr="00BC76B8" w14:paraId="7CA932C7" w14:textId="77777777" w:rsidTr="0006388D">
        <w:trPr>
          <w:trHeight w:val="295"/>
        </w:trPr>
        <w:tc>
          <w:tcPr>
            <w:tcW w:w="2552" w:type="dxa"/>
            <w:vAlign w:val="center"/>
          </w:tcPr>
          <w:p w14:paraId="5AA7FDBD"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R</w:t>
            </w:r>
            <w:r w:rsidRPr="00BC76B8">
              <w:rPr>
                <w:rFonts w:ascii="Times New Roman" w:hAnsi="Times New Roman" w:cs="Times New Roman"/>
                <w:sz w:val="20"/>
                <w:szCs w:val="20"/>
                <w:vertAlign w:val="superscript"/>
                <w:lang w:eastAsia="en-MY"/>
              </w:rPr>
              <w:t>2</w:t>
            </w:r>
          </w:p>
        </w:tc>
        <w:tc>
          <w:tcPr>
            <w:tcW w:w="1520" w:type="dxa"/>
            <w:vAlign w:val="center"/>
          </w:tcPr>
          <w:p w14:paraId="79BE126D"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0.370</w:t>
            </w:r>
          </w:p>
        </w:tc>
        <w:tc>
          <w:tcPr>
            <w:tcW w:w="926" w:type="dxa"/>
            <w:vAlign w:val="center"/>
          </w:tcPr>
          <w:p w14:paraId="0BD5C67A"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17" w:type="dxa"/>
            <w:vAlign w:val="center"/>
          </w:tcPr>
          <w:p w14:paraId="232BF8EF"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0.321</w:t>
            </w:r>
          </w:p>
        </w:tc>
        <w:tc>
          <w:tcPr>
            <w:tcW w:w="907" w:type="dxa"/>
            <w:vAlign w:val="center"/>
          </w:tcPr>
          <w:p w14:paraId="68F9AEA8"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67" w:type="dxa"/>
            <w:vAlign w:val="center"/>
          </w:tcPr>
          <w:p w14:paraId="4DAE47F6"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0.334</w:t>
            </w:r>
          </w:p>
        </w:tc>
        <w:tc>
          <w:tcPr>
            <w:tcW w:w="850" w:type="dxa"/>
            <w:vAlign w:val="center"/>
          </w:tcPr>
          <w:p w14:paraId="320B758B"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r>
      <w:tr w:rsidR="00894CCD" w:rsidRPr="00BC76B8" w14:paraId="4D7C81DC" w14:textId="77777777" w:rsidTr="0006388D">
        <w:trPr>
          <w:trHeight w:val="295"/>
        </w:trPr>
        <w:tc>
          <w:tcPr>
            <w:tcW w:w="2552" w:type="dxa"/>
            <w:vAlign w:val="center"/>
          </w:tcPr>
          <w:p w14:paraId="020E01F8"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Log likelihood</w:t>
            </w:r>
          </w:p>
        </w:tc>
        <w:tc>
          <w:tcPr>
            <w:tcW w:w="1520" w:type="dxa"/>
            <w:vAlign w:val="center"/>
          </w:tcPr>
          <w:p w14:paraId="6E6E3C5E"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-66.843</w:t>
            </w:r>
          </w:p>
        </w:tc>
        <w:tc>
          <w:tcPr>
            <w:tcW w:w="926" w:type="dxa"/>
            <w:vAlign w:val="center"/>
          </w:tcPr>
          <w:p w14:paraId="160EC19D"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17" w:type="dxa"/>
            <w:vAlign w:val="center"/>
          </w:tcPr>
          <w:p w14:paraId="4F2657F6" w14:textId="37B52DD6"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-112.46</w:t>
            </w:r>
          </w:p>
        </w:tc>
        <w:tc>
          <w:tcPr>
            <w:tcW w:w="907" w:type="dxa"/>
            <w:vAlign w:val="center"/>
          </w:tcPr>
          <w:p w14:paraId="0D094D7D"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67" w:type="dxa"/>
            <w:vAlign w:val="center"/>
          </w:tcPr>
          <w:p w14:paraId="38EE7513" w14:textId="3CAC324D"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-143.17</w:t>
            </w:r>
          </w:p>
        </w:tc>
        <w:tc>
          <w:tcPr>
            <w:tcW w:w="850" w:type="dxa"/>
            <w:vAlign w:val="center"/>
          </w:tcPr>
          <w:p w14:paraId="2F0E2A60"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r>
      <w:tr w:rsidR="00894CCD" w:rsidRPr="00BC76B8" w14:paraId="6A2070E4" w14:textId="77777777" w:rsidTr="0006388D">
        <w:trPr>
          <w:trHeight w:val="295"/>
        </w:trPr>
        <w:tc>
          <w:tcPr>
            <w:tcW w:w="2552" w:type="dxa"/>
            <w:vAlign w:val="center"/>
          </w:tcPr>
          <w:p w14:paraId="3C8EBEB9"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Model X</w:t>
            </w:r>
            <w:r w:rsidRPr="00BC76B8">
              <w:rPr>
                <w:rFonts w:ascii="Times New Roman" w:hAnsi="Times New Roman" w:cs="Times New Roman"/>
                <w:sz w:val="20"/>
                <w:szCs w:val="20"/>
                <w:vertAlign w:val="superscript"/>
                <w:lang w:eastAsia="en-MY"/>
              </w:rPr>
              <w:t>2</w:t>
            </w:r>
            <w:r w:rsidRPr="00BC76B8">
              <w:rPr>
                <w:rFonts w:ascii="Times New Roman" w:hAnsi="Times New Roman" w:cs="Times New Roman"/>
                <w:sz w:val="20"/>
                <w:szCs w:val="20"/>
                <w:lang w:eastAsia="en-MY"/>
              </w:rPr>
              <w:t xml:space="preserve"> value</w:t>
            </w:r>
          </w:p>
        </w:tc>
        <w:tc>
          <w:tcPr>
            <w:tcW w:w="1520" w:type="dxa"/>
            <w:vAlign w:val="center"/>
          </w:tcPr>
          <w:p w14:paraId="4B3784F7"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78.53</w:t>
            </w:r>
          </w:p>
        </w:tc>
        <w:tc>
          <w:tcPr>
            <w:tcW w:w="926" w:type="dxa"/>
            <w:vAlign w:val="center"/>
          </w:tcPr>
          <w:p w14:paraId="2BF4D5B1"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17" w:type="dxa"/>
            <w:vAlign w:val="center"/>
          </w:tcPr>
          <w:p w14:paraId="6AB6B898"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106.02</w:t>
            </w:r>
          </w:p>
        </w:tc>
        <w:tc>
          <w:tcPr>
            <w:tcW w:w="907" w:type="dxa"/>
            <w:vAlign w:val="center"/>
          </w:tcPr>
          <w:p w14:paraId="7ED4A27D"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67" w:type="dxa"/>
            <w:vAlign w:val="center"/>
          </w:tcPr>
          <w:p w14:paraId="3E6A9E9B"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143.85</w:t>
            </w:r>
          </w:p>
        </w:tc>
        <w:tc>
          <w:tcPr>
            <w:tcW w:w="850" w:type="dxa"/>
            <w:vAlign w:val="center"/>
          </w:tcPr>
          <w:p w14:paraId="1B536A44"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r>
      <w:tr w:rsidR="00894CCD" w:rsidRPr="00BC76B8" w14:paraId="3D229497" w14:textId="77777777" w:rsidTr="0006388D">
        <w:trPr>
          <w:trHeight w:val="295"/>
        </w:trPr>
        <w:tc>
          <w:tcPr>
            <w:tcW w:w="2552" w:type="dxa"/>
            <w:vAlign w:val="center"/>
          </w:tcPr>
          <w:p w14:paraId="7997D1E3"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n</w:t>
            </w:r>
          </w:p>
        </w:tc>
        <w:tc>
          <w:tcPr>
            <w:tcW w:w="1520" w:type="dxa"/>
            <w:vAlign w:val="center"/>
          </w:tcPr>
          <w:p w14:paraId="505BE35B"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163</w:t>
            </w:r>
          </w:p>
        </w:tc>
        <w:tc>
          <w:tcPr>
            <w:tcW w:w="926" w:type="dxa"/>
            <w:vAlign w:val="center"/>
          </w:tcPr>
          <w:p w14:paraId="702DF77E" w14:textId="77777777" w:rsidR="007D7FE0" w:rsidRPr="00BC76B8" w:rsidRDefault="007D7FE0" w:rsidP="00CD468E">
            <w:pPr>
              <w:ind w:leftChars="0" w:left="2" w:hanging="2"/>
              <w:jc w:val="center"/>
              <w:rPr>
                <w:rFonts w:ascii="Times New Roman" w:hAnsi="Times New Roman" w:cs="Times New Roman"/>
                <w:sz w:val="20"/>
                <w:szCs w:val="20"/>
              </w:rPr>
            </w:pPr>
          </w:p>
        </w:tc>
        <w:tc>
          <w:tcPr>
            <w:tcW w:w="1417" w:type="dxa"/>
            <w:vAlign w:val="center"/>
          </w:tcPr>
          <w:p w14:paraId="2E7C8A05"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248</w:t>
            </w:r>
          </w:p>
        </w:tc>
        <w:tc>
          <w:tcPr>
            <w:tcW w:w="907" w:type="dxa"/>
            <w:vAlign w:val="center"/>
          </w:tcPr>
          <w:p w14:paraId="7AC7B55C" w14:textId="77777777" w:rsidR="007D7FE0" w:rsidRPr="00BC76B8" w:rsidRDefault="007D7FE0" w:rsidP="00CD468E">
            <w:pPr>
              <w:ind w:leftChars="0" w:left="2" w:hanging="2"/>
              <w:jc w:val="center"/>
              <w:rPr>
                <w:rFonts w:ascii="Times New Roman" w:hAnsi="Times New Roman" w:cs="Times New Roman"/>
                <w:sz w:val="20"/>
                <w:szCs w:val="20"/>
              </w:rPr>
            </w:pPr>
          </w:p>
        </w:tc>
        <w:tc>
          <w:tcPr>
            <w:tcW w:w="1467" w:type="dxa"/>
            <w:vAlign w:val="center"/>
          </w:tcPr>
          <w:p w14:paraId="5A857891"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323</w:t>
            </w:r>
          </w:p>
        </w:tc>
        <w:tc>
          <w:tcPr>
            <w:tcW w:w="850" w:type="dxa"/>
            <w:vAlign w:val="center"/>
          </w:tcPr>
          <w:p w14:paraId="4D6F2D1D" w14:textId="77777777" w:rsidR="007D7FE0" w:rsidRPr="00BC76B8" w:rsidRDefault="007D7FE0" w:rsidP="00CD468E">
            <w:pPr>
              <w:ind w:leftChars="0" w:left="2" w:hanging="2"/>
              <w:jc w:val="center"/>
              <w:rPr>
                <w:rFonts w:ascii="Times New Roman" w:hAnsi="Times New Roman" w:cs="Times New Roman"/>
                <w:sz w:val="20"/>
                <w:szCs w:val="20"/>
              </w:rPr>
            </w:pPr>
          </w:p>
        </w:tc>
      </w:tr>
      <w:tr w:rsidR="00894CCD" w:rsidRPr="00BC76B8" w14:paraId="55F87556" w14:textId="77777777" w:rsidTr="0006388D">
        <w:trPr>
          <w:trHeight w:val="116"/>
        </w:trPr>
        <w:tc>
          <w:tcPr>
            <w:tcW w:w="2552" w:type="dxa"/>
            <w:vAlign w:val="center"/>
          </w:tcPr>
          <w:p w14:paraId="72AB43A3" w14:textId="2CD5412C"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Mean WTP</w:t>
            </w:r>
            <w:r w:rsidR="002A6D94" w:rsidRPr="00BC76B8">
              <w:rPr>
                <w:rFonts w:ascii="Times New Roman" w:hAnsi="Times New Roman" w:cs="Times New Roman"/>
                <w:sz w:val="20"/>
                <w:szCs w:val="20"/>
              </w:rPr>
              <w:t xml:space="preserve"> </w:t>
            </w:r>
            <w:r w:rsidR="00825580" w:rsidRPr="00BC76B8">
              <w:rPr>
                <w:rFonts w:ascii="Times New Roman" w:hAnsi="Times New Roman" w:cs="Times New Roman"/>
                <w:sz w:val="20"/>
                <w:szCs w:val="20"/>
              </w:rPr>
              <w:t xml:space="preserve">in USD </w:t>
            </w:r>
            <w:r w:rsidR="002A6D94" w:rsidRPr="00BC76B8">
              <w:rPr>
                <w:rFonts w:ascii="Times New Roman" w:hAnsi="Times New Roman" w:cs="Times New Roman"/>
                <w:sz w:val="20"/>
                <w:szCs w:val="20"/>
              </w:rPr>
              <w:t>(</w:t>
            </w:r>
            <w:r w:rsidR="00825580" w:rsidRPr="00BC76B8">
              <w:rPr>
                <w:rFonts w:ascii="Times New Roman" w:hAnsi="Times New Roman" w:cs="Times New Roman"/>
                <w:sz w:val="20"/>
                <w:szCs w:val="20"/>
              </w:rPr>
              <w:t>RM</w:t>
            </w:r>
            <w:r w:rsidR="002A6D94" w:rsidRPr="00BC76B8">
              <w:rPr>
                <w:rFonts w:ascii="Times New Roman" w:hAnsi="Times New Roman" w:cs="Times New Roman"/>
                <w:sz w:val="20"/>
                <w:szCs w:val="20"/>
              </w:rPr>
              <w:t>)</w:t>
            </w:r>
          </w:p>
        </w:tc>
        <w:tc>
          <w:tcPr>
            <w:tcW w:w="1520" w:type="dxa"/>
            <w:vAlign w:val="center"/>
          </w:tcPr>
          <w:p w14:paraId="2F4EBBCD" w14:textId="588EC6B9"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w:t>
            </w:r>
            <w:r w:rsidR="00472C52" w:rsidRPr="00BC76B8">
              <w:rPr>
                <w:rFonts w:ascii="Times New Roman" w:hAnsi="Times New Roman" w:cs="Times New Roman"/>
                <w:sz w:val="20"/>
                <w:szCs w:val="20"/>
              </w:rPr>
              <w:t>36</w:t>
            </w:r>
            <w:r w:rsidR="00825580" w:rsidRPr="00BC76B8">
              <w:rPr>
                <w:rFonts w:ascii="Times New Roman" w:hAnsi="Times New Roman" w:cs="Times New Roman"/>
                <w:sz w:val="20"/>
                <w:szCs w:val="20"/>
              </w:rPr>
              <w:t xml:space="preserve"> (13.99</w:t>
            </w:r>
            <w:r w:rsidR="00472C52" w:rsidRPr="00BC76B8">
              <w:rPr>
                <w:rFonts w:ascii="Times New Roman" w:hAnsi="Times New Roman" w:cs="Times New Roman"/>
                <w:sz w:val="20"/>
                <w:szCs w:val="20"/>
              </w:rPr>
              <w:t>)</w:t>
            </w:r>
          </w:p>
        </w:tc>
        <w:tc>
          <w:tcPr>
            <w:tcW w:w="926" w:type="dxa"/>
            <w:vAlign w:val="center"/>
          </w:tcPr>
          <w:p w14:paraId="7A877D6A" w14:textId="77777777" w:rsidR="007D7FE0" w:rsidRPr="00BC76B8" w:rsidRDefault="007D7FE0" w:rsidP="00CD468E">
            <w:pPr>
              <w:ind w:leftChars="0" w:left="2" w:hanging="2"/>
              <w:jc w:val="center"/>
              <w:rPr>
                <w:rFonts w:ascii="Times New Roman" w:hAnsi="Times New Roman" w:cs="Times New Roman"/>
                <w:sz w:val="20"/>
                <w:szCs w:val="20"/>
              </w:rPr>
            </w:pPr>
          </w:p>
        </w:tc>
        <w:tc>
          <w:tcPr>
            <w:tcW w:w="1417" w:type="dxa"/>
            <w:vAlign w:val="center"/>
          </w:tcPr>
          <w:p w14:paraId="3AE33276" w14:textId="4DA3384B"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3.29</w:t>
            </w:r>
            <w:r w:rsidR="00825580" w:rsidRPr="00BC76B8">
              <w:rPr>
                <w:rFonts w:ascii="Times New Roman" w:hAnsi="Times New Roman" w:cs="Times New Roman"/>
                <w:sz w:val="20"/>
                <w:szCs w:val="20"/>
              </w:rPr>
              <w:t xml:space="preserve"> (12.69</w:t>
            </w:r>
            <w:r w:rsidR="00472C52" w:rsidRPr="00BC76B8">
              <w:rPr>
                <w:rFonts w:ascii="Times New Roman" w:hAnsi="Times New Roman" w:cs="Times New Roman"/>
                <w:sz w:val="20"/>
                <w:szCs w:val="20"/>
              </w:rPr>
              <w:t>)</w:t>
            </w:r>
          </w:p>
        </w:tc>
        <w:tc>
          <w:tcPr>
            <w:tcW w:w="907" w:type="dxa"/>
            <w:vAlign w:val="center"/>
          </w:tcPr>
          <w:p w14:paraId="3913A286" w14:textId="77777777" w:rsidR="007D7FE0" w:rsidRPr="00BC76B8" w:rsidRDefault="007D7FE0" w:rsidP="00CD468E">
            <w:pPr>
              <w:ind w:leftChars="0" w:left="2" w:hanging="2"/>
              <w:jc w:val="center"/>
              <w:rPr>
                <w:rFonts w:ascii="Times New Roman" w:hAnsi="Times New Roman" w:cs="Times New Roman"/>
                <w:sz w:val="20"/>
                <w:szCs w:val="20"/>
              </w:rPr>
            </w:pPr>
          </w:p>
        </w:tc>
        <w:tc>
          <w:tcPr>
            <w:tcW w:w="1467" w:type="dxa"/>
            <w:vAlign w:val="center"/>
          </w:tcPr>
          <w:p w14:paraId="414EB75C" w14:textId="0948F099"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3.19</w:t>
            </w:r>
            <w:r w:rsidR="00825580" w:rsidRPr="00BC76B8">
              <w:rPr>
                <w:rFonts w:ascii="Times New Roman" w:hAnsi="Times New Roman" w:cs="Times New Roman"/>
                <w:sz w:val="20"/>
                <w:szCs w:val="20"/>
              </w:rPr>
              <w:t xml:space="preserve"> (13.28</w:t>
            </w:r>
            <w:r w:rsidR="002A6D94" w:rsidRPr="00BC76B8">
              <w:rPr>
                <w:rFonts w:ascii="Times New Roman" w:hAnsi="Times New Roman" w:cs="Times New Roman"/>
                <w:sz w:val="20"/>
                <w:szCs w:val="20"/>
              </w:rPr>
              <w:t>)</w:t>
            </w:r>
          </w:p>
        </w:tc>
        <w:tc>
          <w:tcPr>
            <w:tcW w:w="850" w:type="dxa"/>
            <w:vAlign w:val="center"/>
          </w:tcPr>
          <w:p w14:paraId="03DD259C" w14:textId="77777777" w:rsidR="007D7FE0" w:rsidRPr="00BC76B8" w:rsidRDefault="007D7FE0" w:rsidP="00CD468E">
            <w:pPr>
              <w:ind w:leftChars="0" w:left="2" w:hanging="2"/>
              <w:jc w:val="center"/>
              <w:rPr>
                <w:rFonts w:ascii="Times New Roman" w:hAnsi="Times New Roman" w:cs="Times New Roman"/>
                <w:sz w:val="20"/>
                <w:szCs w:val="20"/>
              </w:rPr>
            </w:pPr>
          </w:p>
        </w:tc>
      </w:tr>
      <w:tr w:rsidR="00894CCD" w:rsidRPr="00BC76B8" w14:paraId="7B3B6934" w14:textId="77777777" w:rsidTr="0006388D">
        <w:trPr>
          <w:trHeight w:val="116"/>
        </w:trPr>
        <w:tc>
          <w:tcPr>
            <w:tcW w:w="2552" w:type="dxa"/>
            <w:tcBorders>
              <w:bottom w:val="single" w:sz="4" w:space="0" w:color="auto"/>
            </w:tcBorders>
            <w:vAlign w:val="center"/>
          </w:tcPr>
          <w:p w14:paraId="37BA4FC4" w14:textId="7E49E584"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95% confidence interval</w:t>
            </w:r>
            <w:r w:rsidR="002A6D94" w:rsidRPr="00BC76B8">
              <w:rPr>
                <w:rFonts w:ascii="Times New Roman" w:hAnsi="Times New Roman" w:cs="Times New Roman"/>
                <w:sz w:val="20"/>
                <w:szCs w:val="20"/>
              </w:rPr>
              <w:t xml:space="preserve"> </w:t>
            </w:r>
          </w:p>
        </w:tc>
        <w:tc>
          <w:tcPr>
            <w:tcW w:w="1520" w:type="dxa"/>
            <w:tcBorders>
              <w:bottom w:val="single" w:sz="4" w:space="0" w:color="auto"/>
            </w:tcBorders>
            <w:vAlign w:val="center"/>
          </w:tcPr>
          <w:p w14:paraId="0192DEC9" w14:textId="12029EC1"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2.89</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3.83</w:t>
            </w:r>
          </w:p>
        </w:tc>
        <w:tc>
          <w:tcPr>
            <w:tcW w:w="926" w:type="dxa"/>
            <w:tcBorders>
              <w:bottom w:val="single" w:sz="4" w:space="0" w:color="auto"/>
            </w:tcBorders>
            <w:vAlign w:val="center"/>
          </w:tcPr>
          <w:p w14:paraId="7A796A8E" w14:textId="77777777" w:rsidR="007D7FE0" w:rsidRPr="00BC76B8" w:rsidRDefault="007D7FE0" w:rsidP="00CD468E">
            <w:pPr>
              <w:ind w:leftChars="0" w:left="2" w:hanging="2"/>
              <w:jc w:val="center"/>
              <w:rPr>
                <w:rFonts w:ascii="Times New Roman" w:hAnsi="Times New Roman" w:cs="Times New Roman"/>
                <w:sz w:val="20"/>
                <w:szCs w:val="20"/>
              </w:rPr>
            </w:pPr>
          </w:p>
        </w:tc>
        <w:tc>
          <w:tcPr>
            <w:tcW w:w="1417" w:type="dxa"/>
            <w:tcBorders>
              <w:bottom w:val="single" w:sz="4" w:space="0" w:color="auto"/>
            </w:tcBorders>
            <w:vAlign w:val="center"/>
          </w:tcPr>
          <w:p w14:paraId="1EF9C9DE" w14:textId="7B48A308"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2.91</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3.66</w:t>
            </w:r>
          </w:p>
        </w:tc>
        <w:tc>
          <w:tcPr>
            <w:tcW w:w="907" w:type="dxa"/>
            <w:tcBorders>
              <w:bottom w:val="single" w:sz="4" w:space="0" w:color="auto"/>
            </w:tcBorders>
            <w:vAlign w:val="center"/>
          </w:tcPr>
          <w:p w14:paraId="6FC20776" w14:textId="77777777" w:rsidR="007D7FE0" w:rsidRPr="00BC76B8" w:rsidRDefault="007D7FE0" w:rsidP="00CD468E">
            <w:pPr>
              <w:ind w:leftChars="0" w:left="2" w:hanging="2"/>
              <w:jc w:val="center"/>
              <w:rPr>
                <w:rFonts w:ascii="Times New Roman" w:hAnsi="Times New Roman" w:cs="Times New Roman"/>
                <w:sz w:val="20"/>
                <w:szCs w:val="20"/>
              </w:rPr>
            </w:pPr>
          </w:p>
        </w:tc>
        <w:tc>
          <w:tcPr>
            <w:tcW w:w="1467" w:type="dxa"/>
            <w:tcBorders>
              <w:bottom w:val="single" w:sz="4" w:space="0" w:color="auto"/>
            </w:tcBorders>
            <w:vAlign w:val="center"/>
          </w:tcPr>
          <w:p w14:paraId="01A53474" w14:textId="5112D34A"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2.89</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3.50</w:t>
            </w:r>
          </w:p>
        </w:tc>
        <w:tc>
          <w:tcPr>
            <w:tcW w:w="850" w:type="dxa"/>
            <w:tcBorders>
              <w:bottom w:val="single" w:sz="4" w:space="0" w:color="auto"/>
            </w:tcBorders>
            <w:vAlign w:val="center"/>
          </w:tcPr>
          <w:p w14:paraId="39D9FFE9" w14:textId="77777777" w:rsidR="007D7FE0" w:rsidRPr="00BC76B8" w:rsidRDefault="007D7FE0" w:rsidP="00CD468E">
            <w:pPr>
              <w:ind w:leftChars="0" w:left="2" w:hanging="2"/>
              <w:jc w:val="center"/>
              <w:rPr>
                <w:rFonts w:ascii="Times New Roman" w:hAnsi="Times New Roman" w:cs="Times New Roman"/>
                <w:sz w:val="20"/>
                <w:szCs w:val="20"/>
              </w:rPr>
            </w:pPr>
          </w:p>
        </w:tc>
      </w:tr>
      <w:tr w:rsidR="00894CCD" w:rsidRPr="00BC76B8" w14:paraId="6224CE22" w14:textId="77777777" w:rsidTr="0006388D">
        <w:trPr>
          <w:trHeight w:val="340"/>
        </w:trPr>
        <w:tc>
          <w:tcPr>
            <w:tcW w:w="2552" w:type="dxa"/>
            <w:tcBorders>
              <w:top w:val="single" w:sz="4" w:space="0" w:color="auto"/>
            </w:tcBorders>
            <w:shd w:val="clear" w:color="auto" w:fill="D9D9D9" w:themeFill="background1" w:themeFillShade="D9"/>
            <w:vAlign w:val="center"/>
          </w:tcPr>
          <w:p w14:paraId="238E4BCA" w14:textId="41DDD241"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Putrajaya lake</w:t>
            </w:r>
          </w:p>
        </w:tc>
        <w:tc>
          <w:tcPr>
            <w:tcW w:w="1520" w:type="dxa"/>
            <w:tcBorders>
              <w:top w:val="single" w:sz="4" w:space="0" w:color="auto"/>
            </w:tcBorders>
            <w:shd w:val="clear" w:color="auto" w:fill="D9D9D9" w:themeFill="background1" w:themeFillShade="D9"/>
            <w:vAlign w:val="center"/>
          </w:tcPr>
          <w:p w14:paraId="24FE55AF" w14:textId="77777777" w:rsidR="007D7FE0" w:rsidRPr="00BC76B8" w:rsidRDefault="007D7FE0" w:rsidP="00CD468E">
            <w:pPr>
              <w:ind w:leftChars="0" w:left="2" w:hanging="2"/>
              <w:jc w:val="center"/>
              <w:rPr>
                <w:rFonts w:ascii="Times New Roman" w:hAnsi="Times New Roman" w:cs="Times New Roman"/>
                <w:sz w:val="20"/>
                <w:szCs w:val="20"/>
              </w:rPr>
            </w:pPr>
          </w:p>
        </w:tc>
        <w:tc>
          <w:tcPr>
            <w:tcW w:w="926" w:type="dxa"/>
            <w:tcBorders>
              <w:top w:val="single" w:sz="4" w:space="0" w:color="auto"/>
            </w:tcBorders>
            <w:shd w:val="clear" w:color="auto" w:fill="D9D9D9" w:themeFill="background1" w:themeFillShade="D9"/>
            <w:vAlign w:val="center"/>
          </w:tcPr>
          <w:p w14:paraId="4C29D11F" w14:textId="77777777" w:rsidR="007D7FE0" w:rsidRPr="00BC76B8" w:rsidRDefault="007D7FE0" w:rsidP="00CD468E">
            <w:pPr>
              <w:ind w:leftChars="0" w:left="2" w:hanging="2"/>
              <w:jc w:val="center"/>
              <w:rPr>
                <w:rFonts w:ascii="Times New Roman" w:hAnsi="Times New Roman" w:cs="Times New Roman"/>
                <w:sz w:val="20"/>
                <w:szCs w:val="20"/>
              </w:rPr>
            </w:pPr>
          </w:p>
        </w:tc>
        <w:tc>
          <w:tcPr>
            <w:tcW w:w="1417" w:type="dxa"/>
            <w:tcBorders>
              <w:top w:val="single" w:sz="4" w:space="0" w:color="auto"/>
            </w:tcBorders>
            <w:shd w:val="clear" w:color="auto" w:fill="D9D9D9" w:themeFill="background1" w:themeFillShade="D9"/>
            <w:vAlign w:val="center"/>
          </w:tcPr>
          <w:p w14:paraId="7B487517" w14:textId="77777777" w:rsidR="007D7FE0" w:rsidRPr="00BC76B8" w:rsidRDefault="007D7FE0" w:rsidP="00CD468E">
            <w:pPr>
              <w:ind w:leftChars="0" w:left="2" w:hanging="2"/>
              <w:jc w:val="center"/>
              <w:rPr>
                <w:rFonts w:ascii="Times New Roman" w:hAnsi="Times New Roman" w:cs="Times New Roman"/>
                <w:sz w:val="20"/>
                <w:szCs w:val="20"/>
              </w:rPr>
            </w:pPr>
          </w:p>
        </w:tc>
        <w:tc>
          <w:tcPr>
            <w:tcW w:w="907" w:type="dxa"/>
            <w:tcBorders>
              <w:top w:val="single" w:sz="4" w:space="0" w:color="auto"/>
            </w:tcBorders>
            <w:shd w:val="clear" w:color="auto" w:fill="D9D9D9" w:themeFill="background1" w:themeFillShade="D9"/>
            <w:vAlign w:val="center"/>
          </w:tcPr>
          <w:p w14:paraId="25C0E39A" w14:textId="77777777" w:rsidR="007D7FE0" w:rsidRPr="00BC76B8" w:rsidRDefault="007D7FE0" w:rsidP="00CD468E">
            <w:pPr>
              <w:ind w:leftChars="0" w:left="2" w:hanging="2"/>
              <w:jc w:val="center"/>
              <w:rPr>
                <w:rFonts w:ascii="Times New Roman" w:hAnsi="Times New Roman" w:cs="Times New Roman"/>
                <w:sz w:val="20"/>
                <w:szCs w:val="20"/>
              </w:rPr>
            </w:pPr>
          </w:p>
        </w:tc>
        <w:tc>
          <w:tcPr>
            <w:tcW w:w="1467" w:type="dxa"/>
            <w:tcBorders>
              <w:top w:val="single" w:sz="4" w:space="0" w:color="auto"/>
            </w:tcBorders>
            <w:shd w:val="clear" w:color="auto" w:fill="D9D9D9" w:themeFill="background1" w:themeFillShade="D9"/>
            <w:vAlign w:val="center"/>
          </w:tcPr>
          <w:p w14:paraId="73E84251" w14:textId="77777777" w:rsidR="007D7FE0" w:rsidRPr="00BC76B8" w:rsidRDefault="007D7FE0" w:rsidP="00CD468E">
            <w:pPr>
              <w:ind w:leftChars="0" w:left="2" w:hanging="2"/>
              <w:jc w:val="center"/>
              <w:rPr>
                <w:rFonts w:ascii="Times New Roman" w:hAnsi="Times New Roman" w:cs="Times New Roman"/>
                <w:sz w:val="20"/>
                <w:szCs w:val="20"/>
              </w:rPr>
            </w:pPr>
          </w:p>
        </w:tc>
        <w:tc>
          <w:tcPr>
            <w:tcW w:w="850" w:type="dxa"/>
            <w:tcBorders>
              <w:top w:val="single" w:sz="4" w:space="0" w:color="auto"/>
            </w:tcBorders>
            <w:shd w:val="clear" w:color="auto" w:fill="D9D9D9" w:themeFill="background1" w:themeFillShade="D9"/>
            <w:vAlign w:val="center"/>
          </w:tcPr>
          <w:p w14:paraId="3045002F" w14:textId="77777777" w:rsidR="007D7FE0" w:rsidRPr="00BC76B8" w:rsidRDefault="007D7FE0" w:rsidP="00CD468E">
            <w:pPr>
              <w:ind w:leftChars="0" w:left="2" w:hanging="2"/>
              <w:jc w:val="center"/>
              <w:rPr>
                <w:rFonts w:ascii="Times New Roman" w:hAnsi="Times New Roman" w:cs="Times New Roman"/>
                <w:sz w:val="20"/>
                <w:szCs w:val="20"/>
              </w:rPr>
            </w:pPr>
          </w:p>
        </w:tc>
      </w:tr>
      <w:tr w:rsidR="00894CCD" w:rsidRPr="00BC76B8" w14:paraId="16DA8DBA" w14:textId="77777777" w:rsidTr="0006388D">
        <w:trPr>
          <w:trHeight w:val="295"/>
        </w:trPr>
        <w:tc>
          <w:tcPr>
            <w:tcW w:w="2552" w:type="dxa"/>
            <w:vAlign w:val="center"/>
          </w:tcPr>
          <w:p w14:paraId="59878674"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Constant</w:t>
            </w:r>
          </w:p>
        </w:tc>
        <w:tc>
          <w:tcPr>
            <w:tcW w:w="1520" w:type="dxa"/>
            <w:vAlign w:val="center"/>
          </w:tcPr>
          <w:p w14:paraId="3F3DE9D5"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1.582</w:t>
            </w:r>
          </w:p>
        </w:tc>
        <w:tc>
          <w:tcPr>
            <w:tcW w:w="926" w:type="dxa"/>
            <w:vAlign w:val="center"/>
          </w:tcPr>
          <w:p w14:paraId="45406B1E"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1.4266</w:t>
            </w:r>
          </w:p>
        </w:tc>
        <w:tc>
          <w:tcPr>
            <w:tcW w:w="1417" w:type="dxa"/>
            <w:vAlign w:val="center"/>
          </w:tcPr>
          <w:p w14:paraId="535A3676"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1.409</w:t>
            </w:r>
          </w:p>
        </w:tc>
        <w:tc>
          <w:tcPr>
            <w:tcW w:w="907" w:type="dxa"/>
            <w:vAlign w:val="center"/>
          </w:tcPr>
          <w:p w14:paraId="46E84188"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0.7754</w:t>
            </w:r>
          </w:p>
        </w:tc>
        <w:tc>
          <w:tcPr>
            <w:tcW w:w="1467" w:type="dxa"/>
            <w:vAlign w:val="center"/>
          </w:tcPr>
          <w:p w14:paraId="5726D120"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1.623</w:t>
            </w:r>
          </w:p>
        </w:tc>
        <w:tc>
          <w:tcPr>
            <w:tcW w:w="850" w:type="dxa"/>
            <w:vAlign w:val="center"/>
          </w:tcPr>
          <w:p w14:paraId="0731A6D9"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0.3782</w:t>
            </w:r>
          </w:p>
        </w:tc>
      </w:tr>
      <w:tr w:rsidR="00894CCD" w:rsidRPr="00BC76B8" w14:paraId="51B3F057" w14:textId="77777777" w:rsidTr="0006388D">
        <w:trPr>
          <w:trHeight w:val="295"/>
        </w:trPr>
        <w:tc>
          <w:tcPr>
            <w:tcW w:w="2552" w:type="dxa"/>
            <w:vAlign w:val="center"/>
          </w:tcPr>
          <w:p w14:paraId="597BE991"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Bid</w:t>
            </w:r>
          </w:p>
        </w:tc>
        <w:tc>
          <w:tcPr>
            <w:tcW w:w="1520" w:type="dxa"/>
            <w:vAlign w:val="center"/>
          </w:tcPr>
          <w:p w14:paraId="01BC4715"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-0.183*</w:t>
            </w:r>
          </w:p>
        </w:tc>
        <w:tc>
          <w:tcPr>
            <w:tcW w:w="926" w:type="dxa"/>
            <w:vAlign w:val="center"/>
          </w:tcPr>
          <w:p w14:paraId="2EFF9738"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0.0273</w:t>
            </w:r>
          </w:p>
        </w:tc>
        <w:tc>
          <w:tcPr>
            <w:tcW w:w="1417" w:type="dxa"/>
            <w:vAlign w:val="center"/>
          </w:tcPr>
          <w:p w14:paraId="1E5907BB"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-0.168*</w:t>
            </w:r>
          </w:p>
        </w:tc>
        <w:tc>
          <w:tcPr>
            <w:tcW w:w="907" w:type="dxa"/>
            <w:vAlign w:val="center"/>
          </w:tcPr>
          <w:p w14:paraId="588A46E1"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0.0256</w:t>
            </w:r>
          </w:p>
        </w:tc>
        <w:tc>
          <w:tcPr>
            <w:tcW w:w="1467" w:type="dxa"/>
            <w:vAlign w:val="center"/>
          </w:tcPr>
          <w:p w14:paraId="4BCE1D8C"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-0.182*</w:t>
            </w:r>
          </w:p>
        </w:tc>
        <w:tc>
          <w:tcPr>
            <w:tcW w:w="850" w:type="dxa"/>
            <w:vAlign w:val="center"/>
          </w:tcPr>
          <w:p w14:paraId="3D506EB5"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0.0235</w:t>
            </w:r>
          </w:p>
        </w:tc>
      </w:tr>
      <w:tr w:rsidR="00894CCD" w:rsidRPr="00BC76B8" w14:paraId="008259CC" w14:textId="77777777" w:rsidTr="0006388D">
        <w:trPr>
          <w:trHeight w:val="295"/>
        </w:trPr>
        <w:tc>
          <w:tcPr>
            <w:tcW w:w="2552" w:type="dxa"/>
            <w:vAlign w:val="center"/>
          </w:tcPr>
          <w:p w14:paraId="7F182A98"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Income</w:t>
            </w:r>
          </w:p>
        </w:tc>
        <w:tc>
          <w:tcPr>
            <w:tcW w:w="1520" w:type="dxa"/>
            <w:vAlign w:val="center"/>
          </w:tcPr>
          <w:p w14:paraId="5D27061F"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0.00002</w:t>
            </w:r>
          </w:p>
        </w:tc>
        <w:tc>
          <w:tcPr>
            <w:tcW w:w="926" w:type="dxa"/>
            <w:vAlign w:val="center"/>
          </w:tcPr>
          <w:p w14:paraId="3D22CBAC"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0.0001</w:t>
            </w:r>
          </w:p>
        </w:tc>
        <w:tc>
          <w:tcPr>
            <w:tcW w:w="1417" w:type="dxa"/>
            <w:vAlign w:val="center"/>
          </w:tcPr>
          <w:p w14:paraId="7AEC5B59"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-0.00006</w:t>
            </w:r>
          </w:p>
        </w:tc>
        <w:tc>
          <w:tcPr>
            <w:tcW w:w="907" w:type="dxa"/>
            <w:vAlign w:val="center"/>
          </w:tcPr>
          <w:p w14:paraId="58796BAD"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0.0001</w:t>
            </w:r>
          </w:p>
        </w:tc>
        <w:tc>
          <w:tcPr>
            <w:tcW w:w="1467" w:type="dxa"/>
            <w:vAlign w:val="center"/>
          </w:tcPr>
          <w:p w14:paraId="4524BFE9"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850" w:type="dxa"/>
            <w:vAlign w:val="center"/>
          </w:tcPr>
          <w:p w14:paraId="2DE33559"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r>
      <w:tr w:rsidR="00894CCD" w:rsidRPr="00BC76B8" w14:paraId="37468A00" w14:textId="77777777" w:rsidTr="0006388D">
        <w:trPr>
          <w:trHeight w:val="295"/>
        </w:trPr>
        <w:tc>
          <w:tcPr>
            <w:tcW w:w="2552" w:type="dxa"/>
            <w:vAlign w:val="center"/>
          </w:tcPr>
          <w:p w14:paraId="23BB9F02"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Gender</w:t>
            </w:r>
          </w:p>
        </w:tc>
        <w:tc>
          <w:tcPr>
            <w:tcW w:w="1520" w:type="dxa"/>
            <w:vAlign w:val="center"/>
          </w:tcPr>
          <w:p w14:paraId="6FCFD688"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-0.290</w:t>
            </w:r>
          </w:p>
        </w:tc>
        <w:tc>
          <w:tcPr>
            <w:tcW w:w="926" w:type="dxa"/>
            <w:vAlign w:val="center"/>
          </w:tcPr>
          <w:p w14:paraId="13661DB3"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0.3297</w:t>
            </w:r>
          </w:p>
        </w:tc>
        <w:tc>
          <w:tcPr>
            <w:tcW w:w="1417" w:type="dxa"/>
            <w:vAlign w:val="center"/>
          </w:tcPr>
          <w:p w14:paraId="4F8E28AE"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907" w:type="dxa"/>
            <w:vAlign w:val="center"/>
          </w:tcPr>
          <w:p w14:paraId="1BBB6E16"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1467" w:type="dxa"/>
            <w:vAlign w:val="center"/>
          </w:tcPr>
          <w:p w14:paraId="007AF16D"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850" w:type="dxa"/>
            <w:vAlign w:val="center"/>
          </w:tcPr>
          <w:p w14:paraId="078C9541"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r>
      <w:tr w:rsidR="00894CCD" w:rsidRPr="00BC76B8" w14:paraId="0CD9EA59" w14:textId="77777777" w:rsidTr="0006388D">
        <w:trPr>
          <w:trHeight w:val="295"/>
        </w:trPr>
        <w:tc>
          <w:tcPr>
            <w:tcW w:w="2552" w:type="dxa"/>
            <w:vAlign w:val="center"/>
          </w:tcPr>
          <w:p w14:paraId="2828E77F"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Age</w:t>
            </w:r>
          </w:p>
        </w:tc>
        <w:tc>
          <w:tcPr>
            <w:tcW w:w="1520" w:type="dxa"/>
            <w:vAlign w:val="center"/>
          </w:tcPr>
          <w:p w14:paraId="4445CBDA"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0.055*</w:t>
            </w:r>
          </w:p>
        </w:tc>
        <w:tc>
          <w:tcPr>
            <w:tcW w:w="926" w:type="dxa"/>
            <w:vAlign w:val="center"/>
          </w:tcPr>
          <w:p w14:paraId="44AA466F"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0.0266</w:t>
            </w:r>
          </w:p>
        </w:tc>
        <w:tc>
          <w:tcPr>
            <w:tcW w:w="1417" w:type="dxa"/>
            <w:vAlign w:val="center"/>
          </w:tcPr>
          <w:p w14:paraId="535CDACD"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0.030</w:t>
            </w:r>
          </w:p>
        </w:tc>
        <w:tc>
          <w:tcPr>
            <w:tcW w:w="907" w:type="dxa"/>
            <w:vAlign w:val="center"/>
          </w:tcPr>
          <w:p w14:paraId="2C42D971"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0.0216</w:t>
            </w:r>
          </w:p>
        </w:tc>
        <w:tc>
          <w:tcPr>
            <w:tcW w:w="1467" w:type="dxa"/>
            <w:vAlign w:val="center"/>
          </w:tcPr>
          <w:p w14:paraId="1B9C9E44"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c>
          <w:tcPr>
            <w:tcW w:w="850" w:type="dxa"/>
            <w:vAlign w:val="center"/>
          </w:tcPr>
          <w:p w14:paraId="627064DA"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w:t>
            </w:r>
          </w:p>
        </w:tc>
      </w:tr>
      <w:tr w:rsidR="00894CCD" w:rsidRPr="00BC76B8" w14:paraId="59203675" w14:textId="77777777" w:rsidTr="0006388D">
        <w:trPr>
          <w:trHeight w:val="295"/>
        </w:trPr>
        <w:tc>
          <w:tcPr>
            <w:tcW w:w="2552" w:type="dxa"/>
            <w:vAlign w:val="center"/>
          </w:tcPr>
          <w:p w14:paraId="1F000212"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Marital status</w:t>
            </w:r>
          </w:p>
        </w:tc>
        <w:tc>
          <w:tcPr>
            <w:tcW w:w="1520" w:type="dxa"/>
            <w:vAlign w:val="center"/>
          </w:tcPr>
          <w:p w14:paraId="5E5C26AF"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0.610</w:t>
            </w:r>
          </w:p>
        </w:tc>
        <w:tc>
          <w:tcPr>
            <w:tcW w:w="926" w:type="dxa"/>
            <w:vAlign w:val="center"/>
          </w:tcPr>
          <w:p w14:paraId="1044DF9E"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0.4501</w:t>
            </w:r>
          </w:p>
        </w:tc>
        <w:tc>
          <w:tcPr>
            <w:tcW w:w="1417" w:type="dxa"/>
            <w:vAlign w:val="center"/>
          </w:tcPr>
          <w:p w14:paraId="3D437449"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907" w:type="dxa"/>
            <w:vAlign w:val="center"/>
          </w:tcPr>
          <w:p w14:paraId="5FD0DDB9"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1467" w:type="dxa"/>
            <w:vAlign w:val="center"/>
          </w:tcPr>
          <w:p w14:paraId="6AD6EDCD"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850" w:type="dxa"/>
            <w:vAlign w:val="center"/>
          </w:tcPr>
          <w:p w14:paraId="526DCB61"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r>
      <w:tr w:rsidR="00894CCD" w:rsidRPr="00BC76B8" w14:paraId="3FA93C03" w14:textId="77777777" w:rsidTr="0006388D">
        <w:trPr>
          <w:trHeight w:val="295"/>
        </w:trPr>
        <w:tc>
          <w:tcPr>
            <w:tcW w:w="2552" w:type="dxa"/>
            <w:vAlign w:val="center"/>
          </w:tcPr>
          <w:p w14:paraId="43D607C3"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 xml:space="preserve">Education </w:t>
            </w:r>
          </w:p>
        </w:tc>
        <w:tc>
          <w:tcPr>
            <w:tcW w:w="1520" w:type="dxa"/>
            <w:vAlign w:val="center"/>
          </w:tcPr>
          <w:p w14:paraId="04F494D7"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-0.028</w:t>
            </w:r>
          </w:p>
        </w:tc>
        <w:tc>
          <w:tcPr>
            <w:tcW w:w="926" w:type="dxa"/>
            <w:vAlign w:val="center"/>
          </w:tcPr>
          <w:p w14:paraId="35FEBD25"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0.0628</w:t>
            </w:r>
          </w:p>
        </w:tc>
        <w:tc>
          <w:tcPr>
            <w:tcW w:w="1417" w:type="dxa"/>
            <w:vAlign w:val="center"/>
          </w:tcPr>
          <w:p w14:paraId="08AB0165"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907" w:type="dxa"/>
            <w:vAlign w:val="center"/>
          </w:tcPr>
          <w:p w14:paraId="23614813"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1467" w:type="dxa"/>
            <w:vAlign w:val="center"/>
          </w:tcPr>
          <w:p w14:paraId="6616C636"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850" w:type="dxa"/>
            <w:vAlign w:val="center"/>
          </w:tcPr>
          <w:p w14:paraId="12BEE022"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r>
      <w:tr w:rsidR="00894CCD" w:rsidRPr="00BC76B8" w14:paraId="2B801916" w14:textId="77777777" w:rsidTr="0006388D">
        <w:trPr>
          <w:trHeight w:val="295"/>
        </w:trPr>
        <w:tc>
          <w:tcPr>
            <w:tcW w:w="2552" w:type="dxa"/>
            <w:vAlign w:val="center"/>
          </w:tcPr>
          <w:p w14:paraId="5A7019C0"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Household income</w:t>
            </w:r>
          </w:p>
        </w:tc>
        <w:tc>
          <w:tcPr>
            <w:tcW w:w="1520" w:type="dxa"/>
            <w:vAlign w:val="center"/>
          </w:tcPr>
          <w:p w14:paraId="1998D2B6"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-0.171*</w:t>
            </w:r>
          </w:p>
        </w:tc>
        <w:tc>
          <w:tcPr>
            <w:tcW w:w="926" w:type="dxa"/>
            <w:vAlign w:val="center"/>
          </w:tcPr>
          <w:p w14:paraId="16D8628B"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0.0782</w:t>
            </w:r>
          </w:p>
        </w:tc>
        <w:tc>
          <w:tcPr>
            <w:tcW w:w="1417" w:type="dxa"/>
            <w:vAlign w:val="center"/>
          </w:tcPr>
          <w:p w14:paraId="06491A7C"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-0.144*</w:t>
            </w:r>
          </w:p>
        </w:tc>
        <w:tc>
          <w:tcPr>
            <w:tcW w:w="907" w:type="dxa"/>
            <w:vAlign w:val="center"/>
          </w:tcPr>
          <w:p w14:paraId="3D89AC10"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0.0745</w:t>
            </w:r>
          </w:p>
        </w:tc>
        <w:tc>
          <w:tcPr>
            <w:tcW w:w="1467" w:type="dxa"/>
            <w:vAlign w:val="center"/>
          </w:tcPr>
          <w:p w14:paraId="659AB14F"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850" w:type="dxa"/>
            <w:vAlign w:val="center"/>
          </w:tcPr>
          <w:p w14:paraId="7A91192F"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r>
      <w:tr w:rsidR="00894CCD" w:rsidRPr="00BC76B8" w14:paraId="6F8FFF38" w14:textId="77777777" w:rsidTr="0006388D">
        <w:trPr>
          <w:trHeight w:val="295"/>
        </w:trPr>
        <w:tc>
          <w:tcPr>
            <w:tcW w:w="2552" w:type="dxa"/>
            <w:vAlign w:val="center"/>
          </w:tcPr>
          <w:p w14:paraId="6C4F21F4" w14:textId="57EB4937" w:rsidR="007D7FE0" w:rsidRPr="00BC76B8" w:rsidRDefault="00176826"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Employment</w:t>
            </w:r>
            <w:r w:rsidR="007D7FE0" w:rsidRPr="00BC76B8">
              <w:rPr>
                <w:rFonts w:ascii="Times New Roman" w:hAnsi="Times New Roman" w:cs="Times New Roman"/>
                <w:sz w:val="20"/>
                <w:szCs w:val="20"/>
                <w:lang w:eastAsia="en-MY"/>
              </w:rPr>
              <w:t xml:space="preserve"> category</w:t>
            </w:r>
          </w:p>
        </w:tc>
        <w:tc>
          <w:tcPr>
            <w:tcW w:w="1520" w:type="dxa"/>
            <w:vAlign w:val="center"/>
          </w:tcPr>
          <w:p w14:paraId="32D679FD"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-0.616</w:t>
            </w:r>
          </w:p>
        </w:tc>
        <w:tc>
          <w:tcPr>
            <w:tcW w:w="926" w:type="dxa"/>
            <w:vAlign w:val="center"/>
          </w:tcPr>
          <w:p w14:paraId="6912AB8F"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0.3905</w:t>
            </w:r>
          </w:p>
        </w:tc>
        <w:tc>
          <w:tcPr>
            <w:tcW w:w="1417" w:type="dxa"/>
            <w:vAlign w:val="center"/>
          </w:tcPr>
          <w:p w14:paraId="0C4C8630"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907" w:type="dxa"/>
            <w:vAlign w:val="center"/>
          </w:tcPr>
          <w:p w14:paraId="6EC48EDD"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1467" w:type="dxa"/>
            <w:vAlign w:val="center"/>
          </w:tcPr>
          <w:p w14:paraId="05A9B3AB"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c>
          <w:tcPr>
            <w:tcW w:w="850" w:type="dxa"/>
            <w:vAlign w:val="center"/>
          </w:tcPr>
          <w:p w14:paraId="5A5E5281"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w:t>
            </w:r>
          </w:p>
        </w:tc>
      </w:tr>
      <w:tr w:rsidR="00894CCD" w:rsidRPr="00BC76B8" w14:paraId="098B2C7A" w14:textId="77777777" w:rsidTr="0006388D">
        <w:trPr>
          <w:trHeight w:val="295"/>
        </w:trPr>
        <w:tc>
          <w:tcPr>
            <w:tcW w:w="2552" w:type="dxa"/>
            <w:vAlign w:val="center"/>
          </w:tcPr>
          <w:p w14:paraId="023EF7D1"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Confidence</w:t>
            </w:r>
          </w:p>
        </w:tc>
        <w:tc>
          <w:tcPr>
            <w:tcW w:w="1520" w:type="dxa"/>
            <w:vAlign w:val="center"/>
          </w:tcPr>
          <w:p w14:paraId="44B5B2C4"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0.853*</w:t>
            </w:r>
          </w:p>
        </w:tc>
        <w:tc>
          <w:tcPr>
            <w:tcW w:w="926" w:type="dxa"/>
            <w:vAlign w:val="center"/>
          </w:tcPr>
          <w:p w14:paraId="0997D8A2"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0.4317</w:t>
            </w:r>
          </w:p>
        </w:tc>
        <w:tc>
          <w:tcPr>
            <w:tcW w:w="1417" w:type="dxa"/>
            <w:vAlign w:val="center"/>
          </w:tcPr>
          <w:p w14:paraId="215E77A6"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0.923*</w:t>
            </w:r>
          </w:p>
        </w:tc>
        <w:tc>
          <w:tcPr>
            <w:tcW w:w="907" w:type="dxa"/>
            <w:vAlign w:val="center"/>
          </w:tcPr>
          <w:p w14:paraId="4020E901"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0.4202</w:t>
            </w:r>
          </w:p>
        </w:tc>
        <w:tc>
          <w:tcPr>
            <w:tcW w:w="1467" w:type="dxa"/>
            <w:vAlign w:val="center"/>
          </w:tcPr>
          <w:p w14:paraId="4997B310"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1.127*</w:t>
            </w:r>
          </w:p>
        </w:tc>
        <w:tc>
          <w:tcPr>
            <w:tcW w:w="850" w:type="dxa"/>
            <w:vAlign w:val="center"/>
          </w:tcPr>
          <w:p w14:paraId="5BBD55A3"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0.3450</w:t>
            </w:r>
          </w:p>
        </w:tc>
      </w:tr>
      <w:tr w:rsidR="00894CCD" w:rsidRPr="00BC76B8" w14:paraId="14A1BB4E" w14:textId="77777777" w:rsidTr="0006388D">
        <w:trPr>
          <w:trHeight w:val="295"/>
        </w:trPr>
        <w:tc>
          <w:tcPr>
            <w:tcW w:w="2552" w:type="dxa"/>
            <w:vAlign w:val="center"/>
          </w:tcPr>
          <w:p w14:paraId="3B360B21"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R</w:t>
            </w:r>
            <w:r w:rsidRPr="00BC76B8">
              <w:rPr>
                <w:rFonts w:ascii="Times New Roman" w:hAnsi="Times New Roman" w:cs="Times New Roman"/>
                <w:sz w:val="20"/>
                <w:szCs w:val="20"/>
                <w:vertAlign w:val="superscript"/>
                <w:lang w:eastAsia="en-MY"/>
              </w:rPr>
              <w:t>2</w:t>
            </w:r>
          </w:p>
        </w:tc>
        <w:tc>
          <w:tcPr>
            <w:tcW w:w="1520" w:type="dxa"/>
            <w:vAlign w:val="center"/>
          </w:tcPr>
          <w:p w14:paraId="2355BD6B"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0.232</w:t>
            </w:r>
          </w:p>
        </w:tc>
        <w:tc>
          <w:tcPr>
            <w:tcW w:w="926" w:type="dxa"/>
            <w:vAlign w:val="center"/>
          </w:tcPr>
          <w:p w14:paraId="2B506FD7"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17" w:type="dxa"/>
            <w:vAlign w:val="center"/>
          </w:tcPr>
          <w:p w14:paraId="47DF46E6"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0.209</w:t>
            </w:r>
          </w:p>
        </w:tc>
        <w:tc>
          <w:tcPr>
            <w:tcW w:w="907" w:type="dxa"/>
            <w:vAlign w:val="center"/>
          </w:tcPr>
          <w:p w14:paraId="5BAFBD72"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67" w:type="dxa"/>
            <w:vAlign w:val="center"/>
          </w:tcPr>
          <w:p w14:paraId="00039ABB"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0.220</w:t>
            </w:r>
          </w:p>
        </w:tc>
        <w:tc>
          <w:tcPr>
            <w:tcW w:w="850" w:type="dxa"/>
            <w:vAlign w:val="center"/>
          </w:tcPr>
          <w:p w14:paraId="2553A305"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r>
      <w:tr w:rsidR="00894CCD" w:rsidRPr="00BC76B8" w14:paraId="29DAE5C4" w14:textId="77777777" w:rsidTr="0006388D">
        <w:trPr>
          <w:trHeight w:val="295"/>
        </w:trPr>
        <w:tc>
          <w:tcPr>
            <w:tcW w:w="2552" w:type="dxa"/>
            <w:vAlign w:val="center"/>
          </w:tcPr>
          <w:p w14:paraId="1B9B6163"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Log likelihood</w:t>
            </w:r>
          </w:p>
        </w:tc>
        <w:tc>
          <w:tcPr>
            <w:tcW w:w="1520" w:type="dxa"/>
            <w:vAlign w:val="center"/>
          </w:tcPr>
          <w:p w14:paraId="32F3DE15" w14:textId="7C62F94E"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-117.5</w:t>
            </w:r>
            <w:r w:rsidR="00BE53F4" w:rsidRPr="00BC76B8">
              <w:rPr>
                <w:rFonts w:ascii="Times New Roman" w:hAnsi="Times New Roman" w:cs="Times New Roman"/>
                <w:sz w:val="20"/>
                <w:szCs w:val="20"/>
              </w:rPr>
              <w:t>1</w:t>
            </w:r>
          </w:p>
        </w:tc>
        <w:tc>
          <w:tcPr>
            <w:tcW w:w="926" w:type="dxa"/>
            <w:vAlign w:val="center"/>
          </w:tcPr>
          <w:p w14:paraId="509B95EB"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17" w:type="dxa"/>
            <w:vAlign w:val="center"/>
          </w:tcPr>
          <w:p w14:paraId="7BD34919" w14:textId="20C6798B"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-122.69</w:t>
            </w:r>
          </w:p>
        </w:tc>
        <w:tc>
          <w:tcPr>
            <w:tcW w:w="907" w:type="dxa"/>
            <w:vAlign w:val="center"/>
          </w:tcPr>
          <w:p w14:paraId="73A83BD1"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67" w:type="dxa"/>
            <w:vAlign w:val="center"/>
          </w:tcPr>
          <w:p w14:paraId="180BA4F5" w14:textId="3512795B"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-153.84</w:t>
            </w:r>
          </w:p>
        </w:tc>
        <w:tc>
          <w:tcPr>
            <w:tcW w:w="850" w:type="dxa"/>
            <w:vAlign w:val="center"/>
          </w:tcPr>
          <w:p w14:paraId="11C4115D"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r>
      <w:tr w:rsidR="00894CCD" w:rsidRPr="00BC76B8" w14:paraId="34D0E68A" w14:textId="77777777" w:rsidTr="0006388D">
        <w:trPr>
          <w:trHeight w:val="295"/>
        </w:trPr>
        <w:tc>
          <w:tcPr>
            <w:tcW w:w="2552" w:type="dxa"/>
            <w:vAlign w:val="center"/>
          </w:tcPr>
          <w:p w14:paraId="4DAD66E5" w14:textId="77777777" w:rsidR="007D7FE0" w:rsidRPr="00BC76B8" w:rsidRDefault="007D7FE0" w:rsidP="00CD468E">
            <w:pPr>
              <w:ind w:leftChars="0" w:left="2" w:hanging="2"/>
              <w:rPr>
                <w:rFonts w:ascii="Times New Roman" w:hAnsi="Times New Roman" w:cs="Times New Roman"/>
                <w:sz w:val="20"/>
                <w:szCs w:val="20"/>
                <w:lang w:eastAsia="en-MY"/>
              </w:rPr>
            </w:pPr>
            <w:r w:rsidRPr="00BC76B8">
              <w:rPr>
                <w:rFonts w:ascii="Times New Roman" w:hAnsi="Times New Roman" w:cs="Times New Roman"/>
                <w:sz w:val="20"/>
                <w:szCs w:val="20"/>
                <w:lang w:eastAsia="en-MY"/>
              </w:rPr>
              <w:t>Model X</w:t>
            </w:r>
            <w:r w:rsidRPr="00BC76B8">
              <w:rPr>
                <w:rFonts w:ascii="Times New Roman" w:hAnsi="Times New Roman" w:cs="Times New Roman"/>
                <w:sz w:val="20"/>
                <w:szCs w:val="20"/>
                <w:vertAlign w:val="superscript"/>
                <w:lang w:eastAsia="en-MY"/>
              </w:rPr>
              <w:t>2</w:t>
            </w:r>
            <w:r w:rsidRPr="00BC76B8">
              <w:rPr>
                <w:rFonts w:ascii="Times New Roman" w:hAnsi="Times New Roman" w:cs="Times New Roman"/>
                <w:sz w:val="20"/>
                <w:szCs w:val="20"/>
                <w:lang w:eastAsia="en-MY"/>
              </w:rPr>
              <w:t xml:space="preserve"> value</w:t>
            </w:r>
          </w:p>
        </w:tc>
        <w:tc>
          <w:tcPr>
            <w:tcW w:w="1520" w:type="dxa"/>
            <w:vAlign w:val="center"/>
          </w:tcPr>
          <w:p w14:paraId="10513F1A"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71.17</w:t>
            </w:r>
          </w:p>
        </w:tc>
        <w:tc>
          <w:tcPr>
            <w:tcW w:w="926" w:type="dxa"/>
            <w:vAlign w:val="center"/>
          </w:tcPr>
          <w:p w14:paraId="17EE8F1B"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17" w:type="dxa"/>
            <w:vAlign w:val="center"/>
          </w:tcPr>
          <w:p w14:paraId="35F4BD4D"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64.99</w:t>
            </w:r>
          </w:p>
        </w:tc>
        <w:tc>
          <w:tcPr>
            <w:tcW w:w="907" w:type="dxa"/>
            <w:vAlign w:val="center"/>
          </w:tcPr>
          <w:p w14:paraId="090EF92F"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c>
          <w:tcPr>
            <w:tcW w:w="1467" w:type="dxa"/>
            <w:vAlign w:val="center"/>
          </w:tcPr>
          <w:p w14:paraId="1E7A3B1F"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r w:rsidRPr="00BC76B8">
              <w:rPr>
                <w:rFonts w:ascii="Times New Roman" w:hAnsi="Times New Roman" w:cs="Times New Roman"/>
                <w:sz w:val="20"/>
                <w:szCs w:val="20"/>
                <w:lang w:val="en-MY" w:eastAsia="en-MY"/>
              </w:rPr>
              <w:t>86.86</w:t>
            </w:r>
          </w:p>
        </w:tc>
        <w:tc>
          <w:tcPr>
            <w:tcW w:w="850" w:type="dxa"/>
            <w:vAlign w:val="center"/>
          </w:tcPr>
          <w:p w14:paraId="523ACCD5" w14:textId="77777777" w:rsidR="007D7FE0" w:rsidRPr="00BC76B8" w:rsidRDefault="007D7FE0" w:rsidP="00CD468E">
            <w:pPr>
              <w:ind w:leftChars="0" w:left="2" w:hanging="2"/>
              <w:jc w:val="center"/>
              <w:rPr>
                <w:rFonts w:ascii="Times New Roman" w:hAnsi="Times New Roman" w:cs="Times New Roman"/>
                <w:sz w:val="20"/>
                <w:szCs w:val="20"/>
                <w:lang w:val="en-MY" w:eastAsia="en-MY"/>
              </w:rPr>
            </w:pPr>
          </w:p>
        </w:tc>
      </w:tr>
      <w:tr w:rsidR="00894CCD" w:rsidRPr="00BC76B8" w14:paraId="39AB644A" w14:textId="77777777" w:rsidTr="0006388D">
        <w:trPr>
          <w:trHeight w:val="295"/>
        </w:trPr>
        <w:tc>
          <w:tcPr>
            <w:tcW w:w="2552" w:type="dxa"/>
            <w:vAlign w:val="center"/>
          </w:tcPr>
          <w:p w14:paraId="4D2909D5" w14:textId="77777777"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n</w:t>
            </w:r>
          </w:p>
        </w:tc>
        <w:tc>
          <w:tcPr>
            <w:tcW w:w="1520" w:type="dxa"/>
            <w:vAlign w:val="center"/>
          </w:tcPr>
          <w:p w14:paraId="3A6B1815"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226</w:t>
            </w:r>
          </w:p>
        </w:tc>
        <w:tc>
          <w:tcPr>
            <w:tcW w:w="926" w:type="dxa"/>
            <w:vAlign w:val="center"/>
          </w:tcPr>
          <w:p w14:paraId="3987A017" w14:textId="77777777" w:rsidR="007D7FE0" w:rsidRPr="00BC76B8" w:rsidRDefault="007D7FE0" w:rsidP="00CD468E">
            <w:pPr>
              <w:ind w:leftChars="0" w:left="2" w:hanging="2"/>
              <w:jc w:val="center"/>
              <w:rPr>
                <w:rFonts w:ascii="Times New Roman" w:hAnsi="Times New Roman" w:cs="Times New Roman"/>
                <w:sz w:val="20"/>
                <w:szCs w:val="20"/>
              </w:rPr>
            </w:pPr>
          </w:p>
        </w:tc>
        <w:tc>
          <w:tcPr>
            <w:tcW w:w="1417" w:type="dxa"/>
            <w:vAlign w:val="center"/>
          </w:tcPr>
          <w:p w14:paraId="2315709E"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230</w:t>
            </w:r>
          </w:p>
        </w:tc>
        <w:tc>
          <w:tcPr>
            <w:tcW w:w="907" w:type="dxa"/>
            <w:vAlign w:val="center"/>
          </w:tcPr>
          <w:p w14:paraId="088E2436" w14:textId="77777777" w:rsidR="007D7FE0" w:rsidRPr="00BC76B8" w:rsidRDefault="007D7FE0" w:rsidP="00CD468E">
            <w:pPr>
              <w:ind w:leftChars="0" w:left="2" w:hanging="2"/>
              <w:jc w:val="center"/>
              <w:rPr>
                <w:rFonts w:ascii="Times New Roman" w:hAnsi="Times New Roman" w:cs="Times New Roman"/>
                <w:sz w:val="20"/>
                <w:szCs w:val="20"/>
              </w:rPr>
            </w:pPr>
          </w:p>
        </w:tc>
        <w:tc>
          <w:tcPr>
            <w:tcW w:w="1467" w:type="dxa"/>
            <w:vAlign w:val="center"/>
          </w:tcPr>
          <w:p w14:paraId="500FD1AE" w14:textId="77777777"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298</w:t>
            </w:r>
          </w:p>
        </w:tc>
        <w:tc>
          <w:tcPr>
            <w:tcW w:w="850" w:type="dxa"/>
            <w:vAlign w:val="center"/>
          </w:tcPr>
          <w:p w14:paraId="09EBE48B" w14:textId="77777777" w:rsidR="007D7FE0" w:rsidRPr="00BC76B8" w:rsidRDefault="007D7FE0" w:rsidP="00CD468E">
            <w:pPr>
              <w:ind w:leftChars="0" w:left="2" w:hanging="2"/>
              <w:jc w:val="center"/>
              <w:rPr>
                <w:rFonts w:ascii="Times New Roman" w:hAnsi="Times New Roman" w:cs="Times New Roman"/>
                <w:sz w:val="20"/>
                <w:szCs w:val="20"/>
              </w:rPr>
            </w:pPr>
          </w:p>
        </w:tc>
      </w:tr>
      <w:tr w:rsidR="00894CCD" w:rsidRPr="00BC76B8" w14:paraId="7FE32EF2" w14:textId="77777777" w:rsidTr="0006388D">
        <w:trPr>
          <w:trHeight w:val="116"/>
        </w:trPr>
        <w:tc>
          <w:tcPr>
            <w:tcW w:w="2552" w:type="dxa"/>
            <w:vAlign w:val="center"/>
          </w:tcPr>
          <w:p w14:paraId="7F3342C5" w14:textId="68D118A9"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 xml:space="preserve">Mean WTP </w:t>
            </w:r>
            <w:r w:rsidR="00825580" w:rsidRPr="00BC76B8">
              <w:rPr>
                <w:rFonts w:ascii="Times New Roman" w:hAnsi="Times New Roman" w:cs="Times New Roman"/>
                <w:sz w:val="20"/>
                <w:szCs w:val="20"/>
              </w:rPr>
              <w:t>in USD (RM)</w:t>
            </w:r>
          </w:p>
        </w:tc>
        <w:tc>
          <w:tcPr>
            <w:tcW w:w="1520" w:type="dxa"/>
            <w:vAlign w:val="center"/>
          </w:tcPr>
          <w:p w14:paraId="6C95823D" w14:textId="640CD5C5"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3.16</w:t>
            </w:r>
            <w:r w:rsidR="00E97B43" w:rsidRPr="00BC76B8">
              <w:rPr>
                <w:rFonts w:ascii="Times New Roman" w:hAnsi="Times New Roman" w:cs="Times New Roman"/>
                <w:sz w:val="20"/>
                <w:szCs w:val="20"/>
              </w:rPr>
              <w:t xml:space="preserve"> (13.14</w:t>
            </w:r>
            <w:r w:rsidR="00472C52" w:rsidRPr="00BC76B8">
              <w:rPr>
                <w:rFonts w:ascii="Times New Roman" w:hAnsi="Times New Roman" w:cs="Times New Roman"/>
                <w:sz w:val="20"/>
                <w:szCs w:val="20"/>
              </w:rPr>
              <w:t>)</w:t>
            </w:r>
          </w:p>
        </w:tc>
        <w:tc>
          <w:tcPr>
            <w:tcW w:w="926" w:type="dxa"/>
            <w:vAlign w:val="center"/>
          </w:tcPr>
          <w:p w14:paraId="3EB255F9" w14:textId="77777777" w:rsidR="007D7FE0" w:rsidRPr="00BC76B8" w:rsidRDefault="007D7FE0" w:rsidP="00CD468E">
            <w:pPr>
              <w:ind w:leftChars="0" w:left="2" w:hanging="2"/>
              <w:jc w:val="center"/>
              <w:rPr>
                <w:rFonts w:ascii="Times New Roman" w:hAnsi="Times New Roman" w:cs="Times New Roman"/>
                <w:sz w:val="20"/>
                <w:szCs w:val="20"/>
              </w:rPr>
            </w:pPr>
          </w:p>
        </w:tc>
        <w:tc>
          <w:tcPr>
            <w:tcW w:w="1417" w:type="dxa"/>
            <w:vAlign w:val="center"/>
          </w:tcPr>
          <w:p w14:paraId="5A98F604" w14:textId="0F1D1EDC"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3.17</w:t>
            </w:r>
            <w:r w:rsidR="00825580" w:rsidRPr="00BC76B8">
              <w:rPr>
                <w:rFonts w:ascii="Times New Roman" w:hAnsi="Times New Roman" w:cs="Times New Roman"/>
                <w:sz w:val="20"/>
                <w:szCs w:val="20"/>
              </w:rPr>
              <w:t xml:space="preserve"> (13.19</w:t>
            </w:r>
            <w:r w:rsidR="00472C52" w:rsidRPr="00BC76B8">
              <w:rPr>
                <w:rFonts w:ascii="Times New Roman" w:hAnsi="Times New Roman" w:cs="Times New Roman"/>
                <w:sz w:val="20"/>
                <w:szCs w:val="20"/>
              </w:rPr>
              <w:t>)</w:t>
            </w:r>
          </w:p>
        </w:tc>
        <w:tc>
          <w:tcPr>
            <w:tcW w:w="907" w:type="dxa"/>
            <w:vAlign w:val="center"/>
          </w:tcPr>
          <w:p w14:paraId="3922D903" w14:textId="77777777" w:rsidR="007D7FE0" w:rsidRPr="00BC76B8" w:rsidRDefault="007D7FE0" w:rsidP="00CD468E">
            <w:pPr>
              <w:ind w:leftChars="0" w:left="2" w:hanging="2"/>
              <w:jc w:val="center"/>
              <w:rPr>
                <w:rFonts w:ascii="Times New Roman" w:hAnsi="Times New Roman" w:cs="Times New Roman"/>
                <w:sz w:val="20"/>
                <w:szCs w:val="20"/>
              </w:rPr>
            </w:pPr>
          </w:p>
        </w:tc>
        <w:tc>
          <w:tcPr>
            <w:tcW w:w="1467" w:type="dxa"/>
            <w:vAlign w:val="center"/>
          </w:tcPr>
          <w:p w14:paraId="08EC0E9A" w14:textId="5B209405"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3.3</w:t>
            </w:r>
            <w:r w:rsidR="00472C52" w:rsidRPr="00BC76B8">
              <w:rPr>
                <w:rFonts w:ascii="Times New Roman" w:hAnsi="Times New Roman" w:cs="Times New Roman"/>
                <w:sz w:val="20"/>
                <w:szCs w:val="20"/>
              </w:rPr>
              <w:t>4</w:t>
            </w:r>
            <w:r w:rsidR="00825580" w:rsidRPr="00BC76B8">
              <w:rPr>
                <w:rFonts w:ascii="Times New Roman" w:hAnsi="Times New Roman" w:cs="Times New Roman"/>
                <w:sz w:val="20"/>
                <w:szCs w:val="20"/>
              </w:rPr>
              <w:t xml:space="preserve"> (13.92</w:t>
            </w:r>
            <w:r w:rsidR="00472C52" w:rsidRPr="00BC76B8">
              <w:rPr>
                <w:rFonts w:ascii="Times New Roman" w:hAnsi="Times New Roman" w:cs="Times New Roman"/>
                <w:sz w:val="20"/>
                <w:szCs w:val="20"/>
              </w:rPr>
              <w:t>)</w:t>
            </w:r>
          </w:p>
        </w:tc>
        <w:tc>
          <w:tcPr>
            <w:tcW w:w="850" w:type="dxa"/>
            <w:vAlign w:val="center"/>
          </w:tcPr>
          <w:p w14:paraId="62F8DA7F" w14:textId="77777777" w:rsidR="007D7FE0" w:rsidRPr="00BC76B8" w:rsidRDefault="007D7FE0" w:rsidP="00CD468E">
            <w:pPr>
              <w:ind w:leftChars="0" w:left="2" w:hanging="2"/>
              <w:jc w:val="center"/>
              <w:rPr>
                <w:rFonts w:ascii="Times New Roman" w:hAnsi="Times New Roman" w:cs="Times New Roman"/>
                <w:sz w:val="20"/>
                <w:szCs w:val="20"/>
              </w:rPr>
            </w:pPr>
          </w:p>
        </w:tc>
      </w:tr>
      <w:tr w:rsidR="00894CCD" w:rsidRPr="00BC76B8" w14:paraId="6723B864" w14:textId="77777777" w:rsidTr="0006388D">
        <w:trPr>
          <w:trHeight w:val="116"/>
        </w:trPr>
        <w:tc>
          <w:tcPr>
            <w:tcW w:w="2552" w:type="dxa"/>
            <w:tcBorders>
              <w:bottom w:val="single" w:sz="4" w:space="0" w:color="auto"/>
            </w:tcBorders>
            <w:vAlign w:val="center"/>
          </w:tcPr>
          <w:p w14:paraId="498D00EF" w14:textId="73F700A5" w:rsidR="007D7FE0" w:rsidRPr="00BC76B8" w:rsidRDefault="007D7FE0"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rPr>
              <w:t>95% confidence interval</w:t>
            </w:r>
            <w:r w:rsidR="002A6D94" w:rsidRPr="00BC76B8">
              <w:rPr>
                <w:rFonts w:ascii="Times New Roman" w:hAnsi="Times New Roman" w:cs="Times New Roman"/>
                <w:sz w:val="20"/>
                <w:szCs w:val="20"/>
              </w:rPr>
              <w:t xml:space="preserve"> </w:t>
            </w:r>
          </w:p>
        </w:tc>
        <w:tc>
          <w:tcPr>
            <w:tcW w:w="1520" w:type="dxa"/>
            <w:tcBorders>
              <w:bottom w:val="single" w:sz="4" w:space="0" w:color="auto"/>
            </w:tcBorders>
            <w:vAlign w:val="center"/>
          </w:tcPr>
          <w:p w14:paraId="4169B6F4" w14:textId="312ABF58"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2.73</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3.59</w:t>
            </w:r>
          </w:p>
        </w:tc>
        <w:tc>
          <w:tcPr>
            <w:tcW w:w="926" w:type="dxa"/>
            <w:tcBorders>
              <w:bottom w:val="single" w:sz="4" w:space="0" w:color="auto"/>
            </w:tcBorders>
            <w:vAlign w:val="center"/>
          </w:tcPr>
          <w:p w14:paraId="0F9C7839" w14:textId="77777777" w:rsidR="007D7FE0" w:rsidRPr="00BC76B8" w:rsidRDefault="007D7FE0" w:rsidP="00CD468E">
            <w:pPr>
              <w:ind w:leftChars="0" w:left="2" w:hanging="2"/>
              <w:jc w:val="center"/>
              <w:rPr>
                <w:rFonts w:ascii="Times New Roman" w:hAnsi="Times New Roman" w:cs="Times New Roman"/>
                <w:sz w:val="20"/>
                <w:szCs w:val="20"/>
              </w:rPr>
            </w:pPr>
          </w:p>
        </w:tc>
        <w:tc>
          <w:tcPr>
            <w:tcW w:w="1417" w:type="dxa"/>
            <w:tcBorders>
              <w:bottom w:val="single" w:sz="4" w:space="0" w:color="auto"/>
            </w:tcBorders>
            <w:vAlign w:val="center"/>
          </w:tcPr>
          <w:p w14:paraId="00BCE46C" w14:textId="7566438D"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2.71</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3.63</w:t>
            </w:r>
          </w:p>
        </w:tc>
        <w:tc>
          <w:tcPr>
            <w:tcW w:w="907" w:type="dxa"/>
            <w:tcBorders>
              <w:bottom w:val="single" w:sz="4" w:space="0" w:color="auto"/>
            </w:tcBorders>
            <w:vAlign w:val="center"/>
          </w:tcPr>
          <w:p w14:paraId="6993C22C" w14:textId="77777777" w:rsidR="007D7FE0" w:rsidRPr="00BC76B8" w:rsidRDefault="007D7FE0" w:rsidP="00CD468E">
            <w:pPr>
              <w:ind w:leftChars="0" w:left="2" w:hanging="2"/>
              <w:jc w:val="center"/>
              <w:rPr>
                <w:rFonts w:ascii="Times New Roman" w:hAnsi="Times New Roman" w:cs="Times New Roman"/>
                <w:sz w:val="20"/>
                <w:szCs w:val="20"/>
              </w:rPr>
            </w:pPr>
          </w:p>
        </w:tc>
        <w:tc>
          <w:tcPr>
            <w:tcW w:w="1467" w:type="dxa"/>
            <w:tcBorders>
              <w:bottom w:val="single" w:sz="4" w:space="0" w:color="auto"/>
            </w:tcBorders>
            <w:vAlign w:val="center"/>
          </w:tcPr>
          <w:p w14:paraId="648D0200" w14:textId="543A66D4" w:rsidR="007D7FE0" w:rsidRPr="00BC76B8" w:rsidRDefault="007D7FE0"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2.96</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w:t>
            </w:r>
            <w:r w:rsidR="00334FBB" w:rsidRPr="00BC76B8">
              <w:rPr>
                <w:rFonts w:ascii="Times New Roman" w:hAnsi="Times New Roman" w:cs="Times New Roman"/>
                <w:sz w:val="20"/>
                <w:szCs w:val="20"/>
              </w:rPr>
              <w:t xml:space="preserve"> </w:t>
            </w:r>
            <w:r w:rsidRPr="00BC76B8">
              <w:rPr>
                <w:rFonts w:ascii="Times New Roman" w:hAnsi="Times New Roman" w:cs="Times New Roman"/>
                <w:sz w:val="20"/>
                <w:szCs w:val="20"/>
              </w:rPr>
              <w:t>3.73</w:t>
            </w:r>
          </w:p>
        </w:tc>
        <w:tc>
          <w:tcPr>
            <w:tcW w:w="850" w:type="dxa"/>
            <w:tcBorders>
              <w:bottom w:val="single" w:sz="4" w:space="0" w:color="auto"/>
            </w:tcBorders>
            <w:vAlign w:val="center"/>
          </w:tcPr>
          <w:p w14:paraId="1092B483" w14:textId="77777777" w:rsidR="007D7FE0" w:rsidRPr="00BC76B8" w:rsidRDefault="007D7FE0" w:rsidP="00CD468E">
            <w:pPr>
              <w:ind w:leftChars="0" w:left="2" w:hanging="2"/>
              <w:jc w:val="center"/>
              <w:rPr>
                <w:rFonts w:ascii="Times New Roman" w:hAnsi="Times New Roman" w:cs="Times New Roman"/>
                <w:sz w:val="20"/>
                <w:szCs w:val="20"/>
              </w:rPr>
            </w:pPr>
          </w:p>
        </w:tc>
      </w:tr>
    </w:tbl>
    <w:p w14:paraId="70CFF6E4" w14:textId="52A60450" w:rsidR="00BE53F4" w:rsidRPr="00BC76B8" w:rsidRDefault="00BE53F4" w:rsidP="00CD468E">
      <w:pPr>
        <w:spacing w:after="0" w:line="240" w:lineRule="auto"/>
        <w:ind w:leftChars="0" w:left="2" w:hanging="2"/>
        <w:rPr>
          <w:rFonts w:ascii="Times New Roman" w:hAnsi="Times New Roman" w:cs="Times New Roman"/>
          <w:bCs/>
          <w:sz w:val="20"/>
          <w:szCs w:val="20"/>
        </w:rPr>
      </w:pPr>
      <w:r w:rsidRPr="00BC76B8">
        <w:rPr>
          <w:rFonts w:ascii="Times New Roman" w:hAnsi="Times New Roman" w:cs="Times New Roman"/>
          <w:bCs/>
          <w:sz w:val="20"/>
          <w:szCs w:val="20"/>
        </w:rPr>
        <w:t>Note: * Significant at the 5% level; RM=0.24 USD</w:t>
      </w:r>
      <w:r w:rsidR="00825580" w:rsidRPr="00BC76B8">
        <w:rPr>
          <w:rFonts w:ascii="Times New Roman" w:hAnsi="Times New Roman" w:cs="Times New Roman"/>
          <w:bCs/>
          <w:sz w:val="20"/>
          <w:szCs w:val="20"/>
        </w:rPr>
        <w:t>, SE – standard errors</w:t>
      </w:r>
    </w:p>
    <w:p w14:paraId="2CFD6390" w14:textId="77777777" w:rsidR="007D7FE0" w:rsidRPr="00BC76B8" w:rsidRDefault="007D7FE0" w:rsidP="00CD468E">
      <w:pPr>
        <w:spacing w:after="0" w:line="240" w:lineRule="auto"/>
        <w:ind w:leftChars="0" w:left="0" w:firstLineChars="177" w:firstLine="425"/>
        <w:jc w:val="both"/>
        <w:rPr>
          <w:rFonts w:ascii="Times New Roman" w:hAnsi="Times New Roman" w:cs="Times New Roman"/>
          <w:sz w:val="24"/>
          <w:szCs w:val="24"/>
        </w:rPr>
      </w:pPr>
    </w:p>
    <w:p w14:paraId="7200EB14" w14:textId="6C18A784" w:rsidR="00C07761" w:rsidRPr="00BC76B8" w:rsidRDefault="00C07761" w:rsidP="0057758A">
      <w:pPr>
        <w:spacing w:after="0" w:line="240" w:lineRule="auto"/>
        <w:ind w:leftChars="0" w:left="0" w:firstLineChars="0" w:firstLine="720"/>
        <w:jc w:val="both"/>
        <w:rPr>
          <w:rFonts w:ascii="Times New Roman" w:hAnsi="Times New Roman" w:cs="Times New Roman"/>
          <w:sz w:val="24"/>
          <w:szCs w:val="24"/>
        </w:rPr>
      </w:pPr>
      <w:r w:rsidRPr="00BC76B8">
        <w:rPr>
          <w:rFonts w:ascii="Times New Roman" w:hAnsi="Times New Roman" w:cs="Times New Roman"/>
          <w:sz w:val="24"/>
          <w:szCs w:val="24"/>
        </w:rPr>
        <w:t xml:space="preserve">For Putrajaya Lake, the mean WTP per person was </w:t>
      </w:r>
      <w:r w:rsidR="00472C52" w:rsidRPr="00BC76B8">
        <w:rPr>
          <w:rFonts w:ascii="Times New Roman" w:hAnsi="Times New Roman" w:cs="Times New Roman"/>
          <w:sz w:val="24"/>
          <w:szCs w:val="24"/>
        </w:rPr>
        <w:t>~</w:t>
      </w:r>
      <w:r w:rsidRPr="00BC76B8">
        <w:rPr>
          <w:rFonts w:ascii="Times New Roman" w:hAnsi="Times New Roman" w:cs="Times New Roman"/>
          <w:sz w:val="24"/>
          <w:szCs w:val="24"/>
        </w:rPr>
        <w:t>USD3.35</w:t>
      </w:r>
      <w:r w:rsidR="00BE53F4" w:rsidRPr="00BC76B8">
        <w:rPr>
          <w:rFonts w:ascii="Times New Roman" w:hAnsi="Times New Roman" w:cs="Times New Roman"/>
          <w:sz w:val="24"/>
          <w:szCs w:val="24"/>
        </w:rPr>
        <w:t xml:space="preserve"> (Table 4)</w:t>
      </w:r>
      <w:r w:rsidRPr="00BC76B8">
        <w:rPr>
          <w:rFonts w:ascii="Times New Roman" w:hAnsi="Times New Roman" w:cs="Times New Roman"/>
          <w:sz w:val="24"/>
          <w:szCs w:val="24"/>
        </w:rPr>
        <w:t xml:space="preserve">. Among the main reasons for willingness to pay for Putrajaya Lake is for managing lake and wetland, and its </w:t>
      </w:r>
      <w:r w:rsidRPr="00BC76B8">
        <w:rPr>
          <w:rFonts w:ascii="Times New Roman" w:hAnsi="Times New Roman" w:cs="Times New Roman"/>
          <w:sz w:val="24"/>
          <w:szCs w:val="24"/>
        </w:rPr>
        <w:lastRenderedPageBreak/>
        <w:t xml:space="preserve">biodiversity in Putrajaya Lake contributing about 30% of response followed by circumventing deterioration in ensuring the Lake can be used for future generations contributing about 25% of responses. </w:t>
      </w:r>
      <w:r w:rsidRPr="00BC76B8">
        <w:rPr>
          <w:rFonts w:ascii="Times New Roman" w:hAnsi="Times New Roman" w:cs="Times New Roman"/>
          <w:sz w:val="24"/>
          <w:szCs w:val="24"/>
          <w:lang w:val="en-AU"/>
        </w:rPr>
        <w:t xml:space="preserve">This WTP value is slightly lower than the WTP value found in an earlier study on </w:t>
      </w:r>
      <w:r w:rsidR="00A82EBC" w:rsidRPr="00BC76B8">
        <w:rPr>
          <w:rFonts w:ascii="Times New Roman" w:hAnsi="Times New Roman" w:cs="Times New Roman"/>
          <w:sz w:val="24"/>
          <w:szCs w:val="24"/>
          <w:lang w:val="en-AU"/>
        </w:rPr>
        <w:t xml:space="preserve">the </w:t>
      </w:r>
      <w:r w:rsidRPr="00BC76B8">
        <w:rPr>
          <w:rFonts w:ascii="Times New Roman" w:hAnsi="Times New Roman" w:cs="Times New Roman"/>
          <w:sz w:val="24"/>
          <w:szCs w:val="24"/>
          <w:lang w:val="en-AU"/>
        </w:rPr>
        <w:t xml:space="preserve">conservation of Putrajaya Lake (Noordin et al., 2018). This low value is possibly due to different respondents surveyed. Respondents in the earlier study were largely tourists and recreational users. In this study, respondents include communities living and working in the areas. </w:t>
      </w:r>
      <w:r w:rsidRPr="00BC76B8">
        <w:rPr>
          <w:rFonts w:ascii="Times New Roman" w:hAnsi="Times New Roman" w:cs="Times New Roman"/>
          <w:sz w:val="24"/>
          <w:szCs w:val="24"/>
        </w:rPr>
        <w:t>The total value of Putrajaya Lake based on the adult population and under the present net value of 8% was USD2.3</w:t>
      </w:r>
      <w:r w:rsidR="00472C52" w:rsidRPr="00BC76B8">
        <w:rPr>
          <w:rFonts w:ascii="Times New Roman" w:hAnsi="Times New Roman" w:cs="Times New Roman"/>
          <w:sz w:val="24"/>
          <w:szCs w:val="24"/>
        </w:rPr>
        <w:t>5</w:t>
      </w:r>
      <w:r w:rsidRPr="00BC76B8">
        <w:rPr>
          <w:rFonts w:ascii="Times New Roman" w:hAnsi="Times New Roman" w:cs="Times New Roman"/>
          <w:sz w:val="24"/>
          <w:szCs w:val="24"/>
        </w:rPr>
        <w:t xml:space="preserve"> million (</w:t>
      </w:r>
      <w:r w:rsidR="00472C52" w:rsidRPr="00BC76B8">
        <w:rPr>
          <w:rFonts w:ascii="Times New Roman" w:hAnsi="Times New Roman" w:cs="Times New Roman"/>
          <w:sz w:val="24"/>
          <w:szCs w:val="24"/>
        </w:rPr>
        <w:t>Putrajaya Lake</w:t>
      </w:r>
      <w:r w:rsidRPr="00BC76B8">
        <w:rPr>
          <w:rFonts w:ascii="Times New Roman" w:hAnsi="Times New Roman" w:cs="Times New Roman"/>
          <w:sz w:val="24"/>
          <w:szCs w:val="24"/>
        </w:rPr>
        <w:t xml:space="preserve"> catchment) or about USD15.1 million (Putrajaya and downstream). This study showed that respondents perceived that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management of Putrajaya Lake and wetland and its biodiversity as the main factor driving the motivation to pay (Figure 3). Since the lake is a man-made lake created for recreation purposes, its management is crucial for ensuring that the water quality remains at its highest standard for primary and secondary body contact (Majizat et al., 2016). Respondents’ positive response indicates that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management of Putrajaya Lake is important.</w:t>
      </w:r>
    </w:p>
    <w:p w14:paraId="7CCBDC79" w14:textId="73A26F46" w:rsidR="00183C2C" w:rsidRPr="00BC76B8" w:rsidRDefault="00183C2C"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rPr>
      </w:pPr>
    </w:p>
    <w:p w14:paraId="33D6035F" w14:textId="3FBF86E2" w:rsidR="00183C2C" w:rsidRPr="00BC76B8" w:rsidRDefault="00957E97"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rPr>
      </w:pPr>
      <w:r w:rsidRPr="00BC76B8">
        <w:rPr>
          <w:rFonts w:ascii="Times New Roman" w:hAnsi="Times New Roman" w:cs="Times New Roman"/>
          <w:noProof/>
          <w:position w:val="0"/>
          <w:sz w:val="24"/>
          <w:szCs w:val="24"/>
          <w:lang w:val="en-MY" w:eastAsia="en-MY"/>
        </w:rPr>
        <mc:AlternateContent>
          <mc:Choice Requires="wps">
            <w:drawing>
              <wp:anchor distT="0" distB="0" distL="0" distR="0" simplePos="0" relativeHeight="251660288" behindDoc="0" locked="0" layoutInCell="1" allowOverlap="1" wp14:anchorId="664B08D8" wp14:editId="3A7A8652">
                <wp:simplePos x="0" y="0"/>
                <wp:positionH relativeFrom="margin">
                  <wp:align>left</wp:align>
                </wp:positionH>
                <wp:positionV relativeFrom="paragraph">
                  <wp:posOffset>185420</wp:posOffset>
                </wp:positionV>
                <wp:extent cx="5867400" cy="2217420"/>
                <wp:effectExtent l="0" t="0" r="19050" b="11430"/>
                <wp:wrapSquare wrapText="bothSides"/>
                <wp:docPr id="3" name="Rectangle 3"/>
                <wp:cNvGraphicFramePr/>
                <a:graphic xmlns:a="http://schemas.openxmlformats.org/drawingml/2006/main">
                  <a:graphicData uri="http://schemas.microsoft.com/office/word/2010/wordprocessingShape">
                    <wps:wsp>
                      <wps:cNvSpPr/>
                      <wps:spPr>
                        <a:xfrm>
                          <a:off x="0" y="0"/>
                          <a:ext cx="5867400" cy="221742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22B74C" w14:textId="2F09B653" w:rsidR="00855827" w:rsidRDefault="00855827" w:rsidP="0057758A">
                            <w:pPr>
                              <w:spacing w:line="240" w:lineRule="auto"/>
                              <w:ind w:leftChars="0" w:left="2" w:hanging="2"/>
                              <w:jc w:val="center"/>
                            </w:pPr>
                            <w:r>
                              <w:rPr>
                                <w:noProof/>
                                <w:position w:val="0"/>
                                <w:sz w:val="20"/>
                                <w:szCs w:val="20"/>
                                <w:lang w:val="en-MY" w:eastAsia="en-MY"/>
                              </w:rPr>
                              <w:drawing>
                                <wp:inline distT="0" distB="0" distL="0" distR="0" wp14:anchorId="679F2A32" wp14:editId="76B23E37">
                                  <wp:extent cx="5021580" cy="21488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t="11494"/>
                                          <a:stretch>
                                            <a:fillRect/>
                                          </a:stretch>
                                        </pic:blipFill>
                                        <pic:spPr bwMode="auto">
                                          <a:xfrm>
                                            <a:off x="0" y="0"/>
                                            <a:ext cx="5021580" cy="2148840"/>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64B08D8" id="Rectangle 3" o:spid="_x0000_s1028" style="position:absolute;left:0;text-align:left;margin-left:0;margin-top:14.6pt;width:462pt;height:174.6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">
                <v:stroke startarrowwidth="narrow" startarrowlength="short" endarrowwidth="narrow" endarrowlength="short" joinstyle="round"/>
                <v:textbox inset="2.53958mm,2.53958mm,2.53958mm,2.53958mm">
                  <w:txbxContent>
                    <w:p w14:paraId="6022B74C" w14:textId="2F09B653" w:rsidR="00855827" w:rsidRDefault="00855827" w:rsidP="0057758A">
                      <w:pPr>
                        <w:spacing w:line="240" w:lineRule="auto"/>
                        <w:ind w:leftChars="0" w:left="2" w:hanging="2"/>
                        <w:jc w:val="center"/>
                      </w:pPr>
                      <w:r>
                        <w:rPr>
                          <w:noProof/>
                          <w:position w:val="0"/>
                          <w:sz w:val="20"/>
                          <w:szCs w:val="20"/>
                          <w:lang w:val="en-MY" w:eastAsia="en-MY"/>
                        </w:rPr>
                        <w:drawing>
                          <wp:inline distT="0" distB="0" distL="0" distR="0" wp14:anchorId="679F2A32" wp14:editId="76B23E37">
                            <wp:extent cx="5021580" cy="21488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t="11494"/>
                                    <a:stretch>
                                      <a:fillRect/>
                                    </a:stretch>
                                  </pic:blipFill>
                                  <pic:spPr bwMode="auto">
                                    <a:xfrm>
                                      <a:off x="0" y="0"/>
                                      <a:ext cx="5021580" cy="2148840"/>
                                    </a:xfrm>
                                    <a:prstGeom prst="rect">
                                      <a:avLst/>
                                    </a:prstGeom>
                                    <a:noFill/>
                                    <a:ln>
                                      <a:noFill/>
                                    </a:ln>
                                  </pic:spPr>
                                </pic:pic>
                              </a:graphicData>
                            </a:graphic>
                          </wp:inline>
                        </w:drawing>
                      </w:r>
                    </w:p>
                  </w:txbxContent>
                </v:textbox>
                <w10:wrap type="square" anchorx="margin"/>
              </v:rect>
            </w:pict>
          </mc:Fallback>
        </mc:AlternateContent>
      </w:r>
    </w:p>
    <w:p w14:paraId="39532C5C" w14:textId="77777777" w:rsidR="00957E97" w:rsidRPr="00BC76B8" w:rsidRDefault="00957E97"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rPr>
      </w:pPr>
    </w:p>
    <w:p w14:paraId="46D99991" w14:textId="3DB14FF2" w:rsidR="00957E97" w:rsidRPr="00BC76B8" w:rsidRDefault="00957E97" w:rsidP="00CD468E">
      <w:pPr>
        <w:spacing w:after="0" w:line="240" w:lineRule="auto"/>
        <w:ind w:leftChars="0" w:left="2" w:hanging="2"/>
        <w:jc w:val="center"/>
        <w:rPr>
          <w:rFonts w:ascii="Times New Roman" w:hAnsi="Times New Roman" w:cs="Times New Roman"/>
          <w:sz w:val="20"/>
          <w:szCs w:val="20"/>
        </w:rPr>
      </w:pPr>
      <w:r w:rsidRPr="00BC76B8">
        <w:rPr>
          <w:rFonts w:ascii="Times New Roman" w:hAnsi="Times New Roman" w:cs="Times New Roman"/>
          <w:b/>
          <w:sz w:val="20"/>
          <w:szCs w:val="20"/>
        </w:rPr>
        <w:t>Figure 3</w:t>
      </w:r>
      <w:r w:rsidRPr="00BC76B8">
        <w:rPr>
          <w:rFonts w:ascii="Times New Roman" w:hAnsi="Times New Roman" w:cs="Times New Roman"/>
          <w:sz w:val="20"/>
          <w:szCs w:val="20"/>
        </w:rPr>
        <w:t>. Motivation factors for WTP (%) in (a) Muda Lake (b) Putrajaya Lake</w:t>
      </w:r>
    </w:p>
    <w:p w14:paraId="344C1F44" w14:textId="126ECD1D" w:rsidR="00183C2C" w:rsidRPr="00BC76B8" w:rsidRDefault="00183C2C"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rPr>
      </w:pPr>
    </w:p>
    <w:p w14:paraId="09113404" w14:textId="76A26A16" w:rsidR="00BE53F4" w:rsidRPr="00BC76B8" w:rsidRDefault="00BE53F4" w:rsidP="0057758A">
      <w:pPr>
        <w:spacing w:after="0" w:line="240" w:lineRule="auto"/>
        <w:ind w:leftChars="0" w:left="0" w:firstLineChars="0" w:firstLine="720"/>
        <w:jc w:val="both"/>
        <w:rPr>
          <w:rFonts w:ascii="Times New Roman" w:hAnsi="Times New Roman" w:cs="Times New Roman"/>
          <w:sz w:val="24"/>
          <w:szCs w:val="24"/>
        </w:rPr>
      </w:pPr>
      <w:r w:rsidRPr="00BC76B8">
        <w:rPr>
          <w:rFonts w:ascii="Times New Roman" w:hAnsi="Times New Roman" w:cs="Times New Roman"/>
          <w:sz w:val="24"/>
          <w:szCs w:val="24"/>
        </w:rPr>
        <w:t xml:space="preserve">For Muda Lake, the mean WTP per person was </w:t>
      </w:r>
      <w:r w:rsidR="000F7040" w:rsidRPr="00BC76B8">
        <w:rPr>
          <w:rFonts w:ascii="Times New Roman" w:hAnsi="Times New Roman" w:cs="Times New Roman"/>
          <w:sz w:val="24"/>
          <w:szCs w:val="24"/>
        </w:rPr>
        <w:t>~</w:t>
      </w:r>
      <w:r w:rsidRPr="00BC76B8">
        <w:rPr>
          <w:rFonts w:ascii="Times New Roman" w:hAnsi="Times New Roman" w:cs="Times New Roman"/>
          <w:sz w:val="24"/>
          <w:szCs w:val="24"/>
          <w:lang w:val="en-MY" w:eastAsia="en-MY"/>
        </w:rPr>
        <w:t>USD3.20</w:t>
      </w:r>
      <w:r w:rsidR="000F7040" w:rsidRPr="00BC76B8">
        <w:rPr>
          <w:rFonts w:ascii="Times New Roman" w:hAnsi="Times New Roman" w:cs="Times New Roman"/>
          <w:sz w:val="24"/>
          <w:szCs w:val="24"/>
          <w:lang w:val="en-MY" w:eastAsia="en-MY"/>
        </w:rPr>
        <w:t xml:space="preserve"> (Table 4)</w:t>
      </w:r>
      <w:r w:rsidRPr="00BC76B8">
        <w:rPr>
          <w:rFonts w:ascii="Times New Roman" w:hAnsi="Times New Roman" w:cs="Times New Roman"/>
          <w:sz w:val="24"/>
          <w:szCs w:val="24"/>
          <w:lang w:val="en-MY" w:eastAsia="en-MY"/>
        </w:rPr>
        <w:t xml:space="preserve">. </w:t>
      </w:r>
      <w:r w:rsidRPr="00BC76B8">
        <w:rPr>
          <w:rFonts w:ascii="Times New Roman" w:hAnsi="Times New Roman" w:cs="Times New Roman"/>
          <w:sz w:val="24"/>
          <w:szCs w:val="24"/>
        </w:rPr>
        <w:t xml:space="preserve">Among the main reasons for willingness to pay for Muda Lake is for avoiding deterioration in the lake so that it can be used for future generations contributing about 37% of response followed by the need for managing lake and wetland, and its biodiversity contributing about 24% of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response. The total value of Muda Lake based on the number of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adult population and under the present net value of 8% was about USD5.816 million. </w:t>
      </w:r>
      <w:r w:rsidR="00A82EBC" w:rsidRPr="00BC76B8">
        <w:rPr>
          <w:rFonts w:ascii="Times New Roman" w:hAnsi="Times New Roman" w:cs="Times New Roman"/>
          <w:sz w:val="24"/>
          <w:szCs w:val="24"/>
        </w:rPr>
        <w:t>A h</w:t>
      </w:r>
      <w:r w:rsidRPr="00BC76B8">
        <w:rPr>
          <w:rFonts w:ascii="Times New Roman" w:hAnsi="Times New Roman" w:cs="Times New Roman"/>
          <w:sz w:val="24"/>
          <w:szCs w:val="24"/>
        </w:rPr>
        <w:t>igher WTP value will be expected if the total population downstream of the areas were included. The main factor driving the motivation to pay was for avoiding further deterioration of Muda Lake for future generation</w:t>
      </w:r>
      <w:r w:rsidR="00A82EBC" w:rsidRPr="00BC76B8">
        <w:rPr>
          <w:rFonts w:ascii="Times New Roman" w:hAnsi="Times New Roman" w:cs="Times New Roman"/>
          <w:sz w:val="24"/>
          <w:szCs w:val="24"/>
        </w:rPr>
        <w:t>s</w:t>
      </w:r>
      <w:r w:rsidRPr="00BC76B8">
        <w:rPr>
          <w:rFonts w:ascii="Times New Roman" w:hAnsi="Times New Roman" w:cs="Times New Roman"/>
          <w:sz w:val="24"/>
          <w:szCs w:val="24"/>
        </w:rPr>
        <w:t xml:space="preserve">. </w:t>
      </w:r>
    </w:p>
    <w:p w14:paraId="7405253D" w14:textId="21736FF6" w:rsidR="00BE53F4" w:rsidRPr="00BC76B8" w:rsidRDefault="00BE53F4" w:rsidP="0057758A">
      <w:pPr>
        <w:spacing w:after="0" w:line="240" w:lineRule="auto"/>
        <w:ind w:leftChars="0" w:left="0" w:firstLineChars="0" w:firstLine="720"/>
        <w:jc w:val="both"/>
        <w:rPr>
          <w:rFonts w:ascii="Times New Roman" w:hAnsi="Times New Roman" w:cs="Times New Roman"/>
          <w:sz w:val="24"/>
          <w:szCs w:val="24"/>
        </w:rPr>
      </w:pPr>
      <w:r w:rsidRPr="00BC76B8">
        <w:rPr>
          <w:rFonts w:ascii="Times New Roman" w:hAnsi="Times New Roman" w:cs="Times New Roman"/>
          <w:sz w:val="24"/>
          <w:szCs w:val="24"/>
        </w:rPr>
        <w:t xml:space="preserve">The WTP found in this study is much higher compared to WTP for conservation of Tasik Chini and Paya Indah </w:t>
      </w:r>
      <w:r w:rsidR="004C4F1A" w:rsidRPr="00BC76B8">
        <w:rPr>
          <w:rFonts w:ascii="Times New Roman" w:hAnsi="Times New Roman" w:cs="Times New Roman"/>
          <w:sz w:val="24"/>
          <w:szCs w:val="24"/>
        </w:rPr>
        <w:t>W</w:t>
      </w:r>
      <w:r w:rsidRPr="00BC76B8">
        <w:rPr>
          <w:rFonts w:ascii="Times New Roman" w:hAnsi="Times New Roman" w:cs="Times New Roman"/>
          <w:sz w:val="24"/>
          <w:szCs w:val="24"/>
        </w:rPr>
        <w:t xml:space="preserve">etland, Malaysia. The WTP for entrance using logit model to Tasik Chini was USD2.14 per entrance contributing to a value of about USD39,022 (Abdullah et al., 2018) while in Paya Indah wetland was USD1.71 per entrance fee per person contributing to a value of about USD151,626.90 in 2012 (Siew et al., 2015). Tasik Chini and Paya Indah Wetland are two wetlands of importance in Malaysia that are in rural areas. Public willingness to pay for conservation of Tasik Chini Biosphere reserve increased with the improvement of four attributes </w:t>
      </w:r>
      <w:r w:rsidRPr="00BC76B8">
        <w:rPr>
          <w:rFonts w:ascii="Times New Roman" w:hAnsi="Times New Roman" w:cs="Times New Roman"/>
          <w:sz w:val="24"/>
          <w:szCs w:val="24"/>
        </w:rPr>
        <w:lastRenderedPageBreak/>
        <w:t>namely lotus cover, lotus varieties, diversity of fish</w:t>
      </w:r>
      <w:r w:rsidR="004C4F1A" w:rsidRPr="00BC76B8">
        <w:rPr>
          <w:rFonts w:ascii="Times New Roman" w:hAnsi="Times New Roman" w:cs="Times New Roman"/>
          <w:sz w:val="24"/>
          <w:szCs w:val="24"/>
        </w:rPr>
        <w:t>,</w:t>
      </w:r>
      <w:r w:rsidRPr="00BC76B8">
        <w:rPr>
          <w:rFonts w:ascii="Times New Roman" w:hAnsi="Times New Roman" w:cs="Times New Roman"/>
          <w:sz w:val="24"/>
          <w:szCs w:val="24"/>
        </w:rPr>
        <w:t xml:space="preserve"> and aesthetics values (Abdullah et al., 2018). Higher WTP recorded in this study indicates higher regard</w:t>
      </w:r>
      <w:r w:rsidR="004C4F1A" w:rsidRPr="00BC76B8">
        <w:rPr>
          <w:rFonts w:ascii="Times New Roman" w:hAnsi="Times New Roman" w:cs="Times New Roman"/>
          <w:sz w:val="24"/>
          <w:szCs w:val="24"/>
        </w:rPr>
        <w:t xml:space="preserve"> for</w:t>
      </w:r>
      <w:r w:rsidRPr="00BC76B8">
        <w:rPr>
          <w:rFonts w:ascii="Times New Roman" w:hAnsi="Times New Roman" w:cs="Times New Roman"/>
          <w:sz w:val="24"/>
          <w:szCs w:val="24"/>
        </w:rPr>
        <w:t xml:space="preserve"> the local communities in the area for conservation of both lake basins. In an earlier study, the WTP for conservation of Putrajaya Lake alone was reported at USD3.51 contributing to a total value of more than USD240 million when considering the total Klang Valley population (Noordin et al., 2017, 2018). WTP found in this study is slightly lower than WTP in </w:t>
      </w:r>
      <w:r w:rsidR="00A82EBC" w:rsidRPr="00BC76B8">
        <w:rPr>
          <w:rFonts w:ascii="Times New Roman" w:hAnsi="Times New Roman" w:cs="Times New Roman"/>
          <w:sz w:val="24"/>
          <w:szCs w:val="24"/>
        </w:rPr>
        <w:t xml:space="preserve">a </w:t>
      </w:r>
      <w:r w:rsidRPr="00BC76B8">
        <w:rPr>
          <w:rFonts w:ascii="Times New Roman" w:hAnsi="Times New Roman" w:cs="Times New Roman"/>
          <w:sz w:val="24"/>
          <w:szCs w:val="24"/>
        </w:rPr>
        <w:t>previous study that focus</w:t>
      </w:r>
      <w:r w:rsidR="00A82EBC" w:rsidRPr="00BC76B8">
        <w:rPr>
          <w:rFonts w:ascii="Times New Roman" w:hAnsi="Times New Roman" w:cs="Times New Roman"/>
          <w:sz w:val="24"/>
          <w:szCs w:val="24"/>
        </w:rPr>
        <w:t>es</w:t>
      </w:r>
      <w:r w:rsidRPr="00BC76B8">
        <w:rPr>
          <w:rFonts w:ascii="Times New Roman" w:hAnsi="Times New Roman" w:cs="Times New Roman"/>
          <w:sz w:val="24"/>
          <w:szCs w:val="24"/>
        </w:rPr>
        <w:t xml:space="preserve"> on </w:t>
      </w:r>
      <w:r w:rsidR="00A82EBC" w:rsidRPr="00BC76B8">
        <w:rPr>
          <w:rFonts w:ascii="Times New Roman" w:hAnsi="Times New Roman" w:cs="Times New Roman"/>
          <w:sz w:val="24"/>
          <w:szCs w:val="24"/>
        </w:rPr>
        <w:t xml:space="preserve">the </w:t>
      </w:r>
      <w:r w:rsidRPr="00BC76B8">
        <w:rPr>
          <w:rFonts w:ascii="Times New Roman" w:hAnsi="Times New Roman" w:cs="Times New Roman"/>
          <w:sz w:val="24"/>
          <w:szCs w:val="24"/>
        </w:rPr>
        <w:t>management of lake</w:t>
      </w:r>
      <w:r w:rsidR="004C4F1A" w:rsidRPr="00BC76B8">
        <w:rPr>
          <w:rFonts w:ascii="Times New Roman" w:hAnsi="Times New Roman" w:cs="Times New Roman"/>
          <w:sz w:val="24"/>
          <w:szCs w:val="24"/>
        </w:rPr>
        <w:t>s</w:t>
      </w:r>
      <w:r w:rsidRPr="00BC76B8">
        <w:rPr>
          <w:rFonts w:ascii="Times New Roman" w:hAnsi="Times New Roman" w:cs="Times New Roman"/>
          <w:sz w:val="24"/>
          <w:szCs w:val="24"/>
        </w:rPr>
        <w:t xml:space="preserve"> and wetland</w:t>
      </w:r>
      <w:r w:rsidR="00A82EBC" w:rsidRPr="00BC76B8">
        <w:rPr>
          <w:rFonts w:ascii="Times New Roman" w:hAnsi="Times New Roman" w:cs="Times New Roman"/>
          <w:sz w:val="24"/>
          <w:szCs w:val="24"/>
        </w:rPr>
        <w:t>s</w:t>
      </w:r>
      <w:r w:rsidRPr="00BC76B8">
        <w:rPr>
          <w:rFonts w:ascii="Times New Roman" w:hAnsi="Times New Roman" w:cs="Times New Roman"/>
          <w:sz w:val="24"/>
          <w:szCs w:val="24"/>
        </w:rPr>
        <w:t>. Lower values would probably due to lower awareness o</w:t>
      </w:r>
      <w:r w:rsidR="004C4F1A" w:rsidRPr="00BC76B8">
        <w:rPr>
          <w:rFonts w:ascii="Times New Roman" w:hAnsi="Times New Roman" w:cs="Times New Roman"/>
          <w:sz w:val="24"/>
          <w:szCs w:val="24"/>
        </w:rPr>
        <w:t>f</w:t>
      </w:r>
      <w:r w:rsidRPr="00BC76B8">
        <w:rPr>
          <w:rFonts w:ascii="Times New Roman" w:hAnsi="Times New Roman" w:cs="Times New Roman"/>
          <w:sz w:val="24"/>
          <w:szCs w:val="24"/>
        </w:rPr>
        <w:t xml:space="preserve"> climate change impact among the respondents. Putrajaya Lake </w:t>
      </w:r>
      <w:r w:rsidR="004C4F1A" w:rsidRPr="00BC76B8">
        <w:rPr>
          <w:rFonts w:ascii="Times New Roman" w:hAnsi="Times New Roman" w:cs="Times New Roman"/>
          <w:sz w:val="24"/>
          <w:szCs w:val="24"/>
        </w:rPr>
        <w:t>is</w:t>
      </w:r>
      <w:r w:rsidRPr="00BC76B8">
        <w:rPr>
          <w:rFonts w:ascii="Times New Roman" w:hAnsi="Times New Roman" w:cs="Times New Roman"/>
          <w:sz w:val="24"/>
          <w:szCs w:val="24"/>
        </w:rPr>
        <w:t xml:space="preserve"> one of the most well-designed and managed lake basins in the country also has considered various measures in the design of the dam to address hydrological variability. Awareness o</w:t>
      </w:r>
      <w:r w:rsidR="004C4F1A" w:rsidRPr="00BC76B8">
        <w:rPr>
          <w:rFonts w:ascii="Times New Roman" w:hAnsi="Times New Roman" w:cs="Times New Roman"/>
          <w:sz w:val="24"/>
          <w:szCs w:val="24"/>
        </w:rPr>
        <w:t>f</w:t>
      </w:r>
      <w:r w:rsidRPr="00BC76B8">
        <w:rPr>
          <w:rFonts w:ascii="Times New Roman" w:hAnsi="Times New Roman" w:cs="Times New Roman"/>
          <w:sz w:val="24"/>
          <w:szCs w:val="24"/>
        </w:rPr>
        <w:t xml:space="preserve"> climate change impacts on Muda Lake management was also high possibly due to the importance of the dam in irrigating the country’s largest paddy irrigation scheme. Extreme prolonged droughts had occurred in the area impacting the double</w:t>
      </w:r>
      <w:r w:rsidR="004C4F1A" w:rsidRPr="00BC76B8">
        <w:rPr>
          <w:rFonts w:ascii="Times New Roman" w:hAnsi="Times New Roman" w:cs="Times New Roman"/>
          <w:sz w:val="24"/>
          <w:szCs w:val="24"/>
        </w:rPr>
        <w:t>-</w:t>
      </w:r>
      <w:r w:rsidRPr="00BC76B8">
        <w:rPr>
          <w:rFonts w:ascii="Times New Roman" w:hAnsi="Times New Roman" w:cs="Times New Roman"/>
          <w:sz w:val="24"/>
          <w:szCs w:val="24"/>
        </w:rPr>
        <w:t xml:space="preserve">cropping planting and increasing awareness and preparedness among the agencies and residents towards extreme events and climate change (Lip, 2010; ICID, 2017). </w:t>
      </w:r>
    </w:p>
    <w:p w14:paraId="37B126F3" w14:textId="6787E7F2" w:rsidR="00BE53F4" w:rsidRPr="00BC76B8" w:rsidRDefault="00BE53F4" w:rsidP="0057758A">
      <w:pPr>
        <w:spacing w:after="0" w:line="240" w:lineRule="auto"/>
        <w:ind w:leftChars="0" w:left="0" w:firstLineChars="0" w:firstLine="720"/>
        <w:jc w:val="both"/>
        <w:rPr>
          <w:rFonts w:ascii="Times New Roman" w:hAnsi="Times New Roman" w:cs="Times New Roman"/>
          <w:sz w:val="24"/>
          <w:szCs w:val="24"/>
          <w:lang w:eastAsia="en-MY"/>
        </w:rPr>
      </w:pPr>
      <w:r w:rsidRPr="00BC76B8">
        <w:rPr>
          <w:rFonts w:ascii="Times New Roman" w:hAnsi="Times New Roman" w:cs="Times New Roman"/>
          <w:sz w:val="24"/>
          <w:szCs w:val="24"/>
        </w:rPr>
        <w:t xml:space="preserve">A total of 38.2% of participants in </w:t>
      </w:r>
      <w:r w:rsidR="004C4F1A"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Muda survey and 37.6% of participants in </w:t>
      </w:r>
      <w:r w:rsidR="004C4F1A" w:rsidRPr="00BC76B8">
        <w:rPr>
          <w:rFonts w:ascii="Times New Roman" w:hAnsi="Times New Roman" w:cs="Times New Roman"/>
          <w:sz w:val="24"/>
          <w:szCs w:val="24"/>
        </w:rPr>
        <w:t xml:space="preserve">the </w:t>
      </w:r>
      <w:r w:rsidRPr="00BC76B8">
        <w:rPr>
          <w:rFonts w:ascii="Times New Roman" w:hAnsi="Times New Roman" w:cs="Times New Roman"/>
          <w:sz w:val="24"/>
          <w:szCs w:val="24"/>
        </w:rPr>
        <w:t xml:space="preserve">Putrajaya survey were not willing to pay for the contribution of climate change and conservation trust funds (Table </w:t>
      </w:r>
      <w:r w:rsidR="00C428E9" w:rsidRPr="00BC76B8">
        <w:rPr>
          <w:rFonts w:ascii="Times New Roman" w:hAnsi="Times New Roman" w:cs="Times New Roman"/>
          <w:sz w:val="24"/>
          <w:szCs w:val="24"/>
        </w:rPr>
        <w:t>5</w:t>
      </w:r>
      <w:r w:rsidRPr="00BC76B8">
        <w:rPr>
          <w:rFonts w:ascii="Times New Roman" w:hAnsi="Times New Roman" w:cs="Times New Roman"/>
          <w:sz w:val="24"/>
          <w:szCs w:val="24"/>
        </w:rPr>
        <w:t>). Most of the participants (&gt;50%) were unwilling to pay because they perceive that m</w:t>
      </w:r>
      <w:r w:rsidRPr="00BC76B8">
        <w:rPr>
          <w:rFonts w:ascii="Times New Roman" w:hAnsi="Times New Roman" w:cs="Times New Roman"/>
          <w:sz w:val="24"/>
          <w:szCs w:val="24"/>
          <w:lang w:eastAsia="en-MY"/>
        </w:rPr>
        <w:t xml:space="preserve">anagement and maintenance costs should be borne by the government. About 15% of the population in </w:t>
      </w:r>
      <w:r w:rsidR="004C4F1A" w:rsidRPr="00BC76B8">
        <w:rPr>
          <w:rFonts w:ascii="Times New Roman" w:hAnsi="Times New Roman" w:cs="Times New Roman"/>
          <w:sz w:val="24"/>
          <w:szCs w:val="24"/>
          <w:lang w:eastAsia="en-MY"/>
        </w:rPr>
        <w:t xml:space="preserve">the </w:t>
      </w:r>
      <w:r w:rsidRPr="00BC76B8">
        <w:rPr>
          <w:rFonts w:ascii="Times New Roman" w:hAnsi="Times New Roman" w:cs="Times New Roman"/>
          <w:sz w:val="24"/>
          <w:szCs w:val="24"/>
          <w:lang w:eastAsia="en-MY"/>
        </w:rPr>
        <w:t xml:space="preserve">Muda survey have low income to afford </w:t>
      </w:r>
      <w:r w:rsidR="004C4F1A" w:rsidRPr="00BC76B8">
        <w:rPr>
          <w:rFonts w:ascii="Times New Roman" w:hAnsi="Times New Roman" w:cs="Times New Roman"/>
          <w:sz w:val="24"/>
          <w:szCs w:val="24"/>
          <w:lang w:eastAsia="en-MY"/>
        </w:rPr>
        <w:t xml:space="preserve">to </w:t>
      </w:r>
      <w:r w:rsidRPr="00BC76B8">
        <w:rPr>
          <w:rFonts w:ascii="Times New Roman" w:hAnsi="Times New Roman" w:cs="Times New Roman"/>
          <w:sz w:val="24"/>
          <w:szCs w:val="24"/>
          <w:lang w:eastAsia="en-MY"/>
        </w:rPr>
        <w:t>contribut</w:t>
      </w:r>
      <w:r w:rsidR="004C4F1A" w:rsidRPr="00BC76B8">
        <w:rPr>
          <w:rFonts w:ascii="Times New Roman" w:hAnsi="Times New Roman" w:cs="Times New Roman"/>
          <w:sz w:val="24"/>
          <w:szCs w:val="24"/>
          <w:lang w:eastAsia="en-MY"/>
        </w:rPr>
        <w:t>e</w:t>
      </w:r>
      <w:r w:rsidRPr="00BC76B8">
        <w:rPr>
          <w:rFonts w:ascii="Times New Roman" w:hAnsi="Times New Roman" w:cs="Times New Roman"/>
          <w:sz w:val="24"/>
          <w:szCs w:val="24"/>
          <w:lang w:eastAsia="en-MY"/>
        </w:rPr>
        <w:t xml:space="preserve"> to the fund while another 15% of the population are willing to pay different amounts. While in the Putrajaya Lake survey, about 18% of the population are willing to pay different amounts of climate change funds while another 16% of the population are willing to pay in other different ways.</w:t>
      </w:r>
    </w:p>
    <w:p w14:paraId="6C8D12B7" w14:textId="77777777" w:rsidR="00BE53F4" w:rsidRPr="00BC76B8" w:rsidRDefault="00BE53F4"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7B13E106" w14:textId="2D3C2EC8" w:rsidR="00BE53F4" w:rsidRPr="00BC76B8" w:rsidRDefault="00BE53F4" w:rsidP="00CD468E">
      <w:pPr>
        <w:spacing w:after="0" w:line="240" w:lineRule="auto"/>
        <w:ind w:leftChars="0" w:left="2" w:hanging="2"/>
        <w:jc w:val="center"/>
        <w:rPr>
          <w:rFonts w:ascii="Times New Roman" w:eastAsia="Times New Roman" w:hAnsi="Times New Roman"/>
          <w:sz w:val="20"/>
          <w:szCs w:val="20"/>
          <w:lang w:eastAsia="en-MY"/>
        </w:rPr>
      </w:pPr>
      <w:r w:rsidRPr="00BC76B8">
        <w:rPr>
          <w:rFonts w:ascii="Times New Roman" w:eastAsia="Times New Roman" w:hAnsi="Times New Roman"/>
          <w:b/>
          <w:bCs/>
          <w:sz w:val="20"/>
          <w:szCs w:val="20"/>
          <w:lang w:eastAsia="en-MY"/>
        </w:rPr>
        <w:t xml:space="preserve">Table </w:t>
      </w:r>
      <w:r w:rsidR="00C428E9" w:rsidRPr="00BC76B8">
        <w:rPr>
          <w:rFonts w:ascii="Times New Roman" w:eastAsia="Times New Roman" w:hAnsi="Times New Roman"/>
          <w:b/>
          <w:bCs/>
          <w:sz w:val="20"/>
          <w:szCs w:val="20"/>
          <w:lang w:eastAsia="en-MY"/>
        </w:rPr>
        <w:t>5</w:t>
      </w:r>
      <w:r w:rsidRPr="00BC76B8">
        <w:rPr>
          <w:rFonts w:ascii="Times New Roman" w:eastAsia="Times New Roman" w:hAnsi="Times New Roman"/>
          <w:sz w:val="20"/>
          <w:szCs w:val="20"/>
          <w:lang w:eastAsia="en-MY"/>
        </w:rPr>
        <w:t>. The reason for not willing to pay (percentage)</w:t>
      </w:r>
      <w:r w:rsidR="003916BA">
        <w:rPr>
          <w:rFonts w:ascii="Times New Roman" w:eastAsia="Times New Roman" w:hAnsi="Times New Roman"/>
          <w:sz w:val="20"/>
          <w:szCs w:val="20"/>
          <w:lang w:eastAsia="en-MY"/>
        </w:rPr>
        <w:t>.</w:t>
      </w:r>
    </w:p>
    <w:p w14:paraId="44ACAEC5" w14:textId="77777777" w:rsidR="00BE53F4" w:rsidRPr="00BC76B8" w:rsidRDefault="00BE53F4"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rPr>
      </w:pPr>
    </w:p>
    <w:tbl>
      <w:tblPr>
        <w:tblStyle w:val="TableGrid"/>
        <w:tblW w:w="89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gridCol w:w="1560"/>
        <w:gridCol w:w="1275"/>
      </w:tblGrid>
      <w:tr w:rsidR="00BC76B8" w:rsidRPr="00BC76B8" w14:paraId="670E5012" w14:textId="77777777" w:rsidTr="003916BA">
        <w:trPr>
          <w:jc w:val="center"/>
        </w:trPr>
        <w:tc>
          <w:tcPr>
            <w:tcW w:w="6095" w:type="dxa"/>
            <w:tcBorders>
              <w:top w:val="single" w:sz="4" w:space="0" w:color="auto"/>
              <w:left w:val="nil"/>
              <w:bottom w:val="single" w:sz="4" w:space="0" w:color="auto"/>
              <w:right w:val="nil"/>
            </w:tcBorders>
            <w:shd w:val="clear" w:color="auto" w:fill="8DB3E2" w:themeFill="text2" w:themeFillTint="66"/>
            <w:hideMark/>
          </w:tcPr>
          <w:p w14:paraId="2FB9A4B1" w14:textId="77777777" w:rsidR="00BE53F4" w:rsidRPr="00BC76B8" w:rsidRDefault="00BE53F4" w:rsidP="00CD468E">
            <w:pPr>
              <w:ind w:leftChars="0" w:left="2" w:hanging="2"/>
              <w:rPr>
                <w:rFonts w:ascii="Times New Roman" w:hAnsi="Times New Roman" w:cs="Times New Roman"/>
                <w:b/>
                <w:sz w:val="20"/>
                <w:szCs w:val="20"/>
              </w:rPr>
            </w:pPr>
            <w:r w:rsidRPr="00BC76B8">
              <w:rPr>
                <w:rFonts w:ascii="Times New Roman" w:hAnsi="Times New Roman" w:cs="Times New Roman"/>
                <w:b/>
                <w:sz w:val="20"/>
                <w:szCs w:val="20"/>
              </w:rPr>
              <w:t>Reason</w:t>
            </w:r>
          </w:p>
        </w:tc>
        <w:tc>
          <w:tcPr>
            <w:tcW w:w="1560" w:type="dxa"/>
            <w:tcBorders>
              <w:top w:val="single" w:sz="4" w:space="0" w:color="auto"/>
              <w:left w:val="nil"/>
              <w:bottom w:val="single" w:sz="4" w:space="0" w:color="auto"/>
              <w:right w:val="nil"/>
            </w:tcBorders>
            <w:shd w:val="clear" w:color="auto" w:fill="8DB3E2" w:themeFill="text2" w:themeFillTint="66"/>
            <w:hideMark/>
          </w:tcPr>
          <w:p w14:paraId="7FEFEE11" w14:textId="77777777" w:rsidR="00BE53F4" w:rsidRPr="00BC76B8" w:rsidRDefault="00BE53F4"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Putrajaya Lake</w:t>
            </w:r>
          </w:p>
        </w:tc>
        <w:tc>
          <w:tcPr>
            <w:tcW w:w="1275" w:type="dxa"/>
            <w:tcBorders>
              <w:top w:val="single" w:sz="4" w:space="0" w:color="auto"/>
              <w:left w:val="nil"/>
              <w:bottom w:val="single" w:sz="4" w:space="0" w:color="auto"/>
              <w:right w:val="nil"/>
            </w:tcBorders>
            <w:shd w:val="clear" w:color="auto" w:fill="8DB3E2" w:themeFill="text2" w:themeFillTint="66"/>
            <w:hideMark/>
          </w:tcPr>
          <w:p w14:paraId="328D053A" w14:textId="77777777" w:rsidR="00BE53F4" w:rsidRPr="00BC76B8" w:rsidRDefault="00BE53F4" w:rsidP="00CD468E">
            <w:pPr>
              <w:ind w:leftChars="0" w:left="2" w:hanging="2"/>
              <w:jc w:val="center"/>
              <w:rPr>
                <w:rFonts w:ascii="Times New Roman" w:hAnsi="Times New Roman" w:cs="Times New Roman"/>
                <w:b/>
                <w:bCs/>
                <w:sz w:val="20"/>
                <w:szCs w:val="20"/>
              </w:rPr>
            </w:pPr>
            <w:r w:rsidRPr="00BC76B8">
              <w:rPr>
                <w:rFonts w:ascii="Times New Roman" w:hAnsi="Times New Roman" w:cs="Times New Roman"/>
                <w:b/>
                <w:bCs/>
                <w:sz w:val="20"/>
                <w:szCs w:val="20"/>
              </w:rPr>
              <w:t xml:space="preserve">Muda Lake </w:t>
            </w:r>
          </w:p>
        </w:tc>
      </w:tr>
      <w:tr w:rsidR="00BC76B8" w:rsidRPr="00BC76B8" w14:paraId="3C632A9F" w14:textId="77777777" w:rsidTr="003916BA">
        <w:trPr>
          <w:jc w:val="center"/>
        </w:trPr>
        <w:tc>
          <w:tcPr>
            <w:tcW w:w="6095" w:type="dxa"/>
            <w:tcBorders>
              <w:top w:val="single" w:sz="4" w:space="0" w:color="auto"/>
              <w:left w:val="nil"/>
              <w:bottom w:val="nil"/>
              <w:right w:val="nil"/>
            </w:tcBorders>
            <w:vAlign w:val="center"/>
            <w:hideMark/>
          </w:tcPr>
          <w:p w14:paraId="2B229FC0" w14:textId="77777777" w:rsidR="00BE53F4" w:rsidRPr="00BC76B8" w:rsidRDefault="00BE53F4"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Not afford to pay</w:t>
            </w:r>
          </w:p>
        </w:tc>
        <w:tc>
          <w:tcPr>
            <w:tcW w:w="1560" w:type="dxa"/>
            <w:tcBorders>
              <w:top w:val="single" w:sz="4" w:space="0" w:color="auto"/>
              <w:left w:val="nil"/>
              <w:bottom w:val="nil"/>
              <w:right w:val="nil"/>
            </w:tcBorders>
            <w:vAlign w:val="bottom"/>
            <w:hideMark/>
          </w:tcPr>
          <w:p w14:paraId="6A576117"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7</w:t>
            </w:r>
          </w:p>
        </w:tc>
        <w:tc>
          <w:tcPr>
            <w:tcW w:w="1275" w:type="dxa"/>
            <w:tcBorders>
              <w:top w:val="single" w:sz="4" w:space="0" w:color="auto"/>
              <w:left w:val="nil"/>
              <w:bottom w:val="nil"/>
              <w:right w:val="nil"/>
            </w:tcBorders>
            <w:vAlign w:val="bottom"/>
            <w:hideMark/>
          </w:tcPr>
          <w:p w14:paraId="35348F1D"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15</w:t>
            </w:r>
          </w:p>
        </w:tc>
      </w:tr>
      <w:tr w:rsidR="00BC76B8" w:rsidRPr="00BC76B8" w14:paraId="7D4A55E6" w14:textId="77777777" w:rsidTr="003916BA">
        <w:trPr>
          <w:jc w:val="center"/>
        </w:trPr>
        <w:tc>
          <w:tcPr>
            <w:tcW w:w="6095" w:type="dxa"/>
            <w:tcBorders>
              <w:top w:val="nil"/>
              <w:left w:val="nil"/>
              <w:bottom w:val="nil"/>
              <w:right w:val="nil"/>
            </w:tcBorders>
            <w:vAlign w:val="center"/>
            <w:hideMark/>
          </w:tcPr>
          <w:p w14:paraId="4366DC7F" w14:textId="77777777" w:rsidR="00BE53F4" w:rsidRPr="00BC76B8" w:rsidRDefault="00BE53F4"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Willing to pay but not the stated amount</w:t>
            </w:r>
          </w:p>
        </w:tc>
        <w:tc>
          <w:tcPr>
            <w:tcW w:w="1560" w:type="dxa"/>
            <w:tcBorders>
              <w:top w:val="nil"/>
              <w:left w:val="nil"/>
              <w:bottom w:val="nil"/>
              <w:right w:val="nil"/>
            </w:tcBorders>
            <w:vAlign w:val="bottom"/>
            <w:hideMark/>
          </w:tcPr>
          <w:p w14:paraId="5C25B998"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18</w:t>
            </w:r>
          </w:p>
        </w:tc>
        <w:tc>
          <w:tcPr>
            <w:tcW w:w="1275" w:type="dxa"/>
            <w:tcBorders>
              <w:top w:val="nil"/>
              <w:left w:val="nil"/>
              <w:bottom w:val="nil"/>
              <w:right w:val="nil"/>
            </w:tcBorders>
            <w:vAlign w:val="bottom"/>
            <w:hideMark/>
          </w:tcPr>
          <w:p w14:paraId="2E4DE4AC"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15</w:t>
            </w:r>
          </w:p>
        </w:tc>
      </w:tr>
      <w:tr w:rsidR="00BC76B8" w:rsidRPr="00BC76B8" w14:paraId="57B51BA5" w14:textId="77777777" w:rsidTr="003916BA">
        <w:trPr>
          <w:jc w:val="center"/>
        </w:trPr>
        <w:tc>
          <w:tcPr>
            <w:tcW w:w="6095" w:type="dxa"/>
            <w:tcBorders>
              <w:top w:val="nil"/>
              <w:left w:val="nil"/>
              <w:bottom w:val="nil"/>
              <w:right w:val="nil"/>
            </w:tcBorders>
            <w:vAlign w:val="center"/>
            <w:hideMark/>
          </w:tcPr>
          <w:p w14:paraId="27CE5A55" w14:textId="77777777" w:rsidR="00BE53F4" w:rsidRPr="00BC76B8" w:rsidRDefault="00BE53F4"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Willing to pay the stated amount but in different ways</w:t>
            </w:r>
          </w:p>
        </w:tc>
        <w:tc>
          <w:tcPr>
            <w:tcW w:w="1560" w:type="dxa"/>
            <w:tcBorders>
              <w:top w:val="nil"/>
              <w:left w:val="nil"/>
              <w:bottom w:val="nil"/>
              <w:right w:val="nil"/>
            </w:tcBorders>
            <w:vAlign w:val="bottom"/>
            <w:hideMark/>
          </w:tcPr>
          <w:p w14:paraId="326C396F"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16</w:t>
            </w:r>
          </w:p>
        </w:tc>
        <w:tc>
          <w:tcPr>
            <w:tcW w:w="1275" w:type="dxa"/>
            <w:tcBorders>
              <w:top w:val="nil"/>
              <w:left w:val="nil"/>
              <w:bottom w:val="nil"/>
              <w:right w:val="nil"/>
            </w:tcBorders>
            <w:vAlign w:val="bottom"/>
            <w:hideMark/>
          </w:tcPr>
          <w:p w14:paraId="7CE426E5"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9</w:t>
            </w:r>
          </w:p>
        </w:tc>
      </w:tr>
      <w:tr w:rsidR="00BC76B8" w:rsidRPr="00BC76B8" w14:paraId="69D6D2E8" w14:textId="77777777" w:rsidTr="003916BA">
        <w:trPr>
          <w:trHeight w:val="319"/>
          <w:jc w:val="center"/>
        </w:trPr>
        <w:tc>
          <w:tcPr>
            <w:tcW w:w="6095" w:type="dxa"/>
            <w:tcBorders>
              <w:top w:val="nil"/>
              <w:left w:val="nil"/>
              <w:bottom w:val="nil"/>
              <w:right w:val="nil"/>
            </w:tcBorders>
            <w:vAlign w:val="center"/>
            <w:hideMark/>
          </w:tcPr>
          <w:p w14:paraId="59F27DE7" w14:textId="77777777" w:rsidR="00BE53F4" w:rsidRPr="00BC76B8" w:rsidRDefault="00BE53F4"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Management and maintenance costs should be borne by the government</w:t>
            </w:r>
          </w:p>
        </w:tc>
        <w:tc>
          <w:tcPr>
            <w:tcW w:w="1560" w:type="dxa"/>
            <w:tcBorders>
              <w:top w:val="nil"/>
              <w:left w:val="nil"/>
              <w:bottom w:val="nil"/>
              <w:right w:val="nil"/>
            </w:tcBorders>
            <w:vAlign w:val="center"/>
            <w:hideMark/>
          </w:tcPr>
          <w:p w14:paraId="46D4F583"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51</w:t>
            </w:r>
          </w:p>
        </w:tc>
        <w:tc>
          <w:tcPr>
            <w:tcW w:w="1275" w:type="dxa"/>
            <w:tcBorders>
              <w:top w:val="nil"/>
              <w:left w:val="nil"/>
              <w:bottom w:val="nil"/>
              <w:right w:val="nil"/>
            </w:tcBorders>
            <w:vAlign w:val="center"/>
            <w:hideMark/>
          </w:tcPr>
          <w:p w14:paraId="72DB8053"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57</w:t>
            </w:r>
          </w:p>
        </w:tc>
      </w:tr>
      <w:tr w:rsidR="00BC76B8" w:rsidRPr="00BC76B8" w14:paraId="1E16E633" w14:textId="77777777" w:rsidTr="003916BA">
        <w:trPr>
          <w:trHeight w:val="116"/>
          <w:jc w:val="center"/>
        </w:trPr>
        <w:tc>
          <w:tcPr>
            <w:tcW w:w="6095" w:type="dxa"/>
            <w:tcBorders>
              <w:top w:val="nil"/>
              <w:left w:val="nil"/>
              <w:bottom w:val="single" w:sz="4" w:space="0" w:color="auto"/>
              <w:right w:val="nil"/>
            </w:tcBorders>
            <w:vAlign w:val="center"/>
            <w:hideMark/>
          </w:tcPr>
          <w:p w14:paraId="7165F7B4" w14:textId="77777777" w:rsidR="00BE53F4" w:rsidRPr="00BC76B8" w:rsidRDefault="00BE53F4" w:rsidP="00CD468E">
            <w:pPr>
              <w:ind w:leftChars="0" w:left="2" w:hanging="2"/>
              <w:rPr>
                <w:rFonts w:ascii="Times New Roman" w:hAnsi="Times New Roman" w:cs="Times New Roman"/>
                <w:sz w:val="20"/>
                <w:szCs w:val="20"/>
              </w:rPr>
            </w:pPr>
            <w:r w:rsidRPr="00BC76B8">
              <w:rPr>
                <w:rFonts w:ascii="Times New Roman" w:hAnsi="Times New Roman" w:cs="Times New Roman"/>
                <w:sz w:val="20"/>
                <w:szCs w:val="20"/>
                <w:lang w:eastAsia="en-MY"/>
              </w:rPr>
              <w:t>Others</w:t>
            </w:r>
          </w:p>
        </w:tc>
        <w:tc>
          <w:tcPr>
            <w:tcW w:w="1560" w:type="dxa"/>
            <w:tcBorders>
              <w:top w:val="nil"/>
              <w:left w:val="nil"/>
              <w:bottom w:val="single" w:sz="4" w:space="0" w:color="auto"/>
              <w:right w:val="nil"/>
            </w:tcBorders>
            <w:vAlign w:val="bottom"/>
            <w:hideMark/>
          </w:tcPr>
          <w:p w14:paraId="6FDCA408"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rPr>
              <w:t>7</w:t>
            </w:r>
          </w:p>
        </w:tc>
        <w:tc>
          <w:tcPr>
            <w:tcW w:w="1275" w:type="dxa"/>
            <w:tcBorders>
              <w:top w:val="nil"/>
              <w:left w:val="nil"/>
              <w:bottom w:val="single" w:sz="4" w:space="0" w:color="auto"/>
              <w:right w:val="nil"/>
            </w:tcBorders>
            <w:vAlign w:val="bottom"/>
            <w:hideMark/>
          </w:tcPr>
          <w:p w14:paraId="7E8DB99E" w14:textId="77777777" w:rsidR="00BE53F4" w:rsidRPr="00BC76B8" w:rsidRDefault="00BE53F4" w:rsidP="00CD468E">
            <w:pPr>
              <w:ind w:leftChars="0" w:left="2" w:hanging="2"/>
              <w:jc w:val="center"/>
              <w:rPr>
                <w:rFonts w:ascii="Times New Roman" w:hAnsi="Times New Roman" w:cs="Times New Roman"/>
                <w:sz w:val="20"/>
                <w:szCs w:val="20"/>
              </w:rPr>
            </w:pPr>
            <w:r w:rsidRPr="00BC76B8">
              <w:rPr>
                <w:rFonts w:ascii="Times New Roman" w:hAnsi="Times New Roman" w:cs="Times New Roman"/>
                <w:sz w:val="20"/>
                <w:szCs w:val="20"/>
                <w:lang w:val="en-MY" w:eastAsia="en-MY"/>
              </w:rPr>
              <w:t>4</w:t>
            </w:r>
          </w:p>
        </w:tc>
      </w:tr>
    </w:tbl>
    <w:p w14:paraId="6F89F97B" w14:textId="77777777" w:rsidR="00BE53F4" w:rsidRPr="00BC76B8" w:rsidRDefault="00BE53F4" w:rsidP="00CD468E">
      <w:pPr>
        <w:pBdr>
          <w:top w:val="nil"/>
          <w:left w:val="nil"/>
          <w:bottom w:val="nil"/>
          <w:right w:val="nil"/>
          <w:between w:val="nil"/>
        </w:pBdr>
        <w:spacing w:after="0" w:line="240" w:lineRule="auto"/>
        <w:ind w:leftChars="0" w:left="2" w:hanging="2"/>
        <w:rPr>
          <w:rFonts w:ascii="Times New Roman" w:eastAsia="Times New Roman" w:hAnsi="Times New Roman" w:cs="Times New Roman"/>
          <w:sz w:val="20"/>
          <w:szCs w:val="20"/>
        </w:rPr>
      </w:pPr>
      <w:r w:rsidRPr="00BC76B8">
        <w:rPr>
          <w:rFonts w:ascii="Times New Roman" w:eastAsia="Times New Roman" w:hAnsi="Times New Roman" w:cs="Times New Roman"/>
          <w:sz w:val="20"/>
          <w:szCs w:val="20"/>
        </w:rPr>
        <w:t xml:space="preserve"> </w:t>
      </w:r>
    </w:p>
    <w:p w14:paraId="67583FAE" w14:textId="77777777" w:rsidR="00183C2C" w:rsidRPr="00BC76B8" w:rsidRDefault="00183C2C" w:rsidP="00CD468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0"/>
          <w:szCs w:val="20"/>
        </w:rPr>
      </w:pPr>
    </w:p>
    <w:p w14:paraId="7B46C8E0" w14:textId="3F0FE6BC" w:rsidR="00C07761" w:rsidRPr="00BC76B8" w:rsidRDefault="00C07761" w:rsidP="0057758A">
      <w:pPr>
        <w:spacing w:after="0" w:line="240" w:lineRule="auto"/>
        <w:ind w:leftChars="0" w:left="0" w:firstLineChars="0" w:firstLine="720"/>
        <w:jc w:val="both"/>
        <w:rPr>
          <w:rFonts w:ascii="Times New Roman" w:hAnsi="Times New Roman" w:cs="Times New Roman"/>
          <w:sz w:val="24"/>
          <w:szCs w:val="24"/>
        </w:rPr>
      </w:pPr>
      <w:r w:rsidRPr="00BC76B8">
        <w:rPr>
          <w:rFonts w:ascii="Times New Roman" w:hAnsi="Times New Roman" w:cs="Times New Roman"/>
          <w:sz w:val="24"/>
          <w:szCs w:val="24"/>
        </w:rPr>
        <w:t xml:space="preserve">In this study, no correlations were observed between </w:t>
      </w:r>
      <w:r w:rsidR="009909B4" w:rsidRPr="00BC76B8">
        <w:rPr>
          <w:rFonts w:ascii="Times New Roman" w:hAnsi="Times New Roman" w:cs="Times New Roman"/>
          <w:sz w:val="24"/>
          <w:szCs w:val="24"/>
        </w:rPr>
        <w:t xml:space="preserve">income, </w:t>
      </w:r>
      <w:r w:rsidRPr="00BC76B8">
        <w:rPr>
          <w:rFonts w:ascii="Times New Roman" w:hAnsi="Times New Roman" w:cs="Times New Roman"/>
          <w:sz w:val="24"/>
          <w:szCs w:val="24"/>
        </w:rPr>
        <w:t xml:space="preserve">gender, marital </w:t>
      </w:r>
      <w:r w:rsidR="007D7FE0" w:rsidRPr="00BC76B8">
        <w:rPr>
          <w:rFonts w:ascii="Times New Roman" w:hAnsi="Times New Roman" w:cs="Times New Roman"/>
          <w:sz w:val="24"/>
          <w:szCs w:val="24"/>
        </w:rPr>
        <w:t>status,</w:t>
      </w:r>
      <w:r w:rsidRPr="00BC76B8">
        <w:rPr>
          <w:rFonts w:ascii="Times New Roman" w:hAnsi="Times New Roman" w:cs="Times New Roman"/>
          <w:sz w:val="24"/>
          <w:szCs w:val="24"/>
        </w:rPr>
        <w:t xml:space="preserve"> and job category parameters</w:t>
      </w:r>
      <w:r w:rsidR="004C4F1A" w:rsidRPr="00BC76B8">
        <w:rPr>
          <w:rFonts w:ascii="Times New Roman" w:hAnsi="Times New Roman" w:cs="Times New Roman"/>
          <w:sz w:val="24"/>
          <w:szCs w:val="24"/>
        </w:rPr>
        <w:t>,</w:t>
      </w:r>
      <w:r w:rsidRPr="00BC76B8">
        <w:rPr>
          <w:rFonts w:ascii="Times New Roman" w:hAnsi="Times New Roman" w:cs="Times New Roman"/>
          <w:sz w:val="24"/>
          <w:szCs w:val="24"/>
        </w:rPr>
        <w:t xml:space="preserve"> and WTP in both surveys. People’s willingness to pay was not related to their income levels. The year of education w</w:t>
      </w:r>
      <w:r w:rsidR="004C4F1A" w:rsidRPr="00BC76B8">
        <w:rPr>
          <w:rFonts w:ascii="Times New Roman" w:hAnsi="Times New Roman" w:cs="Times New Roman"/>
          <w:sz w:val="24"/>
          <w:szCs w:val="24"/>
        </w:rPr>
        <w:t>as</w:t>
      </w:r>
      <w:r w:rsidRPr="00BC76B8">
        <w:rPr>
          <w:rFonts w:ascii="Times New Roman" w:hAnsi="Times New Roman" w:cs="Times New Roman"/>
          <w:sz w:val="24"/>
          <w:szCs w:val="24"/>
        </w:rPr>
        <w:t xml:space="preserve"> significantly correlated to WTP in the final logit model. The long years in </w:t>
      </w:r>
      <w:r w:rsidR="004C4F1A" w:rsidRPr="00BC76B8">
        <w:rPr>
          <w:rFonts w:ascii="Times New Roman" w:hAnsi="Times New Roman" w:cs="Times New Roman"/>
          <w:sz w:val="24"/>
          <w:szCs w:val="24"/>
        </w:rPr>
        <w:t xml:space="preserve">the </w:t>
      </w:r>
      <w:r w:rsidRPr="00BC76B8">
        <w:rPr>
          <w:rFonts w:ascii="Times New Roman" w:hAnsi="Times New Roman" w:cs="Times New Roman"/>
          <w:sz w:val="24"/>
          <w:szCs w:val="24"/>
        </w:rPr>
        <w:t>education of the participants, the higher the willingness to contribute to conservation and protection. This is consistent with findings by Langford et al. (1998) that people with higher education level</w:t>
      </w:r>
      <w:r w:rsidR="004C4F1A" w:rsidRPr="00BC76B8">
        <w:rPr>
          <w:rFonts w:ascii="Times New Roman" w:hAnsi="Times New Roman" w:cs="Times New Roman"/>
          <w:sz w:val="24"/>
          <w:szCs w:val="24"/>
        </w:rPr>
        <w:t>s</w:t>
      </w:r>
      <w:r w:rsidRPr="00BC76B8">
        <w:rPr>
          <w:rFonts w:ascii="Times New Roman" w:hAnsi="Times New Roman" w:cs="Times New Roman"/>
          <w:sz w:val="24"/>
          <w:szCs w:val="24"/>
        </w:rPr>
        <w:t xml:space="preserve"> can understand the need for conserving and protecting lake environmental resources. Age </w:t>
      </w:r>
      <w:r w:rsidR="007D7FE0" w:rsidRPr="00BC76B8">
        <w:rPr>
          <w:rFonts w:ascii="Times New Roman" w:hAnsi="Times New Roman" w:cs="Times New Roman"/>
          <w:sz w:val="24"/>
          <w:szCs w:val="24"/>
        </w:rPr>
        <w:t>was</w:t>
      </w:r>
      <w:r w:rsidRPr="00BC76B8">
        <w:rPr>
          <w:rFonts w:ascii="Times New Roman" w:hAnsi="Times New Roman" w:cs="Times New Roman"/>
          <w:sz w:val="24"/>
          <w:szCs w:val="24"/>
        </w:rPr>
        <w:t xml:space="preserve"> positively correlated with WTP while bid price and household size were negatively correlated with WTP in the first model of </w:t>
      </w:r>
      <w:r w:rsidR="004C4F1A" w:rsidRPr="00BC76B8">
        <w:rPr>
          <w:rFonts w:ascii="Times New Roman" w:hAnsi="Times New Roman" w:cs="Times New Roman"/>
          <w:sz w:val="24"/>
          <w:szCs w:val="24"/>
        </w:rPr>
        <w:t xml:space="preserve">the </w:t>
      </w:r>
      <w:r w:rsidRPr="00BC76B8">
        <w:rPr>
          <w:rFonts w:ascii="Times New Roman" w:hAnsi="Times New Roman" w:cs="Times New Roman"/>
          <w:sz w:val="24"/>
          <w:szCs w:val="24"/>
        </w:rPr>
        <w:t>Putrajaya survey but these parameters were not correlated in the final model. The older people in the urban areas are interested in contributing possibly for future generations. Factors influencing people’s willingness to pay (WTP) for protecting an artificial lake on Plastira Lake in Greece w</w:t>
      </w:r>
      <w:r w:rsidR="004C4F1A" w:rsidRPr="00BC76B8">
        <w:rPr>
          <w:rFonts w:ascii="Times New Roman" w:hAnsi="Times New Roman" w:cs="Times New Roman"/>
          <w:sz w:val="24"/>
          <w:szCs w:val="24"/>
        </w:rPr>
        <w:t>ere</w:t>
      </w:r>
      <w:r w:rsidRPr="00BC76B8">
        <w:rPr>
          <w:rFonts w:ascii="Times New Roman" w:hAnsi="Times New Roman" w:cs="Times New Roman"/>
          <w:sz w:val="24"/>
          <w:szCs w:val="24"/>
        </w:rPr>
        <w:t xml:space="preserve"> influenced mainly by respondent origin (residents or recreational users) and demographic characteristics or their opinion of the lake’s attributes (Halkos and Matsiori, 2016). This finding indicates that local communit</w:t>
      </w:r>
      <w:r w:rsidR="004C4F1A" w:rsidRPr="00BC76B8">
        <w:rPr>
          <w:rFonts w:ascii="Times New Roman" w:hAnsi="Times New Roman" w:cs="Times New Roman"/>
          <w:sz w:val="24"/>
          <w:szCs w:val="24"/>
        </w:rPr>
        <w:t>ies</w:t>
      </w:r>
      <w:r w:rsidRPr="00BC76B8">
        <w:rPr>
          <w:rFonts w:ascii="Times New Roman" w:hAnsi="Times New Roman" w:cs="Times New Roman"/>
          <w:sz w:val="24"/>
          <w:szCs w:val="24"/>
        </w:rPr>
        <w:t xml:space="preserve"> in both lake basins were willing to pay and contribute to </w:t>
      </w:r>
      <w:r w:rsidR="004C4F1A" w:rsidRPr="00BC76B8">
        <w:rPr>
          <w:rFonts w:ascii="Times New Roman" w:hAnsi="Times New Roman" w:cs="Times New Roman"/>
          <w:sz w:val="24"/>
          <w:szCs w:val="24"/>
        </w:rPr>
        <w:t xml:space="preserve">a </w:t>
      </w:r>
      <w:r w:rsidRPr="00BC76B8">
        <w:rPr>
          <w:rFonts w:ascii="Times New Roman" w:hAnsi="Times New Roman" w:cs="Times New Roman"/>
          <w:sz w:val="24"/>
          <w:szCs w:val="24"/>
        </w:rPr>
        <w:t xml:space="preserve">conservation trust fund for preventing impacts of climate change despite their age and income differences. As climate change impact is </w:t>
      </w:r>
      <w:r w:rsidRPr="00BC76B8">
        <w:rPr>
          <w:rFonts w:ascii="Times New Roman" w:hAnsi="Times New Roman" w:cs="Times New Roman"/>
          <w:sz w:val="24"/>
          <w:szCs w:val="24"/>
        </w:rPr>
        <w:lastRenderedPageBreak/>
        <w:t>inevitable, the establishment of such environmental-related fund</w:t>
      </w:r>
      <w:r w:rsidR="004C4F1A" w:rsidRPr="00BC76B8">
        <w:rPr>
          <w:rFonts w:ascii="Times New Roman" w:hAnsi="Times New Roman" w:cs="Times New Roman"/>
          <w:sz w:val="24"/>
          <w:szCs w:val="24"/>
        </w:rPr>
        <w:t>s</w:t>
      </w:r>
      <w:r w:rsidRPr="00BC76B8">
        <w:rPr>
          <w:rFonts w:ascii="Times New Roman" w:hAnsi="Times New Roman" w:cs="Times New Roman"/>
          <w:sz w:val="24"/>
          <w:szCs w:val="24"/>
        </w:rPr>
        <w:t xml:space="preserve"> will enable necessary preparation for </w:t>
      </w:r>
      <w:r w:rsidR="004C4F1A" w:rsidRPr="00BC76B8">
        <w:rPr>
          <w:rFonts w:ascii="Times New Roman" w:hAnsi="Times New Roman" w:cs="Times New Roman"/>
          <w:sz w:val="24"/>
          <w:szCs w:val="24"/>
        </w:rPr>
        <w:t xml:space="preserve">the </w:t>
      </w:r>
      <w:r w:rsidRPr="00BC76B8">
        <w:rPr>
          <w:rFonts w:ascii="Times New Roman" w:hAnsi="Times New Roman" w:cs="Times New Roman"/>
          <w:sz w:val="24"/>
          <w:szCs w:val="24"/>
        </w:rPr>
        <w:t>conservation of these lakes against climate change</w:t>
      </w:r>
      <w:r w:rsidR="004C4F1A" w:rsidRPr="00BC76B8">
        <w:rPr>
          <w:rFonts w:ascii="Times New Roman" w:hAnsi="Times New Roman" w:cs="Times New Roman"/>
          <w:sz w:val="24"/>
          <w:szCs w:val="24"/>
        </w:rPr>
        <w:t>-</w:t>
      </w:r>
      <w:r w:rsidRPr="00BC76B8">
        <w:rPr>
          <w:rFonts w:ascii="Times New Roman" w:hAnsi="Times New Roman" w:cs="Times New Roman"/>
          <w:sz w:val="24"/>
          <w:szCs w:val="24"/>
        </w:rPr>
        <w:t>induced impacts.</w:t>
      </w:r>
      <w:r w:rsidR="00AA59B8" w:rsidRPr="00BC76B8">
        <w:rPr>
          <w:rFonts w:ascii="Times New Roman" w:hAnsi="Times New Roman" w:cs="Times New Roman"/>
          <w:sz w:val="24"/>
          <w:szCs w:val="24"/>
        </w:rPr>
        <w:t xml:space="preserve"> Establishing such public funds has also been recognized in the 2030 Agenda for Sustainable Development Goals as part of </w:t>
      </w:r>
      <w:r w:rsidR="004C4F1A" w:rsidRPr="00BC76B8">
        <w:rPr>
          <w:rFonts w:ascii="Times New Roman" w:hAnsi="Times New Roman" w:cs="Times New Roman"/>
          <w:sz w:val="24"/>
          <w:szCs w:val="24"/>
        </w:rPr>
        <w:t xml:space="preserve">a </w:t>
      </w:r>
      <w:r w:rsidR="00AA59B8" w:rsidRPr="00BC76B8">
        <w:rPr>
          <w:rFonts w:ascii="Times New Roman" w:hAnsi="Times New Roman" w:cs="Times New Roman"/>
          <w:sz w:val="24"/>
          <w:szCs w:val="24"/>
        </w:rPr>
        <w:t>mechanism to promote sustainable financing to manage and protect lake basin and their multiple ecosystem services</w:t>
      </w:r>
      <w:r w:rsidR="00D412DE" w:rsidRPr="00BC76B8">
        <w:rPr>
          <w:rFonts w:ascii="Times New Roman" w:hAnsi="Times New Roman" w:cs="Times New Roman"/>
          <w:sz w:val="24"/>
          <w:szCs w:val="24"/>
        </w:rPr>
        <w:t xml:space="preserve"> (</w:t>
      </w:r>
      <w:r w:rsidR="00D412DE" w:rsidRPr="00BC76B8">
        <w:rPr>
          <w:rFonts w:ascii="Times New Roman" w:hAnsi="Times New Roman" w:cs="Times New Roman"/>
          <w:position w:val="0"/>
          <w:sz w:val="24"/>
          <w:szCs w:val="24"/>
          <w:lang w:eastAsia="en-GB"/>
        </w:rPr>
        <w:t>Doinjashvili et al., 2014)</w:t>
      </w:r>
      <w:r w:rsidR="00AA59B8" w:rsidRPr="00BC76B8">
        <w:rPr>
          <w:rFonts w:ascii="Times New Roman" w:hAnsi="Times New Roman" w:cs="Times New Roman"/>
          <w:sz w:val="24"/>
          <w:szCs w:val="24"/>
        </w:rPr>
        <w:t>.</w:t>
      </w:r>
    </w:p>
    <w:p w14:paraId="2768F68A" w14:textId="77777777" w:rsidR="00183C2C" w:rsidRPr="00BC76B8" w:rsidRDefault="00183C2C" w:rsidP="00CD468E">
      <w:pPr>
        <w:spacing w:after="0" w:line="240" w:lineRule="auto"/>
        <w:ind w:leftChars="0" w:left="2" w:hanging="2"/>
        <w:jc w:val="center"/>
        <w:rPr>
          <w:rFonts w:ascii="Times New Roman" w:eastAsia="Times New Roman" w:hAnsi="Times New Roman" w:cs="Times New Roman"/>
        </w:rPr>
      </w:pPr>
    </w:p>
    <w:p w14:paraId="00C6CC33" w14:textId="77777777" w:rsidR="00183C2C" w:rsidRPr="00BC76B8" w:rsidRDefault="00183C2C" w:rsidP="00CD468E">
      <w:pPr>
        <w:spacing w:after="0" w:line="240" w:lineRule="auto"/>
        <w:ind w:leftChars="0" w:left="2" w:hanging="2"/>
        <w:jc w:val="center"/>
        <w:rPr>
          <w:rFonts w:ascii="Times New Roman" w:eastAsia="Times New Roman" w:hAnsi="Times New Roman" w:cs="Times New Roman"/>
        </w:rPr>
      </w:pPr>
    </w:p>
    <w:p w14:paraId="65947F9D" w14:textId="23B4F52A" w:rsidR="00183C2C" w:rsidRPr="00BC76B8" w:rsidRDefault="00C07761" w:rsidP="00CD468E">
      <w:pPr>
        <w:spacing w:after="0" w:line="240" w:lineRule="auto"/>
        <w:ind w:leftChars="0" w:left="2" w:hanging="2"/>
        <w:rPr>
          <w:rFonts w:ascii="Times New Roman" w:eastAsia="Times New Roman" w:hAnsi="Times New Roman" w:cs="Times New Roman"/>
          <w:sz w:val="24"/>
          <w:szCs w:val="24"/>
        </w:rPr>
      </w:pPr>
      <w:r w:rsidRPr="00BC76B8">
        <w:rPr>
          <w:rFonts w:ascii="Times New Roman" w:eastAsia="Times New Roman" w:hAnsi="Times New Roman" w:cs="Times New Roman"/>
          <w:b/>
          <w:sz w:val="24"/>
          <w:szCs w:val="24"/>
        </w:rPr>
        <w:t xml:space="preserve">Conclusion </w:t>
      </w:r>
      <w:r w:rsidRPr="00BC76B8">
        <w:rPr>
          <w:rFonts w:ascii="Times New Roman" w:eastAsia="Times New Roman" w:hAnsi="Times New Roman" w:cs="Times New Roman"/>
          <w:sz w:val="24"/>
          <w:szCs w:val="24"/>
        </w:rPr>
        <w:t xml:space="preserve"> </w:t>
      </w:r>
    </w:p>
    <w:p w14:paraId="0CF0A7FF" w14:textId="77777777" w:rsidR="00183C2C" w:rsidRPr="00BC76B8" w:rsidRDefault="00183C2C" w:rsidP="00CD468E">
      <w:pPr>
        <w:spacing w:after="0" w:line="240" w:lineRule="auto"/>
        <w:ind w:leftChars="0" w:left="2" w:hanging="2"/>
        <w:rPr>
          <w:rFonts w:ascii="Times New Roman" w:eastAsia="Times New Roman" w:hAnsi="Times New Roman" w:cs="Times New Roman"/>
          <w:sz w:val="24"/>
          <w:szCs w:val="24"/>
        </w:rPr>
      </w:pPr>
    </w:p>
    <w:p w14:paraId="0769872E" w14:textId="483A6B30" w:rsidR="00183C2C" w:rsidRPr="00BC76B8" w:rsidRDefault="00855BBF" w:rsidP="00CD468E">
      <w:pPr>
        <w:spacing w:after="0" w:line="240" w:lineRule="auto"/>
        <w:ind w:leftChars="0" w:left="2" w:hanging="2"/>
        <w:jc w:val="both"/>
        <w:rPr>
          <w:rFonts w:ascii="Times New Roman" w:hAnsi="Times New Roman" w:cs="Times New Roman"/>
          <w:sz w:val="24"/>
          <w:szCs w:val="24"/>
        </w:rPr>
      </w:pPr>
      <w:r w:rsidRPr="00BC76B8">
        <w:rPr>
          <w:rFonts w:ascii="Times New Roman" w:hAnsi="Times New Roman" w:cs="Times New Roman"/>
          <w:sz w:val="24"/>
          <w:szCs w:val="24"/>
        </w:rPr>
        <w:t xml:space="preserve">In conclusion, economic valuation using CVM at Putrajaya Lake and Muda Lake showed that more than 60% of participants surveyed were willing to pay for the climate change and conservation trust fund for preventing </w:t>
      </w:r>
      <w:r w:rsidR="006E160E" w:rsidRPr="00BC76B8">
        <w:rPr>
          <w:rFonts w:ascii="Times New Roman" w:hAnsi="Times New Roman" w:cs="Times New Roman"/>
          <w:sz w:val="24"/>
          <w:szCs w:val="24"/>
        </w:rPr>
        <w:t>climate change</w:t>
      </w:r>
      <w:r w:rsidRPr="00BC76B8">
        <w:rPr>
          <w:rFonts w:ascii="Times New Roman" w:hAnsi="Times New Roman" w:cs="Times New Roman"/>
          <w:sz w:val="24"/>
          <w:szCs w:val="24"/>
        </w:rPr>
        <w:t xml:space="preserve"> impacts on the </w:t>
      </w:r>
      <w:r w:rsidR="006E160E" w:rsidRPr="00BC76B8">
        <w:rPr>
          <w:rFonts w:ascii="Times New Roman" w:hAnsi="Times New Roman" w:cs="Times New Roman"/>
          <w:sz w:val="24"/>
          <w:szCs w:val="24"/>
        </w:rPr>
        <w:t xml:space="preserve">study </w:t>
      </w:r>
      <w:r w:rsidRPr="00BC76B8">
        <w:rPr>
          <w:rFonts w:ascii="Times New Roman" w:hAnsi="Times New Roman" w:cs="Times New Roman"/>
          <w:sz w:val="24"/>
          <w:szCs w:val="24"/>
        </w:rPr>
        <w:t xml:space="preserve">lakes. Education </w:t>
      </w:r>
      <w:r w:rsidR="009909B4" w:rsidRPr="00BC76B8">
        <w:rPr>
          <w:rFonts w:ascii="Times New Roman" w:hAnsi="Times New Roman" w:cs="Times New Roman"/>
          <w:sz w:val="24"/>
          <w:szCs w:val="24"/>
        </w:rPr>
        <w:t>was</w:t>
      </w:r>
      <w:r w:rsidRPr="00BC76B8">
        <w:rPr>
          <w:rFonts w:ascii="Times New Roman" w:hAnsi="Times New Roman" w:cs="Times New Roman"/>
          <w:sz w:val="24"/>
          <w:szCs w:val="24"/>
        </w:rPr>
        <w:t xml:space="preserve"> the only significant variable correlated to WTP. </w:t>
      </w:r>
      <w:r w:rsidR="006E160E" w:rsidRPr="00BC76B8">
        <w:rPr>
          <w:rFonts w:ascii="Times New Roman" w:hAnsi="Times New Roman" w:cs="Times New Roman"/>
          <w:sz w:val="24"/>
          <w:szCs w:val="24"/>
        </w:rPr>
        <w:t>Regardless of different income level and age of respondents, t</w:t>
      </w:r>
      <w:r w:rsidR="00B0028F" w:rsidRPr="00BC76B8">
        <w:rPr>
          <w:rFonts w:ascii="Times New Roman" w:hAnsi="Times New Roman" w:cs="Times New Roman"/>
          <w:sz w:val="24"/>
          <w:szCs w:val="24"/>
        </w:rPr>
        <w:t xml:space="preserve">he main reason for WTP </w:t>
      </w:r>
      <w:r w:rsidR="006E160E" w:rsidRPr="00BC76B8">
        <w:rPr>
          <w:rFonts w:ascii="Times New Roman" w:hAnsi="Times New Roman" w:cs="Times New Roman"/>
          <w:sz w:val="24"/>
          <w:szCs w:val="24"/>
        </w:rPr>
        <w:t xml:space="preserve">in Putrajaya Lake </w:t>
      </w:r>
      <w:r w:rsidR="00B0028F" w:rsidRPr="00BC76B8">
        <w:rPr>
          <w:rFonts w:ascii="Times New Roman" w:hAnsi="Times New Roman" w:cs="Times New Roman"/>
          <w:sz w:val="24"/>
          <w:szCs w:val="24"/>
        </w:rPr>
        <w:t xml:space="preserve">was the need for managing </w:t>
      </w:r>
      <w:r w:rsidR="006E160E" w:rsidRPr="00BC76B8">
        <w:rPr>
          <w:rFonts w:ascii="Times New Roman" w:hAnsi="Times New Roman" w:cs="Times New Roman"/>
          <w:sz w:val="24"/>
          <w:szCs w:val="24"/>
        </w:rPr>
        <w:t xml:space="preserve">the urban </w:t>
      </w:r>
      <w:r w:rsidR="00B0028F" w:rsidRPr="00BC76B8">
        <w:rPr>
          <w:rFonts w:ascii="Times New Roman" w:hAnsi="Times New Roman" w:cs="Times New Roman"/>
          <w:sz w:val="24"/>
          <w:szCs w:val="24"/>
        </w:rPr>
        <w:t xml:space="preserve">lake </w:t>
      </w:r>
      <w:r w:rsidR="006E160E" w:rsidRPr="00BC76B8">
        <w:rPr>
          <w:rFonts w:ascii="Times New Roman" w:hAnsi="Times New Roman" w:cs="Times New Roman"/>
          <w:sz w:val="24"/>
          <w:szCs w:val="24"/>
        </w:rPr>
        <w:t>including the</w:t>
      </w:r>
      <w:r w:rsidR="00B0028F" w:rsidRPr="00BC76B8">
        <w:rPr>
          <w:rFonts w:ascii="Times New Roman" w:hAnsi="Times New Roman" w:cs="Times New Roman"/>
          <w:sz w:val="24"/>
          <w:szCs w:val="24"/>
        </w:rPr>
        <w:t xml:space="preserve"> wetland, and the</w:t>
      </w:r>
      <w:r w:rsidR="006E160E" w:rsidRPr="00BC76B8">
        <w:rPr>
          <w:rFonts w:ascii="Times New Roman" w:hAnsi="Times New Roman" w:cs="Times New Roman"/>
          <w:sz w:val="24"/>
          <w:szCs w:val="24"/>
        </w:rPr>
        <w:t xml:space="preserve"> associated</w:t>
      </w:r>
      <w:r w:rsidR="00B0028F" w:rsidRPr="00BC76B8">
        <w:rPr>
          <w:rFonts w:ascii="Times New Roman" w:hAnsi="Times New Roman" w:cs="Times New Roman"/>
          <w:sz w:val="24"/>
          <w:szCs w:val="24"/>
        </w:rPr>
        <w:t xml:space="preserve"> biodiversity </w:t>
      </w:r>
      <w:r w:rsidR="006E160E" w:rsidRPr="00BC76B8">
        <w:rPr>
          <w:rFonts w:ascii="Times New Roman" w:hAnsi="Times New Roman" w:cs="Times New Roman"/>
          <w:sz w:val="24"/>
          <w:szCs w:val="24"/>
        </w:rPr>
        <w:t>for its main ecosystem services namely recreation while for Muda Lake was for</w:t>
      </w:r>
      <w:r w:rsidR="00B0028F" w:rsidRPr="00BC76B8">
        <w:rPr>
          <w:rFonts w:ascii="Times New Roman" w:hAnsi="Times New Roman" w:cs="Times New Roman"/>
          <w:sz w:val="24"/>
          <w:szCs w:val="24"/>
        </w:rPr>
        <w:t xml:space="preserve"> </w:t>
      </w:r>
      <w:r w:rsidR="006E160E" w:rsidRPr="00BC76B8">
        <w:rPr>
          <w:rFonts w:ascii="Times New Roman" w:hAnsi="Times New Roman" w:cs="Times New Roman"/>
          <w:sz w:val="24"/>
          <w:szCs w:val="24"/>
        </w:rPr>
        <w:t>dodging</w:t>
      </w:r>
      <w:r w:rsidR="00B0028F" w:rsidRPr="00BC76B8">
        <w:rPr>
          <w:rFonts w:ascii="Times New Roman" w:hAnsi="Times New Roman" w:cs="Times New Roman"/>
          <w:sz w:val="24"/>
          <w:szCs w:val="24"/>
        </w:rPr>
        <w:t xml:space="preserve"> deterioration </w:t>
      </w:r>
      <w:r w:rsidR="006E160E" w:rsidRPr="00BC76B8">
        <w:rPr>
          <w:rFonts w:ascii="Times New Roman" w:hAnsi="Times New Roman" w:cs="Times New Roman"/>
          <w:sz w:val="24"/>
          <w:szCs w:val="24"/>
        </w:rPr>
        <w:t xml:space="preserve">of the lake environment </w:t>
      </w:r>
      <w:r w:rsidR="00B0028F" w:rsidRPr="00BC76B8">
        <w:rPr>
          <w:rFonts w:ascii="Times New Roman" w:hAnsi="Times New Roman" w:cs="Times New Roman"/>
          <w:sz w:val="24"/>
          <w:szCs w:val="24"/>
        </w:rPr>
        <w:t>for future generations. The</w:t>
      </w:r>
      <w:r w:rsidRPr="00BC76B8">
        <w:rPr>
          <w:rFonts w:ascii="Times New Roman" w:hAnsi="Times New Roman" w:cs="Times New Roman"/>
          <w:sz w:val="24"/>
          <w:szCs w:val="24"/>
        </w:rPr>
        <w:t xml:space="preserve"> WTP values </w:t>
      </w:r>
      <w:r w:rsidR="006E160E" w:rsidRPr="00BC76B8">
        <w:rPr>
          <w:rFonts w:ascii="Times New Roman" w:hAnsi="Times New Roman" w:cs="Times New Roman"/>
          <w:sz w:val="24"/>
          <w:szCs w:val="24"/>
        </w:rPr>
        <w:t xml:space="preserve">recorded in Muda Lake and Putrajaya Lake </w:t>
      </w:r>
      <w:r w:rsidRPr="00BC76B8">
        <w:rPr>
          <w:rFonts w:ascii="Times New Roman" w:hAnsi="Times New Roman" w:cs="Times New Roman"/>
          <w:sz w:val="24"/>
          <w:szCs w:val="24"/>
        </w:rPr>
        <w:t>were USD3.20 and USD3.35</w:t>
      </w:r>
      <w:r w:rsidR="006E160E" w:rsidRPr="00BC76B8">
        <w:rPr>
          <w:rFonts w:ascii="Times New Roman" w:hAnsi="Times New Roman" w:cs="Times New Roman"/>
          <w:sz w:val="24"/>
          <w:szCs w:val="24"/>
        </w:rPr>
        <w:t>, respectively</w:t>
      </w:r>
      <w:r w:rsidRPr="00BC76B8">
        <w:rPr>
          <w:rFonts w:ascii="Times New Roman" w:hAnsi="Times New Roman" w:cs="Times New Roman"/>
          <w:sz w:val="24"/>
          <w:szCs w:val="24"/>
        </w:rPr>
        <w:t xml:space="preserve"> contributing to the</w:t>
      </w:r>
      <w:r w:rsidR="00B0028F" w:rsidRPr="00BC76B8">
        <w:rPr>
          <w:rFonts w:ascii="Times New Roman" w:hAnsi="Times New Roman" w:cs="Times New Roman"/>
          <w:sz w:val="24"/>
          <w:szCs w:val="24"/>
        </w:rPr>
        <w:t xml:space="preserve"> total value of about </w:t>
      </w:r>
      <w:r w:rsidRPr="00BC76B8">
        <w:rPr>
          <w:rFonts w:ascii="Times New Roman" w:hAnsi="Times New Roman" w:cs="Times New Roman"/>
          <w:sz w:val="24"/>
          <w:szCs w:val="24"/>
        </w:rPr>
        <w:t xml:space="preserve">RM5.8 million and </w:t>
      </w:r>
      <w:r w:rsidR="00B0028F" w:rsidRPr="00BC76B8">
        <w:rPr>
          <w:rFonts w:ascii="Times New Roman" w:hAnsi="Times New Roman" w:cs="Times New Roman"/>
          <w:sz w:val="24"/>
          <w:szCs w:val="24"/>
        </w:rPr>
        <w:t>USD15.</w:t>
      </w:r>
      <w:r w:rsidR="00C249BC" w:rsidRPr="00BC76B8">
        <w:rPr>
          <w:rFonts w:ascii="Times New Roman" w:hAnsi="Times New Roman" w:cs="Times New Roman"/>
          <w:sz w:val="24"/>
          <w:szCs w:val="24"/>
        </w:rPr>
        <w:t>1</w:t>
      </w:r>
      <w:r w:rsidR="00B0028F" w:rsidRPr="00BC76B8">
        <w:rPr>
          <w:rFonts w:ascii="Times New Roman" w:hAnsi="Times New Roman" w:cs="Times New Roman"/>
          <w:sz w:val="24"/>
          <w:szCs w:val="24"/>
        </w:rPr>
        <w:t xml:space="preserve"> million respectively. </w:t>
      </w:r>
      <w:r w:rsidR="00E5048F" w:rsidRPr="00BC76B8">
        <w:rPr>
          <w:rFonts w:ascii="Times New Roman" w:hAnsi="Times New Roman" w:cs="Times New Roman"/>
          <w:sz w:val="24"/>
          <w:szCs w:val="24"/>
        </w:rPr>
        <w:t xml:space="preserve">The findings from this study can be used to support the climate change adaptation planning as well as </w:t>
      </w:r>
      <w:r w:rsidR="00855827" w:rsidRPr="00BC76B8">
        <w:rPr>
          <w:rFonts w:ascii="Times New Roman" w:hAnsi="Times New Roman" w:cs="Times New Roman"/>
          <w:sz w:val="24"/>
          <w:szCs w:val="24"/>
        </w:rPr>
        <w:t xml:space="preserve">future </w:t>
      </w:r>
      <w:r w:rsidR="00E5048F" w:rsidRPr="00BC76B8">
        <w:rPr>
          <w:rFonts w:ascii="Times New Roman" w:hAnsi="Times New Roman" w:cs="Times New Roman"/>
          <w:sz w:val="24"/>
          <w:szCs w:val="24"/>
        </w:rPr>
        <w:t xml:space="preserve">basin management plans to justify the establishment of such conservation trust funds to enhance funding mechanism considering </w:t>
      </w:r>
      <w:r w:rsidR="00855827" w:rsidRPr="00BC76B8">
        <w:rPr>
          <w:rFonts w:ascii="Times New Roman" w:hAnsi="Times New Roman" w:cs="Times New Roman"/>
          <w:sz w:val="24"/>
          <w:szCs w:val="24"/>
        </w:rPr>
        <w:t>imminent</w:t>
      </w:r>
      <w:r w:rsidR="00E5048F" w:rsidRPr="00BC76B8">
        <w:rPr>
          <w:rFonts w:ascii="Times New Roman" w:hAnsi="Times New Roman" w:cs="Times New Roman"/>
          <w:sz w:val="24"/>
          <w:szCs w:val="24"/>
        </w:rPr>
        <w:t xml:space="preserve"> climat</w:t>
      </w:r>
      <w:r w:rsidR="00E338C6" w:rsidRPr="00BC76B8">
        <w:rPr>
          <w:rFonts w:ascii="Times New Roman" w:hAnsi="Times New Roman" w:cs="Times New Roman"/>
          <w:sz w:val="24"/>
          <w:szCs w:val="24"/>
        </w:rPr>
        <w:t>ic</w:t>
      </w:r>
      <w:r w:rsidR="00855827" w:rsidRPr="00BC76B8">
        <w:rPr>
          <w:rFonts w:ascii="Times New Roman" w:hAnsi="Times New Roman" w:cs="Times New Roman"/>
          <w:sz w:val="24"/>
          <w:szCs w:val="24"/>
        </w:rPr>
        <w:t xml:space="preserve"> changes</w:t>
      </w:r>
      <w:r w:rsidR="00E5048F" w:rsidRPr="00BC76B8">
        <w:rPr>
          <w:rFonts w:ascii="Times New Roman" w:hAnsi="Times New Roman" w:cs="Times New Roman"/>
          <w:sz w:val="24"/>
          <w:szCs w:val="24"/>
        </w:rPr>
        <w:t>.</w:t>
      </w:r>
      <w:r w:rsidR="00B0028F" w:rsidRPr="00BC76B8">
        <w:rPr>
          <w:rFonts w:ascii="Times New Roman" w:hAnsi="Times New Roman" w:cs="Times New Roman"/>
          <w:sz w:val="24"/>
          <w:szCs w:val="24"/>
        </w:rPr>
        <w:t xml:space="preserve"> </w:t>
      </w:r>
      <w:r w:rsidR="00C07761" w:rsidRPr="00BC76B8">
        <w:rPr>
          <w:rFonts w:ascii="Times New Roman" w:eastAsia="Times New Roman" w:hAnsi="Times New Roman" w:cs="Times New Roman"/>
          <w:sz w:val="24"/>
          <w:szCs w:val="24"/>
        </w:rPr>
        <w:t xml:space="preserve">  </w:t>
      </w:r>
    </w:p>
    <w:p w14:paraId="4D4B19FB" w14:textId="77777777" w:rsidR="00183C2C" w:rsidRDefault="00183C2C" w:rsidP="00CD468E">
      <w:pPr>
        <w:spacing w:after="0" w:line="240" w:lineRule="auto"/>
        <w:ind w:leftChars="0" w:left="2" w:hanging="2"/>
        <w:rPr>
          <w:rFonts w:ascii="Times New Roman" w:eastAsia="Times New Roman" w:hAnsi="Times New Roman" w:cs="Times New Roman"/>
          <w:sz w:val="24"/>
          <w:szCs w:val="24"/>
        </w:rPr>
      </w:pPr>
    </w:p>
    <w:p w14:paraId="55308787" w14:textId="77777777" w:rsidR="00183C2C" w:rsidRDefault="00183C2C" w:rsidP="00CD468E">
      <w:pPr>
        <w:spacing w:after="0" w:line="240" w:lineRule="auto"/>
        <w:ind w:leftChars="0" w:left="2" w:hanging="2"/>
        <w:rPr>
          <w:rFonts w:ascii="Times New Roman" w:eastAsia="Times New Roman" w:hAnsi="Times New Roman" w:cs="Times New Roman"/>
          <w:sz w:val="24"/>
          <w:szCs w:val="24"/>
        </w:rPr>
      </w:pPr>
    </w:p>
    <w:p w14:paraId="41CC1B9C" w14:textId="4CC201BA" w:rsidR="00183C2C" w:rsidRDefault="00C07761" w:rsidP="00CD468E">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4E4C1A25" w14:textId="77777777" w:rsidR="00183C2C" w:rsidRDefault="00C07761" w:rsidP="00CD468E">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93DB8D" w14:textId="5B9D7C32" w:rsidR="00183C2C" w:rsidRDefault="00E139C2" w:rsidP="00CD468E">
      <w:pPr>
        <w:spacing w:after="0" w:line="240" w:lineRule="auto"/>
        <w:ind w:leftChars="0" w:left="2" w:hanging="2"/>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research was financially supported by the Ministry of </w:t>
      </w:r>
      <w:r>
        <w:rPr>
          <w:rFonts w:ascii="Times New Roman" w:hAnsi="Times New Roman" w:cs="Times New Roman"/>
          <w:sz w:val="24"/>
        </w:rPr>
        <w:t xml:space="preserve">Environment and </w:t>
      </w:r>
      <w:r>
        <w:rPr>
          <w:rFonts w:ascii="Times New Roman" w:hAnsi="Times New Roman" w:cs="Times New Roman"/>
          <w:sz w:val="24"/>
          <w:szCs w:val="24"/>
        </w:rPr>
        <w:t>Water through program Extended Study on the Impacts of Climate Change on Water Resources (vote No. P23170000190001).</w:t>
      </w:r>
      <w:r>
        <w:rPr>
          <w:rFonts w:ascii="Times New Roman" w:hAnsi="Times New Roman" w:cs="Times New Roman"/>
          <w:sz w:val="24"/>
        </w:rPr>
        <w:t xml:space="preserve"> </w:t>
      </w:r>
      <w:r>
        <w:rPr>
          <w:rFonts w:ascii="Times New Roman" w:hAnsi="Times New Roman" w:cs="Times New Roman"/>
          <w:sz w:val="24"/>
          <w:szCs w:val="24"/>
        </w:rPr>
        <w:t>We thank Perbadanan Putrajaya and MADA for allowing us to conduct this study in the area. Special thanks are accorded to various individuals for their assistance in data collection and technical contribution, for their financial and management support</w:t>
      </w:r>
      <w:r w:rsidR="00C07761">
        <w:rPr>
          <w:rFonts w:ascii="Times New Roman" w:eastAsia="Times New Roman" w:hAnsi="Times New Roman" w:cs="Times New Roman"/>
          <w:sz w:val="24"/>
          <w:szCs w:val="24"/>
        </w:rPr>
        <w:t xml:space="preserve">. </w:t>
      </w:r>
    </w:p>
    <w:p w14:paraId="3B5A8F75" w14:textId="77777777" w:rsidR="00183C2C" w:rsidRDefault="00C07761" w:rsidP="00CD468E">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C3E502D" w14:textId="77777777" w:rsidR="00183C2C" w:rsidRDefault="00C07761" w:rsidP="00CD468E">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D968B91" w14:textId="052F3967" w:rsidR="00183C2C" w:rsidRDefault="00C07761" w:rsidP="00CD468E">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3374FC83" w14:textId="77777777" w:rsidR="00183C2C" w:rsidRDefault="00C07761" w:rsidP="00CD468E">
      <w:pPr>
        <w:spacing w:after="0" w:line="24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CCD037A" w14:textId="51F4DD84" w:rsidR="00285F7F" w:rsidRDefault="00285F7F" w:rsidP="00CD468E">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Abdullah, M., Mamat, M.</w:t>
      </w:r>
      <w:r w:rsidR="00CD468E">
        <w:rPr>
          <w:rFonts w:ascii="Times New Roman" w:hAnsi="Times New Roman" w:cs="Times New Roman"/>
          <w:sz w:val="24"/>
          <w:szCs w:val="24"/>
        </w:rPr>
        <w:t xml:space="preserve"> </w:t>
      </w:r>
      <w:r>
        <w:rPr>
          <w:rFonts w:ascii="Times New Roman" w:hAnsi="Times New Roman" w:cs="Times New Roman"/>
          <w:sz w:val="24"/>
          <w:szCs w:val="24"/>
        </w:rPr>
        <w:t>P., Emang, D., Hussain, F.</w:t>
      </w:r>
      <w:r w:rsidR="00CD468E">
        <w:rPr>
          <w:rFonts w:ascii="Times New Roman" w:hAnsi="Times New Roman" w:cs="Times New Roman"/>
          <w:sz w:val="24"/>
          <w:szCs w:val="24"/>
        </w:rPr>
        <w:t xml:space="preserve"> </w:t>
      </w:r>
      <w:r>
        <w:rPr>
          <w:rFonts w:ascii="Times New Roman" w:hAnsi="Times New Roman" w:cs="Times New Roman"/>
          <w:sz w:val="24"/>
          <w:szCs w:val="24"/>
        </w:rPr>
        <w:t>N.</w:t>
      </w:r>
      <w:r w:rsidR="00CD468E">
        <w:rPr>
          <w:rFonts w:ascii="Times New Roman" w:hAnsi="Times New Roman" w:cs="Times New Roman"/>
          <w:sz w:val="24"/>
          <w:szCs w:val="24"/>
        </w:rPr>
        <w:t xml:space="preserve"> </w:t>
      </w:r>
      <w:r>
        <w:rPr>
          <w:rFonts w:ascii="Times New Roman" w:hAnsi="Times New Roman" w:cs="Times New Roman"/>
          <w:sz w:val="24"/>
          <w:szCs w:val="24"/>
        </w:rPr>
        <w:t>T., &amp; Fui, L.</w:t>
      </w:r>
      <w:r w:rsidR="00CD468E">
        <w:rPr>
          <w:rFonts w:ascii="Times New Roman" w:hAnsi="Times New Roman" w:cs="Times New Roman"/>
          <w:sz w:val="24"/>
          <w:szCs w:val="24"/>
        </w:rPr>
        <w:t xml:space="preserve"> </w:t>
      </w:r>
      <w:r>
        <w:rPr>
          <w:rFonts w:ascii="Times New Roman" w:hAnsi="Times New Roman" w:cs="Times New Roman"/>
          <w:sz w:val="24"/>
          <w:szCs w:val="24"/>
        </w:rPr>
        <w:t xml:space="preserve">H. (2018). Economic </w:t>
      </w:r>
      <w:r w:rsidR="00CD468E">
        <w:rPr>
          <w:rFonts w:ascii="Times New Roman" w:hAnsi="Times New Roman" w:cs="Times New Roman"/>
          <w:sz w:val="24"/>
          <w:szCs w:val="24"/>
        </w:rPr>
        <w:t>v</w:t>
      </w:r>
      <w:r>
        <w:rPr>
          <w:rFonts w:ascii="Times New Roman" w:hAnsi="Times New Roman" w:cs="Times New Roman"/>
          <w:sz w:val="24"/>
          <w:szCs w:val="24"/>
        </w:rPr>
        <w:t>aluation of Tasik Chini Biosphere Reserve, Pahang, Malaysia</w:t>
      </w:r>
      <w:r w:rsidR="00930F0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ASM Science Journal, </w:t>
      </w:r>
      <w:r w:rsidRPr="00183DB8">
        <w:rPr>
          <w:rFonts w:ascii="Times New Roman" w:hAnsi="Times New Roman" w:cs="Times New Roman"/>
          <w:i/>
          <w:iCs/>
          <w:sz w:val="24"/>
          <w:szCs w:val="24"/>
        </w:rPr>
        <w:t>11</w:t>
      </w:r>
      <w:r>
        <w:rPr>
          <w:rFonts w:ascii="Times New Roman" w:hAnsi="Times New Roman" w:cs="Times New Roman"/>
          <w:sz w:val="24"/>
          <w:szCs w:val="24"/>
        </w:rPr>
        <w:t xml:space="preserve">, 74-78. </w:t>
      </w:r>
    </w:p>
    <w:p w14:paraId="500B3AA8" w14:textId="508A2899" w:rsidR="00285F7F" w:rsidRDefault="00285F7F" w:rsidP="00CD468E">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Baral, S, Basnyat, B., Khanal, R., &amp; Gauli, K. (2016). A Total Economic Valuation of Wetland Ecosystem Services: An </w:t>
      </w:r>
      <w:r w:rsidR="00CD468E">
        <w:rPr>
          <w:rFonts w:ascii="Times New Roman" w:hAnsi="Times New Roman" w:cs="Times New Roman"/>
          <w:sz w:val="24"/>
          <w:szCs w:val="24"/>
        </w:rPr>
        <w:t>e</w:t>
      </w:r>
      <w:r>
        <w:rPr>
          <w:rFonts w:ascii="Times New Roman" w:hAnsi="Times New Roman" w:cs="Times New Roman"/>
          <w:sz w:val="24"/>
          <w:szCs w:val="24"/>
        </w:rPr>
        <w:t>vidence from Jagadishpur Ramsar Site, Nepal</w:t>
      </w:r>
      <w:r w:rsidR="00930F0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The Scientific World Journal</w:t>
      </w:r>
      <w:r w:rsidR="00BB7ECE">
        <w:rPr>
          <w:rFonts w:ascii="Times New Roman" w:hAnsi="Times New Roman" w:cs="Times New Roman"/>
          <w:i/>
          <w:sz w:val="24"/>
          <w:szCs w:val="24"/>
        </w:rPr>
        <w:t xml:space="preserve">, </w:t>
      </w:r>
      <w:r w:rsidR="00BB7ECE" w:rsidRPr="00BB7ECE">
        <w:rPr>
          <w:rFonts w:ascii="Times New Roman" w:hAnsi="Times New Roman" w:cs="Times New Roman"/>
          <w:i/>
          <w:iCs/>
          <w:position w:val="0"/>
          <w:sz w:val="24"/>
          <w:szCs w:val="24"/>
          <w:lang w:eastAsia="en-GB"/>
        </w:rPr>
        <w:t>2016</w:t>
      </w:r>
      <w:r w:rsidR="00BB7ECE" w:rsidRPr="00BB7ECE">
        <w:rPr>
          <w:rFonts w:ascii="Times New Roman" w:hAnsi="Times New Roman" w:cs="Times New Roman"/>
          <w:position w:val="0"/>
          <w:sz w:val="24"/>
          <w:szCs w:val="24"/>
          <w:lang w:eastAsia="en-GB"/>
        </w:rPr>
        <w:t>, 2605609</w:t>
      </w:r>
      <w:r>
        <w:rPr>
          <w:rFonts w:ascii="Times New Roman" w:hAnsi="Times New Roman" w:cs="Times New Roman"/>
          <w:sz w:val="24"/>
          <w:szCs w:val="24"/>
        </w:rPr>
        <w:t>.</w:t>
      </w:r>
    </w:p>
    <w:p w14:paraId="59D628FB" w14:textId="5F446706" w:rsidR="00285F7F" w:rsidRDefault="00285F7F" w:rsidP="00CD468E">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Bashir, </w:t>
      </w:r>
      <w:r>
        <w:rPr>
          <w:rFonts w:ascii="Times New Roman" w:hAnsi="Times New Roman" w:cs="Times New Roman"/>
          <w:caps/>
          <w:sz w:val="24"/>
          <w:szCs w:val="24"/>
        </w:rPr>
        <w:t>A.</w:t>
      </w:r>
      <w:r w:rsidR="00CD468E">
        <w:rPr>
          <w:rFonts w:ascii="Times New Roman" w:hAnsi="Times New Roman" w:cs="Times New Roman"/>
          <w:caps/>
          <w:sz w:val="24"/>
          <w:szCs w:val="24"/>
        </w:rPr>
        <w:t xml:space="preserve"> </w:t>
      </w:r>
      <w:r>
        <w:rPr>
          <w:rFonts w:ascii="Times New Roman" w:hAnsi="Times New Roman" w:cs="Times New Roman"/>
          <w:caps/>
          <w:sz w:val="24"/>
          <w:szCs w:val="24"/>
        </w:rPr>
        <w:t>Z. (2014).</w:t>
      </w:r>
      <w:r>
        <w:rPr>
          <w:rFonts w:ascii="Times New Roman" w:hAnsi="Times New Roman" w:cs="Times New Roman"/>
          <w:sz w:val="24"/>
          <w:szCs w:val="24"/>
        </w:rPr>
        <w:t xml:space="preserve"> </w:t>
      </w:r>
      <w:r>
        <w:rPr>
          <w:rFonts w:ascii="Times New Roman" w:hAnsi="Times New Roman" w:cs="Times New Roman"/>
          <w:i/>
          <w:sz w:val="24"/>
          <w:szCs w:val="24"/>
        </w:rPr>
        <w:t>Wildlife Diversity Near Natural Saltlicks in the Ulu Muda Forest Reserve</w:t>
      </w:r>
      <w:r>
        <w:rPr>
          <w:rFonts w:ascii="Times New Roman" w:hAnsi="Times New Roman" w:cs="Times New Roman"/>
          <w:sz w:val="24"/>
          <w:szCs w:val="24"/>
        </w:rPr>
        <w:t>, Petaling Jaya</w:t>
      </w:r>
      <w:r w:rsidR="003F1601">
        <w:rPr>
          <w:rFonts w:ascii="Times New Roman" w:hAnsi="Times New Roman" w:cs="Times New Roman"/>
          <w:sz w:val="24"/>
          <w:szCs w:val="24"/>
        </w:rPr>
        <w:t>,</w:t>
      </w:r>
      <w:r>
        <w:rPr>
          <w:rFonts w:ascii="Times New Roman" w:hAnsi="Times New Roman" w:cs="Times New Roman"/>
          <w:sz w:val="24"/>
          <w:szCs w:val="24"/>
        </w:rPr>
        <w:t xml:space="preserve"> WWF Malaysia. </w:t>
      </w:r>
    </w:p>
    <w:p w14:paraId="672A9AC3" w14:textId="1F9174A0" w:rsidR="00331673" w:rsidRPr="00CD468E" w:rsidRDefault="00331673" w:rsidP="00CD468E">
      <w:pPr>
        <w:spacing w:after="0" w:line="240" w:lineRule="auto"/>
        <w:ind w:leftChars="0" w:left="720" w:firstLineChars="0" w:hanging="720"/>
        <w:jc w:val="both"/>
        <w:rPr>
          <w:rFonts w:ascii="Times New Roman" w:hAnsi="Times New Roman" w:cs="Times New Roman"/>
          <w:sz w:val="36"/>
          <w:szCs w:val="36"/>
        </w:rPr>
      </w:pPr>
      <w:r w:rsidRPr="00CD468E">
        <w:rPr>
          <w:rFonts w:ascii="Times New Roman" w:hAnsi="Times New Roman" w:cs="Times New Roman"/>
          <w:position w:val="0"/>
          <w:sz w:val="24"/>
          <w:szCs w:val="24"/>
          <w:lang w:eastAsia="en-GB"/>
        </w:rPr>
        <w:t xml:space="preserve">Bladon, A., Mohammed, E. Y., &amp; Milner-Gulland, E. (2014). </w:t>
      </w:r>
      <w:r w:rsidRPr="00CD468E">
        <w:rPr>
          <w:rFonts w:ascii="Times New Roman" w:hAnsi="Times New Roman" w:cs="Times New Roman"/>
          <w:i/>
          <w:iCs/>
          <w:position w:val="0"/>
          <w:sz w:val="24"/>
          <w:szCs w:val="24"/>
          <w:lang w:eastAsia="en-GB"/>
        </w:rPr>
        <w:t>Review of conservation trust funds for sustainable marine resources management: conditions for success</w:t>
      </w:r>
      <w:r w:rsidRPr="00CD468E">
        <w:rPr>
          <w:rFonts w:ascii="Times New Roman" w:hAnsi="Times New Roman" w:cs="Times New Roman"/>
          <w:position w:val="0"/>
          <w:sz w:val="24"/>
          <w:szCs w:val="24"/>
          <w:lang w:eastAsia="en-GB"/>
        </w:rPr>
        <w:t>. London, International Institute for Environment and Development.</w:t>
      </w:r>
    </w:p>
    <w:p w14:paraId="07EEF8E2" w14:textId="3FAAFA72"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lastRenderedPageBreak/>
        <w:t>Carson, R.</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T., &amp; Mitchell, R.</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C. (1993). The value of clean water: The public's willingness to pay for boatable, fishable, and swimmable quality water</w:t>
      </w:r>
      <w:r w:rsidR="00930F00" w:rsidRPr="00CD468E">
        <w:rPr>
          <w:rFonts w:ascii="Times New Roman" w:hAnsi="Times New Roman" w:cs="Times New Roman"/>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Water Resources Research,</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29</w:t>
      </w:r>
      <w:r w:rsidRPr="00CD468E">
        <w:rPr>
          <w:rFonts w:ascii="Times New Roman" w:hAnsi="Times New Roman" w:cs="Times New Roman"/>
          <w:sz w:val="24"/>
          <w:szCs w:val="24"/>
        </w:rPr>
        <w:t>, 2445-2454.</w:t>
      </w:r>
    </w:p>
    <w:p w14:paraId="75CEA574" w14:textId="0812C32B"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De Groot, R.</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S., Wilson, 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A., Boumans, R.</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J.</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A. (2002). Typology for the classification, description and valuation of ecosystem functions, goods and service</w:t>
      </w:r>
      <w:r w:rsidR="00930F00" w:rsidRPr="00CD468E">
        <w:rPr>
          <w:rFonts w:ascii="Times New Roman" w:hAnsi="Times New Roman" w:cs="Times New Roman"/>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Ecological Economics,</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41</w:t>
      </w:r>
      <w:r w:rsidRPr="00CD468E">
        <w:rPr>
          <w:rFonts w:ascii="Times New Roman" w:hAnsi="Times New Roman" w:cs="Times New Roman"/>
          <w:sz w:val="24"/>
          <w:szCs w:val="24"/>
        </w:rPr>
        <w:t>, 393-408.</w:t>
      </w:r>
    </w:p>
    <w:p w14:paraId="04FD8684" w14:textId="042EE257" w:rsidR="00331673" w:rsidRPr="00CD468E" w:rsidRDefault="00331673" w:rsidP="00CD468E">
      <w:pPr>
        <w:pStyle w:val="MRefer"/>
        <w:spacing w:line="240" w:lineRule="auto"/>
        <w:ind w:left="720" w:hanging="720"/>
        <w:rPr>
          <w:color w:val="auto"/>
          <w:szCs w:val="24"/>
          <w:lang w:eastAsia="en-GB"/>
        </w:rPr>
      </w:pPr>
      <w:r w:rsidRPr="00CD468E">
        <w:rPr>
          <w:color w:val="auto"/>
          <w:szCs w:val="24"/>
          <w:lang w:eastAsia="en-GB"/>
        </w:rPr>
        <w:t xml:space="preserve">Doinjashvili, P., Méral, P., &amp; Andriamahefazafy, F. (2021). Sustaining protected areas through conservation trust funds: a review. </w:t>
      </w:r>
      <w:r w:rsidRPr="00CD468E">
        <w:rPr>
          <w:i/>
          <w:iCs/>
          <w:color w:val="auto"/>
          <w:szCs w:val="24"/>
          <w:lang w:eastAsia="en-GB"/>
        </w:rPr>
        <w:t>International Journal of Sustainable Development &amp; World Ecology, 28</w:t>
      </w:r>
      <w:r w:rsidRPr="00CD468E">
        <w:rPr>
          <w:color w:val="auto"/>
          <w:szCs w:val="24"/>
          <w:lang w:eastAsia="en-GB"/>
        </w:rPr>
        <w:t>(3), 193-202</w:t>
      </w:r>
      <w:r w:rsidR="00E338C6" w:rsidRPr="00CD468E">
        <w:rPr>
          <w:color w:val="auto"/>
          <w:szCs w:val="24"/>
          <w:lang w:eastAsia="en-GB"/>
        </w:rPr>
        <w:t>.</w:t>
      </w:r>
    </w:p>
    <w:p w14:paraId="13AE4B8E" w14:textId="0C5070A1" w:rsidR="00285F7F" w:rsidRPr="00CD468E" w:rsidRDefault="00285F7F" w:rsidP="00CD468E">
      <w:pPr>
        <w:pStyle w:val="MRefer"/>
        <w:spacing w:line="240" w:lineRule="auto"/>
        <w:ind w:left="720" w:hanging="720"/>
        <w:rPr>
          <w:rFonts w:eastAsia="SimSun"/>
          <w:color w:val="auto"/>
          <w:szCs w:val="24"/>
          <w:lang w:eastAsia="en-GB"/>
        </w:rPr>
      </w:pPr>
      <w:r w:rsidRPr="00CD468E">
        <w:rPr>
          <w:rFonts w:eastAsia="SimSun"/>
          <w:color w:val="auto"/>
          <w:szCs w:val="24"/>
          <w:lang w:eastAsia="en-GB"/>
        </w:rPr>
        <w:t>Elfithri, R., Mokhtar, M.B. &amp; Majizat, A. (2014). Ecohydrology approach for management of lakes and wetlands in Putrajaya, Malaysia</w:t>
      </w:r>
      <w:r w:rsidR="00183DB8" w:rsidRPr="00CD468E">
        <w:rPr>
          <w:rFonts w:eastAsia="SimSun"/>
          <w:color w:val="auto"/>
          <w:szCs w:val="24"/>
          <w:lang w:eastAsia="en-GB"/>
        </w:rPr>
        <w:t>. In.</w:t>
      </w:r>
      <w:r w:rsidR="00183DB8" w:rsidRPr="00CD468E">
        <w:rPr>
          <w:color w:val="auto"/>
        </w:rPr>
        <w:t xml:space="preserve"> </w:t>
      </w:r>
      <w:r w:rsidR="00930F00" w:rsidRPr="00CD468E">
        <w:rPr>
          <w:color w:val="auto"/>
        </w:rPr>
        <w:t xml:space="preserve">Sutapa, I.D.A., Zhaou, D., Kobayashi, K., Hidayat, Subehi, L. Api, P &amp; Rustini, H.A. (Eds.), </w:t>
      </w:r>
      <w:r w:rsidR="00183DB8" w:rsidRPr="00CD468E">
        <w:rPr>
          <w:i/>
          <w:iCs/>
          <w:color w:val="auto"/>
        </w:rPr>
        <w:t>Proceeding International Conference on Ecohydrology (ICE) in Conjunction with the 22nd Meeting of UNESCO IHP Regional Steering Committee for South Asia and Pacific</w:t>
      </w:r>
      <w:r w:rsidRPr="00CD468E">
        <w:rPr>
          <w:rFonts w:eastAsia="SimSun"/>
          <w:color w:val="auto"/>
          <w:szCs w:val="24"/>
          <w:lang w:eastAsia="en-GB"/>
        </w:rPr>
        <w:t xml:space="preserve"> </w:t>
      </w:r>
      <w:r w:rsidR="00183DB8" w:rsidRPr="00CD468E">
        <w:rPr>
          <w:rFonts w:eastAsia="SimSun"/>
          <w:color w:val="auto"/>
          <w:szCs w:val="24"/>
          <w:lang w:eastAsia="en-GB"/>
        </w:rPr>
        <w:t xml:space="preserve">(pp. </w:t>
      </w:r>
      <w:r w:rsidRPr="00CD468E">
        <w:rPr>
          <w:rFonts w:eastAsia="SimSun"/>
          <w:color w:val="auto"/>
          <w:szCs w:val="24"/>
          <w:lang w:eastAsia="en-GB"/>
        </w:rPr>
        <w:t>459-467</w:t>
      </w:r>
      <w:r w:rsidR="00183DB8" w:rsidRPr="00CD468E">
        <w:rPr>
          <w:rFonts w:eastAsia="SimSun"/>
          <w:color w:val="auto"/>
          <w:szCs w:val="24"/>
          <w:lang w:eastAsia="en-GB"/>
        </w:rPr>
        <w:t>)</w:t>
      </w:r>
      <w:r w:rsidR="00930F00" w:rsidRPr="00CD468E">
        <w:rPr>
          <w:rFonts w:eastAsia="SimSun"/>
          <w:color w:val="auto"/>
          <w:szCs w:val="24"/>
          <w:lang w:eastAsia="en-GB"/>
        </w:rPr>
        <w:t>. Bogor, UNESCO Asia Pacific Centre for Ecohydrology &amp; Research Center for Limnology</w:t>
      </w:r>
      <w:r w:rsidRPr="00CD468E">
        <w:rPr>
          <w:rFonts w:eastAsia="SimSun"/>
          <w:color w:val="auto"/>
          <w:szCs w:val="24"/>
          <w:lang w:eastAsia="en-GB"/>
        </w:rPr>
        <w:t>.</w:t>
      </w:r>
    </w:p>
    <w:p w14:paraId="2095362B" w14:textId="2579D895"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Gwee, S.</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L., Tan, A.</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K.</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G. &amp; Narayanan, S. (2018). Sustainable Tourism and Forest Conservation: The Case of the Belum-Temengor Rainforest Complex in Perak, Malaysia</w:t>
      </w:r>
      <w:r w:rsidR="00930F00" w:rsidRPr="00CD468E">
        <w:rPr>
          <w:rFonts w:ascii="Times New Roman" w:hAnsi="Times New Roman" w:cs="Times New Roman"/>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Journal of Sustainable Forestry, 38</w:t>
      </w:r>
      <w:r w:rsidRPr="00CD468E">
        <w:rPr>
          <w:rFonts w:ascii="Times New Roman" w:hAnsi="Times New Roman" w:cs="Times New Roman"/>
          <w:sz w:val="24"/>
          <w:szCs w:val="24"/>
        </w:rPr>
        <w:t>, 327-342.</w:t>
      </w:r>
    </w:p>
    <w:p w14:paraId="174BD036" w14:textId="4E769B1A"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Haab, T., &amp; McConnell, K.</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 xml:space="preserve">E. (2002). </w:t>
      </w:r>
      <w:r w:rsidRPr="00CD468E">
        <w:rPr>
          <w:rFonts w:ascii="Times New Roman" w:hAnsi="Times New Roman" w:cs="Times New Roman"/>
          <w:i/>
          <w:iCs/>
          <w:sz w:val="24"/>
          <w:szCs w:val="24"/>
        </w:rPr>
        <w:t>Valuing Environmental and Natural Resources</w:t>
      </w:r>
      <w:r w:rsidR="003F1601" w:rsidRPr="00CD468E">
        <w:rPr>
          <w:rFonts w:ascii="Times New Roman" w:hAnsi="Times New Roman" w:cs="Times New Roman"/>
          <w:i/>
          <w:iCs/>
          <w:sz w:val="24"/>
          <w:szCs w:val="24"/>
        </w:rPr>
        <w:t>.</w:t>
      </w:r>
      <w:r w:rsidRPr="00CD468E">
        <w:rPr>
          <w:rFonts w:ascii="Times New Roman" w:hAnsi="Times New Roman" w:cs="Times New Roman"/>
          <w:sz w:val="24"/>
          <w:szCs w:val="24"/>
        </w:rPr>
        <w:t xml:space="preserve"> </w:t>
      </w:r>
      <w:r w:rsidR="003F1601" w:rsidRPr="00CD468E">
        <w:rPr>
          <w:rFonts w:ascii="Times New Roman" w:hAnsi="Times New Roman" w:cs="Times New Roman"/>
          <w:sz w:val="24"/>
          <w:szCs w:val="24"/>
        </w:rPr>
        <w:t xml:space="preserve">Cheltenham, </w:t>
      </w:r>
      <w:r w:rsidRPr="00CD468E">
        <w:rPr>
          <w:rFonts w:ascii="Times New Roman" w:hAnsi="Times New Roman" w:cs="Times New Roman"/>
          <w:sz w:val="24"/>
          <w:szCs w:val="24"/>
        </w:rPr>
        <w:t>Edward Elgar Publishing.</w:t>
      </w:r>
    </w:p>
    <w:p w14:paraId="527F711F" w14:textId="5B72131B"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Halkos, G., &amp; Matsiori, S. (2016). Determining public attitudes and willingness-to-pay for artificial lakes protection</w:t>
      </w:r>
      <w:r w:rsidR="00930F00" w:rsidRPr="00CD468E">
        <w:rPr>
          <w:rFonts w:ascii="Times New Roman" w:hAnsi="Times New Roman" w:cs="Times New Roman"/>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Water Resources and Economic,</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15</w:t>
      </w:r>
      <w:r w:rsidRPr="00CD468E">
        <w:rPr>
          <w:rFonts w:ascii="Times New Roman" w:hAnsi="Times New Roman" w:cs="Times New Roman"/>
          <w:sz w:val="24"/>
          <w:szCs w:val="24"/>
        </w:rPr>
        <w:t>, 15-27.</w:t>
      </w:r>
    </w:p>
    <w:p w14:paraId="7E23935E" w14:textId="194490CB" w:rsidR="00285F7F" w:rsidRPr="00CD468E" w:rsidRDefault="00285F7F" w:rsidP="00CD468E">
      <w:pPr>
        <w:spacing w:after="0" w:line="240" w:lineRule="auto"/>
        <w:ind w:leftChars="0" w:left="720" w:firstLineChars="0" w:hanging="720"/>
        <w:jc w:val="both"/>
        <w:rPr>
          <w:rFonts w:ascii="Times New Roman" w:hAnsi="Times New Roman" w:cs="Times New Roman"/>
          <w:b/>
          <w:sz w:val="24"/>
          <w:szCs w:val="24"/>
        </w:rPr>
      </w:pPr>
      <w:r w:rsidRPr="00CD468E">
        <w:rPr>
          <w:rFonts w:ascii="Times New Roman" w:hAnsi="Times New Roman" w:cs="Times New Roman"/>
          <w:sz w:val="24"/>
          <w:szCs w:val="24"/>
        </w:rPr>
        <w:t xml:space="preserve">He, J., Ai, J., Zhu, X., &amp; Sun, X. (2015). Ecological Compensation Standards of Wetland Restoration Projects. </w:t>
      </w:r>
      <w:r w:rsidRPr="00CD468E">
        <w:rPr>
          <w:rFonts w:ascii="Times New Roman" w:hAnsi="Times New Roman" w:cs="Times New Roman"/>
          <w:i/>
          <w:iCs/>
          <w:sz w:val="24"/>
          <w:szCs w:val="24"/>
        </w:rPr>
        <w:t>Polish Journal of Environmental Studies</w:t>
      </w:r>
      <w:r w:rsidR="003F1601" w:rsidRPr="00CD468E">
        <w:rPr>
          <w:rFonts w:ascii="Times New Roman" w:hAnsi="Times New Roman" w:cs="Times New Roman"/>
          <w:i/>
          <w:iCs/>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24</w:t>
      </w:r>
      <w:r w:rsidR="003F1601" w:rsidRPr="00CD468E">
        <w:rPr>
          <w:rFonts w:ascii="Times New Roman" w:hAnsi="Times New Roman" w:cs="Times New Roman"/>
          <w:sz w:val="24"/>
          <w:szCs w:val="24"/>
        </w:rPr>
        <w:t>,</w:t>
      </w:r>
      <w:r w:rsidRPr="00CD468E">
        <w:rPr>
          <w:rFonts w:ascii="Times New Roman" w:hAnsi="Times New Roman" w:cs="Times New Roman"/>
          <w:sz w:val="24"/>
          <w:szCs w:val="24"/>
        </w:rPr>
        <w:t xml:space="preserve"> 2421-2432.</w:t>
      </w:r>
    </w:p>
    <w:p w14:paraId="35D96693" w14:textId="114364D1" w:rsidR="00285F7F" w:rsidRPr="00CD468E" w:rsidRDefault="00285F7F" w:rsidP="00CD468E">
      <w:pPr>
        <w:spacing w:after="0" w:line="240" w:lineRule="auto"/>
        <w:ind w:leftChars="0" w:left="720" w:firstLineChars="0" w:hanging="720"/>
        <w:jc w:val="both"/>
        <w:rPr>
          <w:rFonts w:ascii="Times New Roman" w:eastAsia="SimSun" w:hAnsi="Times New Roman" w:cs="Times New Roman"/>
          <w:sz w:val="24"/>
          <w:szCs w:val="24"/>
        </w:rPr>
      </w:pPr>
      <w:r w:rsidRPr="00CD468E">
        <w:rPr>
          <w:rFonts w:ascii="Times New Roman" w:eastAsia="SimSun" w:hAnsi="Times New Roman" w:cs="Times New Roman"/>
          <w:sz w:val="24"/>
          <w:szCs w:val="24"/>
        </w:rPr>
        <w:t xml:space="preserve">ICID. (2017). Institutional Reforms in Irrigation Sector for Sustainable Agriculture Water Management, including water users Association – A specific case of Muda Agricultural Development Authority (MADA) In: </w:t>
      </w:r>
      <w:r w:rsidRPr="00CD468E">
        <w:rPr>
          <w:rFonts w:ascii="Times New Roman" w:eastAsia="SimSun" w:hAnsi="Times New Roman" w:cs="Times New Roman"/>
          <w:i/>
          <w:iCs/>
          <w:sz w:val="24"/>
          <w:szCs w:val="24"/>
        </w:rPr>
        <w:t>23rd International Congress on Irrigation and Drainage: Symposium on ‘Global Review of Institutional Reforms in Irrigation Sector for Sustainable Agriculture Water Management, including Water Users’ Association</w:t>
      </w:r>
      <w:r w:rsidRPr="00CD468E">
        <w:rPr>
          <w:rFonts w:ascii="Times New Roman" w:eastAsia="SimSun" w:hAnsi="Times New Roman" w:cs="Times New Roman"/>
          <w:sz w:val="24"/>
          <w:szCs w:val="24"/>
        </w:rPr>
        <w:t>, Mexico City</w:t>
      </w:r>
      <w:r w:rsidR="00BB7ECE" w:rsidRPr="00CD468E">
        <w:rPr>
          <w:rFonts w:ascii="Times New Roman" w:eastAsia="SimSun" w:hAnsi="Times New Roman" w:cs="Times New Roman"/>
          <w:sz w:val="24"/>
          <w:szCs w:val="24"/>
        </w:rPr>
        <w:t>, ICID</w:t>
      </w:r>
      <w:r w:rsidRPr="00CD468E">
        <w:rPr>
          <w:rFonts w:ascii="Times New Roman" w:eastAsia="SimSun" w:hAnsi="Times New Roman" w:cs="Times New Roman"/>
          <w:sz w:val="24"/>
          <w:szCs w:val="24"/>
        </w:rPr>
        <w:t xml:space="preserve">. </w:t>
      </w:r>
    </w:p>
    <w:p w14:paraId="7040DEC1" w14:textId="68D6B580" w:rsidR="00285F7F" w:rsidRPr="00CD468E" w:rsidRDefault="00285F7F" w:rsidP="00CD468E">
      <w:pPr>
        <w:spacing w:after="0" w:line="240" w:lineRule="auto"/>
        <w:ind w:leftChars="0" w:left="720" w:firstLineChars="0" w:hanging="720"/>
        <w:jc w:val="both"/>
        <w:rPr>
          <w:rFonts w:ascii="Times New Roman" w:hAnsi="Times New Roman" w:cs="Times New Roman"/>
          <w:caps/>
          <w:sz w:val="24"/>
          <w:szCs w:val="24"/>
        </w:rPr>
      </w:pPr>
      <w:r w:rsidRPr="00CD468E">
        <w:rPr>
          <w:rFonts w:ascii="Times New Roman" w:eastAsia="SimSun" w:hAnsi="Times New Roman" w:cs="Times New Roman"/>
          <w:sz w:val="24"/>
          <w:szCs w:val="24"/>
        </w:rPr>
        <w:t>Langford, I.</w:t>
      </w:r>
      <w:r w:rsidR="00CD468E">
        <w:rPr>
          <w:rFonts w:ascii="Times New Roman" w:eastAsia="SimSun" w:hAnsi="Times New Roman" w:cs="Times New Roman"/>
          <w:sz w:val="24"/>
          <w:szCs w:val="24"/>
        </w:rPr>
        <w:t xml:space="preserve"> </w:t>
      </w:r>
      <w:r w:rsidRPr="00CD468E">
        <w:rPr>
          <w:rFonts w:ascii="Times New Roman" w:eastAsia="SimSun" w:hAnsi="Times New Roman" w:cs="Times New Roman"/>
          <w:sz w:val="24"/>
          <w:szCs w:val="24"/>
        </w:rPr>
        <w:t>H., Kontogianni, A., Skourtos, M.</w:t>
      </w:r>
      <w:r w:rsidR="00CD468E">
        <w:rPr>
          <w:rFonts w:ascii="Times New Roman" w:eastAsia="SimSun" w:hAnsi="Times New Roman" w:cs="Times New Roman"/>
          <w:sz w:val="24"/>
          <w:szCs w:val="24"/>
        </w:rPr>
        <w:t xml:space="preserve"> </w:t>
      </w:r>
      <w:r w:rsidRPr="00CD468E">
        <w:rPr>
          <w:rFonts w:ascii="Times New Roman" w:eastAsia="SimSun" w:hAnsi="Times New Roman" w:cs="Times New Roman"/>
          <w:sz w:val="24"/>
          <w:szCs w:val="24"/>
        </w:rPr>
        <w:t>S., Georgiou, S., &amp; Bateman, I.J.</w:t>
      </w:r>
      <w:r w:rsidRPr="00CD468E">
        <w:rPr>
          <w:rFonts w:ascii="Times New Roman" w:eastAsia="SimSun" w:hAnsi="Times New Roman" w:cs="Times New Roman"/>
          <w:caps/>
          <w:sz w:val="24"/>
          <w:szCs w:val="24"/>
        </w:rPr>
        <w:t xml:space="preserve"> (1998).</w:t>
      </w:r>
      <w:r w:rsidRPr="00CD468E">
        <w:rPr>
          <w:rFonts w:ascii="Times New Roman" w:eastAsia="SimSun" w:hAnsi="Times New Roman" w:cs="Times New Roman"/>
          <w:sz w:val="24"/>
          <w:szCs w:val="24"/>
        </w:rPr>
        <w:t xml:space="preserve"> Multivariate mixed models for open-ended contingent valuation data: willingness to pay for conservation of monk seals. </w:t>
      </w:r>
      <w:r w:rsidRPr="00CD468E">
        <w:rPr>
          <w:rFonts w:ascii="Times New Roman" w:eastAsia="SimSun" w:hAnsi="Times New Roman" w:cs="Times New Roman"/>
          <w:i/>
          <w:iCs/>
          <w:sz w:val="24"/>
          <w:szCs w:val="24"/>
        </w:rPr>
        <w:t>Environmental Resource Economics,12</w:t>
      </w:r>
      <w:r w:rsidRPr="00CD468E">
        <w:rPr>
          <w:rFonts w:ascii="Times New Roman" w:eastAsia="SimSun" w:hAnsi="Times New Roman" w:cs="Times New Roman"/>
          <w:sz w:val="24"/>
          <w:szCs w:val="24"/>
        </w:rPr>
        <w:t>, 443-456.</w:t>
      </w:r>
      <w:r w:rsidRPr="00CD468E">
        <w:rPr>
          <w:rFonts w:ascii="Times New Roman" w:hAnsi="Times New Roman" w:cs="Times New Roman"/>
          <w:caps/>
          <w:sz w:val="24"/>
          <w:szCs w:val="24"/>
        </w:rPr>
        <w:t xml:space="preserve"> </w:t>
      </w:r>
    </w:p>
    <w:p w14:paraId="03AE8BA7" w14:textId="5544AEDB"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Lee, P.</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K.</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Y., Shah, A.</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S.</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R.</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M., &amp; Khaironizam, 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 xml:space="preserve">Z. (2013). </w:t>
      </w:r>
      <w:r w:rsidRPr="00CD468E">
        <w:rPr>
          <w:rFonts w:ascii="Times New Roman" w:hAnsi="Times New Roman" w:cs="Times New Roman"/>
          <w:i/>
          <w:sz w:val="24"/>
          <w:szCs w:val="24"/>
        </w:rPr>
        <w:t>Assessment of the Freshwater Fisheries in Ulu Muda, Kedah</w:t>
      </w:r>
      <w:r w:rsidRPr="00CD468E">
        <w:rPr>
          <w:rFonts w:ascii="Times New Roman" w:hAnsi="Times New Roman" w:cs="Times New Roman"/>
          <w:sz w:val="24"/>
          <w:szCs w:val="24"/>
        </w:rPr>
        <w:t>. Petaling Jaya</w:t>
      </w:r>
      <w:r w:rsidR="00183DB8" w:rsidRPr="00CD468E">
        <w:rPr>
          <w:rFonts w:ascii="Times New Roman" w:hAnsi="Times New Roman" w:cs="Times New Roman"/>
          <w:sz w:val="24"/>
          <w:szCs w:val="24"/>
        </w:rPr>
        <w:t>,</w:t>
      </w:r>
      <w:r w:rsidRPr="00CD468E">
        <w:rPr>
          <w:rFonts w:ascii="Times New Roman" w:hAnsi="Times New Roman" w:cs="Times New Roman"/>
          <w:sz w:val="24"/>
          <w:szCs w:val="24"/>
        </w:rPr>
        <w:t xml:space="preserve"> WWF-Malaysia. </w:t>
      </w:r>
    </w:p>
    <w:p w14:paraId="5A302AC2" w14:textId="5A5D5B3A"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Lehtoranta, V., Seppala, E., &amp; Kosenius, A-K. (2013). Willingness to pay for water level regulation in Lake Pielinen, Finland AU</w:t>
      </w:r>
      <w:r w:rsidRPr="00CD468E">
        <w:rPr>
          <w:rFonts w:ascii="Times New Roman" w:hAnsi="Times New Roman" w:cs="Times New Roman"/>
          <w:i/>
          <w:sz w:val="24"/>
          <w:szCs w:val="24"/>
        </w:rPr>
        <w:t xml:space="preserve">. </w:t>
      </w:r>
      <w:r w:rsidRPr="00CD468E">
        <w:rPr>
          <w:rFonts w:ascii="Times New Roman" w:hAnsi="Times New Roman" w:cs="Times New Roman"/>
          <w:i/>
          <w:iCs/>
          <w:sz w:val="24"/>
          <w:szCs w:val="24"/>
        </w:rPr>
        <w:t>Journal of Environmental Economic Policy, 2</w:t>
      </w:r>
      <w:r w:rsidRPr="00CD468E">
        <w:rPr>
          <w:rFonts w:ascii="Times New Roman" w:hAnsi="Times New Roman" w:cs="Times New Roman"/>
          <w:sz w:val="24"/>
          <w:szCs w:val="24"/>
        </w:rPr>
        <w:t>, 148-163.</w:t>
      </w:r>
    </w:p>
    <w:p w14:paraId="04E52AF3" w14:textId="0FFDDB8D"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Lip,</w:t>
      </w:r>
      <w:r w:rsidRPr="00CD468E">
        <w:rPr>
          <w:rFonts w:ascii="Times New Roman" w:hAnsi="Times New Roman" w:cs="Times New Roman"/>
          <w:caps/>
          <w:sz w:val="24"/>
          <w:szCs w:val="24"/>
        </w:rPr>
        <w:t xml:space="preserve"> H.</w:t>
      </w:r>
      <w:r w:rsidR="00CD468E">
        <w:rPr>
          <w:rFonts w:ascii="Times New Roman" w:hAnsi="Times New Roman" w:cs="Times New Roman"/>
          <w:caps/>
          <w:sz w:val="24"/>
          <w:szCs w:val="24"/>
        </w:rPr>
        <w:t xml:space="preserve"> </w:t>
      </w:r>
      <w:r w:rsidRPr="00CD468E">
        <w:rPr>
          <w:rFonts w:ascii="Times New Roman" w:hAnsi="Times New Roman" w:cs="Times New Roman"/>
          <w:caps/>
          <w:sz w:val="24"/>
          <w:szCs w:val="24"/>
        </w:rPr>
        <w:t xml:space="preserve">T. (2010). </w:t>
      </w:r>
      <w:r w:rsidRPr="00CD468E">
        <w:rPr>
          <w:rFonts w:ascii="Times New Roman" w:hAnsi="Times New Roman" w:cs="Times New Roman"/>
          <w:sz w:val="24"/>
          <w:szCs w:val="24"/>
        </w:rPr>
        <w:t xml:space="preserve">Tasik Pedu and Muda, Kedah, Lake Brief. In: </w:t>
      </w:r>
      <w:r w:rsidRPr="00CD468E">
        <w:rPr>
          <w:rFonts w:ascii="Times New Roman" w:hAnsi="Times New Roman" w:cs="Times New Roman"/>
          <w:i/>
          <w:iCs/>
          <w:sz w:val="24"/>
          <w:szCs w:val="24"/>
        </w:rPr>
        <w:t>Managing lakes and their basins for sustainable use in Malaysia (Lake Briefs Report Series 1) (</w:t>
      </w:r>
      <w:r w:rsidRPr="00CD468E">
        <w:rPr>
          <w:rFonts w:ascii="Times New Roman" w:hAnsi="Times New Roman" w:cs="Times New Roman"/>
          <w:sz w:val="24"/>
          <w:szCs w:val="24"/>
        </w:rPr>
        <w:t>pp. 125-137)</w:t>
      </w:r>
      <w:r w:rsidRPr="00CD468E">
        <w:rPr>
          <w:rFonts w:ascii="Times New Roman" w:hAnsi="Times New Roman" w:cs="Times New Roman"/>
          <w:i/>
          <w:iCs/>
          <w:sz w:val="24"/>
          <w:szCs w:val="24"/>
        </w:rPr>
        <w:t xml:space="preserve">. </w:t>
      </w:r>
      <w:r w:rsidRPr="00CD468E">
        <w:rPr>
          <w:rFonts w:ascii="Times New Roman" w:hAnsi="Times New Roman" w:cs="Times New Roman"/>
          <w:sz w:val="24"/>
          <w:szCs w:val="24"/>
        </w:rPr>
        <w:t>Kuala Lumpur, Akademi Sains Malaysia.</w:t>
      </w:r>
    </w:p>
    <w:p w14:paraId="66AD50EA" w14:textId="33BCB4CE"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shd w:val="clear" w:color="auto" w:fill="FFFFFF"/>
        </w:rPr>
      </w:pPr>
      <w:r w:rsidRPr="00CD468E">
        <w:rPr>
          <w:rFonts w:ascii="Times New Roman" w:hAnsi="Times New Roman" w:cs="Times New Roman"/>
          <w:sz w:val="24"/>
          <w:szCs w:val="24"/>
        </w:rPr>
        <w:t xml:space="preserve">Loomis, J., Smith, A., &amp; Huszar, P. (2005). Estimating the economic benefits of maintaining residential lake levels at an irrigation reservoir: A contingent valuation study. </w:t>
      </w:r>
      <w:r w:rsidRPr="00CD468E">
        <w:rPr>
          <w:rFonts w:ascii="Times New Roman" w:hAnsi="Times New Roman" w:cs="Times New Roman"/>
          <w:i/>
          <w:iCs/>
          <w:sz w:val="24"/>
          <w:szCs w:val="24"/>
        </w:rPr>
        <w:t>Water Resources Research</w:t>
      </w:r>
      <w:r w:rsidR="003F1601" w:rsidRPr="00CD468E">
        <w:rPr>
          <w:rFonts w:ascii="Times New Roman" w:hAnsi="Times New Roman" w:cs="Times New Roman"/>
          <w:i/>
          <w:iCs/>
          <w:sz w:val="24"/>
          <w:szCs w:val="24"/>
        </w:rPr>
        <w:t>,</w:t>
      </w:r>
      <w:r w:rsidRPr="00CD468E">
        <w:rPr>
          <w:rFonts w:ascii="Times New Roman" w:hAnsi="Times New Roman" w:cs="Times New Roman"/>
          <w:sz w:val="24"/>
          <w:szCs w:val="24"/>
        </w:rPr>
        <w:t xml:space="preserve"> 41, </w:t>
      </w:r>
      <w:r w:rsidRPr="00CD468E">
        <w:rPr>
          <w:rFonts w:ascii="Times New Roman" w:hAnsi="Times New Roman" w:cs="Times New Roman"/>
          <w:sz w:val="24"/>
          <w:szCs w:val="24"/>
          <w:shd w:val="clear" w:color="auto" w:fill="FFFFFF"/>
        </w:rPr>
        <w:t xml:space="preserve">W08405. </w:t>
      </w:r>
    </w:p>
    <w:p w14:paraId="22061A65" w14:textId="597C609D"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lastRenderedPageBreak/>
        <w:t>Masud, 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M., Junsheng, H., Akhtar, R., Al-Amin, A.</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 xml:space="preserve">Q., &amp; Kari, F. (2015). Estimating farmers' willingness to pay for climate change adaptation: the case of the Malaysian agricultural sector. </w:t>
      </w:r>
      <w:r w:rsidRPr="00CD468E">
        <w:rPr>
          <w:rFonts w:ascii="Times New Roman" w:hAnsi="Times New Roman" w:cs="Times New Roman"/>
          <w:i/>
          <w:iCs/>
          <w:sz w:val="24"/>
          <w:szCs w:val="24"/>
        </w:rPr>
        <w:t>Environmental Monitoring Assessment</w:t>
      </w:r>
      <w:r w:rsidR="003F1601" w:rsidRPr="00CD468E">
        <w:rPr>
          <w:rFonts w:ascii="Times New Roman" w:hAnsi="Times New Roman" w:cs="Times New Roman"/>
          <w:i/>
          <w:iCs/>
          <w:sz w:val="24"/>
          <w:szCs w:val="24"/>
        </w:rPr>
        <w:t>,</w:t>
      </w:r>
      <w:r w:rsidRPr="00CD468E">
        <w:rPr>
          <w:rFonts w:ascii="Times New Roman" w:hAnsi="Times New Roman" w:cs="Times New Roman"/>
          <w:sz w:val="24"/>
          <w:szCs w:val="24"/>
        </w:rPr>
        <w:t xml:space="preserve"> 187, 38. </w:t>
      </w:r>
    </w:p>
    <w:p w14:paraId="5F2F520E" w14:textId="0F6F6A29"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 xml:space="preserve">Majizat, A., Ahmad, B., Noordin, N., &amp; Sharip, Z. (2016). Adopting an integrated catchment-based management approach for Putrajaya Lake and Wetlands. </w:t>
      </w:r>
      <w:r w:rsidRPr="00CD468E">
        <w:rPr>
          <w:rFonts w:ascii="Times New Roman" w:hAnsi="Times New Roman" w:cs="Times New Roman"/>
          <w:i/>
          <w:iCs/>
          <w:sz w:val="24"/>
          <w:szCs w:val="24"/>
        </w:rPr>
        <w:t>International Journal of Water</w:t>
      </w:r>
      <w:r w:rsidR="003F1601" w:rsidRPr="00CD468E">
        <w:rPr>
          <w:rFonts w:ascii="Times New Roman" w:hAnsi="Times New Roman" w:cs="Times New Roman"/>
          <w:i/>
          <w:iCs/>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10</w:t>
      </w:r>
      <w:r w:rsidRPr="00CD468E">
        <w:rPr>
          <w:rFonts w:ascii="Times New Roman" w:hAnsi="Times New Roman" w:cs="Times New Roman"/>
          <w:sz w:val="24"/>
          <w:szCs w:val="24"/>
        </w:rPr>
        <w:t>, 343-358.</w:t>
      </w:r>
    </w:p>
    <w:p w14:paraId="356BDA39" w14:textId="1D56CC0C"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Majizat, A., Abdullah, M., Ahmad, N., Noordin, N., &amp; Rahman, N.</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A. (</w:t>
      </w:r>
      <w:r w:rsidRPr="00CD468E">
        <w:rPr>
          <w:rFonts w:ascii="Times New Roman" w:hAnsi="Times New Roman" w:cs="Times New Roman"/>
          <w:caps/>
          <w:sz w:val="24"/>
          <w:szCs w:val="24"/>
        </w:rPr>
        <w:t>2013).</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Biodiversity in an urban ecosystem: Putrajaya Lake and Wetland</w:t>
      </w:r>
      <w:r w:rsidRPr="00CD468E">
        <w:rPr>
          <w:rFonts w:ascii="Times New Roman" w:hAnsi="Times New Roman" w:cs="Times New Roman"/>
          <w:sz w:val="24"/>
          <w:szCs w:val="24"/>
        </w:rPr>
        <w:t>. Putrajaya, Perbadanan Putrajaya.</w:t>
      </w:r>
    </w:p>
    <w:p w14:paraId="059F8F35" w14:textId="7F37817C" w:rsidR="00285F7F" w:rsidRPr="00CD468E" w:rsidRDefault="00285F7F" w:rsidP="00CD468E">
      <w:pPr>
        <w:pStyle w:val="MRefer"/>
        <w:spacing w:line="240" w:lineRule="auto"/>
        <w:ind w:left="720" w:hanging="720"/>
        <w:rPr>
          <w:rFonts w:eastAsia="SimSun"/>
          <w:color w:val="auto"/>
          <w:szCs w:val="24"/>
          <w:lang w:eastAsia="en-GB"/>
        </w:rPr>
      </w:pPr>
      <w:r w:rsidRPr="00CD468E">
        <w:rPr>
          <w:rFonts w:eastAsia="SimSun"/>
          <w:color w:val="auto"/>
          <w:szCs w:val="24"/>
          <w:lang w:eastAsia="en-GB"/>
        </w:rPr>
        <w:t xml:space="preserve">Moser, S. (2010). Putrajaya: Malaysia's new federal administrative capital. </w:t>
      </w:r>
      <w:r w:rsidRPr="00CD468E">
        <w:rPr>
          <w:rFonts w:eastAsia="SimSun"/>
          <w:i/>
          <w:iCs/>
          <w:color w:val="auto"/>
          <w:szCs w:val="24"/>
          <w:lang w:eastAsia="en-GB"/>
        </w:rPr>
        <w:t>Cities</w:t>
      </w:r>
      <w:r w:rsidR="003F1601" w:rsidRPr="00CD468E">
        <w:rPr>
          <w:rFonts w:eastAsia="SimSun"/>
          <w:i/>
          <w:iCs/>
          <w:color w:val="auto"/>
          <w:szCs w:val="24"/>
          <w:lang w:eastAsia="en-GB"/>
        </w:rPr>
        <w:t>,</w:t>
      </w:r>
      <w:r w:rsidRPr="00CD468E">
        <w:rPr>
          <w:rFonts w:eastAsia="SimSun"/>
          <w:color w:val="auto"/>
          <w:szCs w:val="24"/>
          <w:lang w:eastAsia="en-GB"/>
        </w:rPr>
        <w:t xml:space="preserve"> </w:t>
      </w:r>
      <w:r w:rsidRPr="00CD468E">
        <w:rPr>
          <w:rFonts w:eastAsia="SimSun"/>
          <w:i/>
          <w:iCs/>
          <w:color w:val="auto"/>
          <w:szCs w:val="24"/>
          <w:lang w:eastAsia="en-GB"/>
        </w:rPr>
        <w:t>27</w:t>
      </w:r>
      <w:r w:rsidRPr="00CD468E">
        <w:rPr>
          <w:rFonts w:eastAsia="SimSun"/>
          <w:color w:val="auto"/>
          <w:szCs w:val="24"/>
          <w:lang w:eastAsia="en-GB"/>
        </w:rPr>
        <w:t>, 285-297.</w:t>
      </w:r>
    </w:p>
    <w:p w14:paraId="249E8548" w14:textId="3FED63D3" w:rsidR="002F3365" w:rsidRPr="00CD468E" w:rsidRDefault="002F3365" w:rsidP="00CD468E">
      <w:pPr>
        <w:pStyle w:val="MRefer"/>
        <w:spacing w:line="240" w:lineRule="auto"/>
        <w:ind w:left="720" w:hanging="720"/>
        <w:rPr>
          <w:color w:val="auto"/>
          <w:szCs w:val="24"/>
          <w:lang w:eastAsia="en-GB"/>
        </w:rPr>
      </w:pPr>
      <w:r w:rsidRPr="00CD468E">
        <w:rPr>
          <w:color w:val="auto"/>
          <w:szCs w:val="24"/>
          <w:lang w:eastAsia="en-GB"/>
        </w:rPr>
        <w:t xml:space="preserve">MESTECC. (2018). </w:t>
      </w:r>
      <w:r w:rsidRPr="00CD468E">
        <w:rPr>
          <w:i/>
          <w:iCs/>
          <w:color w:val="auto"/>
          <w:szCs w:val="24"/>
          <w:lang w:eastAsia="en-GB"/>
        </w:rPr>
        <w:t>Malaysia Third National Communication and Second Biennial Update Report to the UNFCC</w:t>
      </w:r>
      <w:r w:rsidRPr="00CD468E">
        <w:rPr>
          <w:color w:val="auto"/>
          <w:szCs w:val="24"/>
          <w:lang w:eastAsia="en-GB"/>
        </w:rPr>
        <w:t>. Putrajaya, MESTECC.</w:t>
      </w:r>
    </w:p>
    <w:p w14:paraId="55459734" w14:textId="67B9D62A" w:rsidR="00285F7F" w:rsidRPr="00CD468E" w:rsidRDefault="00285F7F" w:rsidP="00CD468E">
      <w:pPr>
        <w:pStyle w:val="MRefer"/>
        <w:spacing w:line="240" w:lineRule="auto"/>
        <w:ind w:left="720" w:hanging="720"/>
        <w:rPr>
          <w:color w:val="auto"/>
          <w:szCs w:val="24"/>
        </w:rPr>
      </w:pPr>
      <w:r w:rsidRPr="00CD468E">
        <w:rPr>
          <w:color w:val="auto"/>
          <w:szCs w:val="24"/>
        </w:rPr>
        <w:t>Mulatu, D.</w:t>
      </w:r>
      <w:r w:rsidR="00CD468E">
        <w:rPr>
          <w:color w:val="auto"/>
          <w:szCs w:val="24"/>
        </w:rPr>
        <w:t xml:space="preserve"> </w:t>
      </w:r>
      <w:r w:rsidRPr="00CD468E">
        <w:rPr>
          <w:color w:val="auto"/>
          <w:szCs w:val="24"/>
        </w:rPr>
        <w:t>W., van Oel, P.</w:t>
      </w:r>
      <w:r w:rsidR="00CD468E">
        <w:rPr>
          <w:color w:val="auto"/>
          <w:szCs w:val="24"/>
        </w:rPr>
        <w:t xml:space="preserve"> </w:t>
      </w:r>
      <w:r w:rsidRPr="00CD468E">
        <w:rPr>
          <w:color w:val="auto"/>
          <w:szCs w:val="24"/>
        </w:rPr>
        <w:t xml:space="preserve">R., Odongo, V., &amp; van der Veen, A. (2018). Fishing community preferences and willingness to pay for alternative developments of ecosystem-based fisheries management (EBFM) for Lake Naivasha, Kenya. </w:t>
      </w:r>
      <w:r w:rsidR="002F3365" w:rsidRPr="00CD468E">
        <w:rPr>
          <w:i/>
          <w:iCs/>
          <w:color w:val="auto"/>
          <w:szCs w:val="24"/>
        </w:rPr>
        <w:t>Lakes &amp; Reservoirs: Research &amp; Management</w:t>
      </w:r>
      <w:r w:rsidR="003F1601" w:rsidRPr="00CD468E">
        <w:rPr>
          <w:i/>
          <w:iCs/>
          <w:color w:val="auto"/>
          <w:szCs w:val="24"/>
        </w:rPr>
        <w:t>,</w:t>
      </w:r>
      <w:r w:rsidRPr="00CD468E">
        <w:rPr>
          <w:i/>
          <w:iCs/>
          <w:color w:val="auto"/>
          <w:szCs w:val="24"/>
        </w:rPr>
        <w:t xml:space="preserve"> 23</w:t>
      </w:r>
      <w:r w:rsidRPr="00CD468E">
        <w:rPr>
          <w:color w:val="auto"/>
          <w:szCs w:val="24"/>
        </w:rPr>
        <w:t>, 190-203.</w:t>
      </w:r>
    </w:p>
    <w:p w14:paraId="69C69382" w14:textId="5A31EAC0" w:rsidR="00285F7F" w:rsidRPr="00CD468E" w:rsidRDefault="00285F7F" w:rsidP="00CD468E">
      <w:pPr>
        <w:tabs>
          <w:tab w:val="left" w:pos="426"/>
        </w:tabs>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 xml:space="preserve">Mueller, H., Hamilton, D., &amp; Doole, G. (2016). Evaluating services and damage costs of degradation of a major lake ecosystem. </w:t>
      </w:r>
      <w:r w:rsidRPr="00CD468E">
        <w:rPr>
          <w:rFonts w:ascii="Times New Roman" w:hAnsi="Times New Roman" w:cs="Times New Roman"/>
          <w:i/>
          <w:iCs/>
          <w:sz w:val="24"/>
          <w:szCs w:val="24"/>
        </w:rPr>
        <w:t>Ecosystem Services</w:t>
      </w:r>
      <w:r w:rsidR="003F1601" w:rsidRPr="00CD468E">
        <w:rPr>
          <w:rFonts w:ascii="Times New Roman" w:hAnsi="Times New Roman" w:cs="Times New Roman"/>
          <w:i/>
          <w:iCs/>
          <w:sz w:val="24"/>
          <w:szCs w:val="24"/>
        </w:rPr>
        <w:t>,</w:t>
      </w:r>
      <w:r w:rsidRPr="00CD468E">
        <w:rPr>
          <w:rFonts w:ascii="Times New Roman" w:hAnsi="Times New Roman" w:cs="Times New Roman"/>
          <w:iCs/>
          <w:sz w:val="24"/>
          <w:szCs w:val="24"/>
        </w:rPr>
        <w:t xml:space="preserve"> </w:t>
      </w:r>
      <w:r w:rsidRPr="00CD468E">
        <w:rPr>
          <w:rFonts w:ascii="Times New Roman" w:hAnsi="Times New Roman" w:cs="Times New Roman"/>
          <w:bCs/>
          <w:i/>
          <w:sz w:val="24"/>
          <w:szCs w:val="24"/>
        </w:rPr>
        <w:t>22</w:t>
      </w:r>
      <w:r w:rsidRPr="00CD468E">
        <w:rPr>
          <w:rFonts w:ascii="Times New Roman" w:hAnsi="Times New Roman" w:cs="Times New Roman"/>
          <w:bCs/>
          <w:iCs/>
          <w:sz w:val="24"/>
          <w:szCs w:val="24"/>
        </w:rPr>
        <w:t>,</w:t>
      </w:r>
      <w:r w:rsidRPr="00CD468E">
        <w:rPr>
          <w:rFonts w:ascii="Times New Roman" w:hAnsi="Times New Roman" w:cs="Times New Roman"/>
          <w:iCs/>
          <w:sz w:val="24"/>
          <w:szCs w:val="24"/>
        </w:rPr>
        <w:t xml:space="preserve"> 370-380.</w:t>
      </w:r>
    </w:p>
    <w:p w14:paraId="0215D878" w14:textId="3949AB00"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 xml:space="preserve">Mueller, H., Hamilton, D., Doole, G., Abell, J., &amp; McBride, C. (2019). Economic and ecosystem costs and benefits of alternative land use and management scenarios in the Lake Rotorua, New Zealand, catchment. </w:t>
      </w:r>
      <w:r w:rsidRPr="00CD468E">
        <w:rPr>
          <w:rFonts w:ascii="Times New Roman" w:hAnsi="Times New Roman" w:cs="Times New Roman"/>
          <w:i/>
          <w:sz w:val="24"/>
          <w:szCs w:val="24"/>
        </w:rPr>
        <w:t>Global Environment Change</w:t>
      </w:r>
      <w:r w:rsidR="003F1601" w:rsidRPr="00CD468E">
        <w:rPr>
          <w:rFonts w:ascii="Times New Roman" w:hAnsi="Times New Roman" w:cs="Times New Roman"/>
          <w:i/>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54</w:t>
      </w:r>
      <w:r w:rsidRPr="00CD468E">
        <w:rPr>
          <w:rFonts w:ascii="Times New Roman" w:hAnsi="Times New Roman" w:cs="Times New Roman"/>
          <w:sz w:val="24"/>
          <w:szCs w:val="24"/>
        </w:rPr>
        <w:t>, 102-112.</w:t>
      </w:r>
    </w:p>
    <w:p w14:paraId="1B1E18D6" w14:textId="13F88ECE"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 xml:space="preserve">National Research Council. (2005). </w:t>
      </w:r>
      <w:r w:rsidRPr="00CD468E">
        <w:rPr>
          <w:rFonts w:ascii="Times New Roman" w:hAnsi="Times New Roman" w:cs="Times New Roman"/>
          <w:i/>
          <w:iCs/>
          <w:sz w:val="24"/>
          <w:szCs w:val="24"/>
        </w:rPr>
        <w:t>Valuing ecosystem services: toward better environmental decision-making</w:t>
      </w:r>
      <w:r w:rsidRPr="00CD468E">
        <w:rPr>
          <w:rFonts w:ascii="Times New Roman" w:hAnsi="Times New Roman" w:cs="Times New Roman"/>
          <w:sz w:val="24"/>
          <w:szCs w:val="24"/>
        </w:rPr>
        <w:t xml:space="preserve">. </w:t>
      </w:r>
      <w:r w:rsidR="003F1601" w:rsidRPr="00CD468E">
        <w:rPr>
          <w:rFonts w:ascii="Times New Roman" w:hAnsi="Times New Roman" w:cs="Times New Roman"/>
          <w:sz w:val="24"/>
          <w:szCs w:val="24"/>
        </w:rPr>
        <w:t xml:space="preserve">Washington DC, </w:t>
      </w:r>
      <w:r w:rsidRPr="00CD468E">
        <w:rPr>
          <w:rFonts w:ascii="Times New Roman" w:hAnsi="Times New Roman" w:cs="Times New Roman"/>
          <w:sz w:val="24"/>
          <w:szCs w:val="24"/>
        </w:rPr>
        <w:t>National Academies Press.</w:t>
      </w:r>
    </w:p>
    <w:p w14:paraId="782F815E" w14:textId="487A3464" w:rsidR="00EF67F3" w:rsidRPr="00CD468E" w:rsidRDefault="00EF67F3" w:rsidP="00CD468E">
      <w:pPr>
        <w:spacing w:after="0" w:line="240" w:lineRule="auto"/>
        <w:ind w:leftChars="0" w:left="720" w:firstLineChars="0" w:hanging="720"/>
        <w:jc w:val="both"/>
        <w:rPr>
          <w:rFonts w:ascii="Times New Roman" w:hAnsi="Times New Roman" w:cs="Times New Roman"/>
          <w:position w:val="0"/>
          <w:sz w:val="24"/>
          <w:szCs w:val="24"/>
          <w:lang w:eastAsia="en-GB"/>
        </w:rPr>
      </w:pPr>
      <w:r w:rsidRPr="00CD468E">
        <w:rPr>
          <w:rFonts w:ascii="Times New Roman" w:hAnsi="Times New Roman" w:cs="Times New Roman"/>
          <w:position w:val="0"/>
          <w:sz w:val="24"/>
          <w:szCs w:val="24"/>
          <w:lang w:eastAsia="en-GB"/>
        </w:rPr>
        <w:t xml:space="preserve">NAHRIM. (2014). </w:t>
      </w:r>
      <w:r w:rsidRPr="00CD468E">
        <w:rPr>
          <w:rFonts w:ascii="Times New Roman" w:hAnsi="Times New Roman" w:cs="Times New Roman"/>
          <w:i/>
          <w:iCs/>
          <w:position w:val="0"/>
          <w:sz w:val="24"/>
          <w:szCs w:val="24"/>
          <w:lang w:eastAsia="en-GB"/>
        </w:rPr>
        <w:t>Extension study of the impacts of climate change on the hydrologic regime and water resources of Peninsular Malaysia</w:t>
      </w:r>
      <w:r w:rsidRPr="00CD468E">
        <w:rPr>
          <w:rFonts w:ascii="Times New Roman" w:hAnsi="Times New Roman" w:cs="Times New Roman"/>
          <w:position w:val="0"/>
          <w:sz w:val="24"/>
          <w:szCs w:val="24"/>
          <w:lang w:eastAsia="en-GB"/>
        </w:rPr>
        <w:t>. Seri Kembangan, National Hydraulic Research Institute of Malaysia.</w:t>
      </w:r>
    </w:p>
    <w:p w14:paraId="130000B0" w14:textId="1ADD6A84" w:rsidR="00701383" w:rsidRPr="00CD468E" w:rsidRDefault="00701383" w:rsidP="00CD468E">
      <w:pPr>
        <w:spacing w:after="0" w:line="240" w:lineRule="auto"/>
        <w:ind w:leftChars="0" w:left="720" w:firstLineChars="0" w:hanging="720"/>
        <w:jc w:val="both"/>
        <w:rPr>
          <w:rFonts w:ascii="Times New Roman" w:hAnsi="Times New Roman" w:cs="Times New Roman"/>
          <w:position w:val="0"/>
          <w:sz w:val="24"/>
          <w:szCs w:val="24"/>
          <w:lang w:eastAsia="en-GB"/>
        </w:rPr>
      </w:pPr>
      <w:r w:rsidRPr="00CD468E">
        <w:rPr>
          <w:rFonts w:ascii="Times New Roman" w:hAnsi="Times New Roman" w:cs="Times New Roman"/>
          <w:position w:val="0"/>
          <w:sz w:val="24"/>
          <w:szCs w:val="24"/>
          <w:lang w:eastAsia="en-GB"/>
        </w:rPr>
        <w:t xml:space="preserve">NAHRIM. (2017). </w:t>
      </w:r>
      <w:r w:rsidRPr="00CD468E">
        <w:rPr>
          <w:rFonts w:ascii="Times New Roman" w:hAnsi="Times New Roman" w:cs="Times New Roman"/>
          <w:i/>
          <w:iCs/>
          <w:position w:val="0"/>
          <w:sz w:val="24"/>
          <w:szCs w:val="24"/>
          <w:lang w:eastAsia="en-GB"/>
        </w:rPr>
        <w:t>Region Specific Flood Damage Curve on Consequential Flood Inundations in a Changing Climate Environment</w:t>
      </w:r>
      <w:r w:rsidRPr="00CD468E">
        <w:rPr>
          <w:rFonts w:ascii="Times New Roman" w:hAnsi="Times New Roman" w:cs="Times New Roman"/>
          <w:position w:val="0"/>
          <w:sz w:val="24"/>
          <w:szCs w:val="24"/>
          <w:lang w:eastAsia="en-GB"/>
        </w:rPr>
        <w:t>. Seri Kembangan</w:t>
      </w:r>
      <w:r w:rsidR="00EF67F3" w:rsidRPr="00CD468E">
        <w:rPr>
          <w:rFonts w:ascii="Times New Roman" w:hAnsi="Times New Roman" w:cs="Times New Roman"/>
          <w:position w:val="0"/>
          <w:sz w:val="24"/>
          <w:szCs w:val="24"/>
          <w:lang w:eastAsia="en-GB"/>
        </w:rPr>
        <w:t>, National Hydraulic Research Institute of Malaysia</w:t>
      </w:r>
      <w:r w:rsidRPr="00CD468E">
        <w:rPr>
          <w:rFonts w:ascii="Times New Roman" w:hAnsi="Times New Roman" w:cs="Times New Roman"/>
          <w:position w:val="0"/>
          <w:sz w:val="24"/>
          <w:szCs w:val="24"/>
          <w:lang w:eastAsia="en-GB"/>
        </w:rPr>
        <w:t>.</w:t>
      </w:r>
    </w:p>
    <w:p w14:paraId="6CAB87C8" w14:textId="7906BFFB"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Noordin, N., Majizat, A., Sharip, Z., &amp; Sapian. Z. (2017). Ecohydrology management of lake and wetland in Putrajaya urban ecosystem. In. Maghfiroh, M., Dianto, A., Jasalesmana, T., Melati, I., Samir, O., Kurniawan, R.L. (</w:t>
      </w:r>
      <w:r w:rsidR="002F3365" w:rsidRPr="00CD468E">
        <w:rPr>
          <w:rFonts w:ascii="Times New Roman" w:hAnsi="Times New Roman" w:cs="Times New Roman"/>
          <w:sz w:val="24"/>
          <w:szCs w:val="24"/>
        </w:rPr>
        <w:t>E</w:t>
      </w:r>
      <w:r w:rsidRPr="00CD468E">
        <w:rPr>
          <w:rFonts w:ascii="Times New Roman" w:hAnsi="Times New Roman" w:cs="Times New Roman"/>
          <w:sz w:val="24"/>
          <w:szCs w:val="24"/>
        </w:rPr>
        <w:t xml:space="preserve">ds), </w:t>
      </w:r>
      <w:r w:rsidRPr="00CD468E">
        <w:rPr>
          <w:rFonts w:ascii="Times New Roman" w:hAnsi="Times New Roman" w:cs="Times New Roman"/>
          <w:i/>
          <w:iCs/>
          <w:sz w:val="24"/>
          <w:szCs w:val="24"/>
        </w:rPr>
        <w:t>Lake Ecosystem Health and Its Resilience: Diversity and Risks of Extinction, Proceedings of 16th World Lake Conference</w:t>
      </w:r>
      <w:r w:rsidRPr="00CD468E">
        <w:rPr>
          <w:rFonts w:ascii="Times New Roman" w:hAnsi="Times New Roman" w:cs="Times New Roman"/>
          <w:sz w:val="24"/>
          <w:szCs w:val="24"/>
        </w:rPr>
        <w:t xml:space="preserve"> (pp. 375-387). Bali, Lembaga Ilmu Pengetahuan Indonesia.</w:t>
      </w:r>
    </w:p>
    <w:p w14:paraId="0B8503CA" w14:textId="67674DDF"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Noordin, N., Sharip, Z., Mahfidz, N.</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A.</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A., Majizat, A., &amp; Ghani, A.</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N.</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 xml:space="preserve">A. (2018). Ecosystem Services Valuation for urban lake and wetland - a case of Putrajaya. In: </w:t>
      </w:r>
      <w:r w:rsidRPr="00CD468E">
        <w:rPr>
          <w:rFonts w:ascii="Times New Roman" w:hAnsi="Times New Roman" w:cs="Times New Roman"/>
          <w:i/>
          <w:sz w:val="24"/>
          <w:szCs w:val="24"/>
        </w:rPr>
        <w:t>Proceedings of 17th World Lake Conference</w:t>
      </w:r>
      <w:r w:rsidRPr="00CD468E">
        <w:rPr>
          <w:rFonts w:ascii="Times New Roman" w:hAnsi="Times New Roman" w:cs="Times New Roman"/>
          <w:sz w:val="24"/>
          <w:szCs w:val="24"/>
        </w:rPr>
        <w:t xml:space="preserve"> </w:t>
      </w:r>
      <w:r w:rsidR="003F1601" w:rsidRPr="00CD468E">
        <w:rPr>
          <w:rFonts w:ascii="Times New Roman" w:hAnsi="Times New Roman" w:cs="Times New Roman"/>
          <w:sz w:val="24"/>
          <w:szCs w:val="24"/>
        </w:rPr>
        <w:t xml:space="preserve">(pp. </w:t>
      </w:r>
      <w:r w:rsidRPr="00CD468E">
        <w:rPr>
          <w:rFonts w:ascii="Times New Roman" w:hAnsi="Times New Roman" w:cs="Times New Roman"/>
          <w:sz w:val="24"/>
          <w:szCs w:val="24"/>
        </w:rPr>
        <w:t>855-857</w:t>
      </w:r>
      <w:r w:rsidR="003F1601" w:rsidRPr="00CD468E">
        <w:rPr>
          <w:rFonts w:ascii="Times New Roman" w:hAnsi="Times New Roman" w:cs="Times New Roman"/>
          <w:sz w:val="24"/>
          <w:szCs w:val="24"/>
        </w:rPr>
        <w:t>)</w:t>
      </w:r>
      <w:r w:rsidRPr="00CD468E">
        <w:rPr>
          <w:rFonts w:ascii="Times New Roman" w:hAnsi="Times New Roman" w:cs="Times New Roman"/>
          <w:sz w:val="24"/>
          <w:szCs w:val="24"/>
        </w:rPr>
        <w:t>. Ibaraki, Japan.</w:t>
      </w:r>
    </w:p>
    <w:p w14:paraId="08EF00E0" w14:textId="514C3CB5" w:rsidR="00285F7F" w:rsidRPr="00CD468E" w:rsidRDefault="00285F7F" w:rsidP="00CD468E">
      <w:pPr>
        <w:spacing w:after="0" w:line="240" w:lineRule="auto"/>
        <w:ind w:leftChars="0" w:left="720" w:firstLineChars="0" w:hanging="720"/>
        <w:jc w:val="both"/>
        <w:rPr>
          <w:rFonts w:ascii="Times New Roman" w:hAnsi="Times New Roman" w:cs="Times New Roman"/>
          <w:iCs/>
          <w:sz w:val="24"/>
          <w:szCs w:val="24"/>
        </w:rPr>
      </w:pPr>
      <w:r w:rsidRPr="00CD468E">
        <w:rPr>
          <w:rFonts w:ascii="Times New Roman" w:hAnsi="Times New Roman" w:cs="Times New Roman"/>
          <w:sz w:val="24"/>
          <w:szCs w:val="24"/>
        </w:rPr>
        <w:t>Othman, M. S., &amp; Abdullah, N.</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R. (</w:t>
      </w:r>
      <w:r w:rsidRPr="00CD468E">
        <w:rPr>
          <w:rFonts w:ascii="Times New Roman" w:hAnsi="Times New Roman" w:cs="Times New Roman"/>
          <w:caps/>
          <w:sz w:val="24"/>
          <w:szCs w:val="24"/>
        </w:rPr>
        <w:t>1991).</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Economic valuation of wetland plant, animal, and fish species of Tasek Bera and residents' perceptions on development and conservation</w:t>
      </w:r>
      <w:r w:rsidRPr="00CD468E">
        <w:rPr>
          <w:rFonts w:ascii="Times New Roman" w:hAnsi="Times New Roman" w:cs="Times New Roman"/>
          <w:iCs/>
          <w:sz w:val="24"/>
          <w:szCs w:val="24"/>
        </w:rPr>
        <w:t xml:space="preserve">. Kuala Lumpur, Asian Wetland Bureau. </w:t>
      </w:r>
    </w:p>
    <w:p w14:paraId="503F6DDD" w14:textId="15ADC52D" w:rsidR="00480472" w:rsidRPr="00CD468E" w:rsidRDefault="00480472" w:rsidP="00CD468E">
      <w:pPr>
        <w:spacing w:after="0" w:line="240" w:lineRule="auto"/>
        <w:ind w:leftChars="0" w:left="720" w:firstLineChars="0" w:hanging="720"/>
        <w:jc w:val="both"/>
        <w:rPr>
          <w:rFonts w:ascii="Times New Roman" w:hAnsi="Times New Roman" w:cs="Times New Roman"/>
          <w:position w:val="0"/>
          <w:sz w:val="24"/>
          <w:szCs w:val="24"/>
          <w:lang w:eastAsia="en-GB"/>
        </w:rPr>
      </w:pPr>
      <w:r w:rsidRPr="00CD468E">
        <w:rPr>
          <w:rFonts w:ascii="Times New Roman" w:hAnsi="Times New Roman" w:cs="Times New Roman"/>
          <w:position w:val="0"/>
          <w:sz w:val="24"/>
          <w:szCs w:val="24"/>
          <w:lang w:eastAsia="en-GB"/>
        </w:rPr>
        <w:t>Perbadanan Putrajaya</w:t>
      </w:r>
      <w:r w:rsidR="00E338C6" w:rsidRPr="00CD468E">
        <w:rPr>
          <w:rFonts w:ascii="Times New Roman" w:hAnsi="Times New Roman" w:cs="Times New Roman"/>
          <w:position w:val="0"/>
          <w:sz w:val="24"/>
          <w:szCs w:val="24"/>
          <w:lang w:eastAsia="en-GB"/>
        </w:rPr>
        <w:t>.</w:t>
      </w:r>
      <w:r w:rsidRPr="00CD468E">
        <w:rPr>
          <w:rFonts w:ascii="Times New Roman" w:hAnsi="Times New Roman" w:cs="Times New Roman"/>
          <w:position w:val="0"/>
          <w:sz w:val="24"/>
          <w:szCs w:val="24"/>
          <w:lang w:eastAsia="en-GB"/>
        </w:rPr>
        <w:t xml:space="preserve"> (1996). </w:t>
      </w:r>
      <w:r w:rsidRPr="00CD468E">
        <w:rPr>
          <w:rFonts w:ascii="Times New Roman" w:hAnsi="Times New Roman" w:cs="Times New Roman"/>
          <w:i/>
          <w:iCs/>
          <w:position w:val="0"/>
          <w:sz w:val="24"/>
          <w:szCs w:val="24"/>
          <w:lang w:eastAsia="en-GB"/>
        </w:rPr>
        <w:t>Drainage Master Plan Study Report for Putrajaya development Project</w:t>
      </w:r>
      <w:r w:rsidRPr="00CD468E">
        <w:rPr>
          <w:rFonts w:ascii="Times New Roman" w:hAnsi="Times New Roman" w:cs="Times New Roman"/>
          <w:position w:val="0"/>
          <w:sz w:val="24"/>
          <w:szCs w:val="24"/>
          <w:lang w:eastAsia="en-GB"/>
        </w:rPr>
        <w:t xml:space="preserve">. Kuala Lumpur: Perbadanan Putrajaya. </w:t>
      </w:r>
    </w:p>
    <w:p w14:paraId="54015675" w14:textId="5F59E711"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Rajpar 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N., &amp; Zakaria, M.</w:t>
      </w:r>
      <w:r w:rsidRPr="00CD468E">
        <w:rPr>
          <w:rFonts w:ascii="Times New Roman" w:hAnsi="Times New Roman" w:cs="Times New Roman"/>
          <w:caps/>
          <w:sz w:val="24"/>
          <w:szCs w:val="24"/>
        </w:rPr>
        <w:t xml:space="preserve"> (2013). </w:t>
      </w:r>
      <w:r w:rsidRPr="00CD468E">
        <w:rPr>
          <w:rFonts w:ascii="Times New Roman" w:hAnsi="Times New Roman" w:cs="Times New Roman"/>
          <w:sz w:val="24"/>
          <w:szCs w:val="24"/>
        </w:rPr>
        <w:t xml:space="preserve">Assessing an Artificial Wetland in Putrajaya, Malaysia, as an Alternate Habitat for Waterbirds. </w:t>
      </w:r>
      <w:r w:rsidRPr="00CD468E">
        <w:rPr>
          <w:rFonts w:ascii="Times New Roman" w:hAnsi="Times New Roman" w:cs="Times New Roman"/>
          <w:i/>
          <w:iCs/>
          <w:sz w:val="24"/>
          <w:szCs w:val="24"/>
        </w:rPr>
        <w:t>Waterbird</w:t>
      </w:r>
      <w:r w:rsidRPr="00CD468E">
        <w:rPr>
          <w:rFonts w:ascii="Times New Roman" w:hAnsi="Times New Roman" w:cs="Times New Roman"/>
          <w:iCs/>
          <w:sz w:val="24"/>
          <w:szCs w:val="24"/>
        </w:rPr>
        <w:t>s</w:t>
      </w:r>
      <w:r w:rsidR="003F1601" w:rsidRPr="00CD468E">
        <w:rPr>
          <w:rFonts w:ascii="Times New Roman" w:hAnsi="Times New Roman" w:cs="Times New Roman"/>
          <w:iCs/>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36</w:t>
      </w:r>
      <w:r w:rsidRPr="00CD468E">
        <w:rPr>
          <w:rFonts w:ascii="Times New Roman" w:hAnsi="Times New Roman" w:cs="Times New Roman"/>
          <w:sz w:val="24"/>
          <w:szCs w:val="24"/>
        </w:rPr>
        <w:t>, 482-493.</w:t>
      </w:r>
    </w:p>
    <w:p w14:paraId="525EB27A" w14:textId="13C465F6"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 xml:space="preserve">Sharip Z., Suratman, S., &amp; Shaaban, A. (2016). A national research and development blueprint for sustainable lake basin management in Malaysia. </w:t>
      </w:r>
      <w:r w:rsidRPr="00CD468E">
        <w:rPr>
          <w:rFonts w:ascii="Times New Roman" w:hAnsi="Times New Roman" w:cs="Times New Roman"/>
          <w:i/>
          <w:iCs/>
          <w:sz w:val="24"/>
          <w:szCs w:val="24"/>
        </w:rPr>
        <w:t>Lakes &amp; Reservoirs: Research &amp; Management</w:t>
      </w:r>
      <w:r w:rsidR="003F1601" w:rsidRPr="00CD468E">
        <w:rPr>
          <w:rFonts w:ascii="Times New Roman" w:hAnsi="Times New Roman" w:cs="Times New Roman"/>
          <w:i/>
          <w:iCs/>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21</w:t>
      </w:r>
      <w:r w:rsidRPr="00CD468E">
        <w:rPr>
          <w:rFonts w:ascii="Times New Roman" w:hAnsi="Times New Roman" w:cs="Times New Roman"/>
          <w:sz w:val="24"/>
          <w:szCs w:val="24"/>
        </w:rPr>
        <w:t>, 269-</w:t>
      </w:r>
      <w:r w:rsidR="003F1601" w:rsidRPr="00CD468E">
        <w:rPr>
          <w:rFonts w:ascii="Times New Roman" w:hAnsi="Times New Roman" w:cs="Times New Roman"/>
          <w:sz w:val="24"/>
          <w:szCs w:val="24"/>
        </w:rPr>
        <w:t>2</w:t>
      </w:r>
      <w:r w:rsidRPr="00CD468E">
        <w:rPr>
          <w:rFonts w:ascii="Times New Roman" w:hAnsi="Times New Roman" w:cs="Times New Roman"/>
          <w:sz w:val="24"/>
          <w:szCs w:val="24"/>
        </w:rPr>
        <w:t>83.</w:t>
      </w:r>
    </w:p>
    <w:p w14:paraId="15F1C259" w14:textId="2E2D6515"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lastRenderedPageBreak/>
        <w:t>Siew, 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K., Yacob, 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R., Radam, A., Adamu, A., &amp; Alias, E.</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F. (2015). Estimating willingness to pay for wetland conservation: a contingent valuation study of Paya Indah Wetland, Selangor Malaysia</w:t>
      </w:r>
      <w:r w:rsidRPr="00CD468E">
        <w:rPr>
          <w:rFonts w:ascii="Times New Roman" w:hAnsi="Times New Roman" w:cs="Times New Roman"/>
          <w:i/>
          <w:sz w:val="24"/>
          <w:szCs w:val="24"/>
        </w:rPr>
        <w:t xml:space="preserve">. </w:t>
      </w:r>
      <w:r w:rsidRPr="00CD468E">
        <w:rPr>
          <w:rFonts w:ascii="Times New Roman" w:hAnsi="Times New Roman" w:cs="Times New Roman"/>
          <w:i/>
          <w:iCs/>
          <w:sz w:val="24"/>
          <w:szCs w:val="24"/>
        </w:rPr>
        <w:t>Procedia Environmental Science,</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30</w:t>
      </w:r>
      <w:r w:rsidRPr="00CD468E">
        <w:rPr>
          <w:rFonts w:ascii="Times New Roman" w:hAnsi="Times New Roman" w:cs="Times New Roman"/>
          <w:sz w:val="24"/>
          <w:szCs w:val="24"/>
        </w:rPr>
        <w:t>,</w:t>
      </w:r>
      <w:r w:rsidRPr="00CD468E">
        <w:rPr>
          <w:rFonts w:ascii="Times New Roman" w:hAnsi="Times New Roman" w:cs="Times New Roman"/>
          <w:b/>
          <w:bCs/>
          <w:sz w:val="24"/>
          <w:szCs w:val="24"/>
        </w:rPr>
        <w:t xml:space="preserve"> </w:t>
      </w:r>
      <w:r w:rsidRPr="00CD468E">
        <w:rPr>
          <w:rFonts w:ascii="Times New Roman" w:hAnsi="Times New Roman" w:cs="Times New Roman"/>
          <w:sz w:val="24"/>
          <w:szCs w:val="24"/>
        </w:rPr>
        <w:t>268-272.</w:t>
      </w:r>
    </w:p>
    <w:p w14:paraId="14F46383" w14:textId="77777777" w:rsidR="00EF67F3" w:rsidRPr="00CD468E" w:rsidRDefault="00EF67F3" w:rsidP="00CD468E">
      <w:pPr>
        <w:spacing w:after="0" w:line="240" w:lineRule="auto"/>
        <w:ind w:leftChars="0" w:left="720" w:firstLineChars="0" w:hanging="720"/>
        <w:jc w:val="both"/>
        <w:rPr>
          <w:rFonts w:ascii="Times New Roman" w:hAnsi="Times New Roman" w:cs="Times New Roman"/>
          <w:sz w:val="36"/>
          <w:szCs w:val="36"/>
        </w:rPr>
      </w:pPr>
      <w:r w:rsidRPr="00CD468E">
        <w:rPr>
          <w:rFonts w:ascii="Times New Roman" w:hAnsi="Times New Roman" w:cs="Times New Roman"/>
          <w:position w:val="0"/>
          <w:sz w:val="24"/>
          <w:szCs w:val="24"/>
          <w:lang w:eastAsia="en-GB"/>
        </w:rPr>
        <w:t xml:space="preserve">Tangang, F. T., Juneng, L., &amp; Ahmad, S. (2007). Trend and interannual variability of temperature in Malaysia: 1961-2002. </w:t>
      </w:r>
      <w:r w:rsidRPr="00CD468E">
        <w:rPr>
          <w:rFonts w:ascii="Times New Roman" w:hAnsi="Times New Roman" w:cs="Times New Roman"/>
          <w:i/>
          <w:iCs/>
          <w:position w:val="0"/>
          <w:sz w:val="24"/>
          <w:szCs w:val="24"/>
          <w:lang w:eastAsia="en-GB"/>
        </w:rPr>
        <w:t>Theoretical and Applied Climatology, 89</w:t>
      </w:r>
      <w:r w:rsidRPr="00CD468E">
        <w:rPr>
          <w:rFonts w:ascii="Times New Roman" w:hAnsi="Times New Roman" w:cs="Times New Roman"/>
          <w:position w:val="0"/>
          <w:sz w:val="24"/>
          <w:szCs w:val="24"/>
          <w:lang w:eastAsia="en-GB"/>
        </w:rPr>
        <w:t>(3-4), 127-141.</w:t>
      </w:r>
      <w:r w:rsidRPr="00CD468E">
        <w:rPr>
          <w:rFonts w:ascii="Times New Roman" w:hAnsi="Times New Roman" w:cs="Times New Roman"/>
          <w:sz w:val="36"/>
          <w:szCs w:val="36"/>
        </w:rPr>
        <w:t xml:space="preserve"> </w:t>
      </w:r>
    </w:p>
    <w:p w14:paraId="76B98381" w14:textId="0C00C78F"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van der Geest, K., de Sherbinin, A., Kienberger, S., Zommers, Z., Sitati, A., Roberts, E., &amp; James, R. (2019). The impacts of climate change on ecosystem services and resulting losses and damages to people and society. In</w:t>
      </w:r>
      <w:r w:rsidR="003F1601" w:rsidRPr="00CD468E">
        <w:rPr>
          <w:rFonts w:ascii="Times New Roman" w:hAnsi="Times New Roman" w:cs="Times New Roman"/>
          <w:sz w:val="24"/>
          <w:szCs w:val="24"/>
        </w:rPr>
        <w:t xml:space="preserve">. </w:t>
      </w:r>
      <w:r w:rsidR="003F1601" w:rsidRPr="00CD468E">
        <w:rPr>
          <w:rStyle w:val="Strong"/>
          <w:rFonts w:ascii="Times New Roman" w:hAnsi="Times New Roman" w:cs="Times New Roman"/>
          <w:b w:val="0"/>
          <w:bCs w:val="0"/>
          <w:sz w:val="24"/>
          <w:szCs w:val="24"/>
          <w:shd w:val="clear" w:color="auto" w:fill="FFFFFF"/>
        </w:rPr>
        <w:t>Mechler</w:t>
      </w:r>
      <w:r w:rsidR="003F1601" w:rsidRPr="00CD468E">
        <w:rPr>
          <w:rFonts w:ascii="Times New Roman" w:hAnsi="Times New Roman" w:cs="Times New Roman"/>
          <w:sz w:val="24"/>
          <w:szCs w:val="24"/>
          <w:shd w:val="clear" w:color="auto" w:fill="FFFFFF"/>
        </w:rPr>
        <w:t>, R., </w:t>
      </w:r>
      <w:r w:rsidR="003F1601" w:rsidRPr="00CD468E">
        <w:rPr>
          <w:rStyle w:val="Strong"/>
          <w:rFonts w:ascii="Times New Roman" w:hAnsi="Times New Roman" w:cs="Times New Roman"/>
          <w:b w:val="0"/>
          <w:bCs w:val="0"/>
          <w:sz w:val="24"/>
          <w:szCs w:val="24"/>
          <w:shd w:val="clear" w:color="auto" w:fill="FFFFFF"/>
        </w:rPr>
        <w:t>Bouwer</w:t>
      </w:r>
      <w:r w:rsidR="003F1601" w:rsidRPr="00CD468E">
        <w:rPr>
          <w:rFonts w:ascii="Times New Roman" w:hAnsi="Times New Roman" w:cs="Times New Roman"/>
          <w:b/>
          <w:bCs/>
          <w:sz w:val="24"/>
          <w:szCs w:val="24"/>
          <w:shd w:val="clear" w:color="auto" w:fill="FFFFFF"/>
        </w:rPr>
        <w:t>,</w:t>
      </w:r>
      <w:r w:rsidR="003F1601" w:rsidRPr="00CD468E">
        <w:rPr>
          <w:rFonts w:ascii="Times New Roman" w:hAnsi="Times New Roman" w:cs="Times New Roman"/>
          <w:sz w:val="24"/>
          <w:szCs w:val="24"/>
          <w:shd w:val="clear" w:color="auto" w:fill="FFFFFF"/>
        </w:rPr>
        <w:t xml:space="preserve"> L.M., </w:t>
      </w:r>
      <w:r w:rsidR="003F1601" w:rsidRPr="00CD468E">
        <w:rPr>
          <w:rStyle w:val="Strong"/>
          <w:rFonts w:ascii="Times New Roman" w:hAnsi="Times New Roman" w:cs="Times New Roman"/>
          <w:b w:val="0"/>
          <w:bCs w:val="0"/>
          <w:sz w:val="24"/>
          <w:szCs w:val="24"/>
          <w:shd w:val="clear" w:color="auto" w:fill="FFFFFF"/>
        </w:rPr>
        <w:t>Schinko</w:t>
      </w:r>
      <w:r w:rsidR="003F1601" w:rsidRPr="00CD468E">
        <w:rPr>
          <w:rFonts w:ascii="Times New Roman" w:hAnsi="Times New Roman" w:cs="Times New Roman"/>
          <w:sz w:val="24"/>
          <w:szCs w:val="24"/>
          <w:shd w:val="clear" w:color="auto" w:fill="FFFFFF"/>
        </w:rPr>
        <w:t>,</w:t>
      </w:r>
      <w:r w:rsidR="003F1601" w:rsidRPr="00CD468E">
        <w:rPr>
          <w:rFonts w:ascii="Times New Roman" w:hAnsi="Times New Roman" w:cs="Times New Roman"/>
          <w:b/>
          <w:bCs/>
          <w:sz w:val="24"/>
          <w:szCs w:val="24"/>
          <w:shd w:val="clear" w:color="auto" w:fill="FFFFFF"/>
        </w:rPr>
        <w:t xml:space="preserve"> </w:t>
      </w:r>
      <w:r w:rsidR="003F1601" w:rsidRPr="00CD468E">
        <w:rPr>
          <w:rFonts w:ascii="Times New Roman" w:hAnsi="Times New Roman" w:cs="Times New Roman"/>
          <w:sz w:val="24"/>
          <w:szCs w:val="24"/>
          <w:shd w:val="clear" w:color="auto" w:fill="FFFFFF"/>
        </w:rPr>
        <w:t>Th.,</w:t>
      </w:r>
      <w:r w:rsidR="003F1601" w:rsidRPr="00CD468E">
        <w:rPr>
          <w:rFonts w:ascii="Times New Roman" w:hAnsi="Times New Roman" w:cs="Times New Roman"/>
          <w:b/>
          <w:bCs/>
          <w:sz w:val="24"/>
          <w:szCs w:val="24"/>
          <w:shd w:val="clear" w:color="auto" w:fill="FFFFFF"/>
        </w:rPr>
        <w:t> </w:t>
      </w:r>
      <w:r w:rsidR="003F1601" w:rsidRPr="00CD468E">
        <w:rPr>
          <w:rStyle w:val="Strong"/>
          <w:rFonts w:ascii="Times New Roman" w:hAnsi="Times New Roman" w:cs="Times New Roman"/>
          <w:b w:val="0"/>
          <w:bCs w:val="0"/>
          <w:sz w:val="24"/>
          <w:szCs w:val="24"/>
          <w:shd w:val="clear" w:color="auto" w:fill="FFFFFF"/>
        </w:rPr>
        <w:t>Surminski</w:t>
      </w:r>
      <w:r w:rsidR="003F1601" w:rsidRPr="00CD468E">
        <w:rPr>
          <w:rFonts w:ascii="Times New Roman" w:hAnsi="Times New Roman" w:cs="Times New Roman"/>
          <w:sz w:val="24"/>
          <w:szCs w:val="24"/>
          <w:shd w:val="clear" w:color="auto" w:fill="FFFFFF"/>
        </w:rPr>
        <w:t>,</w:t>
      </w:r>
      <w:r w:rsidR="003F1601" w:rsidRPr="00CD468E">
        <w:rPr>
          <w:rFonts w:ascii="Times New Roman" w:hAnsi="Times New Roman" w:cs="Times New Roman"/>
          <w:b/>
          <w:bCs/>
          <w:sz w:val="24"/>
          <w:szCs w:val="24"/>
          <w:shd w:val="clear" w:color="auto" w:fill="FFFFFF"/>
        </w:rPr>
        <w:t xml:space="preserve"> </w:t>
      </w:r>
      <w:r w:rsidR="003F1601" w:rsidRPr="00CD468E">
        <w:rPr>
          <w:rFonts w:ascii="Times New Roman" w:hAnsi="Times New Roman" w:cs="Times New Roman"/>
          <w:sz w:val="24"/>
          <w:szCs w:val="24"/>
          <w:shd w:val="clear" w:color="auto" w:fill="FFFFFF"/>
        </w:rPr>
        <w:t>S.,</w:t>
      </w:r>
      <w:r w:rsidR="003F1601" w:rsidRPr="00CD468E">
        <w:rPr>
          <w:rFonts w:ascii="Times New Roman" w:hAnsi="Times New Roman" w:cs="Times New Roman"/>
          <w:b/>
          <w:bCs/>
          <w:sz w:val="24"/>
          <w:szCs w:val="24"/>
          <w:shd w:val="clear" w:color="auto" w:fill="FFFFFF"/>
        </w:rPr>
        <w:t> </w:t>
      </w:r>
      <w:r w:rsidR="003F1601" w:rsidRPr="00CD468E">
        <w:rPr>
          <w:rStyle w:val="Strong"/>
          <w:rFonts w:ascii="Times New Roman" w:hAnsi="Times New Roman" w:cs="Times New Roman"/>
          <w:b w:val="0"/>
          <w:bCs w:val="0"/>
          <w:sz w:val="24"/>
          <w:szCs w:val="24"/>
          <w:shd w:val="clear" w:color="auto" w:fill="FFFFFF"/>
        </w:rPr>
        <w:t>Linnerooth-Bayer</w:t>
      </w:r>
      <w:r w:rsidR="003F1601" w:rsidRPr="00CD468E">
        <w:rPr>
          <w:rFonts w:ascii="Times New Roman" w:hAnsi="Times New Roman" w:cs="Times New Roman"/>
          <w:sz w:val="24"/>
          <w:szCs w:val="24"/>
          <w:shd w:val="clear" w:color="auto" w:fill="FFFFFF"/>
        </w:rPr>
        <w:t>, J. (Eds.),</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Loss and Damage from Climate Change</w:t>
      </w:r>
      <w:r w:rsidR="003F1601" w:rsidRPr="00CD468E">
        <w:rPr>
          <w:rFonts w:ascii="Times New Roman" w:hAnsi="Times New Roman" w:cs="Times New Roman"/>
          <w:i/>
          <w:iCs/>
          <w:sz w:val="24"/>
          <w:szCs w:val="24"/>
        </w:rPr>
        <w:t xml:space="preserve"> (</w:t>
      </w:r>
      <w:r w:rsidR="003F1601" w:rsidRPr="00CD468E">
        <w:rPr>
          <w:rFonts w:ascii="Times New Roman" w:hAnsi="Times New Roman" w:cs="Times New Roman"/>
          <w:sz w:val="24"/>
          <w:szCs w:val="24"/>
        </w:rPr>
        <w:t>pp. 221-236)</w:t>
      </w:r>
      <w:r w:rsidRPr="00CD468E">
        <w:rPr>
          <w:rFonts w:ascii="Times New Roman" w:hAnsi="Times New Roman" w:cs="Times New Roman"/>
          <w:iCs/>
          <w:sz w:val="24"/>
          <w:szCs w:val="24"/>
        </w:rPr>
        <w:t>.</w:t>
      </w:r>
      <w:r w:rsidRPr="00CD468E">
        <w:rPr>
          <w:rFonts w:ascii="Times New Roman" w:hAnsi="Times New Roman" w:cs="Times New Roman"/>
          <w:sz w:val="24"/>
          <w:szCs w:val="24"/>
        </w:rPr>
        <w:t xml:space="preserve"> </w:t>
      </w:r>
      <w:r w:rsidR="00183DB8" w:rsidRPr="00CD468E">
        <w:rPr>
          <w:rFonts w:ascii="Times New Roman" w:hAnsi="Times New Roman" w:cs="Times New Roman"/>
          <w:sz w:val="24"/>
          <w:szCs w:val="24"/>
        </w:rPr>
        <w:t xml:space="preserve">Cham, </w:t>
      </w:r>
      <w:r w:rsidRPr="00CD468E">
        <w:rPr>
          <w:rFonts w:ascii="Times New Roman" w:hAnsi="Times New Roman" w:cs="Times New Roman"/>
          <w:sz w:val="24"/>
          <w:szCs w:val="24"/>
        </w:rPr>
        <w:t>Springer.</w:t>
      </w:r>
    </w:p>
    <w:p w14:paraId="45F6EE63" w14:textId="392F0910"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Wang, X, Zhang, Y., Huang, Z., Hong, M., Chen, X., Wang, S., Feng, Q., &amp; Meng, X.</w:t>
      </w:r>
      <w:r w:rsidRPr="00CD468E">
        <w:rPr>
          <w:rFonts w:ascii="Times New Roman" w:hAnsi="Times New Roman" w:cs="Times New Roman"/>
          <w:caps/>
          <w:sz w:val="24"/>
          <w:szCs w:val="24"/>
        </w:rPr>
        <w:t xml:space="preserve"> (2016).</w:t>
      </w:r>
      <w:r w:rsidRPr="00CD468E">
        <w:rPr>
          <w:rFonts w:ascii="Times New Roman" w:hAnsi="Times New Roman" w:cs="Times New Roman"/>
          <w:sz w:val="24"/>
          <w:szCs w:val="24"/>
        </w:rPr>
        <w:t xml:space="preserve"> Assessing willingness to accept compensation for polluted farmlands: a contingent valuation method case study in northwest China</w:t>
      </w:r>
      <w:r w:rsidR="00930F00" w:rsidRPr="00CD468E">
        <w:rPr>
          <w:rFonts w:ascii="Times New Roman" w:hAnsi="Times New Roman" w:cs="Times New Roman"/>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Environmental Earth Science,</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75</w:t>
      </w:r>
      <w:r w:rsidRPr="00CD468E">
        <w:rPr>
          <w:rFonts w:ascii="Times New Roman" w:hAnsi="Times New Roman" w:cs="Times New Roman"/>
          <w:sz w:val="24"/>
          <w:szCs w:val="24"/>
        </w:rPr>
        <w:t>, 179</w:t>
      </w:r>
      <w:r w:rsidR="003F1601" w:rsidRPr="00CD468E">
        <w:rPr>
          <w:rFonts w:ascii="Times New Roman" w:hAnsi="Times New Roman" w:cs="Times New Roman"/>
          <w:sz w:val="24"/>
          <w:szCs w:val="24"/>
        </w:rPr>
        <w:t>.</w:t>
      </w:r>
    </w:p>
    <w:p w14:paraId="2D2435FD" w14:textId="6E1AD2FD" w:rsidR="00285F7F" w:rsidRPr="00CD468E" w:rsidRDefault="00285F7F" w:rsidP="00CD468E">
      <w:pPr>
        <w:spacing w:after="0" w:line="240" w:lineRule="auto"/>
        <w:ind w:leftChars="0" w:left="720" w:firstLineChars="0" w:hanging="720"/>
        <w:jc w:val="both"/>
        <w:rPr>
          <w:rFonts w:ascii="Times New Roman" w:hAnsi="Times New Roman" w:cs="Times New Roman"/>
          <w:sz w:val="24"/>
          <w:szCs w:val="24"/>
        </w:rPr>
      </w:pPr>
      <w:r w:rsidRPr="00CD468E">
        <w:rPr>
          <w:rFonts w:ascii="Times New Roman" w:hAnsi="Times New Roman" w:cs="Times New Roman"/>
          <w:sz w:val="24"/>
          <w:szCs w:val="24"/>
        </w:rPr>
        <w:t>Wilson, M.</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A., &amp; Carpenter, S.</w:t>
      </w:r>
      <w:r w:rsidR="00CD468E">
        <w:rPr>
          <w:rFonts w:ascii="Times New Roman" w:hAnsi="Times New Roman" w:cs="Times New Roman"/>
          <w:sz w:val="24"/>
          <w:szCs w:val="24"/>
        </w:rPr>
        <w:t xml:space="preserve"> </w:t>
      </w:r>
      <w:r w:rsidRPr="00CD468E">
        <w:rPr>
          <w:rFonts w:ascii="Times New Roman" w:hAnsi="Times New Roman" w:cs="Times New Roman"/>
          <w:sz w:val="24"/>
          <w:szCs w:val="24"/>
        </w:rPr>
        <w:t>R. (1999). Economic valuation of freshwater ecosystem services in the United States: 1971-1997</w:t>
      </w:r>
      <w:r w:rsidR="00930F00" w:rsidRPr="00CD468E">
        <w:rPr>
          <w:rFonts w:ascii="Times New Roman" w:hAnsi="Times New Roman" w:cs="Times New Roman"/>
          <w:sz w:val="24"/>
          <w:szCs w:val="24"/>
        </w:rPr>
        <w:t>.</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Ecological Application,</w:t>
      </w:r>
      <w:r w:rsidRPr="00CD468E">
        <w:rPr>
          <w:rFonts w:ascii="Times New Roman" w:hAnsi="Times New Roman" w:cs="Times New Roman"/>
          <w:sz w:val="24"/>
          <w:szCs w:val="24"/>
        </w:rPr>
        <w:t xml:space="preserve"> </w:t>
      </w:r>
      <w:r w:rsidRPr="00CD468E">
        <w:rPr>
          <w:rFonts w:ascii="Times New Roman" w:hAnsi="Times New Roman" w:cs="Times New Roman"/>
          <w:i/>
          <w:iCs/>
          <w:sz w:val="24"/>
          <w:szCs w:val="24"/>
        </w:rPr>
        <w:t>9</w:t>
      </w:r>
      <w:r w:rsidRPr="00CD468E">
        <w:rPr>
          <w:rFonts w:ascii="Times New Roman" w:hAnsi="Times New Roman" w:cs="Times New Roman"/>
          <w:sz w:val="24"/>
          <w:szCs w:val="24"/>
        </w:rPr>
        <w:t>, 772-783.</w:t>
      </w:r>
    </w:p>
    <w:p w14:paraId="5D61132E" w14:textId="77777777" w:rsidR="00183C2C" w:rsidRPr="00CD468E" w:rsidRDefault="00183C2C" w:rsidP="00CD468E">
      <w:pPr>
        <w:spacing w:after="0" w:line="240" w:lineRule="auto"/>
        <w:ind w:leftChars="0" w:left="2" w:hanging="2"/>
        <w:rPr>
          <w:rFonts w:ascii="Times New Roman" w:eastAsia="Times New Roman" w:hAnsi="Times New Roman" w:cs="Times New Roman"/>
          <w:sz w:val="24"/>
          <w:szCs w:val="24"/>
        </w:rPr>
      </w:pPr>
    </w:p>
    <w:sectPr w:rsidR="00183C2C" w:rsidRPr="00CD468E" w:rsidSect="0023311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4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F478B" w14:textId="77777777" w:rsidR="009A7C1B" w:rsidRDefault="009A7C1B">
      <w:pPr>
        <w:spacing w:after="0" w:line="240" w:lineRule="auto"/>
        <w:ind w:left="0" w:hanging="2"/>
      </w:pPr>
      <w:r>
        <w:separator/>
      </w:r>
    </w:p>
  </w:endnote>
  <w:endnote w:type="continuationSeparator" w:id="0">
    <w:p w14:paraId="1FE44D8E" w14:textId="77777777" w:rsidR="009A7C1B" w:rsidRDefault="009A7C1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3566" w14:textId="77777777" w:rsidR="00233111" w:rsidRDefault="0023311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BC95" w14:textId="77777777" w:rsidR="00233111" w:rsidRDefault="0023311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1EF9" w14:textId="77777777" w:rsidR="00233111" w:rsidRDefault="0023311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8D7CF" w14:textId="77777777" w:rsidR="009A7C1B" w:rsidRDefault="009A7C1B">
      <w:pPr>
        <w:spacing w:after="0" w:line="240" w:lineRule="auto"/>
        <w:ind w:left="0" w:hanging="2"/>
      </w:pPr>
      <w:r>
        <w:separator/>
      </w:r>
    </w:p>
  </w:footnote>
  <w:footnote w:type="continuationSeparator" w:id="0">
    <w:p w14:paraId="194A84DD" w14:textId="77777777" w:rsidR="009A7C1B" w:rsidRDefault="009A7C1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54A4A" w14:textId="77777777" w:rsidR="00233111" w:rsidRDefault="0023311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BE98" w14:textId="2B527FF5" w:rsidR="00233111" w:rsidRPr="00233111" w:rsidRDefault="00233111" w:rsidP="00233111">
    <w:pPr>
      <w:tabs>
        <w:tab w:val="left" w:pos="720"/>
        <w:tab w:val="center" w:pos="4680"/>
        <w:tab w:val="right" w:pos="9356"/>
      </w:tabs>
      <w:spacing w:after="0" w:line="240" w:lineRule="auto"/>
      <w:ind w:left="0" w:hanging="2"/>
      <w:rPr>
        <w:rFonts w:ascii="Times New Roman" w:hAnsi="Times New Roman" w:cs="Times New Roman"/>
        <w:sz w:val="18"/>
        <w:szCs w:val="18"/>
        <w:lang w:eastAsia="en-MY"/>
      </w:rPr>
    </w:pPr>
    <w:r w:rsidRPr="00233111">
      <w:rPr>
        <w:rFonts w:ascii="Times New Roman" w:hAnsi="Times New Roman" w:cs="Times New Roman"/>
        <w:sz w:val="18"/>
        <w:szCs w:val="18"/>
        <w:lang w:eastAsia="en-MY"/>
      </w:rPr>
      <w:t>GEOGRAFIA Online</w:t>
    </w:r>
    <w:r w:rsidRPr="00233111">
      <w:rPr>
        <w:rFonts w:ascii="Times New Roman" w:hAnsi="Times New Roman" w:cs="Times New Roman"/>
        <w:sz w:val="18"/>
        <w:szCs w:val="18"/>
        <w:vertAlign w:val="superscript"/>
        <w:lang w:eastAsia="en-MY"/>
      </w:rPr>
      <w:t>TM</w:t>
    </w:r>
    <w:r w:rsidRPr="00233111">
      <w:rPr>
        <w:rFonts w:ascii="Times New Roman" w:hAnsi="Times New Roman" w:cs="Times New Roman"/>
        <w:sz w:val="18"/>
        <w:szCs w:val="18"/>
        <w:lang w:eastAsia="en-MY"/>
      </w:rPr>
      <w:t xml:space="preserve"> Malaysian Journal of Society and Space 17 issue </w:t>
    </w:r>
    <w:r w:rsidR="00CC3591">
      <w:rPr>
        <w:rFonts w:ascii="Times New Roman" w:hAnsi="Times New Roman" w:cs="Times New Roman"/>
        <w:sz w:val="18"/>
        <w:szCs w:val="18"/>
        <w:lang w:eastAsia="en-MY"/>
      </w:rPr>
      <w:t>3</w:t>
    </w:r>
    <w:bookmarkStart w:id="1" w:name="_GoBack"/>
    <w:bookmarkEnd w:id="1"/>
    <w:r w:rsidRPr="00233111">
      <w:rPr>
        <w:rFonts w:ascii="Times New Roman" w:hAnsi="Times New Roman" w:cs="Times New Roman"/>
        <w:sz w:val="18"/>
        <w:szCs w:val="18"/>
        <w:lang w:eastAsia="en-MY"/>
      </w:rPr>
      <w:t xml:space="preserve"> (</w:t>
    </w:r>
    <w:r w:rsidR="005F351D">
      <w:rPr>
        <w:rFonts w:ascii="Times New Roman" w:hAnsi="Times New Roman" w:cs="Times New Roman"/>
        <w:sz w:val="18"/>
        <w:szCs w:val="18"/>
        <w:lang w:eastAsia="en-MY"/>
      </w:rPr>
      <w:t>47-61</w:t>
    </w:r>
    <w:r w:rsidRPr="00233111">
      <w:rPr>
        <w:rFonts w:ascii="Times New Roman" w:hAnsi="Times New Roman" w:cs="Times New Roman"/>
        <w:sz w:val="18"/>
        <w:szCs w:val="18"/>
        <w:lang w:eastAsia="en-MY"/>
      </w:rPr>
      <w:t>)</w:t>
    </w:r>
    <w:r w:rsidRPr="00233111">
      <w:rPr>
        <w:rFonts w:ascii="Times New Roman" w:hAnsi="Times New Roman" w:cs="Times New Roman"/>
        <w:sz w:val="18"/>
        <w:szCs w:val="18"/>
        <w:lang w:eastAsia="en-MY"/>
      </w:rPr>
      <w:tab/>
    </w:r>
  </w:p>
  <w:p w14:paraId="564A8F8E" w14:textId="4000880D" w:rsidR="00233111" w:rsidRPr="00233111" w:rsidRDefault="00233111" w:rsidP="00233111">
    <w:pPr>
      <w:pStyle w:val="Header"/>
      <w:ind w:left="0" w:hanging="2"/>
      <w:rPr>
        <w:rFonts w:ascii="Times New Roman" w:hAnsi="Times New Roman" w:cs="Times New Roman"/>
        <w:sz w:val="18"/>
        <w:szCs w:val="18"/>
      </w:rPr>
    </w:pPr>
    <w:r w:rsidRPr="00233111">
      <w:rPr>
        <w:rFonts w:ascii="Times New Roman" w:hAnsi="Times New Roman" w:cs="Times New Roman"/>
        <w:sz w:val="18"/>
        <w:szCs w:val="18"/>
        <w:lang w:eastAsia="en-MY"/>
      </w:rPr>
      <w:t xml:space="preserve">© 2021, e-ISSN 2682-7727   </w:t>
    </w:r>
    <w:hyperlink r:id="rId1" w:history="1">
      <w:r w:rsidRPr="005F351D">
        <w:rPr>
          <w:rStyle w:val="Hyperlink"/>
          <w:rFonts w:ascii="Times New Roman" w:hAnsi="Times New Roman" w:cs="Times New Roman"/>
          <w:color w:val="auto"/>
          <w:sz w:val="18"/>
          <w:szCs w:val="18"/>
          <w:u w:val="none"/>
          <w:lang w:eastAsia="en-MY"/>
        </w:rPr>
        <w:t>https://doi.org/10.17576/geo-2021-1703-04</w:t>
      </w:r>
    </w:hyperlink>
    <w:sdt>
      <w:sdtPr>
        <w:rPr>
          <w:rFonts w:ascii="Times New Roman" w:hAnsi="Times New Roman" w:cs="Times New Roman"/>
          <w:sz w:val="18"/>
          <w:szCs w:val="18"/>
        </w:rPr>
        <w:id w:val="-86736809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233111">
          <w:rPr>
            <w:rFonts w:ascii="Times New Roman" w:hAnsi="Times New Roman" w:cs="Times New Roman"/>
            <w:sz w:val="18"/>
            <w:szCs w:val="18"/>
          </w:rPr>
          <w:fldChar w:fldCharType="begin"/>
        </w:r>
        <w:r w:rsidRPr="00233111">
          <w:rPr>
            <w:rFonts w:ascii="Times New Roman" w:hAnsi="Times New Roman" w:cs="Times New Roman"/>
            <w:sz w:val="18"/>
            <w:szCs w:val="18"/>
          </w:rPr>
          <w:instrText xml:space="preserve"> PAGE   \* MERGEFORMAT </w:instrText>
        </w:r>
        <w:r w:rsidRPr="00233111">
          <w:rPr>
            <w:rFonts w:ascii="Times New Roman" w:hAnsi="Times New Roman" w:cs="Times New Roman"/>
            <w:sz w:val="18"/>
            <w:szCs w:val="18"/>
          </w:rPr>
          <w:fldChar w:fldCharType="separate"/>
        </w:r>
        <w:r w:rsidR="00CC3591">
          <w:rPr>
            <w:rFonts w:ascii="Times New Roman" w:hAnsi="Times New Roman" w:cs="Times New Roman"/>
            <w:noProof/>
            <w:sz w:val="18"/>
            <w:szCs w:val="18"/>
          </w:rPr>
          <w:t>47</w:t>
        </w:r>
        <w:r w:rsidRPr="0023311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882D0" w14:textId="77777777" w:rsidR="00233111" w:rsidRDefault="0023311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2C"/>
    <w:rsid w:val="00025833"/>
    <w:rsid w:val="0006388D"/>
    <w:rsid w:val="0008143D"/>
    <w:rsid w:val="000A68A4"/>
    <w:rsid w:val="000C4851"/>
    <w:rsid w:val="000C7B1C"/>
    <w:rsid w:val="000F7040"/>
    <w:rsid w:val="001065BE"/>
    <w:rsid w:val="00107136"/>
    <w:rsid w:val="001216EC"/>
    <w:rsid w:val="001638BD"/>
    <w:rsid w:val="00176826"/>
    <w:rsid w:val="00183C2C"/>
    <w:rsid w:val="00183DB8"/>
    <w:rsid w:val="00193F4B"/>
    <w:rsid w:val="0021537C"/>
    <w:rsid w:val="00233111"/>
    <w:rsid w:val="002605A2"/>
    <w:rsid w:val="00261DD8"/>
    <w:rsid w:val="002657DF"/>
    <w:rsid w:val="0028117D"/>
    <w:rsid w:val="00285F7F"/>
    <w:rsid w:val="002A33BE"/>
    <w:rsid w:val="002A6D94"/>
    <w:rsid w:val="002B495C"/>
    <w:rsid w:val="002F3365"/>
    <w:rsid w:val="002F4C95"/>
    <w:rsid w:val="00331673"/>
    <w:rsid w:val="00334FBB"/>
    <w:rsid w:val="003563FC"/>
    <w:rsid w:val="003916BA"/>
    <w:rsid w:val="003E2F03"/>
    <w:rsid w:val="003F1601"/>
    <w:rsid w:val="00472C52"/>
    <w:rsid w:val="00480472"/>
    <w:rsid w:val="00485DF5"/>
    <w:rsid w:val="004C4F1A"/>
    <w:rsid w:val="004D1E57"/>
    <w:rsid w:val="005028E6"/>
    <w:rsid w:val="00553AF2"/>
    <w:rsid w:val="0057758A"/>
    <w:rsid w:val="005F351D"/>
    <w:rsid w:val="00632218"/>
    <w:rsid w:val="00662BEC"/>
    <w:rsid w:val="006E160E"/>
    <w:rsid w:val="00701383"/>
    <w:rsid w:val="00747886"/>
    <w:rsid w:val="007A4D51"/>
    <w:rsid w:val="007B4C06"/>
    <w:rsid w:val="007D7FE0"/>
    <w:rsid w:val="00812140"/>
    <w:rsid w:val="00825297"/>
    <w:rsid w:val="00825580"/>
    <w:rsid w:val="008266A9"/>
    <w:rsid w:val="00855827"/>
    <w:rsid w:val="00855BBF"/>
    <w:rsid w:val="008879B8"/>
    <w:rsid w:val="00894CCD"/>
    <w:rsid w:val="00930F00"/>
    <w:rsid w:val="00957E97"/>
    <w:rsid w:val="009909B4"/>
    <w:rsid w:val="009968C8"/>
    <w:rsid w:val="009A7C1B"/>
    <w:rsid w:val="009F1527"/>
    <w:rsid w:val="00A23242"/>
    <w:rsid w:val="00A606AD"/>
    <w:rsid w:val="00A82EBC"/>
    <w:rsid w:val="00AA59B8"/>
    <w:rsid w:val="00AF50A7"/>
    <w:rsid w:val="00B0028F"/>
    <w:rsid w:val="00B51354"/>
    <w:rsid w:val="00B6458A"/>
    <w:rsid w:val="00B75A49"/>
    <w:rsid w:val="00BB7ECE"/>
    <w:rsid w:val="00BC76B8"/>
    <w:rsid w:val="00BD0620"/>
    <w:rsid w:val="00BD3F45"/>
    <w:rsid w:val="00BE53F4"/>
    <w:rsid w:val="00C00D50"/>
    <w:rsid w:val="00C07761"/>
    <w:rsid w:val="00C249BC"/>
    <w:rsid w:val="00C428E9"/>
    <w:rsid w:val="00C66814"/>
    <w:rsid w:val="00CB1D32"/>
    <w:rsid w:val="00CC3591"/>
    <w:rsid w:val="00CD468E"/>
    <w:rsid w:val="00D23EE1"/>
    <w:rsid w:val="00D257BA"/>
    <w:rsid w:val="00D2694F"/>
    <w:rsid w:val="00D3231D"/>
    <w:rsid w:val="00D412DE"/>
    <w:rsid w:val="00D608B1"/>
    <w:rsid w:val="00DC3771"/>
    <w:rsid w:val="00DC467C"/>
    <w:rsid w:val="00DE3A5F"/>
    <w:rsid w:val="00E139C2"/>
    <w:rsid w:val="00E24A8C"/>
    <w:rsid w:val="00E338C6"/>
    <w:rsid w:val="00E5048F"/>
    <w:rsid w:val="00E97B43"/>
    <w:rsid w:val="00ED714A"/>
    <w:rsid w:val="00EF004F"/>
    <w:rsid w:val="00EF67F3"/>
    <w:rsid w:val="00F52ED0"/>
    <w:rsid w:val="00FA553F"/>
    <w:rsid w:val="00FE0C50"/>
    <w:rsid w:val="00FE395D"/>
    <w:rsid w:val="00FE73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C340"/>
  <w15:docId w15:val="{C4C1ABE7-2A12-4102-A4BA-00613796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MRefer">
    <w:name w:val="M_Refer"/>
    <w:basedOn w:val="Normal"/>
    <w:rsid w:val="00285F7F"/>
    <w:pPr>
      <w:suppressAutoHyphens w:val="0"/>
      <w:spacing w:after="0" w:line="340" w:lineRule="atLeast"/>
      <w:ind w:leftChars="0" w:left="454" w:firstLineChars="0" w:hanging="454"/>
      <w:jc w:val="both"/>
      <w:textDirection w:val="lrTb"/>
      <w:textAlignment w:val="auto"/>
      <w:outlineLvl w:val="9"/>
    </w:pPr>
    <w:rPr>
      <w:rFonts w:ascii="Times New Roman" w:eastAsia="Times New Roman" w:hAnsi="Times New Roman" w:cs="Times New Roman"/>
      <w:color w:val="000000"/>
      <w:position w:val="0"/>
      <w:sz w:val="24"/>
      <w:szCs w:val="20"/>
      <w:lang w:eastAsia="de-DE"/>
    </w:rPr>
  </w:style>
  <w:style w:type="character" w:styleId="Strong">
    <w:name w:val="Strong"/>
    <w:basedOn w:val="DefaultParagraphFont"/>
    <w:uiPriority w:val="22"/>
    <w:qFormat/>
    <w:rsid w:val="003F1601"/>
    <w:rPr>
      <w:b/>
      <w:bCs/>
    </w:rPr>
  </w:style>
  <w:style w:type="paragraph" w:customStyle="1" w:styleId="Paragraph">
    <w:name w:val="Paragraph"/>
    <w:basedOn w:val="Normal"/>
    <w:next w:val="Normal"/>
    <w:qFormat/>
    <w:rsid w:val="00C07761"/>
    <w:pPr>
      <w:widowControl w:val="0"/>
      <w:suppressAutoHyphens w:val="0"/>
      <w:spacing w:before="240" w:after="0" w:line="48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paragraph" w:styleId="NormalWeb">
    <w:name w:val="Normal (Web)"/>
    <w:basedOn w:val="Normal"/>
    <w:uiPriority w:val="99"/>
    <w:semiHidden/>
    <w:unhideWhenUsed/>
    <w:rsid w:val="00D2694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1070">
      <w:bodyDiv w:val="1"/>
      <w:marLeft w:val="0"/>
      <w:marRight w:val="0"/>
      <w:marTop w:val="0"/>
      <w:marBottom w:val="0"/>
      <w:divBdr>
        <w:top w:val="none" w:sz="0" w:space="0" w:color="auto"/>
        <w:left w:val="none" w:sz="0" w:space="0" w:color="auto"/>
        <w:bottom w:val="none" w:sz="0" w:space="0" w:color="auto"/>
        <w:right w:val="none" w:sz="0" w:space="0" w:color="auto"/>
      </w:divBdr>
    </w:div>
    <w:div w:id="104424254">
      <w:bodyDiv w:val="1"/>
      <w:marLeft w:val="0"/>
      <w:marRight w:val="0"/>
      <w:marTop w:val="0"/>
      <w:marBottom w:val="0"/>
      <w:divBdr>
        <w:top w:val="none" w:sz="0" w:space="0" w:color="auto"/>
        <w:left w:val="none" w:sz="0" w:space="0" w:color="auto"/>
        <w:bottom w:val="none" w:sz="0" w:space="0" w:color="auto"/>
        <w:right w:val="none" w:sz="0" w:space="0" w:color="auto"/>
      </w:divBdr>
    </w:div>
    <w:div w:id="275718556">
      <w:bodyDiv w:val="1"/>
      <w:marLeft w:val="0"/>
      <w:marRight w:val="0"/>
      <w:marTop w:val="0"/>
      <w:marBottom w:val="0"/>
      <w:divBdr>
        <w:top w:val="none" w:sz="0" w:space="0" w:color="auto"/>
        <w:left w:val="none" w:sz="0" w:space="0" w:color="auto"/>
        <w:bottom w:val="none" w:sz="0" w:space="0" w:color="auto"/>
        <w:right w:val="none" w:sz="0" w:space="0" w:color="auto"/>
      </w:divBdr>
    </w:div>
    <w:div w:id="609554805">
      <w:bodyDiv w:val="1"/>
      <w:marLeft w:val="0"/>
      <w:marRight w:val="0"/>
      <w:marTop w:val="0"/>
      <w:marBottom w:val="0"/>
      <w:divBdr>
        <w:top w:val="none" w:sz="0" w:space="0" w:color="auto"/>
        <w:left w:val="none" w:sz="0" w:space="0" w:color="auto"/>
        <w:bottom w:val="none" w:sz="0" w:space="0" w:color="auto"/>
        <w:right w:val="none" w:sz="0" w:space="0" w:color="auto"/>
      </w:divBdr>
    </w:div>
    <w:div w:id="746458001">
      <w:bodyDiv w:val="1"/>
      <w:marLeft w:val="0"/>
      <w:marRight w:val="0"/>
      <w:marTop w:val="0"/>
      <w:marBottom w:val="0"/>
      <w:divBdr>
        <w:top w:val="none" w:sz="0" w:space="0" w:color="auto"/>
        <w:left w:val="none" w:sz="0" w:space="0" w:color="auto"/>
        <w:bottom w:val="none" w:sz="0" w:space="0" w:color="auto"/>
        <w:right w:val="none" w:sz="0" w:space="0" w:color="auto"/>
      </w:divBdr>
    </w:div>
    <w:div w:id="977537204">
      <w:bodyDiv w:val="1"/>
      <w:marLeft w:val="0"/>
      <w:marRight w:val="0"/>
      <w:marTop w:val="0"/>
      <w:marBottom w:val="0"/>
      <w:divBdr>
        <w:top w:val="none" w:sz="0" w:space="0" w:color="auto"/>
        <w:left w:val="none" w:sz="0" w:space="0" w:color="auto"/>
        <w:bottom w:val="none" w:sz="0" w:space="0" w:color="auto"/>
        <w:right w:val="none" w:sz="0" w:space="0" w:color="auto"/>
      </w:divBdr>
    </w:div>
    <w:div w:id="1094201620">
      <w:bodyDiv w:val="1"/>
      <w:marLeft w:val="0"/>
      <w:marRight w:val="0"/>
      <w:marTop w:val="0"/>
      <w:marBottom w:val="0"/>
      <w:divBdr>
        <w:top w:val="none" w:sz="0" w:space="0" w:color="auto"/>
        <w:left w:val="none" w:sz="0" w:space="0" w:color="auto"/>
        <w:bottom w:val="none" w:sz="0" w:space="0" w:color="auto"/>
        <w:right w:val="none" w:sz="0" w:space="0" w:color="auto"/>
      </w:divBdr>
    </w:div>
    <w:div w:id="1287543771">
      <w:bodyDiv w:val="1"/>
      <w:marLeft w:val="0"/>
      <w:marRight w:val="0"/>
      <w:marTop w:val="0"/>
      <w:marBottom w:val="0"/>
      <w:divBdr>
        <w:top w:val="none" w:sz="0" w:space="0" w:color="auto"/>
        <w:left w:val="none" w:sz="0" w:space="0" w:color="auto"/>
        <w:bottom w:val="none" w:sz="0" w:space="0" w:color="auto"/>
        <w:right w:val="none" w:sz="0" w:space="0" w:color="auto"/>
      </w:divBdr>
    </w:div>
    <w:div w:id="1330595782">
      <w:bodyDiv w:val="1"/>
      <w:marLeft w:val="0"/>
      <w:marRight w:val="0"/>
      <w:marTop w:val="0"/>
      <w:marBottom w:val="0"/>
      <w:divBdr>
        <w:top w:val="none" w:sz="0" w:space="0" w:color="auto"/>
        <w:left w:val="none" w:sz="0" w:space="0" w:color="auto"/>
        <w:bottom w:val="none" w:sz="0" w:space="0" w:color="auto"/>
        <w:right w:val="none" w:sz="0" w:space="0" w:color="auto"/>
      </w:divBdr>
    </w:div>
    <w:div w:id="1364791245">
      <w:bodyDiv w:val="1"/>
      <w:marLeft w:val="0"/>
      <w:marRight w:val="0"/>
      <w:marTop w:val="0"/>
      <w:marBottom w:val="0"/>
      <w:divBdr>
        <w:top w:val="none" w:sz="0" w:space="0" w:color="auto"/>
        <w:left w:val="none" w:sz="0" w:space="0" w:color="auto"/>
        <w:bottom w:val="none" w:sz="0" w:space="0" w:color="auto"/>
        <w:right w:val="none" w:sz="0" w:space="0" w:color="auto"/>
      </w:divBdr>
    </w:div>
    <w:div w:id="1531065838">
      <w:bodyDiv w:val="1"/>
      <w:marLeft w:val="0"/>
      <w:marRight w:val="0"/>
      <w:marTop w:val="0"/>
      <w:marBottom w:val="0"/>
      <w:divBdr>
        <w:top w:val="none" w:sz="0" w:space="0" w:color="auto"/>
        <w:left w:val="none" w:sz="0" w:space="0" w:color="auto"/>
        <w:bottom w:val="none" w:sz="0" w:space="0" w:color="auto"/>
        <w:right w:val="none" w:sz="0" w:space="0" w:color="auto"/>
      </w:divBdr>
    </w:div>
    <w:div w:id="1575773956">
      <w:bodyDiv w:val="1"/>
      <w:marLeft w:val="0"/>
      <w:marRight w:val="0"/>
      <w:marTop w:val="0"/>
      <w:marBottom w:val="0"/>
      <w:divBdr>
        <w:top w:val="none" w:sz="0" w:space="0" w:color="auto"/>
        <w:left w:val="none" w:sz="0" w:space="0" w:color="auto"/>
        <w:bottom w:val="none" w:sz="0" w:space="0" w:color="auto"/>
        <w:right w:val="none" w:sz="0" w:space="0" w:color="auto"/>
      </w:divBdr>
    </w:div>
    <w:div w:id="1594127166">
      <w:bodyDiv w:val="1"/>
      <w:marLeft w:val="0"/>
      <w:marRight w:val="0"/>
      <w:marTop w:val="0"/>
      <w:marBottom w:val="0"/>
      <w:divBdr>
        <w:top w:val="none" w:sz="0" w:space="0" w:color="auto"/>
        <w:left w:val="none" w:sz="0" w:space="0" w:color="auto"/>
        <w:bottom w:val="none" w:sz="0" w:space="0" w:color="auto"/>
        <w:right w:val="none" w:sz="0" w:space="0" w:color="auto"/>
      </w:divBdr>
    </w:div>
    <w:div w:id="1657569134">
      <w:bodyDiv w:val="1"/>
      <w:marLeft w:val="0"/>
      <w:marRight w:val="0"/>
      <w:marTop w:val="0"/>
      <w:marBottom w:val="0"/>
      <w:divBdr>
        <w:top w:val="none" w:sz="0" w:space="0" w:color="auto"/>
        <w:left w:val="none" w:sz="0" w:space="0" w:color="auto"/>
        <w:bottom w:val="none" w:sz="0" w:space="0" w:color="auto"/>
        <w:right w:val="none" w:sz="0" w:space="0" w:color="auto"/>
      </w:divBdr>
    </w:div>
    <w:div w:id="172583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40.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50.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6081</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2021-08-26T16:36:00Z</dcterms:created>
  <dcterms:modified xsi:type="dcterms:W3CDTF">2021-08-27T05:28:00Z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