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16E27" w14:textId="77777777"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F2217F">
        <w:rPr>
          <w:rFonts w:ascii="Times New Roman" w:eastAsia="Times New Roman" w:hAnsi="Times New Roman" w:cs="Times New Roman"/>
          <w:b/>
          <w:noProof/>
          <w:color w:val="000000"/>
          <w:lang w:val="en-MY" w:eastAsia="en-MY"/>
        </w:rPr>
        <w:drawing>
          <wp:inline distT="0" distB="0" distL="114300" distR="114300" wp14:anchorId="26133EFE" wp14:editId="4B646253">
            <wp:extent cx="59436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495300"/>
                    </a:xfrm>
                    <a:prstGeom prst="rect">
                      <a:avLst/>
                    </a:prstGeom>
                    <a:ln/>
                  </pic:spPr>
                </pic:pic>
              </a:graphicData>
            </a:graphic>
          </wp:inline>
        </w:drawing>
      </w:r>
    </w:p>
    <w:p w14:paraId="5CAB86F6" w14:textId="77777777" w:rsidR="00B73AFF" w:rsidRPr="00F2217F" w:rsidRDefault="00B73AF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B657F6F" w14:textId="105E14A8" w:rsidR="00B73AFF" w:rsidRPr="00F2217F" w:rsidRDefault="004D2E43">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F2217F">
        <w:rPr>
          <w:rFonts w:ascii="Times New Roman" w:hAnsi="Times New Roman" w:cs="Times New Roman"/>
          <w:b/>
          <w:bCs/>
          <w:sz w:val="28"/>
          <w:szCs w:val="28"/>
        </w:rPr>
        <w:t>I</w:t>
      </w:r>
      <w:r w:rsidR="00AC282C" w:rsidRPr="00F2217F">
        <w:rPr>
          <w:rFonts w:ascii="Times New Roman" w:hAnsi="Times New Roman" w:cs="Times New Roman"/>
          <w:b/>
          <w:bCs/>
          <w:sz w:val="28"/>
          <w:szCs w:val="28"/>
        </w:rPr>
        <w:t>nvestigating</w:t>
      </w:r>
      <w:r w:rsidRPr="00F2217F">
        <w:rPr>
          <w:rFonts w:ascii="Times New Roman" w:hAnsi="Times New Roman" w:cs="Times New Roman"/>
          <w:b/>
          <w:bCs/>
          <w:sz w:val="28"/>
          <w:szCs w:val="28"/>
        </w:rPr>
        <w:t xml:space="preserve"> El Nino Southern Oscillation </w:t>
      </w:r>
      <w:r w:rsidR="00AC282C" w:rsidRPr="00F2217F">
        <w:rPr>
          <w:rFonts w:ascii="Times New Roman" w:hAnsi="Times New Roman" w:cs="Times New Roman"/>
          <w:b/>
          <w:bCs/>
          <w:sz w:val="28"/>
          <w:szCs w:val="28"/>
        </w:rPr>
        <w:t xml:space="preserve">as </w:t>
      </w:r>
      <w:r w:rsidRPr="00F2217F">
        <w:rPr>
          <w:rFonts w:ascii="Times New Roman" w:hAnsi="Times New Roman" w:cs="Times New Roman"/>
          <w:b/>
          <w:bCs/>
          <w:sz w:val="28"/>
          <w:szCs w:val="28"/>
        </w:rPr>
        <w:t>the main driver of forest fire in Kalimantan</w:t>
      </w:r>
    </w:p>
    <w:p w14:paraId="3FD686A9" w14:textId="77777777" w:rsidR="00B73AFF" w:rsidRPr="00F2217F" w:rsidRDefault="00B73AF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3F8EA39" w14:textId="77777777" w:rsidR="00B73AFF" w:rsidRPr="00F2217F" w:rsidRDefault="000915DA">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rPr>
      </w:pPr>
      <w:r w:rsidRPr="00F2217F">
        <w:rPr>
          <w:rFonts w:ascii="Times New Roman" w:eastAsia="Times New Roman" w:hAnsi="Times New Roman" w:cs="Times New Roman"/>
          <w:bCs/>
          <w:color w:val="000000"/>
        </w:rPr>
        <w:t>Ida Bagus Mandhara Brasika</w:t>
      </w:r>
      <w:r w:rsidRPr="00F2217F">
        <w:rPr>
          <w:rFonts w:ascii="Times New Roman" w:eastAsia="Times New Roman" w:hAnsi="Times New Roman" w:cs="Times New Roman"/>
          <w:bCs/>
          <w:color w:val="000000"/>
          <w:vertAlign w:val="superscript"/>
        </w:rPr>
        <w:t>1</w:t>
      </w:r>
      <w:r w:rsidR="004D2E43" w:rsidRPr="00F2217F">
        <w:rPr>
          <w:rFonts w:ascii="Times New Roman" w:eastAsia="Times New Roman" w:hAnsi="Times New Roman" w:cs="Times New Roman"/>
          <w:bCs/>
          <w:color w:val="000000"/>
          <w:vertAlign w:val="superscript"/>
        </w:rPr>
        <w:t>,3</w:t>
      </w:r>
      <w:r w:rsidR="004D2E43" w:rsidRPr="00F2217F">
        <w:rPr>
          <w:rFonts w:ascii="Times New Roman" w:eastAsia="Times New Roman" w:hAnsi="Times New Roman" w:cs="Times New Roman"/>
          <w:bCs/>
          <w:color w:val="000000"/>
        </w:rPr>
        <w:t xml:space="preserve">, </w:t>
      </w:r>
      <w:r w:rsidR="00564B8A" w:rsidRPr="00F2217F">
        <w:rPr>
          <w:rFonts w:ascii="Times New Roman" w:eastAsia="Times New Roman" w:hAnsi="Times New Roman" w:cs="Times New Roman"/>
          <w:bCs/>
          <w:color w:val="000000"/>
        </w:rPr>
        <w:t>I Made Oka Guna Antara</w:t>
      </w:r>
      <w:r w:rsidR="00564B8A" w:rsidRPr="00F2217F">
        <w:rPr>
          <w:rFonts w:ascii="Times New Roman" w:eastAsia="Times New Roman" w:hAnsi="Times New Roman" w:cs="Times New Roman"/>
          <w:bCs/>
          <w:color w:val="000000"/>
          <w:vertAlign w:val="superscript"/>
        </w:rPr>
        <w:t>2</w:t>
      </w:r>
      <w:r w:rsidR="00564B8A" w:rsidRPr="00F2217F">
        <w:rPr>
          <w:rFonts w:ascii="Times New Roman" w:eastAsia="Times New Roman" w:hAnsi="Times New Roman" w:cs="Times New Roman"/>
          <w:bCs/>
          <w:color w:val="000000"/>
        </w:rPr>
        <w:t xml:space="preserve"> </w:t>
      </w:r>
      <w:r w:rsidR="004D2E43" w:rsidRPr="00F2217F">
        <w:rPr>
          <w:rFonts w:ascii="Times New Roman" w:eastAsia="Times New Roman" w:hAnsi="Times New Roman" w:cs="Times New Roman"/>
          <w:bCs/>
          <w:color w:val="000000"/>
        </w:rPr>
        <w:t xml:space="preserve">, </w:t>
      </w:r>
      <w:r w:rsidR="00564B8A" w:rsidRPr="00F2217F">
        <w:rPr>
          <w:rFonts w:ascii="Times New Roman" w:eastAsia="Times New Roman" w:hAnsi="Times New Roman" w:cs="Times New Roman"/>
          <w:bCs/>
          <w:color w:val="000000"/>
        </w:rPr>
        <w:t>I Wayan Gede Astawa Karang</w:t>
      </w:r>
      <w:r w:rsidR="00564B8A" w:rsidRPr="00F2217F">
        <w:rPr>
          <w:rFonts w:ascii="Times New Roman" w:eastAsia="Times New Roman" w:hAnsi="Times New Roman" w:cs="Times New Roman"/>
          <w:bCs/>
          <w:color w:val="000000"/>
          <w:vertAlign w:val="superscript"/>
        </w:rPr>
        <w:t>1</w:t>
      </w:r>
      <w:r w:rsidR="004D2E43" w:rsidRPr="00F2217F">
        <w:rPr>
          <w:rFonts w:ascii="Times New Roman" w:eastAsia="Times New Roman" w:hAnsi="Times New Roman" w:cs="Times New Roman"/>
          <w:bCs/>
          <w:color w:val="000000"/>
          <w:vertAlign w:val="superscript"/>
        </w:rPr>
        <w:t>,3</w:t>
      </w:r>
      <w:r w:rsidR="0084286F" w:rsidRPr="00F2217F">
        <w:rPr>
          <w:rFonts w:ascii="Times New Roman" w:eastAsia="Times New Roman" w:hAnsi="Times New Roman" w:cs="Times New Roman"/>
          <w:bCs/>
          <w:color w:val="000000"/>
        </w:rPr>
        <w:t xml:space="preserve"> </w:t>
      </w:r>
    </w:p>
    <w:p w14:paraId="1F3E449B" w14:textId="77777777" w:rsidR="00B73AFF" w:rsidRPr="00F2217F" w:rsidRDefault="00B73AF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3E14B10" w14:textId="77777777" w:rsidR="005053D3" w:rsidRDefault="0084286F" w:rsidP="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vertAlign w:val="superscript"/>
        </w:rPr>
        <w:t>1</w:t>
      </w:r>
      <w:r w:rsidR="004D2E43" w:rsidRPr="00F2217F">
        <w:rPr>
          <w:rFonts w:ascii="Times New Roman" w:eastAsia="Times New Roman" w:hAnsi="Times New Roman" w:cs="Times New Roman"/>
          <w:color w:val="000000"/>
        </w:rPr>
        <w:t xml:space="preserve">Department of Marine Science, Faculty of Marine Sciences and Fisheries, Universitas Udayana, </w:t>
      </w:r>
    </w:p>
    <w:p w14:paraId="32DAB51E" w14:textId="5CD9A023" w:rsidR="00B73AFF" w:rsidRPr="00F2217F" w:rsidRDefault="004D2E43" w:rsidP="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rPr>
        <w:t>80361 Badung, Bali, Indonesia</w:t>
      </w:r>
    </w:p>
    <w:p w14:paraId="4AE8F778" w14:textId="77777777" w:rsidR="005053D3" w:rsidRDefault="0084286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vertAlign w:val="superscript"/>
        </w:rPr>
        <w:t>2</w:t>
      </w:r>
      <w:r w:rsidR="004D2E43" w:rsidRPr="00F2217F">
        <w:rPr>
          <w:rFonts w:ascii="Times New Roman" w:eastAsia="Times New Roman" w:hAnsi="Times New Roman" w:cs="Times New Roman"/>
          <w:color w:val="000000"/>
        </w:rPr>
        <w:t xml:space="preserve">Center of Spatial Data Infrastructure Development, Universitas Udayana, 80234 Denpasar, </w:t>
      </w:r>
    </w:p>
    <w:p w14:paraId="0B630C54" w14:textId="39534774" w:rsidR="00B73AFF" w:rsidRPr="00F2217F" w:rsidRDefault="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rPr>
        <w:t xml:space="preserve">Bali, Indonesia </w:t>
      </w:r>
    </w:p>
    <w:p w14:paraId="2FAA4D1E" w14:textId="77777777" w:rsidR="005053D3" w:rsidRDefault="004D2E43" w:rsidP="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vertAlign w:val="superscript"/>
        </w:rPr>
        <w:t>3</w:t>
      </w:r>
      <w:r w:rsidRPr="00F2217F">
        <w:rPr>
          <w:rFonts w:ascii="Times New Roman" w:eastAsia="Times New Roman" w:hAnsi="Times New Roman" w:cs="Times New Roman"/>
          <w:color w:val="000000"/>
        </w:rPr>
        <w:t>Center of Remote Sensing and Ocean Science (CReSOS), Universitas Udayana, 80234 Denpasar,</w:t>
      </w:r>
    </w:p>
    <w:p w14:paraId="71DCB07B" w14:textId="2C115302" w:rsidR="004D2E43" w:rsidRPr="00F2217F" w:rsidRDefault="004D2E43" w:rsidP="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2217F">
        <w:rPr>
          <w:rFonts w:ascii="Times New Roman" w:eastAsia="Times New Roman" w:hAnsi="Times New Roman" w:cs="Times New Roman"/>
          <w:color w:val="000000"/>
        </w:rPr>
        <w:t xml:space="preserve"> Bali, Indonesia </w:t>
      </w:r>
    </w:p>
    <w:p w14:paraId="3A6B40D7" w14:textId="77777777" w:rsidR="00B73AFF" w:rsidRPr="00F2217F" w:rsidRDefault="00B73AF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FA35026" w14:textId="37EB8104" w:rsidR="00B73AFF" w:rsidRPr="006A2F97" w:rsidRDefault="0084286F">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rPr>
      </w:pPr>
      <w:r w:rsidRPr="00F2217F">
        <w:rPr>
          <w:rFonts w:ascii="Times New Roman" w:eastAsia="Times New Roman" w:hAnsi="Times New Roman" w:cs="Times New Roman"/>
          <w:color w:val="000000"/>
        </w:rPr>
        <w:t xml:space="preserve">Correspondence: </w:t>
      </w:r>
      <w:r w:rsidR="006A2F97" w:rsidRPr="00F2217F">
        <w:rPr>
          <w:rFonts w:ascii="Times New Roman" w:eastAsia="Times New Roman" w:hAnsi="Times New Roman" w:cs="Times New Roman"/>
          <w:bCs/>
          <w:color w:val="000000"/>
        </w:rPr>
        <w:t>Ida Bagus Mandhara Brasika</w:t>
      </w:r>
      <w:r w:rsidRPr="00F2217F">
        <w:rPr>
          <w:rFonts w:ascii="Times New Roman" w:eastAsia="Times New Roman" w:hAnsi="Times New Roman" w:cs="Times New Roman"/>
          <w:color w:val="000000"/>
        </w:rPr>
        <w:t xml:space="preserve"> (email: </w:t>
      </w:r>
      <w:r w:rsidR="000915DA" w:rsidRPr="006A2F97">
        <w:rPr>
          <w:rFonts w:ascii="Times New Roman" w:eastAsia="Times New Roman" w:hAnsi="Times New Roman" w:cs="Times New Roman"/>
          <w:iCs/>
          <w:color w:val="000000"/>
        </w:rPr>
        <w:t>mandharabrasika</w:t>
      </w:r>
      <w:r w:rsidR="004D2E43" w:rsidRPr="006A2F97">
        <w:rPr>
          <w:rFonts w:ascii="Times New Roman" w:eastAsia="Times New Roman" w:hAnsi="Times New Roman" w:cs="Times New Roman"/>
          <w:iCs/>
          <w:color w:val="000000"/>
        </w:rPr>
        <w:t>@unud.ac.id</w:t>
      </w:r>
      <w:r w:rsidRPr="006A2F97">
        <w:rPr>
          <w:rFonts w:ascii="Times New Roman" w:eastAsia="Times New Roman" w:hAnsi="Times New Roman" w:cs="Times New Roman"/>
          <w:iCs/>
          <w:color w:val="000000"/>
        </w:rPr>
        <w:t>)</w:t>
      </w:r>
    </w:p>
    <w:p w14:paraId="774685B0" w14:textId="77777777" w:rsidR="00B73AFF" w:rsidRPr="00F2217F" w:rsidRDefault="00B73AF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783A081" w14:textId="77777777" w:rsidR="004D2E43" w:rsidRPr="00F2217F" w:rsidRDefault="004D2E43">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12D14249" w14:textId="2A3DBA11" w:rsidR="00B73AFF" w:rsidRDefault="008432AA">
      <w:pPr>
        <w:pBdr>
          <w:top w:val="nil"/>
          <w:left w:val="nil"/>
          <w:bottom w:val="nil"/>
          <w:right w:val="nil"/>
          <w:between w:val="nil"/>
        </w:pBdr>
        <w:spacing w:after="0" w:line="240" w:lineRule="auto"/>
        <w:ind w:left="0" w:hanging="2"/>
        <w:jc w:val="both"/>
        <w:rPr>
          <w:rFonts w:ascii="Times New Roman" w:hAnsi="Times New Roman" w:cs="Times New Roman"/>
          <w:color w:val="000000"/>
        </w:rPr>
      </w:pPr>
      <w:r w:rsidRPr="00E17895">
        <w:rPr>
          <w:rFonts w:ascii="Times New Roman" w:hAnsi="Times New Roman" w:cs="Times New Roman"/>
          <w:color w:val="000000"/>
        </w:rPr>
        <w:t>Received: </w:t>
      </w:r>
      <w:r>
        <w:rPr>
          <w:rFonts w:ascii="Times New Roman" w:hAnsi="Times New Roman"/>
          <w:color w:val="000000"/>
        </w:rPr>
        <w:t>3</w:t>
      </w:r>
      <w:r>
        <w:rPr>
          <w:rFonts w:ascii="Times New Roman" w:hAnsi="Times New Roman"/>
          <w:color w:val="000000"/>
        </w:rPr>
        <w:t>1</w:t>
      </w:r>
      <w:r>
        <w:rPr>
          <w:rFonts w:ascii="Times New Roman" w:hAnsi="Times New Roman"/>
          <w:color w:val="000000"/>
        </w:rPr>
        <w:t xml:space="preserve"> July</w:t>
      </w:r>
      <w:r w:rsidRPr="00E17895">
        <w:rPr>
          <w:rFonts w:ascii="Times New Roman" w:hAnsi="Times New Roman" w:cs="Times New Roman"/>
          <w:color w:val="000000"/>
        </w:rPr>
        <w:t xml:space="preserve"> 202</w:t>
      </w:r>
      <w:r>
        <w:rPr>
          <w:rFonts w:ascii="Times New Roman" w:hAnsi="Times New Roman"/>
          <w:color w:val="000000"/>
        </w:rPr>
        <w:t>1</w:t>
      </w:r>
      <w:r w:rsidRPr="00E17895">
        <w:rPr>
          <w:rFonts w:ascii="Times New Roman" w:hAnsi="Times New Roman" w:cs="Times New Roman"/>
          <w:color w:val="000000"/>
        </w:rPr>
        <w:t xml:space="preserve">; Accepted: </w:t>
      </w:r>
      <w:r>
        <w:rPr>
          <w:rFonts w:ascii="Times New Roman" w:hAnsi="Times New Roman" w:cs="Times New Roman"/>
          <w:color w:val="000000"/>
        </w:rPr>
        <w:t>1</w:t>
      </w:r>
      <w:r>
        <w:rPr>
          <w:rFonts w:ascii="Times New Roman" w:hAnsi="Times New Roman" w:cs="Times New Roman"/>
          <w:color w:val="000000"/>
        </w:rPr>
        <w:t>3</w:t>
      </w:r>
      <w:r w:rsidRPr="00E17895">
        <w:rPr>
          <w:rFonts w:ascii="Times New Roman" w:hAnsi="Times New Roman" w:cs="Times New Roman"/>
          <w:color w:val="000000"/>
        </w:rPr>
        <w:t xml:space="preserve"> </w:t>
      </w:r>
      <w:r>
        <w:rPr>
          <w:rFonts w:ascii="Times New Roman" w:hAnsi="Times New Roman"/>
          <w:color w:val="000000"/>
        </w:rPr>
        <w:t>August</w:t>
      </w:r>
      <w:r w:rsidRPr="00E17895">
        <w:rPr>
          <w:rFonts w:ascii="Times New Roman" w:hAnsi="Times New Roman" w:cs="Times New Roman"/>
          <w:color w:val="000000"/>
        </w:rPr>
        <w:t xml:space="preserve"> 202</w:t>
      </w:r>
      <w:r>
        <w:rPr>
          <w:rFonts w:ascii="Times New Roman" w:hAnsi="Times New Roman" w:cs="Times New Roman"/>
          <w:color w:val="000000"/>
        </w:rPr>
        <w:t>1</w:t>
      </w:r>
      <w:r w:rsidRPr="00E17895">
        <w:rPr>
          <w:rFonts w:ascii="Times New Roman" w:hAnsi="Times New Roman" w:cs="Times New Roman"/>
          <w:color w:val="000000"/>
        </w:rPr>
        <w:t>; Published: 30 November 2021</w:t>
      </w:r>
    </w:p>
    <w:p w14:paraId="0D7BDE3E" w14:textId="77777777" w:rsidR="008432AA" w:rsidRPr="00F2217F" w:rsidRDefault="008432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0E8AE2F" w14:textId="77777777"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F2217F">
        <w:rPr>
          <w:rFonts w:ascii="Times New Roman" w:eastAsia="Times New Roman" w:hAnsi="Times New Roman" w:cs="Times New Roman"/>
          <w:b/>
          <w:color w:val="000000"/>
        </w:rPr>
        <w:t xml:space="preserve"> </w:t>
      </w:r>
    </w:p>
    <w:p w14:paraId="796EF55F" w14:textId="77777777"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Abstract </w:t>
      </w:r>
    </w:p>
    <w:p w14:paraId="30C83579" w14:textId="77777777"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0BB840FF" w14:textId="77777777" w:rsidR="00B73AFF" w:rsidRPr="00F2217F" w:rsidRDefault="00B712A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217F">
        <w:rPr>
          <w:rFonts w:ascii="Times New Roman" w:hAnsi="Times New Roman" w:cs="Times New Roman"/>
          <w:sz w:val="24"/>
          <w:szCs w:val="24"/>
        </w:rPr>
        <w:t xml:space="preserve">Strong El Nino </w:t>
      </w:r>
      <w:r w:rsidR="00F2217F" w:rsidRPr="00F2217F">
        <w:rPr>
          <w:rFonts w:ascii="Times New Roman" w:hAnsi="Times New Roman" w:cs="Times New Roman"/>
          <w:sz w:val="24"/>
          <w:szCs w:val="24"/>
        </w:rPr>
        <w:t>e</w:t>
      </w:r>
      <w:r w:rsidRPr="00F2217F">
        <w:rPr>
          <w:rFonts w:ascii="Times New Roman" w:hAnsi="Times New Roman" w:cs="Times New Roman"/>
          <w:sz w:val="24"/>
          <w:szCs w:val="24"/>
        </w:rPr>
        <w:t xml:space="preserve">vents have been identified as major factors contributing to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forest fire in Indones</w:t>
      </w:r>
      <w:r w:rsidR="0014703E">
        <w:rPr>
          <w:rFonts w:ascii="Times New Roman" w:hAnsi="Times New Roman" w:cs="Times New Roman"/>
          <w:sz w:val="24"/>
          <w:szCs w:val="24"/>
        </w:rPr>
        <w:t>ia. This is due to El Nino Southern Oscillation (ENSO)</w:t>
      </w:r>
      <w:r w:rsidRPr="00F2217F">
        <w:rPr>
          <w:rFonts w:ascii="Times New Roman" w:hAnsi="Times New Roman" w:cs="Times New Roman"/>
          <w:sz w:val="24"/>
          <w:szCs w:val="24"/>
        </w:rPr>
        <w:t xml:space="preserve"> variability has </w:t>
      </w:r>
      <w:r w:rsidR="00F2217F" w:rsidRPr="00F2217F">
        <w:rPr>
          <w:rFonts w:ascii="Times New Roman" w:hAnsi="Times New Roman" w:cs="Times New Roman"/>
          <w:sz w:val="24"/>
          <w:szCs w:val="24"/>
        </w:rPr>
        <w:t xml:space="preserve">a </w:t>
      </w:r>
      <w:r w:rsidRPr="00F2217F">
        <w:rPr>
          <w:rFonts w:ascii="Times New Roman" w:hAnsi="Times New Roman" w:cs="Times New Roman"/>
          <w:sz w:val="24"/>
          <w:szCs w:val="24"/>
        </w:rPr>
        <w:t xml:space="preserve">distinct connection with tropical precipitation, mainly in Indonesia. El Nino years are typically drier, while La Nina events generally increase precipitation in Indonesia. Although very strong El Nino events have been connected with massive forest fires, fire continue to occur during the other phases of ENSO: La Nina and normal. Here, </w:t>
      </w:r>
      <w:r w:rsidR="00D026C1" w:rsidRPr="00F2217F">
        <w:rPr>
          <w:rFonts w:ascii="Times New Roman" w:hAnsi="Times New Roman" w:cs="Times New Roman"/>
          <w:sz w:val="24"/>
          <w:szCs w:val="24"/>
        </w:rPr>
        <w:t xml:space="preserve">the research </w:t>
      </w:r>
      <w:r w:rsidRPr="00F2217F">
        <w:rPr>
          <w:rFonts w:ascii="Times New Roman" w:hAnsi="Times New Roman" w:cs="Times New Roman"/>
          <w:sz w:val="24"/>
          <w:szCs w:val="24"/>
        </w:rPr>
        <w:t>report</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a time series of monthly counted fire</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in Kalimantan between the period 2001-2020 from MODIS fire hotspot and MODIS Burned Area products. The region is divided into three categor</w:t>
      </w:r>
      <w:r w:rsidR="00F2217F" w:rsidRPr="00F2217F">
        <w:rPr>
          <w:rFonts w:ascii="Times New Roman" w:hAnsi="Times New Roman" w:cs="Times New Roman"/>
          <w:sz w:val="24"/>
          <w:szCs w:val="24"/>
        </w:rPr>
        <w:t>ies</w:t>
      </w:r>
      <w:r w:rsidRPr="00F2217F">
        <w:rPr>
          <w:rFonts w:ascii="Times New Roman" w:hAnsi="Times New Roman" w:cs="Times New Roman"/>
          <w:sz w:val="24"/>
          <w:szCs w:val="24"/>
        </w:rPr>
        <w:t>, Primary Intact Forest, Primary Degraded Forest and Outside Forest/ Deforested area. This categorization validate</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the location of the fire. Our results show that in general wildfires in Kalimantan follow </w:t>
      </w:r>
      <w:r w:rsidR="00F2217F" w:rsidRPr="00F2217F">
        <w:rPr>
          <w:rFonts w:ascii="Times New Roman" w:hAnsi="Times New Roman" w:cs="Times New Roman"/>
          <w:sz w:val="24"/>
          <w:szCs w:val="24"/>
        </w:rPr>
        <w:t>a</w:t>
      </w:r>
      <w:r w:rsidRPr="00F2217F">
        <w:rPr>
          <w:rFonts w:ascii="Times New Roman" w:hAnsi="Times New Roman" w:cs="Times New Roman"/>
          <w:sz w:val="24"/>
          <w:szCs w:val="24"/>
        </w:rPr>
        <w:t xml:space="preserve"> similar temporal pattern with Oceanic Nino Index (ONI), with several anomalies. If ONI is high, wildfires are more intense and vice versa. The wildfire appear</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almost every month and increase</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drastically in June-October of El Nino years. However, the proportion of wildfires in Primary Intact Forest are tiny and insignificant. The primary intact forest fire only appear</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in July-October and have </w:t>
      </w:r>
      <w:r w:rsidR="00F2217F" w:rsidRPr="00F2217F">
        <w:rPr>
          <w:rFonts w:ascii="Times New Roman" w:hAnsi="Times New Roman" w:cs="Times New Roman"/>
          <w:sz w:val="24"/>
          <w:szCs w:val="24"/>
        </w:rPr>
        <w:t xml:space="preserve">a </w:t>
      </w:r>
      <w:r w:rsidRPr="00F2217F">
        <w:rPr>
          <w:rFonts w:ascii="Times New Roman" w:hAnsi="Times New Roman" w:cs="Times New Roman"/>
          <w:sz w:val="24"/>
          <w:szCs w:val="24"/>
        </w:rPr>
        <w:t xml:space="preserve">different pattern with wildfires in general. In conclusion, wildfires </w:t>
      </w:r>
      <w:r w:rsidR="00F2217F" w:rsidRPr="00F2217F">
        <w:rPr>
          <w:rFonts w:ascii="Times New Roman" w:hAnsi="Times New Roman" w:cs="Times New Roman"/>
          <w:sz w:val="24"/>
          <w:szCs w:val="24"/>
        </w:rPr>
        <w:t>are</w:t>
      </w:r>
      <w:r w:rsidRPr="00F2217F">
        <w:rPr>
          <w:rFonts w:ascii="Times New Roman" w:hAnsi="Times New Roman" w:cs="Times New Roman"/>
          <w:sz w:val="24"/>
          <w:szCs w:val="24"/>
        </w:rPr>
        <w:t xml:space="preserve"> highly correlated with El Nino but limited in primary intact forest</w:t>
      </w:r>
      <w:r w:rsidR="00F2217F" w:rsidRPr="00F2217F">
        <w:rPr>
          <w:rFonts w:ascii="Times New Roman" w:hAnsi="Times New Roman" w:cs="Times New Roman"/>
          <w:sz w:val="24"/>
          <w:szCs w:val="24"/>
        </w:rPr>
        <w:t>s</w:t>
      </w:r>
      <w:r w:rsidR="0084286F" w:rsidRPr="00F2217F">
        <w:rPr>
          <w:rFonts w:ascii="Times New Roman" w:eastAsia="Times New Roman" w:hAnsi="Times New Roman" w:cs="Times New Roman"/>
          <w:color w:val="000000"/>
          <w:sz w:val="24"/>
          <w:szCs w:val="24"/>
        </w:rPr>
        <w:t xml:space="preserve">. </w:t>
      </w:r>
      <w:r w:rsidR="007F5603" w:rsidRPr="00F2217F">
        <w:rPr>
          <w:rFonts w:ascii="Times New Roman" w:eastAsia="Times New Roman" w:hAnsi="Times New Roman" w:cs="Times New Roman"/>
          <w:color w:val="000000"/>
          <w:sz w:val="24"/>
          <w:szCs w:val="24"/>
        </w:rPr>
        <w:t xml:space="preserve">The fires dominantly appear in </w:t>
      </w:r>
      <w:r w:rsidR="00F2217F" w:rsidRPr="00F2217F">
        <w:rPr>
          <w:rFonts w:ascii="Times New Roman" w:eastAsia="Times New Roman" w:hAnsi="Times New Roman" w:cs="Times New Roman"/>
          <w:color w:val="000000"/>
          <w:sz w:val="24"/>
          <w:szCs w:val="24"/>
        </w:rPr>
        <w:t xml:space="preserve">the </w:t>
      </w:r>
      <w:r w:rsidR="007F5603" w:rsidRPr="00F2217F">
        <w:rPr>
          <w:rFonts w:ascii="Times New Roman" w:eastAsia="Times New Roman" w:hAnsi="Times New Roman" w:cs="Times New Roman"/>
          <w:color w:val="000000"/>
          <w:sz w:val="24"/>
          <w:szCs w:val="24"/>
        </w:rPr>
        <w:t>deforested area, about 80%. T</w:t>
      </w:r>
      <w:r w:rsidR="00F2217F" w:rsidRPr="00F2217F">
        <w:rPr>
          <w:rFonts w:ascii="Times New Roman" w:eastAsia="Times New Roman" w:hAnsi="Times New Roman" w:cs="Times New Roman"/>
          <w:color w:val="000000"/>
          <w:sz w:val="24"/>
          <w:szCs w:val="24"/>
        </w:rPr>
        <w:t>he rest</w:t>
      </w:r>
      <w:r w:rsidR="007F5603" w:rsidRPr="00F2217F">
        <w:rPr>
          <w:rFonts w:ascii="Times New Roman" w:eastAsia="Times New Roman" w:hAnsi="Times New Roman" w:cs="Times New Roman"/>
          <w:color w:val="000000"/>
          <w:sz w:val="24"/>
          <w:szCs w:val="24"/>
        </w:rPr>
        <w:t xml:space="preserve"> 20% are in degraded forest and only less than 1% in primary intact forest.</w:t>
      </w:r>
    </w:p>
    <w:p w14:paraId="36A2288A" w14:textId="77777777"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05FA0EED" w14:textId="429167E4" w:rsidR="00B73AFF" w:rsidRPr="00F2217F" w:rsidRDefault="008428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sidRPr="00F2217F">
        <w:rPr>
          <w:rFonts w:ascii="Times New Roman" w:eastAsia="Times New Roman" w:hAnsi="Times New Roman" w:cs="Times New Roman"/>
          <w:b/>
          <w:color w:val="000000"/>
          <w:sz w:val="24"/>
          <w:szCs w:val="24"/>
        </w:rPr>
        <w:t xml:space="preserve">Keywords: </w:t>
      </w:r>
      <w:r w:rsidR="00B712AC" w:rsidRPr="00F2217F">
        <w:rPr>
          <w:rFonts w:ascii="Times New Roman" w:hAnsi="Times New Roman" w:cs="Times New Roman"/>
          <w:sz w:val="24"/>
          <w:szCs w:val="24"/>
        </w:rPr>
        <w:t>Deforested</w:t>
      </w:r>
      <w:r w:rsidR="00B712AC" w:rsidRPr="00F2217F">
        <w:rPr>
          <w:rFonts w:ascii="Times New Roman" w:eastAsia="Times New Roman" w:hAnsi="Times New Roman" w:cs="Times New Roman"/>
          <w:color w:val="000000"/>
          <w:sz w:val="24"/>
          <w:szCs w:val="24"/>
        </w:rPr>
        <w:t xml:space="preserve">, </w:t>
      </w:r>
      <w:r w:rsidR="006A2F97" w:rsidRPr="00F2217F">
        <w:rPr>
          <w:rFonts w:ascii="Times New Roman" w:hAnsi="Times New Roman" w:cs="Times New Roman"/>
          <w:sz w:val="24"/>
          <w:szCs w:val="24"/>
        </w:rPr>
        <w:t>degraded forest</w:t>
      </w:r>
      <w:r w:rsidR="00B712AC" w:rsidRPr="00F2217F">
        <w:rPr>
          <w:rFonts w:ascii="Times New Roman" w:hAnsi="Times New Roman" w:cs="Times New Roman"/>
          <w:sz w:val="24"/>
          <w:szCs w:val="24"/>
        </w:rPr>
        <w:t xml:space="preserve">, </w:t>
      </w:r>
      <w:r w:rsidR="00B712AC" w:rsidRPr="00F2217F">
        <w:rPr>
          <w:rFonts w:ascii="Times New Roman" w:eastAsia="Times New Roman" w:hAnsi="Times New Roman" w:cs="Times New Roman"/>
          <w:color w:val="000000"/>
          <w:sz w:val="24"/>
          <w:szCs w:val="24"/>
        </w:rPr>
        <w:t xml:space="preserve">ENSO, </w:t>
      </w:r>
      <w:r w:rsidR="006A2F97" w:rsidRPr="00F2217F">
        <w:rPr>
          <w:rFonts w:ascii="Times New Roman" w:eastAsia="Times New Roman" w:hAnsi="Times New Roman" w:cs="Times New Roman"/>
          <w:color w:val="000000"/>
          <w:sz w:val="24"/>
          <w:szCs w:val="24"/>
        </w:rPr>
        <w:t>forest fire,</w:t>
      </w:r>
      <w:r w:rsidR="00B712AC" w:rsidRPr="00F2217F">
        <w:rPr>
          <w:rFonts w:ascii="Times New Roman" w:eastAsia="Times New Roman" w:hAnsi="Times New Roman" w:cs="Times New Roman"/>
          <w:color w:val="000000"/>
          <w:sz w:val="24"/>
          <w:szCs w:val="24"/>
        </w:rPr>
        <w:t xml:space="preserve"> ONI, </w:t>
      </w:r>
      <w:r w:rsidR="006A2F97" w:rsidRPr="00F2217F">
        <w:rPr>
          <w:rFonts w:ascii="Times New Roman" w:hAnsi="Times New Roman" w:cs="Times New Roman"/>
          <w:sz w:val="24"/>
          <w:szCs w:val="24"/>
        </w:rPr>
        <w:t>primary intact forest</w:t>
      </w:r>
    </w:p>
    <w:p w14:paraId="651B56F0" w14:textId="6E3B2B71" w:rsidR="00B73AFF" w:rsidRPr="00F2217F" w:rsidRDefault="006A2F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64E321E8" w14:textId="77777777" w:rsidR="00B73AFF" w:rsidRPr="00F2217F" w:rsidRDefault="00B73AF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898B09F" w14:textId="77777777" w:rsidR="008B05E7" w:rsidRPr="00F2217F" w:rsidRDefault="008B05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BCC0D2" w14:textId="77777777" w:rsidR="002D5096" w:rsidRPr="00F2217F" w:rsidRDefault="002D5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83DF1E9" w14:textId="77777777" w:rsidR="002D5096" w:rsidRPr="00F2217F" w:rsidRDefault="002D5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34C48CD" w14:textId="364269C2" w:rsidR="00B73AFF"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lastRenderedPageBreak/>
        <w:t xml:space="preserve">Introduction  </w:t>
      </w:r>
    </w:p>
    <w:p w14:paraId="1091A722" w14:textId="77777777" w:rsidR="00B73AFF"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3EC581D8" w14:textId="77777777" w:rsidR="008B05E7" w:rsidRPr="00F2217F" w:rsidRDefault="008B05E7" w:rsidP="006A2F97">
      <w:pPr>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The interaction between ocean and atmosphere has shown a major contribution </w:t>
      </w:r>
      <w:r w:rsidR="00F2217F" w:rsidRPr="00F2217F">
        <w:rPr>
          <w:rFonts w:ascii="Times New Roman" w:hAnsi="Times New Roman" w:cs="Times New Roman"/>
          <w:sz w:val="24"/>
          <w:szCs w:val="24"/>
        </w:rPr>
        <w:t>to</w:t>
      </w:r>
      <w:r w:rsidRPr="00F2217F">
        <w:rPr>
          <w:rFonts w:ascii="Times New Roman" w:hAnsi="Times New Roman" w:cs="Times New Roman"/>
          <w:sz w:val="24"/>
          <w:szCs w:val="24"/>
        </w:rPr>
        <w:t xml:space="preserve"> global climate dynamics. The El Nino Southern Oscillation (ENSO) which consists of El Nino and La Nina events has been shown to have a massive connection with many large scale disasters such as flood, forest fire and others</w:t>
      </w:r>
      <w:sdt>
        <w:sdtPr>
          <w:rPr>
            <w:rFonts w:ascii="Times New Roman" w:hAnsi="Times New Roman" w:cs="Times New Roman"/>
            <w:sz w:val="24"/>
            <w:szCs w:val="24"/>
          </w:rPr>
          <w:id w:val="592048842"/>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Ful062 \l 1033  \m MJB971 \m Yix091</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(Fuller &amp; Murphy, 2006; Bouma, Kovats, Goubet, Cox, &amp; Haines, 1997; Yin, Yu, &amp; Chen, 2009)</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These two have different impacts for different regions, however, within a given region, they usually have opposite effects. Some areas are drier during El Nino events and wetter during La Nina, while others get more rain in El Nino years and less rain during La Nina. </w:t>
      </w:r>
    </w:p>
    <w:p w14:paraId="3A1301AD" w14:textId="144520F3" w:rsidR="008B05E7" w:rsidRPr="00F2217F" w:rsidRDefault="006A2F97" w:rsidP="006A2F97">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ENSO is also blamed for many wildfires around the world. El Nino increases fire in many countries such as Indonesia, Vietnam and Australia</w:t>
      </w:r>
      <w:sdt>
        <w:sdtPr>
          <w:rPr>
            <w:rFonts w:ascii="Times New Roman" w:hAnsi="Times New Roman" w:cs="Times New Roman"/>
            <w:sz w:val="24"/>
            <w:szCs w:val="24"/>
          </w:rPr>
          <w:id w:val="348841517"/>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Mic15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(Gross, 2015)</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xml:space="preserve">. While La Nina can cause more wildfire to occur in some US regions, like Utah, compared to the El Nino season </w:t>
      </w:r>
      <w:sdt>
        <w:sdtPr>
          <w:rPr>
            <w:rFonts w:ascii="Times New Roman" w:hAnsi="Times New Roman" w:cs="Times New Roman"/>
            <w:sz w:val="24"/>
            <w:szCs w:val="24"/>
          </w:rPr>
          <w:id w:val="1364094877"/>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Bro04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(Brown, Hall, &amp; Westerling, 2004)</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w:t>
      </w:r>
    </w:p>
    <w:p w14:paraId="06342B42" w14:textId="1974A3F1" w:rsidR="008B05E7" w:rsidRPr="00F2217F" w:rsidRDefault="006A2F97" w:rsidP="006A2F97">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Focusing on Indonesia, many people assume that fires in Kalimantan are directly related to El Nino events. This is because several massive forest fires have occurred in years with very strong El Nino events. The most notable one was in 1997/98</w:t>
      </w:r>
      <w:sdt>
        <w:sdtPr>
          <w:rPr>
            <w:rFonts w:ascii="Times New Roman" w:hAnsi="Times New Roman" w:cs="Times New Roman"/>
            <w:sz w:val="24"/>
            <w:szCs w:val="24"/>
          </w:rPr>
          <w:id w:val="-1492165234"/>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Sus02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(Page, et al., 2002)</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xml:space="preserve">, when fires caused an estimated 2.6 million hectares </w:t>
      </w:r>
      <w:r w:rsidR="00F2217F" w:rsidRPr="00F2217F">
        <w:rPr>
          <w:rFonts w:ascii="Times New Roman" w:hAnsi="Times New Roman" w:cs="Times New Roman"/>
          <w:sz w:val="24"/>
          <w:szCs w:val="24"/>
        </w:rPr>
        <w:t xml:space="preserve">of </w:t>
      </w:r>
      <w:r w:rsidR="008B05E7" w:rsidRPr="00F2217F">
        <w:rPr>
          <w:rFonts w:ascii="Times New Roman" w:hAnsi="Times New Roman" w:cs="Times New Roman"/>
          <w:sz w:val="24"/>
          <w:szCs w:val="24"/>
        </w:rPr>
        <w:t>burning land</w:t>
      </w:r>
      <w:sdt>
        <w:sdtPr>
          <w:rPr>
            <w:rFonts w:ascii="Times New Roman" w:hAnsi="Times New Roman" w:cs="Times New Roman"/>
            <w:sz w:val="24"/>
            <w:szCs w:val="24"/>
          </w:rPr>
          <w:id w:val="1858230218"/>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FSi01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(Siegert, Ruecker, Hinrichs, &amp; Hoffmann, Increased damage from fires in logged during droughts caused by El Nino, 2001)</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More recently, in 2015</w:t>
      </w:r>
      <w:sdt>
        <w:sdtPr>
          <w:rPr>
            <w:rFonts w:ascii="Times New Roman" w:hAnsi="Times New Roman" w:cs="Times New Roman"/>
            <w:sz w:val="24"/>
            <w:szCs w:val="24"/>
          </w:rPr>
          <w:id w:val="-537197561"/>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VHu16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(Huijnen, et al., 2016)</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xml:space="preserve">, Indonesia experienced its worst fire season in 20 years, when it exceeded </w:t>
      </w:r>
      <w:r w:rsidR="00F2217F" w:rsidRPr="00F2217F">
        <w:rPr>
          <w:rFonts w:ascii="Times New Roman" w:hAnsi="Times New Roman" w:cs="Times New Roman"/>
          <w:sz w:val="24"/>
          <w:szCs w:val="24"/>
        </w:rPr>
        <w:t xml:space="preserve">the </w:t>
      </w:r>
      <w:r w:rsidR="008B05E7" w:rsidRPr="00F2217F">
        <w:rPr>
          <w:rFonts w:ascii="Times New Roman" w:hAnsi="Times New Roman" w:cs="Times New Roman"/>
          <w:sz w:val="24"/>
          <w:szCs w:val="24"/>
        </w:rPr>
        <w:t>US $16 billion economic loss</w:t>
      </w:r>
      <w:sdt>
        <w:sdtPr>
          <w:rPr>
            <w:rFonts w:ascii="Times New Roman" w:hAnsi="Times New Roman" w:cs="Times New Roman"/>
            <w:sz w:val="24"/>
            <w:szCs w:val="24"/>
          </w:rPr>
          <w:id w:val="1655411009"/>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Edw20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(Edwards, Naylor, Higgins, &amp; Falcon, 2020)</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Both years had very strong El Nino. Thus a very strong El Nino is connected with massive forest fire</w:t>
      </w:r>
      <w:sdt>
        <w:sdtPr>
          <w:rPr>
            <w:rFonts w:ascii="Times New Roman" w:hAnsi="Times New Roman" w:cs="Times New Roman"/>
            <w:sz w:val="24"/>
            <w:szCs w:val="24"/>
          </w:rPr>
          <w:id w:val="679314880"/>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Fie16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(Field, et al., 2016)</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The Oceanic Nino Index (ONI) value for those years was more than 2.0 for 3 months consecutively. However, forest fire</w:t>
      </w:r>
      <w:r w:rsidR="00F2217F" w:rsidRPr="00F2217F">
        <w:rPr>
          <w:rFonts w:ascii="Times New Roman" w:hAnsi="Times New Roman" w:cs="Times New Roman"/>
          <w:sz w:val="24"/>
          <w:szCs w:val="24"/>
        </w:rPr>
        <w:t>s</w:t>
      </w:r>
      <w:r w:rsidR="008B05E7" w:rsidRPr="00F2217F">
        <w:rPr>
          <w:rFonts w:ascii="Times New Roman" w:hAnsi="Times New Roman" w:cs="Times New Roman"/>
          <w:sz w:val="24"/>
          <w:szCs w:val="24"/>
        </w:rPr>
        <w:t xml:space="preserve"> do not occur in El Nino years only.</w:t>
      </w:r>
    </w:p>
    <w:p w14:paraId="1A6C3B8D" w14:textId="74529CD4" w:rsidR="008B05E7" w:rsidRPr="00F2217F" w:rsidRDefault="006A2F97" w:rsidP="006A2F97">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Meanwhile</w:t>
      </w:r>
      <w:r w:rsidR="00F2217F" w:rsidRPr="00F2217F">
        <w:rPr>
          <w:rFonts w:ascii="Times New Roman" w:hAnsi="Times New Roman" w:cs="Times New Roman"/>
          <w:sz w:val="24"/>
          <w:szCs w:val="24"/>
        </w:rPr>
        <w:t>,</w:t>
      </w:r>
      <w:r w:rsidR="008B05E7" w:rsidRPr="00F2217F">
        <w:rPr>
          <w:rFonts w:ascii="Times New Roman" w:hAnsi="Times New Roman" w:cs="Times New Roman"/>
          <w:sz w:val="24"/>
          <w:szCs w:val="24"/>
        </w:rPr>
        <w:t xml:space="preserve"> forest, specifically tropical forest, has the ability to resist from the fire and drought conditions. The intact tropical forest ecosystem has </w:t>
      </w:r>
      <w:r w:rsidR="00F2217F" w:rsidRPr="00F2217F">
        <w:rPr>
          <w:rFonts w:ascii="Times New Roman" w:hAnsi="Times New Roman" w:cs="Times New Roman"/>
          <w:sz w:val="24"/>
          <w:szCs w:val="24"/>
        </w:rPr>
        <w:t xml:space="preserve">a </w:t>
      </w:r>
      <w:r w:rsidR="008B05E7" w:rsidRPr="00F2217F">
        <w:rPr>
          <w:rFonts w:ascii="Times New Roman" w:hAnsi="Times New Roman" w:cs="Times New Roman"/>
          <w:sz w:val="24"/>
          <w:szCs w:val="24"/>
        </w:rPr>
        <w:t>closed-canopy that limits solar radiation reaching the forest floor, maintaining low temperature and high humidity underneath</w:t>
      </w:r>
      <w:sdt>
        <w:sdtPr>
          <w:rPr>
            <w:rFonts w:ascii="Times New Roman" w:hAnsi="Times New Roman" w:cs="Times New Roman"/>
            <w:sz w:val="24"/>
            <w:szCs w:val="24"/>
          </w:rPr>
          <w:id w:val="-87002058"/>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Gor08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(Bonan, 2008)</w:t>
          </w:r>
          <w:r w:rsidR="008B05E7" w:rsidRPr="00F2217F">
            <w:rPr>
              <w:rFonts w:ascii="Times New Roman" w:hAnsi="Times New Roman" w:cs="Times New Roman"/>
              <w:sz w:val="24"/>
              <w:szCs w:val="24"/>
            </w:rPr>
            <w:fldChar w:fldCharType="end"/>
          </w:r>
        </w:sdtContent>
      </w:sdt>
      <w:sdt>
        <w:sdtPr>
          <w:rPr>
            <w:rFonts w:ascii="Times New Roman" w:hAnsi="Times New Roman" w:cs="Times New Roman"/>
            <w:sz w:val="24"/>
            <w:szCs w:val="24"/>
          </w:rPr>
          <w:id w:val="1648172335"/>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Jes19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(Baker &amp; Spracklen, 2019)</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It is also resilient during drought by sustaining elevated humidity</w:t>
      </w:r>
      <w:sdt>
        <w:sdtPr>
          <w:rPr>
            <w:rFonts w:ascii="Times New Roman" w:hAnsi="Times New Roman" w:cs="Times New Roman"/>
            <w:sz w:val="24"/>
            <w:szCs w:val="24"/>
          </w:rPr>
          <w:id w:val="2070762932"/>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CUh88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(Uhl, Kauffman, &amp; Cummings, 1988)</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w:t>
      </w:r>
    </w:p>
    <w:p w14:paraId="45354905" w14:textId="53661CB2" w:rsidR="00B73AFF" w:rsidRPr="00F2217F" w:rsidRDefault="006A2F97" w:rsidP="006A2F97">
      <w:pPr>
        <w:spacing w:after="0" w:line="240" w:lineRule="auto"/>
        <w:ind w:leftChars="0" w:left="2" w:hanging="2"/>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 xml:space="preserve">Many people assume that ENSO is the cause of fires in Indonesia, and numerous policy solutions have been proposed based on that assumption. However, other than weather, ecological and human activities have </w:t>
      </w:r>
      <w:r w:rsidR="00F2217F" w:rsidRPr="00F2217F">
        <w:rPr>
          <w:rFonts w:ascii="Times New Roman" w:hAnsi="Times New Roman" w:cs="Times New Roman"/>
          <w:sz w:val="24"/>
          <w:szCs w:val="24"/>
        </w:rPr>
        <w:t xml:space="preserve">a </w:t>
      </w:r>
      <w:r w:rsidR="008B05E7" w:rsidRPr="00F2217F">
        <w:rPr>
          <w:rFonts w:ascii="Times New Roman" w:hAnsi="Times New Roman" w:cs="Times New Roman"/>
          <w:sz w:val="24"/>
          <w:szCs w:val="24"/>
        </w:rPr>
        <w:t>significant impact on fire development</w:t>
      </w:r>
      <w:sdt>
        <w:sdtPr>
          <w:rPr>
            <w:rFonts w:ascii="Times New Roman" w:hAnsi="Times New Roman" w:cs="Times New Roman"/>
            <w:sz w:val="24"/>
            <w:szCs w:val="24"/>
          </w:rPr>
          <w:id w:val="-2133862541"/>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Ari16 \l 1033  \m JGG90</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(Lestari, Rumantir, &amp; Tapper, 2016; Goldammer &amp; Siegert, 1990)</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xml:space="preserve">. In this paper, </w:t>
      </w:r>
      <w:r w:rsidR="00D026C1" w:rsidRPr="00F2217F">
        <w:rPr>
          <w:rFonts w:ascii="Times New Roman" w:hAnsi="Times New Roman" w:cs="Times New Roman"/>
          <w:sz w:val="24"/>
          <w:szCs w:val="24"/>
        </w:rPr>
        <w:t xml:space="preserve">it </w:t>
      </w:r>
      <w:r w:rsidR="008B05E7" w:rsidRPr="00F2217F">
        <w:rPr>
          <w:rFonts w:ascii="Times New Roman" w:hAnsi="Times New Roman" w:cs="Times New Roman"/>
          <w:sz w:val="24"/>
          <w:szCs w:val="24"/>
        </w:rPr>
        <w:t>will examine to what extent ENSO influences forest fire in Indonesia, mainly in primary intact forest.</w:t>
      </w:r>
      <w:r w:rsidR="0084286F" w:rsidRPr="00F2217F">
        <w:rPr>
          <w:rFonts w:ascii="Times New Roman" w:eastAsia="Times New Roman" w:hAnsi="Times New Roman" w:cs="Times New Roman"/>
          <w:color w:val="000000"/>
          <w:sz w:val="24"/>
          <w:szCs w:val="24"/>
        </w:rPr>
        <w:t xml:space="preserve">  </w:t>
      </w:r>
    </w:p>
    <w:p w14:paraId="283F1285" w14:textId="77777777" w:rsidR="00B73AFF" w:rsidRPr="00F2217F" w:rsidRDefault="00B73AF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869A414" w14:textId="77777777" w:rsidR="000407C3" w:rsidRPr="00F2217F" w:rsidRDefault="000407C3"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7C85FC5" w14:textId="77777777" w:rsidR="00C93DA2" w:rsidRPr="00F2217F" w:rsidRDefault="00C93DA2"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F2217F">
        <w:rPr>
          <w:rFonts w:ascii="Times New Roman" w:eastAsia="Times New Roman" w:hAnsi="Times New Roman" w:cs="Times New Roman"/>
          <w:b/>
          <w:color w:val="000000"/>
          <w:sz w:val="24"/>
          <w:szCs w:val="24"/>
        </w:rPr>
        <w:t>Literature review</w:t>
      </w:r>
    </w:p>
    <w:p w14:paraId="4D0ECD80" w14:textId="77777777" w:rsidR="00C93DA2" w:rsidRPr="00F2217F" w:rsidRDefault="00C93DA2"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BEE8589" w14:textId="1ABE9370" w:rsidR="0066390F" w:rsidRPr="006A2F97"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sidRPr="006A2F97">
        <w:rPr>
          <w:rFonts w:ascii="Times New Roman" w:eastAsia="Times New Roman" w:hAnsi="Times New Roman" w:cs="Times New Roman"/>
          <w:bCs/>
          <w:i/>
          <w:iCs/>
          <w:color w:val="000000"/>
          <w:sz w:val="24"/>
          <w:szCs w:val="24"/>
        </w:rPr>
        <w:t xml:space="preserve">ENSO </w:t>
      </w:r>
      <w:r w:rsidR="006A2F97">
        <w:rPr>
          <w:rFonts w:ascii="Times New Roman" w:eastAsia="Times New Roman" w:hAnsi="Times New Roman" w:cs="Times New Roman"/>
          <w:bCs/>
          <w:i/>
          <w:iCs/>
          <w:color w:val="000000"/>
          <w:sz w:val="24"/>
          <w:szCs w:val="24"/>
        </w:rPr>
        <w:t>c</w:t>
      </w:r>
      <w:r w:rsidRPr="006A2F97">
        <w:rPr>
          <w:rFonts w:ascii="Times New Roman" w:eastAsia="Times New Roman" w:hAnsi="Times New Roman" w:cs="Times New Roman"/>
          <w:bCs/>
          <w:i/>
          <w:iCs/>
          <w:color w:val="000000"/>
          <w:sz w:val="24"/>
          <w:szCs w:val="24"/>
        </w:rPr>
        <w:t>haracteristic</w:t>
      </w:r>
    </w:p>
    <w:p w14:paraId="1885B10A" w14:textId="77777777" w:rsidR="0066390F" w:rsidRPr="00F2217F"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5BE57F0F" w14:textId="77777777" w:rsidR="0066390F" w:rsidRPr="00F2217F" w:rsidRDefault="0066390F" w:rsidP="006A2F97">
      <w:pPr>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The El Nino is easily recognized by the Sea Surface Temperature (SST) measurement over the pacific oceans. However, its definition is debatable amongst scientists. </w:t>
      </w:r>
      <w:sdt>
        <w:sdtPr>
          <w:rPr>
            <w:rFonts w:ascii="Times New Roman" w:hAnsi="Times New Roman" w:cs="Times New Roman"/>
            <w:sz w:val="24"/>
            <w:szCs w:val="24"/>
          </w:rPr>
          <w:id w:val="152493698"/>
          <w:citation/>
        </w:sdtPr>
        <w:sdtEndPr/>
        <w:sdtContent>
          <w:r w:rsidR="00BE0277" w:rsidRPr="00F2217F">
            <w:rPr>
              <w:rFonts w:ascii="Times New Roman" w:hAnsi="Times New Roman" w:cs="Times New Roman"/>
              <w:sz w:val="24"/>
              <w:szCs w:val="24"/>
            </w:rPr>
            <w:fldChar w:fldCharType="begin"/>
          </w:r>
          <w:r w:rsidR="00BE0277" w:rsidRPr="00F2217F">
            <w:rPr>
              <w:rFonts w:ascii="Times New Roman" w:hAnsi="Times New Roman" w:cs="Times New Roman"/>
              <w:sz w:val="24"/>
              <w:szCs w:val="24"/>
            </w:rPr>
            <w:instrText xml:space="preserve"> CITATION WQu78 \l 1033 </w:instrText>
          </w:r>
          <w:r w:rsidR="00BE027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(Quinn, Zopf, Short, &amp; Kuo, 1978)</w:t>
          </w:r>
          <w:r w:rsidR="00BE0277"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divide the magnitude of El Nino into 4 scales (strong, moderate, weak and very weak) and produce a list of El Nino events since 1726. The measurement was based on the phenomenon around the west coast of Southern America and was often qualitative. To quantify the El Nino, the Japan Meteorological Agency defines the event which is consistent with the consensus of the ENSO research community, as follows:</w:t>
      </w:r>
    </w:p>
    <w:p w14:paraId="0E4845A8" w14:textId="77777777" w:rsidR="0066390F" w:rsidRPr="00F2217F" w:rsidRDefault="0066390F" w:rsidP="006A2F97">
      <w:pPr>
        <w:pStyle w:val="ListParagraph"/>
        <w:numPr>
          <w:ilvl w:val="0"/>
          <w:numId w:val="3"/>
        </w:numPr>
        <w:suppressAutoHyphens w:val="0"/>
        <w:spacing w:after="0" w:line="240" w:lineRule="auto"/>
        <w:ind w:leftChars="0" w:left="426" w:firstLineChars="0" w:hanging="426"/>
        <w:jc w:val="both"/>
        <w:textDirection w:val="lrTb"/>
        <w:textAlignment w:val="auto"/>
        <w:outlineLvl w:val="9"/>
        <w:rPr>
          <w:rFonts w:ascii="Times New Roman" w:hAnsi="Times New Roman" w:cs="Times New Roman"/>
          <w:sz w:val="24"/>
          <w:szCs w:val="24"/>
        </w:rPr>
      </w:pPr>
      <w:r w:rsidRPr="00F2217F">
        <w:rPr>
          <w:rFonts w:ascii="Times New Roman" w:hAnsi="Times New Roman" w:cs="Times New Roman"/>
          <w:sz w:val="24"/>
          <w:szCs w:val="24"/>
        </w:rPr>
        <w:lastRenderedPageBreak/>
        <w:t>Analyze monthly mean SST’s in 2</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 xml:space="preserve"> x 2</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 xml:space="preserve"> grids.</w:t>
      </w:r>
    </w:p>
    <w:p w14:paraId="05A50465" w14:textId="77777777" w:rsidR="0066390F" w:rsidRPr="00F2217F" w:rsidRDefault="0066390F" w:rsidP="006A2F97">
      <w:pPr>
        <w:pStyle w:val="ListParagraph"/>
        <w:numPr>
          <w:ilvl w:val="0"/>
          <w:numId w:val="3"/>
        </w:numPr>
        <w:suppressAutoHyphens w:val="0"/>
        <w:spacing w:after="0" w:line="240" w:lineRule="auto"/>
        <w:ind w:leftChars="0" w:left="426" w:firstLineChars="0" w:hanging="426"/>
        <w:jc w:val="both"/>
        <w:textDirection w:val="lrTb"/>
        <w:textAlignment w:val="auto"/>
        <w:outlineLvl w:val="9"/>
        <w:rPr>
          <w:rFonts w:ascii="Times New Roman" w:hAnsi="Times New Roman" w:cs="Times New Roman"/>
          <w:sz w:val="24"/>
          <w:szCs w:val="24"/>
        </w:rPr>
      </w:pPr>
      <w:r w:rsidRPr="00F2217F">
        <w:rPr>
          <w:rFonts w:ascii="Times New Roman" w:hAnsi="Times New Roman" w:cs="Times New Roman"/>
          <w:sz w:val="24"/>
          <w:szCs w:val="24"/>
        </w:rPr>
        <w:t>Calculate monthly SST anomalies averaged for the area 4</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N-4</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S and 90</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-150</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 xml:space="preserve">W. This is essentially the region known as “Nino 3” </w:t>
      </w:r>
    </w:p>
    <w:p w14:paraId="26A6394F" w14:textId="77777777" w:rsidR="0066390F" w:rsidRPr="00F2217F" w:rsidRDefault="0066390F" w:rsidP="006A2F97">
      <w:pPr>
        <w:pStyle w:val="ListParagraph"/>
        <w:numPr>
          <w:ilvl w:val="0"/>
          <w:numId w:val="3"/>
        </w:numPr>
        <w:suppressAutoHyphens w:val="0"/>
        <w:spacing w:after="0" w:line="240" w:lineRule="auto"/>
        <w:ind w:leftChars="0" w:left="426" w:firstLineChars="0" w:hanging="426"/>
        <w:jc w:val="both"/>
        <w:textDirection w:val="lrTb"/>
        <w:textAlignment w:val="auto"/>
        <w:outlineLvl w:val="9"/>
        <w:rPr>
          <w:rFonts w:ascii="Times New Roman" w:hAnsi="Times New Roman" w:cs="Times New Roman"/>
          <w:sz w:val="24"/>
          <w:szCs w:val="24"/>
        </w:rPr>
      </w:pPr>
      <w:r w:rsidRPr="00F2217F">
        <w:rPr>
          <w:rFonts w:ascii="Times New Roman" w:hAnsi="Times New Roman" w:cs="Times New Roman"/>
          <w:sz w:val="24"/>
          <w:szCs w:val="24"/>
        </w:rPr>
        <w:t>Find periods during which 5-month running means of the monthly SST anomalies in the above-mentioned area are +0.5</w:t>
      </w:r>
      <w:r w:rsidRPr="00F2217F">
        <w:rPr>
          <w:rFonts w:ascii="Times New Roman" w:hAnsi="Times New Roman" w:cs="Times New Roman"/>
          <w:sz w:val="24"/>
          <w:szCs w:val="24"/>
          <w:vertAlign w:val="superscript"/>
        </w:rPr>
        <w:t>o</w:t>
      </w:r>
      <w:r w:rsidRPr="00F2217F">
        <w:rPr>
          <w:rFonts w:ascii="Times New Roman" w:hAnsi="Times New Roman" w:cs="Times New Roman"/>
          <w:sz w:val="24"/>
          <w:szCs w:val="24"/>
        </w:rPr>
        <w:t>C or more for at least six consecutive months.</w:t>
      </w:r>
    </w:p>
    <w:p w14:paraId="51F16264" w14:textId="77777777" w:rsidR="00A354E4" w:rsidRPr="00F2217F" w:rsidRDefault="00A354E4" w:rsidP="006A2F97">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p>
    <w:p w14:paraId="3458763D" w14:textId="3DFB39F7" w:rsidR="0066390F" w:rsidRPr="00F2217F" w:rsidRDefault="006A2F97" w:rsidP="006A2F97">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6390F" w:rsidRPr="00F2217F">
        <w:rPr>
          <w:rFonts w:ascii="Times New Roman" w:hAnsi="Times New Roman" w:cs="Times New Roman"/>
          <w:sz w:val="24"/>
          <w:szCs w:val="24"/>
        </w:rPr>
        <w:t>Although the El Nino occurs in 4 different regions, the research of El Nino focuses on the Nino 3 region, defined as 5</w:t>
      </w:r>
      <w:r w:rsidR="0066390F" w:rsidRPr="00F2217F">
        <w:rPr>
          <w:rFonts w:ascii="Times New Roman" w:hAnsi="Times New Roman" w:cs="Times New Roman"/>
          <w:sz w:val="24"/>
          <w:szCs w:val="24"/>
          <w:vertAlign w:val="superscript"/>
        </w:rPr>
        <w:t>o</w:t>
      </w:r>
      <w:r w:rsidR="0066390F" w:rsidRPr="00F2217F">
        <w:rPr>
          <w:rFonts w:ascii="Times New Roman" w:hAnsi="Times New Roman" w:cs="Times New Roman"/>
          <w:sz w:val="24"/>
          <w:szCs w:val="24"/>
        </w:rPr>
        <w:t>N-5</w:t>
      </w:r>
      <w:r w:rsidR="0066390F" w:rsidRPr="00F2217F">
        <w:rPr>
          <w:rFonts w:ascii="Times New Roman" w:hAnsi="Times New Roman" w:cs="Times New Roman"/>
          <w:sz w:val="24"/>
          <w:szCs w:val="24"/>
          <w:vertAlign w:val="superscript"/>
        </w:rPr>
        <w:t>o</w:t>
      </w:r>
      <w:r w:rsidR="0066390F" w:rsidRPr="00F2217F">
        <w:rPr>
          <w:rFonts w:ascii="Times New Roman" w:hAnsi="Times New Roman" w:cs="Times New Roman"/>
          <w:sz w:val="24"/>
          <w:szCs w:val="24"/>
        </w:rPr>
        <w:t>S, 90</w:t>
      </w:r>
      <w:r w:rsidR="0066390F" w:rsidRPr="00F2217F">
        <w:rPr>
          <w:rFonts w:ascii="Times New Roman" w:hAnsi="Times New Roman" w:cs="Times New Roman"/>
          <w:sz w:val="24"/>
          <w:szCs w:val="24"/>
          <w:vertAlign w:val="superscript"/>
        </w:rPr>
        <w:t>o</w:t>
      </w:r>
      <w:r w:rsidR="0066390F" w:rsidRPr="00F2217F">
        <w:rPr>
          <w:rFonts w:ascii="Times New Roman" w:hAnsi="Times New Roman" w:cs="Times New Roman"/>
          <w:sz w:val="24"/>
          <w:szCs w:val="24"/>
        </w:rPr>
        <w:t>-150</w:t>
      </w:r>
      <w:r w:rsidR="0066390F" w:rsidRPr="00F2217F">
        <w:rPr>
          <w:rFonts w:ascii="Times New Roman" w:hAnsi="Times New Roman" w:cs="Times New Roman"/>
          <w:sz w:val="24"/>
          <w:szCs w:val="24"/>
          <w:vertAlign w:val="superscript"/>
        </w:rPr>
        <w:t>o</w:t>
      </w:r>
      <w:r w:rsidR="0066390F" w:rsidRPr="00F2217F">
        <w:rPr>
          <w:rFonts w:ascii="Times New Roman" w:hAnsi="Times New Roman" w:cs="Times New Roman"/>
          <w:sz w:val="24"/>
          <w:szCs w:val="24"/>
        </w:rPr>
        <w:t xml:space="preserve">W, due to its significant impact on climate and ocean </w:t>
      </w:r>
      <w:sdt>
        <w:sdtPr>
          <w:rPr>
            <w:rFonts w:ascii="Times New Roman" w:hAnsi="Times New Roman" w:cs="Times New Roman"/>
            <w:sz w:val="24"/>
            <w:szCs w:val="24"/>
          </w:rPr>
          <w:id w:val="-249888211"/>
          <w:citation/>
        </w:sdtPr>
        <w:sdtEndPr/>
        <w:sdtContent>
          <w:r w:rsidR="0066390F" w:rsidRPr="00F2217F">
            <w:rPr>
              <w:rFonts w:ascii="Times New Roman" w:hAnsi="Times New Roman" w:cs="Times New Roman"/>
              <w:sz w:val="24"/>
              <w:szCs w:val="24"/>
            </w:rPr>
            <w:fldChar w:fldCharType="begin"/>
          </w:r>
          <w:r w:rsidR="0066390F" w:rsidRPr="00F2217F">
            <w:rPr>
              <w:rFonts w:ascii="Times New Roman" w:hAnsi="Times New Roman" w:cs="Times New Roman"/>
              <w:sz w:val="24"/>
              <w:szCs w:val="24"/>
            </w:rPr>
            <w:instrText xml:space="preserve"> CITATION Tre97 \l 1033 </w:instrText>
          </w:r>
          <w:r w:rsidR="0066390F"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(Trenberth, The Definition of El Nino, 1997)</w:t>
          </w:r>
          <w:r w:rsidR="0066390F" w:rsidRPr="00F2217F">
            <w:rPr>
              <w:rFonts w:ascii="Times New Roman" w:hAnsi="Times New Roman" w:cs="Times New Roman"/>
              <w:sz w:val="24"/>
              <w:szCs w:val="24"/>
            </w:rPr>
            <w:fldChar w:fldCharType="end"/>
          </w:r>
        </w:sdtContent>
      </w:sdt>
      <w:r w:rsidR="0066390F" w:rsidRPr="00F2217F">
        <w:rPr>
          <w:rFonts w:ascii="Times New Roman" w:hAnsi="Times New Roman" w:cs="Times New Roman"/>
          <w:sz w:val="24"/>
          <w:szCs w:val="24"/>
        </w:rPr>
        <w:t>. Figure 1 illustrates the regions of different kinds of El Nino.</w:t>
      </w:r>
    </w:p>
    <w:p w14:paraId="2570DEC8" w14:textId="77777777" w:rsidR="0066390F" w:rsidRPr="00F2217F" w:rsidRDefault="0066390F" w:rsidP="006A2F97">
      <w:pPr>
        <w:keepNext/>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 </w:t>
      </w:r>
      <w:r w:rsidRPr="00F2217F">
        <w:rPr>
          <w:rFonts w:ascii="Times New Roman" w:hAnsi="Times New Roman" w:cs="Times New Roman"/>
          <w:noProof/>
          <w:sz w:val="24"/>
          <w:szCs w:val="24"/>
          <w:lang w:val="en-MY" w:eastAsia="en-MY"/>
        </w:rPr>
        <w:drawing>
          <wp:inline distT="0" distB="0" distL="0" distR="0" wp14:anchorId="651CF200" wp14:editId="07BC551D">
            <wp:extent cx="5989752"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ceanic-indices-map.gif"/>
                    <pic:cNvPicPr/>
                  </pic:nvPicPr>
                  <pic:blipFill>
                    <a:blip r:embed="rId10">
                      <a:extLst>
                        <a:ext uri="{28A0092B-C50C-407E-A947-70E740481C1C}">
                          <a14:useLocalDpi xmlns:a14="http://schemas.microsoft.com/office/drawing/2010/main" val="0"/>
                        </a:ext>
                      </a:extLst>
                    </a:blip>
                    <a:stretch>
                      <a:fillRect/>
                    </a:stretch>
                  </pic:blipFill>
                  <pic:spPr>
                    <a:xfrm>
                      <a:off x="0" y="0"/>
                      <a:ext cx="5991537" cy="2134236"/>
                    </a:xfrm>
                    <a:prstGeom prst="rect">
                      <a:avLst/>
                    </a:prstGeom>
                  </pic:spPr>
                </pic:pic>
              </a:graphicData>
            </a:graphic>
          </wp:inline>
        </w:drawing>
      </w:r>
    </w:p>
    <w:p w14:paraId="2BA2DFFD" w14:textId="06B1A475" w:rsidR="00881754" w:rsidRDefault="00881754" w:rsidP="006A2F97">
      <w:pPr>
        <w:pStyle w:val="Caption"/>
        <w:spacing w:after="0"/>
        <w:ind w:hanging="2"/>
        <w:jc w:val="center"/>
        <w:rPr>
          <w:i w:val="0"/>
          <w:iCs w:val="0"/>
          <w:color w:val="auto"/>
          <w:sz w:val="20"/>
          <w:szCs w:val="20"/>
        </w:rPr>
      </w:pPr>
      <w:bookmarkStart w:id="1" w:name="_Toc492931766"/>
      <w:bookmarkStart w:id="2" w:name="_Toc492932106"/>
      <w:r w:rsidRPr="00881754">
        <w:rPr>
          <w:i w:val="0"/>
          <w:iCs w:val="0"/>
          <w:color w:val="auto"/>
          <w:sz w:val="20"/>
          <w:szCs w:val="20"/>
        </w:rPr>
        <w:t>Source: Bureau of Meteorology, 2017</w:t>
      </w:r>
    </w:p>
    <w:p w14:paraId="67FEE136" w14:textId="77777777" w:rsidR="00881754" w:rsidRPr="00881754" w:rsidRDefault="00881754" w:rsidP="00881754">
      <w:pPr>
        <w:spacing w:after="0" w:line="240" w:lineRule="auto"/>
        <w:ind w:left="0" w:hanging="2"/>
        <w:rPr>
          <w:rFonts w:ascii="Times New Roman" w:hAnsi="Times New Roman" w:cs="Times New Roman"/>
          <w:sz w:val="16"/>
          <w:szCs w:val="16"/>
        </w:rPr>
      </w:pPr>
    </w:p>
    <w:p w14:paraId="761F64DC" w14:textId="4FC93EE7" w:rsidR="0066390F" w:rsidRPr="006A2F97" w:rsidRDefault="0066390F" w:rsidP="006A2F97">
      <w:pPr>
        <w:pStyle w:val="Caption"/>
        <w:spacing w:after="0"/>
        <w:ind w:hanging="2"/>
        <w:jc w:val="center"/>
        <w:rPr>
          <w:i w:val="0"/>
          <w:iCs w:val="0"/>
          <w:color w:val="auto"/>
          <w:sz w:val="20"/>
          <w:szCs w:val="20"/>
        </w:rPr>
      </w:pPr>
      <w:r w:rsidRPr="0014703E">
        <w:rPr>
          <w:b/>
          <w:bCs/>
          <w:i w:val="0"/>
          <w:iCs w:val="0"/>
          <w:color w:val="auto"/>
          <w:sz w:val="20"/>
          <w:szCs w:val="20"/>
        </w:rPr>
        <w:t xml:space="preserve">Figure </w:t>
      </w:r>
      <w:r w:rsidRPr="0014703E">
        <w:rPr>
          <w:b/>
          <w:bCs/>
          <w:i w:val="0"/>
          <w:iCs w:val="0"/>
          <w:color w:val="auto"/>
          <w:sz w:val="20"/>
          <w:szCs w:val="20"/>
        </w:rPr>
        <w:fldChar w:fldCharType="begin"/>
      </w:r>
      <w:r w:rsidRPr="0014703E">
        <w:rPr>
          <w:b/>
          <w:bCs/>
          <w:i w:val="0"/>
          <w:iCs w:val="0"/>
          <w:color w:val="auto"/>
          <w:sz w:val="20"/>
          <w:szCs w:val="20"/>
        </w:rPr>
        <w:instrText xml:space="preserve"> SEQ Figure \* ARABIC </w:instrText>
      </w:r>
      <w:r w:rsidRPr="0014703E">
        <w:rPr>
          <w:b/>
          <w:bCs/>
          <w:i w:val="0"/>
          <w:iCs w:val="0"/>
          <w:color w:val="auto"/>
          <w:sz w:val="20"/>
          <w:szCs w:val="20"/>
        </w:rPr>
        <w:fldChar w:fldCharType="separate"/>
      </w:r>
      <w:r w:rsidRPr="0014703E">
        <w:rPr>
          <w:b/>
          <w:bCs/>
          <w:i w:val="0"/>
          <w:iCs w:val="0"/>
          <w:noProof/>
          <w:color w:val="auto"/>
          <w:sz w:val="20"/>
          <w:szCs w:val="20"/>
        </w:rPr>
        <w:t>1</w:t>
      </w:r>
      <w:r w:rsidRPr="0014703E">
        <w:rPr>
          <w:b/>
          <w:bCs/>
          <w:i w:val="0"/>
          <w:iCs w:val="0"/>
          <w:color w:val="auto"/>
          <w:sz w:val="20"/>
          <w:szCs w:val="20"/>
        </w:rPr>
        <w:fldChar w:fldCharType="end"/>
      </w:r>
      <w:r w:rsidR="00A354E4" w:rsidRPr="0014703E">
        <w:rPr>
          <w:b/>
          <w:bCs/>
          <w:i w:val="0"/>
          <w:iCs w:val="0"/>
          <w:color w:val="auto"/>
          <w:sz w:val="20"/>
          <w:szCs w:val="20"/>
        </w:rPr>
        <w:t>.</w:t>
      </w:r>
      <w:r w:rsidR="00A354E4" w:rsidRPr="0014703E">
        <w:rPr>
          <w:i w:val="0"/>
          <w:iCs w:val="0"/>
          <w:color w:val="auto"/>
          <w:sz w:val="20"/>
          <w:szCs w:val="20"/>
        </w:rPr>
        <w:t xml:space="preserve"> </w:t>
      </w:r>
      <w:r w:rsidRPr="0014703E">
        <w:rPr>
          <w:i w:val="0"/>
          <w:iCs w:val="0"/>
          <w:color w:val="auto"/>
          <w:sz w:val="20"/>
          <w:szCs w:val="20"/>
        </w:rPr>
        <w:t>The area of monthly mean SST is calculated to define the occurrence of different El Nino.</w:t>
      </w:r>
      <w:bookmarkEnd w:id="1"/>
      <w:bookmarkEnd w:id="2"/>
    </w:p>
    <w:p w14:paraId="2D6D53B2" w14:textId="33E22BA2" w:rsidR="0066390F"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6B0BE1F" w14:textId="77777777" w:rsidR="00881754" w:rsidRPr="00F2217F" w:rsidRDefault="00881754"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1F80B8F5" w14:textId="76DD8539" w:rsidR="0066390F" w:rsidRPr="00881754"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sidRPr="00881754">
        <w:rPr>
          <w:rFonts w:ascii="Times New Roman" w:eastAsia="Times New Roman" w:hAnsi="Times New Roman" w:cs="Times New Roman"/>
          <w:bCs/>
          <w:i/>
          <w:iCs/>
          <w:color w:val="000000"/>
          <w:sz w:val="24"/>
          <w:szCs w:val="24"/>
        </w:rPr>
        <w:t xml:space="preserve">ENSO </w:t>
      </w:r>
      <w:r w:rsidR="004A2E81" w:rsidRPr="00881754">
        <w:rPr>
          <w:rFonts w:ascii="Times New Roman" w:eastAsia="Times New Roman" w:hAnsi="Times New Roman" w:cs="Times New Roman"/>
          <w:bCs/>
          <w:i/>
          <w:iCs/>
          <w:color w:val="000000"/>
          <w:sz w:val="24"/>
          <w:szCs w:val="24"/>
        </w:rPr>
        <w:t>spatial pattern</w:t>
      </w:r>
    </w:p>
    <w:p w14:paraId="034C70F6" w14:textId="77777777" w:rsidR="00881754" w:rsidRPr="00F2217F" w:rsidRDefault="00881754"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28445CB5" w14:textId="77777777" w:rsidR="0066390F" w:rsidRPr="00F2217F" w:rsidRDefault="0066390F" w:rsidP="006A2F97">
      <w:pPr>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E</w:t>
      </w:r>
      <w:r w:rsidR="00BE0277" w:rsidRPr="00F2217F">
        <w:rPr>
          <w:rFonts w:ascii="Times New Roman" w:hAnsi="Times New Roman" w:cs="Times New Roman"/>
          <w:sz w:val="24"/>
          <w:szCs w:val="24"/>
        </w:rPr>
        <w:t>l</w:t>
      </w:r>
      <w:r w:rsidRPr="00F2217F">
        <w:rPr>
          <w:rFonts w:ascii="Times New Roman" w:hAnsi="Times New Roman" w:cs="Times New Roman"/>
          <w:sz w:val="24"/>
          <w:szCs w:val="24"/>
        </w:rPr>
        <w:t xml:space="preserve"> Nino and La Nina are the warm and cool phases of a recurring climate pattern across the tropical pacific. The pattern can shift back and forth irregularly every two to seven years, and each phase triggers predictable disruptions of temperature, precipitation and winds. These changes disrupt the large-scale air movement in the tropics, triggering a cascade of global side effects. Figure 2 showed the general spatial pattern of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El Nino and La Nina event</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The ideal pattern of El Nino is signed by the vast warm pool in the equatorial pacific oceans. This pool generates massive cumulonimbus, which produce</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heavy rain, over the pacific. As the rainfall in the ocean, the dry air will sink in the Indonesia and South America region. The spatial pattern of La Nina is the opposite of El Nino, heavy precipitation occurs over the Indonesian archipelago. </w:t>
      </w:r>
    </w:p>
    <w:p w14:paraId="75C33CB0" w14:textId="77777777" w:rsidR="00881754" w:rsidRDefault="0066390F" w:rsidP="00881754">
      <w:pPr>
        <w:keepNext/>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noProof/>
          <w:sz w:val="24"/>
          <w:szCs w:val="24"/>
          <w:lang w:val="en-MY" w:eastAsia="en-MY"/>
        </w:rPr>
        <w:lastRenderedPageBreak/>
        <w:drawing>
          <wp:inline distT="0" distB="0" distL="0" distR="0" wp14:anchorId="2BC76EDC" wp14:editId="734C2CCF">
            <wp:extent cx="3676650" cy="244892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SOPageWhatisElNinoTest_0-2.png"/>
                    <pic:cNvPicPr/>
                  </pic:nvPicPr>
                  <pic:blipFill>
                    <a:blip r:embed="rId11">
                      <a:extLst>
                        <a:ext uri="{28A0092B-C50C-407E-A947-70E740481C1C}">
                          <a14:useLocalDpi xmlns:a14="http://schemas.microsoft.com/office/drawing/2010/main" val="0"/>
                        </a:ext>
                      </a:extLst>
                    </a:blip>
                    <a:stretch>
                      <a:fillRect/>
                    </a:stretch>
                  </pic:blipFill>
                  <pic:spPr>
                    <a:xfrm>
                      <a:off x="0" y="0"/>
                      <a:ext cx="3710102" cy="2471207"/>
                    </a:xfrm>
                    <a:prstGeom prst="rect">
                      <a:avLst/>
                    </a:prstGeom>
                  </pic:spPr>
                </pic:pic>
              </a:graphicData>
            </a:graphic>
          </wp:inline>
        </w:drawing>
      </w:r>
      <w:bookmarkStart w:id="3" w:name="_Toc492931767"/>
      <w:bookmarkStart w:id="4" w:name="_Toc492932107"/>
    </w:p>
    <w:p w14:paraId="3127B05D" w14:textId="2238BD4F" w:rsidR="00881754" w:rsidRDefault="00881754" w:rsidP="00881754">
      <w:pPr>
        <w:keepNext/>
        <w:spacing w:after="0" w:line="240" w:lineRule="auto"/>
        <w:ind w:leftChars="0" w:left="2" w:hanging="2"/>
        <w:jc w:val="center"/>
        <w:rPr>
          <w:rFonts w:ascii="Times New Roman" w:hAnsi="Times New Roman" w:cs="Times New Roman"/>
          <w:sz w:val="20"/>
          <w:szCs w:val="20"/>
        </w:rPr>
      </w:pPr>
      <w:r>
        <w:rPr>
          <w:rFonts w:ascii="Times New Roman" w:hAnsi="Times New Roman" w:cs="Times New Roman"/>
          <w:sz w:val="20"/>
          <w:szCs w:val="20"/>
        </w:rPr>
        <w:t>S</w:t>
      </w:r>
      <w:r w:rsidRPr="00881754">
        <w:rPr>
          <w:rFonts w:ascii="Times New Roman" w:hAnsi="Times New Roman" w:cs="Times New Roman"/>
          <w:sz w:val="20"/>
          <w:szCs w:val="20"/>
        </w:rPr>
        <w:t>ource: National Oceanic and Atmospheric Administration, 2017</w:t>
      </w:r>
    </w:p>
    <w:p w14:paraId="0691A0BB" w14:textId="77777777" w:rsidR="00881754" w:rsidRPr="00881754" w:rsidRDefault="00881754" w:rsidP="00881754">
      <w:pPr>
        <w:keepNext/>
        <w:spacing w:after="0" w:line="240" w:lineRule="auto"/>
        <w:ind w:leftChars="0" w:left="2" w:hanging="2"/>
        <w:jc w:val="center"/>
        <w:rPr>
          <w:rFonts w:ascii="Times New Roman" w:hAnsi="Times New Roman" w:cs="Times New Roman"/>
          <w:sz w:val="16"/>
          <w:szCs w:val="16"/>
        </w:rPr>
      </w:pPr>
    </w:p>
    <w:p w14:paraId="1D8B542F" w14:textId="50784624" w:rsidR="0066390F" w:rsidRPr="00F2217F" w:rsidRDefault="0066390F"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 xml:space="preserve">Figure </w:t>
      </w:r>
      <w:r w:rsidRPr="00F2217F">
        <w:rPr>
          <w:rFonts w:ascii="Times New Roman" w:hAnsi="Times New Roman" w:cs="Times New Roman"/>
          <w:b/>
          <w:bCs/>
          <w:sz w:val="20"/>
          <w:szCs w:val="20"/>
        </w:rPr>
        <w:fldChar w:fldCharType="begin"/>
      </w:r>
      <w:r w:rsidRPr="00F2217F">
        <w:rPr>
          <w:rFonts w:ascii="Times New Roman" w:hAnsi="Times New Roman" w:cs="Times New Roman"/>
          <w:b/>
          <w:bCs/>
          <w:sz w:val="20"/>
          <w:szCs w:val="20"/>
        </w:rPr>
        <w:instrText xml:space="preserve"> SEQ Figure \* ARABIC </w:instrText>
      </w:r>
      <w:r w:rsidRPr="00F2217F">
        <w:rPr>
          <w:rFonts w:ascii="Times New Roman" w:hAnsi="Times New Roman" w:cs="Times New Roman"/>
          <w:b/>
          <w:bCs/>
          <w:sz w:val="20"/>
          <w:szCs w:val="20"/>
        </w:rPr>
        <w:fldChar w:fldCharType="separate"/>
      </w:r>
      <w:r w:rsidRPr="00F2217F">
        <w:rPr>
          <w:rFonts w:ascii="Times New Roman" w:hAnsi="Times New Roman" w:cs="Times New Roman"/>
          <w:b/>
          <w:bCs/>
          <w:noProof/>
          <w:sz w:val="20"/>
          <w:szCs w:val="20"/>
        </w:rPr>
        <w:t>2</w:t>
      </w:r>
      <w:r w:rsidRPr="00F2217F">
        <w:rPr>
          <w:rFonts w:ascii="Times New Roman" w:hAnsi="Times New Roman" w:cs="Times New Roman"/>
          <w:b/>
          <w:bCs/>
          <w:sz w:val="20"/>
          <w:szCs w:val="20"/>
        </w:rPr>
        <w:fldChar w:fldCharType="end"/>
      </w:r>
      <w:r w:rsidR="00A354E4" w:rsidRPr="00F2217F">
        <w:rPr>
          <w:rFonts w:ascii="Times New Roman" w:hAnsi="Times New Roman" w:cs="Times New Roman"/>
          <w:sz w:val="20"/>
          <w:szCs w:val="20"/>
        </w:rPr>
        <w:t>.</w:t>
      </w:r>
      <w:r w:rsidRPr="00F2217F">
        <w:rPr>
          <w:rFonts w:ascii="Times New Roman" w:hAnsi="Times New Roman" w:cs="Times New Roman"/>
          <w:sz w:val="20"/>
          <w:szCs w:val="20"/>
        </w:rPr>
        <w:t xml:space="preserve"> The physical atmosphere of spatial pattern in El Nino (above) and La Nina (bellow) events.</w:t>
      </w:r>
      <w:bookmarkEnd w:id="3"/>
      <w:bookmarkEnd w:id="4"/>
    </w:p>
    <w:p w14:paraId="052946FA" w14:textId="77777777" w:rsidR="0066390F" w:rsidRPr="00F2217F"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2BC94E22" w14:textId="78C63260" w:rsidR="00C93DA2" w:rsidRPr="00881754" w:rsidRDefault="00C93DA2"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sidRPr="00881754">
        <w:rPr>
          <w:rFonts w:ascii="Times New Roman" w:eastAsia="Times New Roman" w:hAnsi="Times New Roman" w:cs="Times New Roman"/>
          <w:bCs/>
          <w:i/>
          <w:iCs/>
          <w:color w:val="000000"/>
          <w:sz w:val="24"/>
          <w:szCs w:val="24"/>
        </w:rPr>
        <w:t xml:space="preserve">Kalimantan </w:t>
      </w:r>
      <w:r w:rsidR="004A2E81" w:rsidRPr="00881754">
        <w:rPr>
          <w:rFonts w:ascii="Times New Roman" w:eastAsia="Times New Roman" w:hAnsi="Times New Roman" w:cs="Times New Roman"/>
          <w:bCs/>
          <w:i/>
          <w:iCs/>
          <w:color w:val="000000"/>
          <w:sz w:val="24"/>
          <w:szCs w:val="24"/>
        </w:rPr>
        <w:t>forest fire</w:t>
      </w:r>
    </w:p>
    <w:p w14:paraId="64C72C51" w14:textId="77777777" w:rsidR="0066390F" w:rsidRPr="00F2217F"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854B97E" w14:textId="77936EE4" w:rsidR="00BC1109" w:rsidRDefault="0066390F" w:rsidP="006A2F97">
      <w:pPr>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Kalimantan has more inhabitants per area where the species richness is the most resilient to forest fire. This island incredibly has the third largest area in the world with 746.000 km</w:t>
      </w:r>
      <w:r w:rsidRPr="00F2217F">
        <w:rPr>
          <w:rFonts w:ascii="Times New Roman" w:hAnsi="Times New Roman" w:cs="Times New Roman"/>
          <w:sz w:val="24"/>
          <w:szCs w:val="24"/>
          <w:vertAlign w:val="superscript"/>
        </w:rPr>
        <w:t>2</w:t>
      </w:r>
      <w:sdt>
        <w:sdtPr>
          <w:rPr>
            <w:rFonts w:ascii="Times New Roman" w:hAnsi="Times New Roman" w:cs="Times New Roman"/>
            <w:sz w:val="24"/>
            <w:szCs w:val="24"/>
          </w:rPr>
          <w:id w:val="84502069"/>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Woo12 \l 1033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(Wooster, Perry, &amp; Zoumas, 2012)</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Kalimantan possesses the world’s highest concentrations of Dipterocarp forest ecosystem. Figure </w:t>
      </w:r>
      <w:r w:rsidR="00493637" w:rsidRPr="00F2217F">
        <w:rPr>
          <w:rFonts w:ascii="Times New Roman" w:hAnsi="Times New Roman" w:cs="Times New Roman"/>
          <w:sz w:val="24"/>
          <w:szCs w:val="24"/>
        </w:rPr>
        <w:t>3</w:t>
      </w:r>
      <w:r w:rsidRPr="00F2217F">
        <w:rPr>
          <w:rFonts w:ascii="Times New Roman" w:hAnsi="Times New Roman" w:cs="Times New Roman"/>
          <w:sz w:val="24"/>
          <w:szCs w:val="24"/>
        </w:rPr>
        <w:t xml:space="preserve"> show Lowland Dipterocarp Forest and Upper Dipterocarp Forest are accounted as the widest area with 306 t/ha and 274 t/ha, respectively; the characteristic of this type of land is vulnerability to fire due to its drought-susceptibility even from small disturbance </w:t>
      </w:r>
      <w:r w:rsidR="00BC1109" w:rsidRPr="00BC1109">
        <w:rPr>
          <w:rFonts w:ascii="Times New Roman" w:hAnsi="Times New Roman" w:cs="Times New Roman"/>
          <w:sz w:val="24"/>
          <w:szCs w:val="24"/>
        </w:rPr>
        <w:t xml:space="preserve">(Guhardja </w:t>
      </w:r>
      <w:r w:rsidR="004A2E81">
        <w:rPr>
          <w:rFonts w:ascii="Times New Roman" w:hAnsi="Times New Roman" w:cs="Times New Roman"/>
          <w:sz w:val="24"/>
          <w:szCs w:val="24"/>
        </w:rPr>
        <w:t>et al.</w:t>
      </w:r>
      <w:r w:rsidR="00BC1109" w:rsidRPr="00BC1109">
        <w:rPr>
          <w:rFonts w:ascii="Times New Roman" w:hAnsi="Times New Roman" w:cs="Times New Roman"/>
          <w:sz w:val="24"/>
          <w:szCs w:val="24"/>
        </w:rPr>
        <w:t xml:space="preserve">, 2000; Siegert </w:t>
      </w:r>
      <w:r w:rsidR="004A2E81">
        <w:rPr>
          <w:rFonts w:ascii="Times New Roman" w:hAnsi="Times New Roman" w:cs="Times New Roman"/>
          <w:sz w:val="24"/>
          <w:szCs w:val="24"/>
        </w:rPr>
        <w:t>et al.</w:t>
      </w:r>
      <w:r w:rsidR="00BC1109" w:rsidRPr="00BC1109">
        <w:rPr>
          <w:rFonts w:ascii="Times New Roman" w:hAnsi="Times New Roman" w:cs="Times New Roman"/>
          <w:sz w:val="24"/>
          <w:szCs w:val="24"/>
        </w:rPr>
        <w:t>, 2001; Cochrane, 2003; Goldammer, 2007)</w:t>
      </w:r>
    </w:p>
    <w:p w14:paraId="369D71AA" w14:textId="77777777" w:rsidR="00BC1109" w:rsidRDefault="00BC1109" w:rsidP="006A2F97">
      <w:pPr>
        <w:keepNext/>
        <w:spacing w:after="0" w:line="240" w:lineRule="auto"/>
        <w:ind w:leftChars="0" w:left="2" w:hanging="2"/>
        <w:jc w:val="center"/>
        <w:rPr>
          <w:rFonts w:ascii="Times New Roman" w:hAnsi="Times New Roman" w:cs="Times New Roman"/>
          <w:sz w:val="24"/>
          <w:szCs w:val="24"/>
        </w:rPr>
      </w:pPr>
    </w:p>
    <w:p w14:paraId="7FF66120" w14:textId="65097369" w:rsidR="0066390F" w:rsidRPr="00F2217F" w:rsidRDefault="0066390F" w:rsidP="006A2F97">
      <w:pPr>
        <w:keepNext/>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drawing>
          <wp:inline distT="0" distB="0" distL="0" distR="0" wp14:anchorId="72E2F510" wp14:editId="55E0F2C0">
            <wp:extent cx="3028950" cy="3221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04-00656-g005-10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9862" cy="3307264"/>
                    </a:xfrm>
                    <a:prstGeom prst="rect">
                      <a:avLst/>
                    </a:prstGeom>
                  </pic:spPr>
                </pic:pic>
              </a:graphicData>
            </a:graphic>
          </wp:inline>
        </w:drawing>
      </w:r>
    </w:p>
    <w:p w14:paraId="29F90070" w14:textId="75BD597E" w:rsidR="0066390F" w:rsidRPr="00F2217F" w:rsidRDefault="0066390F" w:rsidP="00BC1109">
      <w:pPr>
        <w:pStyle w:val="Caption"/>
        <w:spacing w:before="60" w:after="0"/>
        <w:jc w:val="center"/>
        <w:rPr>
          <w:i w:val="0"/>
          <w:color w:val="auto"/>
          <w:sz w:val="20"/>
          <w:szCs w:val="20"/>
        </w:rPr>
      </w:pPr>
      <w:bookmarkStart w:id="5" w:name="_Toc492931771"/>
      <w:bookmarkStart w:id="6" w:name="_Toc492932111"/>
      <w:r w:rsidRPr="00F2217F">
        <w:rPr>
          <w:b/>
          <w:bCs/>
          <w:i w:val="0"/>
          <w:iCs w:val="0"/>
          <w:color w:val="auto"/>
          <w:sz w:val="20"/>
          <w:szCs w:val="20"/>
        </w:rPr>
        <w:t xml:space="preserve">Figure </w:t>
      </w:r>
      <w:r w:rsidR="00A354E4" w:rsidRPr="00F2217F">
        <w:rPr>
          <w:b/>
          <w:bCs/>
          <w:i w:val="0"/>
          <w:iCs w:val="0"/>
          <w:color w:val="auto"/>
          <w:sz w:val="20"/>
          <w:szCs w:val="20"/>
        </w:rPr>
        <w:t>3.</w:t>
      </w:r>
      <w:r w:rsidRPr="00F2217F">
        <w:rPr>
          <w:i w:val="0"/>
          <w:color w:val="auto"/>
          <w:sz w:val="20"/>
          <w:szCs w:val="20"/>
        </w:rPr>
        <w:t xml:space="preserve"> Borneo land cover classification of the year 2008</w:t>
      </w:r>
      <w:sdt>
        <w:sdtPr>
          <w:rPr>
            <w:i w:val="0"/>
            <w:color w:val="auto"/>
            <w:sz w:val="20"/>
            <w:szCs w:val="20"/>
          </w:rPr>
          <w:id w:val="-865205898"/>
          <w:citation/>
        </w:sdtPr>
        <w:sdtEndPr/>
        <w:sdtContent>
          <w:r w:rsidRPr="00F2217F">
            <w:rPr>
              <w:i w:val="0"/>
              <w:color w:val="auto"/>
              <w:sz w:val="20"/>
              <w:szCs w:val="20"/>
            </w:rPr>
            <w:fldChar w:fldCharType="begin"/>
          </w:r>
          <w:r w:rsidRPr="00F2217F">
            <w:rPr>
              <w:i w:val="0"/>
              <w:color w:val="auto"/>
              <w:sz w:val="20"/>
              <w:szCs w:val="20"/>
            </w:rPr>
            <w:instrText xml:space="preserve">CITATION Ass15 \l 1033 </w:instrText>
          </w:r>
          <w:r w:rsidRPr="00F2217F">
            <w:rPr>
              <w:i w:val="0"/>
              <w:color w:val="auto"/>
              <w:sz w:val="20"/>
              <w:szCs w:val="20"/>
            </w:rPr>
            <w:fldChar w:fldCharType="separate"/>
          </w:r>
          <w:r w:rsidR="00BE0277" w:rsidRPr="00F2217F">
            <w:rPr>
              <w:i w:val="0"/>
              <w:noProof/>
              <w:color w:val="auto"/>
              <w:sz w:val="20"/>
              <w:szCs w:val="20"/>
            </w:rPr>
            <w:t xml:space="preserve"> (Langner, et al., 2015)</w:t>
          </w:r>
          <w:r w:rsidRPr="00F2217F">
            <w:rPr>
              <w:i w:val="0"/>
              <w:color w:val="auto"/>
              <w:sz w:val="20"/>
              <w:szCs w:val="20"/>
            </w:rPr>
            <w:fldChar w:fldCharType="end"/>
          </w:r>
        </w:sdtContent>
      </w:sdt>
      <w:bookmarkEnd w:id="5"/>
      <w:bookmarkEnd w:id="6"/>
    </w:p>
    <w:p w14:paraId="21418B72" w14:textId="31CD9AAD" w:rsidR="00C93DA2" w:rsidRPr="00F2217F" w:rsidRDefault="004A2E81" w:rsidP="006A2F97">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sidR="0066390F" w:rsidRPr="00F2217F">
        <w:rPr>
          <w:rFonts w:ascii="Times New Roman" w:hAnsi="Times New Roman" w:cs="Times New Roman"/>
          <w:sz w:val="24"/>
          <w:szCs w:val="24"/>
        </w:rPr>
        <w:t xml:space="preserve">Borneo has an equatorial tropical climate, with often relatively light winds and only small annual temperature and humidity variations. The precipitation over Kalimantan is 3000 m every year with seasonal variation which means the rainfall is high and crucial in this region </w:t>
      </w:r>
      <w:sdt>
        <w:sdtPr>
          <w:rPr>
            <w:rFonts w:ascii="Times New Roman" w:hAnsi="Times New Roman" w:cs="Times New Roman"/>
            <w:sz w:val="24"/>
            <w:szCs w:val="24"/>
          </w:rPr>
          <w:id w:val="1922369017"/>
          <w:citation/>
        </w:sdtPr>
        <w:sdtEndPr/>
        <w:sdtContent>
          <w:r w:rsidR="0066390F" w:rsidRPr="00F2217F">
            <w:rPr>
              <w:rFonts w:ascii="Times New Roman" w:hAnsi="Times New Roman" w:cs="Times New Roman"/>
              <w:sz w:val="24"/>
              <w:szCs w:val="24"/>
            </w:rPr>
            <w:fldChar w:fldCharType="begin"/>
          </w:r>
          <w:r w:rsidR="0066390F" w:rsidRPr="00F2217F">
            <w:rPr>
              <w:rFonts w:ascii="Times New Roman" w:hAnsi="Times New Roman" w:cs="Times New Roman"/>
              <w:sz w:val="24"/>
              <w:szCs w:val="24"/>
            </w:rPr>
            <w:instrText xml:space="preserve"> CITATION Ham02 \l 1033 </w:instrText>
          </w:r>
          <w:r w:rsidR="0066390F"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(Hamada, et al., 2002)</w:t>
          </w:r>
          <w:r w:rsidR="0066390F" w:rsidRPr="00F2217F">
            <w:rPr>
              <w:rFonts w:ascii="Times New Roman" w:hAnsi="Times New Roman" w:cs="Times New Roman"/>
              <w:sz w:val="24"/>
              <w:szCs w:val="24"/>
            </w:rPr>
            <w:fldChar w:fldCharType="end"/>
          </w:r>
        </w:sdtContent>
      </w:sdt>
      <w:r w:rsidR="0066390F" w:rsidRPr="00F2217F">
        <w:rPr>
          <w:rFonts w:ascii="Times New Roman" w:hAnsi="Times New Roman" w:cs="Times New Roman"/>
          <w:sz w:val="24"/>
          <w:szCs w:val="24"/>
        </w:rPr>
        <w:t xml:space="preserve">. The El Nino regimes decrease this high precipitation in Borneo significantly, although it never drops to zero </w:t>
      </w:r>
      <w:sdt>
        <w:sdtPr>
          <w:rPr>
            <w:rFonts w:ascii="Times New Roman" w:hAnsi="Times New Roman" w:cs="Times New Roman"/>
            <w:sz w:val="24"/>
            <w:szCs w:val="24"/>
          </w:rPr>
          <w:id w:val="2086720825"/>
          <w:citation/>
        </w:sdtPr>
        <w:sdtEndPr/>
        <w:sdtContent>
          <w:r w:rsidR="0066390F" w:rsidRPr="00F2217F">
            <w:rPr>
              <w:rFonts w:ascii="Times New Roman" w:hAnsi="Times New Roman" w:cs="Times New Roman"/>
              <w:sz w:val="24"/>
              <w:szCs w:val="24"/>
            </w:rPr>
            <w:fldChar w:fldCharType="begin"/>
          </w:r>
          <w:r w:rsidR="0066390F" w:rsidRPr="00F2217F">
            <w:rPr>
              <w:rFonts w:ascii="Times New Roman" w:hAnsi="Times New Roman" w:cs="Times New Roman"/>
              <w:sz w:val="24"/>
              <w:szCs w:val="24"/>
            </w:rPr>
            <w:instrText xml:space="preserve"> CITATION Kir99 \l 1033  \m Guh00</w:instrText>
          </w:r>
          <w:r w:rsidR="0066390F"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(Kirono, Tapper, &amp; McBride, 1999; Guhardja, Fatawi, Sutisna, Mori, &amp; Ohta, 2000)</w:t>
          </w:r>
          <w:r w:rsidR="0066390F" w:rsidRPr="00F2217F">
            <w:rPr>
              <w:rFonts w:ascii="Times New Roman" w:hAnsi="Times New Roman" w:cs="Times New Roman"/>
              <w:sz w:val="24"/>
              <w:szCs w:val="24"/>
            </w:rPr>
            <w:fldChar w:fldCharType="end"/>
          </w:r>
        </w:sdtContent>
      </w:sdt>
      <w:r w:rsidR="0066390F" w:rsidRPr="00F2217F">
        <w:rPr>
          <w:rFonts w:ascii="Times New Roman" w:hAnsi="Times New Roman" w:cs="Times New Roman"/>
          <w:sz w:val="24"/>
          <w:szCs w:val="24"/>
        </w:rPr>
        <w:t xml:space="preserve">. The record (fire activity on Borneo over the Pleistocene and the Holocene) from </w:t>
      </w:r>
      <w:r w:rsidR="0066390F" w:rsidRPr="00F2217F">
        <w:rPr>
          <w:rFonts w:ascii="Times New Roman" w:hAnsi="Times New Roman" w:cs="Times New Roman"/>
          <w:noProof/>
          <w:sz w:val="24"/>
          <w:szCs w:val="24"/>
        </w:rPr>
        <w:t>Goldammer (2007)</w:t>
      </w:r>
      <w:r w:rsidR="0066390F" w:rsidRPr="00F2217F">
        <w:rPr>
          <w:rFonts w:ascii="Times New Roman" w:hAnsi="Times New Roman" w:cs="Times New Roman"/>
          <w:sz w:val="24"/>
          <w:szCs w:val="24"/>
        </w:rPr>
        <w:t xml:space="preserve"> showed the climatic oscillations (e.g. glacial-interglacial cycles and the ENSO) resulted in favo</w:t>
      </w:r>
      <w:r w:rsidR="00F2217F" w:rsidRPr="00F2217F">
        <w:rPr>
          <w:rFonts w:ascii="Times New Roman" w:hAnsi="Times New Roman" w:cs="Times New Roman"/>
          <w:sz w:val="24"/>
          <w:szCs w:val="24"/>
        </w:rPr>
        <w:t>u</w:t>
      </w:r>
      <w:r w:rsidR="0066390F" w:rsidRPr="00F2217F">
        <w:rPr>
          <w:rFonts w:ascii="Times New Roman" w:hAnsi="Times New Roman" w:cs="Times New Roman"/>
          <w:sz w:val="24"/>
          <w:szCs w:val="24"/>
        </w:rPr>
        <w:t xml:space="preserve">rable conditions for </w:t>
      </w:r>
      <w:r w:rsidR="00F2217F" w:rsidRPr="00F2217F">
        <w:rPr>
          <w:rFonts w:ascii="Times New Roman" w:hAnsi="Times New Roman" w:cs="Times New Roman"/>
          <w:sz w:val="24"/>
          <w:szCs w:val="24"/>
        </w:rPr>
        <w:t>f</w:t>
      </w:r>
      <w:r w:rsidR="0066390F" w:rsidRPr="00F2217F">
        <w:rPr>
          <w:rFonts w:ascii="Times New Roman" w:hAnsi="Times New Roman" w:cs="Times New Roman"/>
          <w:sz w:val="24"/>
          <w:szCs w:val="24"/>
        </w:rPr>
        <w:t xml:space="preserve">ire ignition. </w:t>
      </w:r>
    </w:p>
    <w:p w14:paraId="00295E82" w14:textId="77777777" w:rsidR="004A2E81" w:rsidRDefault="004A2E81"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6A8F5AEB" w14:textId="7C4FEF0A" w:rsidR="00C93DA2" w:rsidRPr="004A2E81"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sidRPr="004A2E81">
        <w:rPr>
          <w:rFonts w:ascii="Times New Roman" w:eastAsia="Times New Roman" w:hAnsi="Times New Roman" w:cs="Times New Roman"/>
          <w:bCs/>
          <w:i/>
          <w:iCs/>
          <w:color w:val="000000"/>
          <w:sz w:val="24"/>
          <w:szCs w:val="24"/>
        </w:rPr>
        <w:t>ENSO</w:t>
      </w:r>
      <w:r w:rsidR="004A2E81">
        <w:rPr>
          <w:rFonts w:ascii="Times New Roman" w:eastAsia="Times New Roman" w:hAnsi="Times New Roman" w:cs="Times New Roman"/>
          <w:bCs/>
          <w:i/>
          <w:iCs/>
          <w:color w:val="000000"/>
          <w:sz w:val="24"/>
          <w:szCs w:val="24"/>
        </w:rPr>
        <w:t>’s</w:t>
      </w:r>
      <w:r w:rsidRPr="004A2E81">
        <w:rPr>
          <w:rFonts w:ascii="Times New Roman" w:eastAsia="Times New Roman" w:hAnsi="Times New Roman" w:cs="Times New Roman"/>
          <w:bCs/>
          <w:i/>
          <w:iCs/>
          <w:color w:val="000000"/>
          <w:sz w:val="24"/>
          <w:szCs w:val="24"/>
        </w:rPr>
        <w:t xml:space="preserve"> </w:t>
      </w:r>
      <w:r w:rsidR="004A2E81">
        <w:rPr>
          <w:rFonts w:ascii="Times New Roman" w:eastAsia="Times New Roman" w:hAnsi="Times New Roman" w:cs="Times New Roman"/>
          <w:bCs/>
          <w:i/>
          <w:iCs/>
          <w:color w:val="000000"/>
          <w:sz w:val="24"/>
          <w:szCs w:val="24"/>
        </w:rPr>
        <w:t>i</w:t>
      </w:r>
      <w:r w:rsidRPr="004A2E81">
        <w:rPr>
          <w:rFonts w:ascii="Times New Roman" w:eastAsia="Times New Roman" w:hAnsi="Times New Roman" w:cs="Times New Roman"/>
          <w:bCs/>
          <w:i/>
          <w:iCs/>
          <w:color w:val="000000"/>
          <w:sz w:val="24"/>
          <w:szCs w:val="24"/>
        </w:rPr>
        <w:t xml:space="preserve">mpact on Indonesia </w:t>
      </w:r>
    </w:p>
    <w:p w14:paraId="189FE6A7" w14:textId="77777777" w:rsidR="0066390F" w:rsidRPr="00F2217F" w:rsidRDefault="0066390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4960631E" w14:textId="2BDB3947" w:rsidR="0066390F" w:rsidRDefault="0066390F" w:rsidP="006A2F97">
      <w:pPr>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As mentioned in the previous section, global climate events such as El Nino could encourage atmospheric condition</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over Indonesia to be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 xml:space="preserve">driver of fire. The appearance of El Nino could decrease the amount of precipitation for 4-6 months in a row and is usually in the boreal winter (June-August) which should be the rainy season, so it causes the chaotic seasonal phase of Indonesia due to the “dry” of wet-season. Combining anthropogenic factors such as human ignition and human-induced drainage could produce extremely low fuel moisture regimes. Moreover, heavy fire areas might spread to the less disturbed area and peatland area, then ignite heavier fire </w:t>
      </w:r>
      <w:sdt>
        <w:sdtPr>
          <w:rPr>
            <w:rFonts w:ascii="Times New Roman" w:hAnsi="Times New Roman" w:cs="Times New Roman"/>
            <w:sz w:val="24"/>
            <w:szCs w:val="24"/>
          </w:rPr>
          <w:id w:val="-1893642681"/>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Guh00 \l 1033  \m Lan07</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(Guhardja, Fatawi, Sutisna, Mori, &amp; Ohta, 2000; Langner, Miettinen, &amp; Siegert, 2007)</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This extreme event is correlated with the vast forest fire in Indonesia when the uncontrollable and undesirable fire burn</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many forest area</w:t>
      </w:r>
      <w:r w:rsidR="00F2217F" w:rsidRPr="00F2217F">
        <w:rPr>
          <w:rFonts w:ascii="Times New Roman" w:hAnsi="Times New Roman" w:cs="Times New Roman"/>
          <w:sz w:val="24"/>
          <w:szCs w:val="24"/>
        </w:rPr>
        <w:t>s</w:t>
      </w:r>
      <w:r w:rsidRPr="00F2217F">
        <w:rPr>
          <w:rFonts w:ascii="Times New Roman" w:hAnsi="Times New Roman" w:cs="Times New Roman"/>
          <w:sz w:val="24"/>
          <w:szCs w:val="24"/>
        </w:rPr>
        <w:t xml:space="preserve"> in Sumatra and Kalimantan. </w:t>
      </w:r>
    </w:p>
    <w:p w14:paraId="14312CCA" w14:textId="77777777" w:rsidR="004A2E81" w:rsidRPr="004A2E81" w:rsidRDefault="004A2E81" w:rsidP="006A2F97">
      <w:pPr>
        <w:spacing w:after="0" w:line="240" w:lineRule="auto"/>
        <w:ind w:leftChars="0" w:left="2" w:hanging="2"/>
        <w:jc w:val="both"/>
        <w:rPr>
          <w:rFonts w:ascii="Times New Roman" w:hAnsi="Times New Roman" w:cs="Times New Roman"/>
          <w:sz w:val="20"/>
          <w:szCs w:val="20"/>
        </w:rPr>
      </w:pPr>
    </w:p>
    <w:p w14:paraId="11C7568F" w14:textId="77777777" w:rsidR="0066390F" w:rsidRPr="00F2217F" w:rsidRDefault="0066390F" w:rsidP="004A2E81">
      <w:pPr>
        <w:keepNext/>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drawing>
          <wp:inline distT="0" distB="0" distL="0" distR="0" wp14:anchorId="48020902" wp14:editId="798271F8">
            <wp:extent cx="5798834" cy="397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e-emissions-indo-us.png"/>
                    <pic:cNvPicPr/>
                  </pic:nvPicPr>
                  <pic:blipFill rotWithShape="1">
                    <a:blip r:embed="rId13" cstate="print">
                      <a:extLst>
                        <a:ext uri="{28A0092B-C50C-407E-A947-70E740481C1C}">
                          <a14:useLocalDpi xmlns:a14="http://schemas.microsoft.com/office/drawing/2010/main" val="0"/>
                        </a:ext>
                      </a:extLst>
                    </a:blip>
                    <a:srcRect b="9076"/>
                    <a:stretch/>
                  </pic:blipFill>
                  <pic:spPr bwMode="auto">
                    <a:xfrm>
                      <a:off x="0" y="0"/>
                      <a:ext cx="5850584" cy="4007371"/>
                    </a:xfrm>
                    <a:prstGeom prst="rect">
                      <a:avLst/>
                    </a:prstGeom>
                    <a:ln>
                      <a:noFill/>
                    </a:ln>
                    <a:extLst>
                      <a:ext uri="{53640926-AAD7-44D8-BBD7-CCE9431645EC}">
                        <a14:shadowObscured xmlns:a14="http://schemas.microsoft.com/office/drawing/2010/main"/>
                      </a:ext>
                    </a:extLst>
                  </pic:spPr>
                </pic:pic>
              </a:graphicData>
            </a:graphic>
          </wp:inline>
        </w:drawing>
      </w:r>
    </w:p>
    <w:p w14:paraId="797A9EC5" w14:textId="7D194997" w:rsidR="004A2E81" w:rsidRPr="004A2E81" w:rsidRDefault="004A2E81" w:rsidP="00F515E0">
      <w:pPr>
        <w:pStyle w:val="Caption"/>
        <w:spacing w:after="120"/>
        <w:jc w:val="center"/>
        <w:rPr>
          <w:i w:val="0"/>
          <w:iCs w:val="0"/>
          <w:color w:val="auto"/>
          <w:sz w:val="20"/>
          <w:szCs w:val="20"/>
        </w:rPr>
      </w:pPr>
      <w:bookmarkStart w:id="7" w:name="_Toc492931772"/>
      <w:bookmarkStart w:id="8" w:name="_Toc492932112"/>
      <w:r>
        <w:rPr>
          <w:b/>
          <w:bCs/>
          <w:i w:val="0"/>
          <w:iCs w:val="0"/>
          <w:color w:val="auto"/>
          <w:sz w:val="20"/>
          <w:szCs w:val="20"/>
        </w:rPr>
        <w:t xml:space="preserve">Source: </w:t>
      </w:r>
      <w:r>
        <w:rPr>
          <w:i w:val="0"/>
          <w:iCs w:val="0"/>
          <w:color w:val="auto"/>
          <w:sz w:val="20"/>
          <w:szCs w:val="20"/>
        </w:rPr>
        <w:t>Global Fire Emissions Database and Cait</w:t>
      </w:r>
      <w:r w:rsidR="00F515E0">
        <w:rPr>
          <w:i w:val="0"/>
          <w:iCs w:val="0"/>
          <w:color w:val="auto"/>
          <w:sz w:val="20"/>
          <w:szCs w:val="20"/>
        </w:rPr>
        <w:t>, WRI; Harris et al., (2015)</w:t>
      </w:r>
    </w:p>
    <w:p w14:paraId="217D25D0" w14:textId="58326089" w:rsidR="004A2E81" w:rsidRDefault="0066390F" w:rsidP="006A2F97">
      <w:pPr>
        <w:pStyle w:val="Caption"/>
        <w:spacing w:after="0"/>
        <w:ind w:hanging="2"/>
        <w:jc w:val="center"/>
        <w:rPr>
          <w:i w:val="0"/>
          <w:color w:val="auto"/>
          <w:sz w:val="20"/>
          <w:szCs w:val="20"/>
        </w:rPr>
      </w:pPr>
      <w:r w:rsidRPr="00F2217F">
        <w:rPr>
          <w:b/>
          <w:bCs/>
          <w:i w:val="0"/>
          <w:iCs w:val="0"/>
          <w:color w:val="auto"/>
          <w:sz w:val="20"/>
          <w:szCs w:val="20"/>
        </w:rPr>
        <w:t xml:space="preserve">Figure </w:t>
      </w:r>
      <w:r w:rsidR="00A354E4" w:rsidRPr="00F2217F">
        <w:rPr>
          <w:b/>
          <w:bCs/>
          <w:i w:val="0"/>
          <w:iCs w:val="0"/>
          <w:color w:val="auto"/>
          <w:sz w:val="20"/>
          <w:szCs w:val="20"/>
        </w:rPr>
        <w:t>4.</w:t>
      </w:r>
      <w:r w:rsidRPr="00F2217F">
        <w:rPr>
          <w:i w:val="0"/>
          <w:color w:val="auto"/>
          <w:sz w:val="20"/>
          <w:szCs w:val="20"/>
        </w:rPr>
        <w:t xml:space="preserve"> The comparison of Indonesia and US daily emission in the 2015 Indonesian massive forest fire</w:t>
      </w:r>
      <w:r w:rsidR="00F515E0">
        <w:rPr>
          <w:i w:val="0"/>
          <w:color w:val="auto"/>
          <w:sz w:val="20"/>
          <w:szCs w:val="20"/>
        </w:rPr>
        <w:t>.</w:t>
      </w:r>
    </w:p>
    <w:bookmarkEnd w:id="7"/>
    <w:bookmarkEnd w:id="8"/>
    <w:p w14:paraId="533B5551" w14:textId="1C5B283D" w:rsidR="00C93DA2" w:rsidRPr="00F2217F" w:rsidRDefault="00F515E0" w:rsidP="006A2F97">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sidR="0066390F" w:rsidRPr="00F2217F">
        <w:rPr>
          <w:rFonts w:ascii="Times New Roman" w:hAnsi="Times New Roman" w:cs="Times New Roman"/>
          <w:sz w:val="24"/>
          <w:szCs w:val="24"/>
        </w:rPr>
        <w:t xml:space="preserve">In 2015/2016, the very strong El Nino occurred for more than 14 months then followed by weak La Nina. This climatic condition is pursued by </w:t>
      </w:r>
      <w:r w:rsidR="00F2217F" w:rsidRPr="00F2217F">
        <w:rPr>
          <w:rFonts w:ascii="Times New Roman" w:hAnsi="Times New Roman" w:cs="Times New Roman"/>
          <w:sz w:val="24"/>
          <w:szCs w:val="24"/>
        </w:rPr>
        <w:t xml:space="preserve">a </w:t>
      </w:r>
      <w:r w:rsidR="0066390F" w:rsidRPr="00F2217F">
        <w:rPr>
          <w:rFonts w:ascii="Times New Roman" w:hAnsi="Times New Roman" w:cs="Times New Roman"/>
          <w:sz w:val="24"/>
          <w:szCs w:val="24"/>
        </w:rPr>
        <w:t xml:space="preserve">huge fire in Indonesian forest which emits </w:t>
      </w:r>
      <w:r w:rsidR="00F2217F" w:rsidRPr="00F2217F">
        <w:rPr>
          <w:rFonts w:ascii="Times New Roman" w:hAnsi="Times New Roman" w:cs="Times New Roman"/>
          <w:sz w:val="24"/>
          <w:szCs w:val="24"/>
        </w:rPr>
        <w:t xml:space="preserve">a </w:t>
      </w:r>
      <w:r w:rsidR="0066390F" w:rsidRPr="00F2217F">
        <w:rPr>
          <w:rFonts w:ascii="Times New Roman" w:hAnsi="Times New Roman" w:cs="Times New Roman"/>
          <w:sz w:val="24"/>
          <w:szCs w:val="24"/>
        </w:rPr>
        <w:t xml:space="preserve">huge amount of carbon and other gases. Figure </w:t>
      </w:r>
      <w:r w:rsidR="00493637" w:rsidRPr="00F2217F">
        <w:rPr>
          <w:rFonts w:ascii="Times New Roman" w:hAnsi="Times New Roman" w:cs="Times New Roman"/>
          <w:sz w:val="24"/>
          <w:szCs w:val="24"/>
        </w:rPr>
        <w:t>4</w:t>
      </w:r>
      <w:r w:rsidR="0066390F" w:rsidRPr="00F2217F">
        <w:rPr>
          <w:rFonts w:ascii="Times New Roman" w:hAnsi="Times New Roman" w:cs="Times New Roman"/>
          <w:sz w:val="24"/>
          <w:szCs w:val="24"/>
        </w:rPr>
        <w:t xml:space="preserve"> portrays the daily emission of 2015 Indonesian fires is 4 times higher than the daily emission in the US. According to the government, 2.6 million hectares of Indonesian land were burnt between June and October 2015, an area four and half times the size of Bali. By October 2015, eight provinces had burned more than 100.000 hectares each </w:t>
      </w:r>
      <w:sdt>
        <w:sdtPr>
          <w:rPr>
            <w:rFonts w:ascii="Times New Roman" w:hAnsi="Times New Roman" w:cs="Times New Roman"/>
            <w:sz w:val="24"/>
            <w:szCs w:val="24"/>
          </w:rPr>
          <w:id w:val="-1884086641"/>
          <w:citation/>
        </w:sdtPr>
        <w:sdtEndPr/>
        <w:sdtContent>
          <w:r w:rsidR="0066390F" w:rsidRPr="00F2217F">
            <w:rPr>
              <w:rFonts w:ascii="Times New Roman" w:hAnsi="Times New Roman" w:cs="Times New Roman"/>
              <w:sz w:val="24"/>
              <w:szCs w:val="24"/>
            </w:rPr>
            <w:fldChar w:fldCharType="begin"/>
          </w:r>
          <w:r w:rsidR="0066390F" w:rsidRPr="00F2217F">
            <w:rPr>
              <w:rFonts w:ascii="Times New Roman" w:hAnsi="Times New Roman" w:cs="Times New Roman"/>
              <w:sz w:val="24"/>
              <w:szCs w:val="24"/>
            </w:rPr>
            <w:instrText xml:space="preserve"> CITATION Adr16 \l 1033 </w:instrText>
          </w:r>
          <w:r w:rsidR="0066390F"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(Adriani, Moyer, Kendrick, Henry, &amp; Wood, 2016)</w:t>
          </w:r>
          <w:r w:rsidR="0066390F" w:rsidRPr="00F2217F">
            <w:rPr>
              <w:rFonts w:ascii="Times New Roman" w:hAnsi="Times New Roman" w:cs="Times New Roman"/>
              <w:sz w:val="24"/>
              <w:szCs w:val="24"/>
            </w:rPr>
            <w:fldChar w:fldCharType="end"/>
          </w:r>
        </w:sdtContent>
      </w:sdt>
      <w:r w:rsidR="0066390F" w:rsidRPr="00F2217F">
        <w:rPr>
          <w:rFonts w:ascii="Times New Roman" w:hAnsi="Times New Roman" w:cs="Times New Roman"/>
          <w:sz w:val="24"/>
          <w:szCs w:val="24"/>
        </w:rPr>
        <w:t>.</w:t>
      </w:r>
    </w:p>
    <w:p w14:paraId="19B6AF44" w14:textId="77777777" w:rsidR="00F515E0" w:rsidRDefault="00F515E0"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BE14EB8" w14:textId="77777777" w:rsidR="00F515E0" w:rsidRDefault="00F515E0"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2644F4BF" w14:textId="106E8B43" w:rsidR="00B73AFF"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Method and study area </w:t>
      </w:r>
    </w:p>
    <w:p w14:paraId="399B7404" w14:textId="77777777" w:rsidR="00F515E0" w:rsidRDefault="00F515E0"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3E6E0194" w14:textId="4C3F75EA" w:rsidR="008B05E7" w:rsidRPr="00F2217F" w:rsidRDefault="000407C3"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sidRPr="00F2217F">
        <w:rPr>
          <w:rFonts w:ascii="Times New Roman" w:eastAsia="Times New Roman" w:hAnsi="Times New Roman" w:cs="Times New Roman"/>
          <w:bCs/>
          <w:color w:val="000000"/>
          <w:sz w:val="24"/>
          <w:szCs w:val="24"/>
        </w:rPr>
        <w:t xml:space="preserve">In this research, the fires are defined by </w:t>
      </w:r>
      <w:r w:rsidR="00F2217F" w:rsidRPr="00F2217F">
        <w:rPr>
          <w:rFonts w:ascii="Times New Roman" w:eastAsia="Times New Roman" w:hAnsi="Times New Roman" w:cs="Times New Roman"/>
          <w:bCs/>
          <w:color w:val="000000"/>
          <w:sz w:val="24"/>
          <w:szCs w:val="24"/>
        </w:rPr>
        <w:t>their</w:t>
      </w:r>
      <w:r w:rsidRPr="00F2217F">
        <w:rPr>
          <w:rFonts w:ascii="Times New Roman" w:eastAsia="Times New Roman" w:hAnsi="Times New Roman" w:cs="Times New Roman"/>
          <w:bCs/>
          <w:color w:val="000000"/>
          <w:sz w:val="24"/>
          <w:szCs w:val="24"/>
        </w:rPr>
        <w:t xml:space="preserve"> location. It is divided into 3 different area</w:t>
      </w:r>
      <w:r w:rsidR="00F2217F" w:rsidRPr="00F2217F">
        <w:rPr>
          <w:rFonts w:ascii="Times New Roman" w:eastAsia="Times New Roman" w:hAnsi="Times New Roman" w:cs="Times New Roman"/>
          <w:bCs/>
          <w:color w:val="000000"/>
          <w:sz w:val="24"/>
          <w:szCs w:val="24"/>
        </w:rPr>
        <w:t>s</w:t>
      </w:r>
      <w:r w:rsidRPr="00F2217F">
        <w:rPr>
          <w:rFonts w:ascii="Times New Roman" w:eastAsia="Times New Roman" w:hAnsi="Times New Roman" w:cs="Times New Roman"/>
          <w:bCs/>
          <w:color w:val="000000"/>
          <w:sz w:val="24"/>
          <w:szCs w:val="24"/>
        </w:rPr>
        <w:t xml:space="preserve"> which are Primary Intact Forest, Degraded Forest and Deforested/Outside Forest. This illustrates the exact location of </w:t>
      </w:r>
      <w:r w:rsidR="00F2217F" w:rsidRPr="00F2217F">
        <w:rPr>
          <w:rFonts w:ascii="Times New Roman" w:eastAsia="Times New Roman" w:hAnsi="Times New Roman" w:cs="Times New Roman"/>
          <w:bCs/>
          <w:color w:val="000000"/>
          <w:sz w:val="24"/>
          <w:szCs w:val="24"/>
        </w:rPr>
        <w:t xml:space="preserve">the </w:t>
      </w:r>
      <w:r w:rsidRPr="00F2217F">
        <w:rPr>
          <w:rFonts w:ascii="Times New Roman" w:eastAsia="Times New Roman" w:hAnsi="Times New Roman" w:cs="Times New Roman"/>
          <w:bCs/>
          <w:color w:val="000000"/>
          <w:sz w:val="24"/>
          <w:szCs w:val="24"/>
        </w:rPr>
        <w:t>fire, it is in the forest or not. Then the temporal patterns are compared with Oceanic Nino Index to show the connection of fires on those 3 regions with El Nino.</w:t>
      </w:r>
    </w:p>
    <w:p w14:paraId="1D3F5B77" w14:textId="77777777" w:rsidR="00F2217F" w:rsidRPr="00F2217F" w:rsidRDefault="00F2217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22A4AFC3" w14:textId="77777777" w:rsidR="008B05E7" w:rsidRPr="00F2217F" w:rsidRDefault="008B05E7" w:rsidP="00F515E0">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hAnsi="Times New Roman" w:cs="Times New Roman"/>
          <w:i/>
          <w:iCs/>
          <w:sz w:val="24"/>
          <w:szCs w:val="24"/>
        </w:rPr>
        <w:t>Oceanic Nino Index</w:t>
      </w:r>
    </w:p>
    <w:p w14:paraId="775D8555" w14:textId="77777777" w:rsidR="00F515E0" w:rsidRDefault="00F515E0" w:rsidP="006A2F97">
      <w:pPr>
        <w:pStyle w:val="ListParagraph"/>
        <w:spacing w:after="0" w:line="240" w:lineRule="auto"/>
        <w:ind w:leftChars="0" w:left="2" w:hanging="2"/>
        <w:jc w:val="both"/>
        <w:rPr>
          <w:rFonts w:ascii="Times New Roman" w:hAnsi="Times New Roman" w:cs="Times New Roman"/>
          <w:sz w:val="24"/>
          <w:szCs w:val="24"/>
        </w:rPr>
      </w:pPr>
    </w:p>
    <w:p w14:paraId="22F782EA" w14:textId="1BBE8769"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The presence of ENSO can be determined by index, one of it is Oceanic Nino Index (ONI) which is produced by NOAA (National Oceanic Atmospheric Agency) </w:t>
      </w:r>
      <w:r w:rsidR="00F2217F" w:rsidRPr="00F2217F">
        <w:rPr>
          <w:rFonts w:ascii="Times New Roman" w:hAnsi="Times New Roman" w:cs="Times New Roman"/>
          <w:sz w:val="24"/>
          <w:szCs w:val="24"/>
        </w:rPr>
        <w:t>o</w:t>
      </w:r>
      <w:r w:rsidRPr="00F2217F">
        <w:rPr>
          <w:rFonts w:ascii="Times New Roman" w:hAnsi="Times New Roman" w:cs="Times New Roman"/>
          <w:sz w:val="24"/>
          <w:szCs w:val="24"/>
        </w:rPr>
        <w:t xml:space="preserve">n </w:t>
      </w:r>
      <w:r w:rsidR="00F2217F" w:rsidRPr="00F2217F">
        <w:rPr>
          <w:rFonts w:ascii="Times New Roman" w:hAnsi="Times New Roman" w:cs="Times New Roman"/>
          <w:sz w:val="24"/>
          <w:szCs w:val="24"/>
        </w:rPr>
        <w:t>a</w:t>
      </w:r>
      <w:r w:rsidRPr="00F2217F">
        <w:rPr>
          <w:rFonts w:ascii="Times New Roman" w:hAnsi="Times New Roman" w:cs="Times New Roman"/>
          <w:sz w:val="24"/>
          <w:szCs w:val="24"/>
        </w:rPr>
        <w:t xml:space="preserve"> real</w:t>
      </w:r>
      <w:r w:rsidR="00F2217F" w:rsidRPr="00F2217F">
        <w:rPr>
          <w:rFonts w:ascii="Times New Roman" w:hAnsi="Times New Roman" w:cs="Times New Roman"/>
          <w:sz w:val="24"/>
          <w:szCs w:val="24"/>
        </w:rPr>
        <w:t>-</w:t>
      </w:r>
      <w:r w:rsidRPr="00F2217F">
        <w:rPr>
          <w:rFonts w:ascii="Times New Roman" w:hAnsi="Times New Roman" w:cs="Times New Roman"/>
          <w:sz w:val="24"/>
          <w:szCs w:val="24"/>
        </w:rPr>
        <w:t xml:space="preserve">time basis. El Nino presence is defined by ONI show +0.5 or higher </w:t>
      </w:r>
      <w:sdt>
        <w:sdtPr>
          <w:rPr>
            <w:rFonts w:ascii="Times New Roman" w:hAnsi="Times New Roman" w:cs="Times New Roman"/>
            <w:sz w:val="24"/>
            <w:szCs w:val="24"/>
          </w:rPr>
          <w:id w:val="504330814"/>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Mic20 \l 1033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(Glantz &amp; Ramirez, 2020)</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indicating that the region of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east-central pacific is significantly warmer than usual. On the other hand, if the ONI is -0.5 or lower, this indicates a La Nina event, meaning the region is cooler than usual</w:t>
      </w:r>
      <w:sdt>
        <w:sdtPr>
          <w:rPr>
            <w:rFonts w:ascii="Times New Roman" w:hAnsi="Times New Roman" w:cs="Times New Roman"/>
            <w:sz w:val="24"/>
            <w:szCs w:val="24"/>
          </w:rPr>
          <w:id w:val="-696155515"/>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Dah16 \l 1033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(Dahlman, 2016)</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w:t>
      </w:r>
    </w:p>
    <w:p w14:paraId="0C6611E5" w14:textId="37B520D9" w:rsidR="008B05E7" w:rsidRPr="00F2217F" w:rsidRDefault="00F515E0"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This index is calculated by the average of Sea Surface Temperature (SST) on the region of Nino 3,4 for 3 months consecutively</w:t>
      </w:r>
      <w:r w:rsidR="0021640B" w:rsidRPr="00F2217F">
        <w:rPr>
          <w:rFonts w:ascii="Times New Roman" w:hAnsi="Times New Roman" w:cs="Times New Roman"/>
          <w:noProof/>
          <w:sz w:val="24"/>
          <w:szCs w:val="24"/>
        </w:rPr>
        <w:t xml:space="preserve"> (Trenberth &amp; Stepaniak, 2001)</w:t>
      </w:r>
      <w:sdt>
        <w:sdtPr>
          <w:rPr>
            <w:rFonts w:ascii="Times New Roman" w:hAnsi="Times New Roman" w:cs="Times New Roman"/>
            <w:sz w:val="24"/>
            <w:szCs w:val="24"/>
          </w:rPr>
          <w:id w:val="-1927792181"/>
          <w:citation/>
        </w:sdtPr>
        <w:sdtEndPr/>
        <w:sdtContent>
          <w:r w:rsidR="008B05E7" w:rsidRPr="00F2217F">
            <w:rPr>
              <w:rFonts w:ascii="Times New Roman" w:hAnsi="Times New Roman" w:cs="Times New Roman"/>
              <w:sz w:val="24"/>
              <w:szCs w:val="24"/>
            </w:rPr>
            <w:fldChar w:fldCharType="begin"/>
          </w:r>
          <w:r w:rsidR="008B05E7" w:rsidRPr="00F2217F">
            <w:rPr>
              <w:rFonts w:ascii="Times New Roman" w:hAnsi="Times New Roman" w:cs="Times New Roman"/>
              <w:sz w:val="24"/>
              <w:szCs w:val="24"/>
            </w:rPr>
            <w:instrText xml:space="preserve"> CITATION Eug82 \l 1033 </w:instrText>
          </w:r>
          <w:r w:rsidR="008B05E7"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(Rasmusson &amp; Carpenter, 1982)</w:t>
          </w:r>
          <w:r w:rsidR="008B05E7" w:rsidRPr="00F2217F">
            <w:rPr>
              <w:rFonts w:ascii="Times New Roman" w:hAnsi="Times New Roman" w:cs="Times New Roman"/>
              <w:sz w:val="24"/>
              <w:szCs w:val="24"/>
            </w:rPr>
            <w:fldChar w:fldCharType="end"/>
          </w:r>
        </w:sdtContent>
      </w:sdt>
      <w:r w:rsidR="008B05E7" w:rsidRPr="00F2217F">
        <w:rPr>
          <w:rFonts w:ascii="Times New Roman" w:hAnsi="Times New Roman" w:cs="Times New Roman"/>
          <w:sz w:val="24"/>
          <w:szCs w:val="24"/>
        </w:rPr>
        <w:t>. This number is then compared with the average of SST over 30 years</w:t>
      </w:r>
      <w:r w:rsidRPr="00F515E0">
        <w:t xml:space="preserve"> </w:t>
      </w:r>
      <w:r>
        <w:t>(</w:t>
      </w:r>
      <w:r w:rsidRPr="00F515E0">
        <w:rPr>
          <w:rFonts w:ascii="Times New Roman" w:hAnsi="Times New Roman" w:cs="Times New Roman"/>
          <w:sz w:val="24"/>
          <w:szCs w:val="24"/>
        </w:rPr>
        <w:t>Trenberth, 1997)</w:t>
      </w:r>
      <w:r w:rsidR="008B05E7" w:rsidRPr="00F2217F">
        <w:rPr>
          <w:rFonts w:ascii="Times New Roman" w:hAnsi="Times New Roman" w:cs="Times New Roman"/>
          <w:sz w:val="24"/>
          <w:szCs w:val="24"/>
        </w:rPr>
        <w:t>. Based on this calculation, El Nino or La Nina events can be classified as Low, Moderate and Strong</w:t>
      </w:r>
      <w:r w:rsidR="0021640B">
        <w:rPr>
          <w:rFonts w:ascii="Times New Roman" w:hAnsi="Times New Roman" w:cs="Times New Roman"/>
          <w:sz w:val="24"/>
          <w:szCs w:val="24"/>
        </w:rPr>
        <w:t>/High</w:t>
      </w:r>
      <w:r w:rsidR="008B05E7" w:rsidRPr="00F2217F">
        <w:rPr>
          <w:rFonts w:ascii="Times New Roman" w:hAnsi="Times New Roman" w:cs="Times New Roman"/>
          <w:sz w:val="24"/>
          <w:szCs w:val="24"/>
        </w:rPr>
        <w:t xml:space="preserve">, as shown in </w:t>
      </w:r>
      <w:r w:rsidR="00F2217F" w:rsidRPr="00F2217F">
        <w:rPr>
          <w:rFonts w:ascii="Times New Roman" w:hAnsi="Times New Roman" w:cs="Times New Roman"/>
          <w:sz w:val="24"/>
          <w:szCs w:val="24"/>
        </w:rPr>
        <w:t xml:space="preserve">the </w:t>
      </w:r>
      <w:r w:rsidR="008B05E7" w:rsidRPr="00F2217F">
        <w:rPr>
          <w:rFonts w:ascii="Times New Roman" w:hAnsi="Times New Roman" w:cs="Times New Roman"/>
          <w:sz w:val="24"/>
          <w:szCs w:val="24"/>
        </w:rPr>
        <w:t xml:space="preserve">table </w:t>
      </w:r>
      <w:r>
        <w:rPr>
          <w:rFonts w:ascii="Times New Roman" w:hAnsi="Times New Roman" w:cs="Times New Roman"/>
          <w:sz w:val="24"/>
          <w:szCs w:val="24"/>
        </w:rPr>
        <w:t>1.</w:t>
      </w:r>
    </w:p>
    <w:p w14:paraId="42C92B39" w14:textId="77777777"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p>
    <w:p w14:paraId="3A8C09EA" w14:textId="77685F3A" w:rsidR="008B05E7" w:rsidRDefault="008B05E7"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Table 1.</w:t>
      </w:r>
      <w:r w:rsidRPr="00F2217F">
        <w:rPr>
          <w:rFonts w:ascii="Times New Roman" w:hAnsi="Times New Roman" w:cs="Times New Roman"/>
          <w:sz w:val="20"/>
          <w:szCs w:val="20"/>
        </w:rPr>
        <w:t xml:space="preserve"> Classification of ENSO magnitude</w:t>
      </w:r>
      <w:r w:rsidR="00F515E0">
        <w:rPr>
          <w:rFonts w:ascii="Times New Roman" w:hAnsi="Times New Roman" w:cs="Times New Roman"/>
          <w:sz w:val="20"/>
          <w:szCs w:val="20"/>
        </w:rPr>
        <w:t>.</w:t>
      </w:r>
    </w:p>
    <w:p w14:paraId="7A1A285B" w14:textId="77777777" w:rsidR="00F515E0" w:rsidRPr="00F2217F" w:rsidRDefault="00F515E0" w:rsidP="006A2F97">
      <w:pPr>
        <w:pStyle w:val="ListParagraph"/>
        <w:spacing w:after="0" w:line="240" w:lineRule="auto"/>
        <w:ind w:leftChars="0" w:left="2" w:hanging="2"/>
        <w:jc w:val="center"/>
        <w:rPr>
          <w:rFonts w:ascii="Times New Roman" w:hAnsi="Times New Roman" w:cs="Times New Roman"/>
          <w:sz w:val="20"/>
          <w:szCs w:val="20"/>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057"/>
        <w:gridCol w:w="2115"/>
        <w:gridCol w:w="2074"/>
      </w:tblGrid>
      <w:tr w:rsidR="008B05E7" w:rsidRPr="00F2217F" w14:paraId="62B244A9" w14:textId="77777777" w:rsidTr="00F515E0">
        <w:tc>
          <w:tcPr>
            <w:tcW w:w="2043" w:type="dxa"/>
            <w:tcBorders>
              <w:top w:val="single" w:sz="4" w:space="0" w:color="auto"/>
              <w:bottom w:val="single" w:sz="4" w:space="0" w:color="auto"/>
            </w:tcBorders>
            <w:shd w:val="clear" w:color="auto" w:fill="8DB3E2" w:themeFill="text2" w:themeFillTint="66"/>
          </w:tcPr>
          <w:p w14:paraId="2965388A" w14:textId="77777777" w:rsidR="008B05E7" w:rsidRPr="00F2217F" w:rsidRDefault="008B05E7" w:rsidP="006A2F97">
            <w:pPr>
              <w:pStyle w:val="ListParagraph"/>
              <w:ind w:leftChars="0" w:left="2" w:hanging="2"/>
              <w:jc w:val="center"/>
              <w:rPr>
                <w:rFonts w:ascii="Times New Roman" w:hAnsi="Times New Roman" w:cs="Times New Roman"/>
                <w:sz w:val="20"/>
                <w:szCs w:val="20"/>
              </w:rPr>
            </w:pPr>
          </w:p>
        </w:tc>
        <w:tc>
          <w:tcPr>
            <w:tcW w:w="2057" w:type="dxa"/>
            <w:tcBorders>
              <w:top w:val="single" w:sz="4" w:space="0" w:color="auto"/>
              <w:bottom w:val="single" w:sz="4" w:space="0" w:color="auto"/>
            </w:tcBorders>
            <w:shd w:val="clear" w:color="auto" w:fill="8DB3E2" w:themeFill="text2" w:themeFillTint="66"/>
          </w:tcPr>
          <w:p w14:paraId="2B36DA81" w14:textId="77777777" w:rsidR="008B05E7" w:rsidRPr="00F2217F" w:rsidRDefault="008B05E7" w:rsidP="006A2F97">
            <w:pPr>
              <w:pStyle w:val="ListParagraph"/>
              <w:ind w:leftChars="0" w:left="2" w:hanging="2"/>
              <w:jc w:val="center"/>
              <w:rPr>
                <w:rFonts w:ascii="Times New Roman" w:hAnsi="Times New Roman" w:cs="Times New Roman"/>
                <w:b/>
                <w:bCs/>
                <w:sz w:val="20"/>
                <w:szCs w:val="20"/>
              </w:rPr>
            </w:pPr>
            <w:r w:rsidRPr="00F2217F">
              <w:rPr>
                <w:rFonts w:ascii="Times New Roman" w:hAnsi="Times New Roman" w:cs="Times New Roman"/>
                <w:b/>
                <w:bCs/>
                <w:sz w:val="20"/>
                <w:szCs w:val="20"/>
              </w:rPr>
              <w:t>Low</w:t>
            </w:r>
          </w:p>
        </w:tc>
        <w:tc>
          <w:tcPr>
            <w:tcW w:w="2115" w:type="dxa"/>
            <w:tcBorders>
              <w:top w:val="single" w:sz="4" w:space="0" w:color="auto"/>
              <w:bottom w:val="single" w:sz="4" w:space="0" w:color="auto"/>
            </w:tcBorders>
            <w:shd w:val="clear" w:color="auto" w:fill="8DB3E2" w:themeFill="text2" w:themeFillTint="66"/>
          </w:tcPr>
          <w:p w14:paraId="72694E91" w14:textId="77777777" w:rsidR="008B05E7" w:rsidRPr="00F2217F" w:rsidRDefault="008B05E7" w:rsidP="006A2F97">
            <w:pPr>
              <w:pStyle w:val="ListParagraph"/>
              <w:ind w:leftChars="0" w:left="2" w:hanging="2"/>
              <w:jc w:val="center"/>
              <w:rPr>
                <w:rFonts w:ascii="Times New Roman" w:hAnsi="Times New Roman" w:cs="Times New Roman"/>
                <w:b/>
                <w:bCs/>
                <w:sz w:val="20"/>
                <w:szCs w:val="20"/>
              </w:rPr>
            </w:pPr>
            <w:r w:rsidRPr="00F2217F">
              <w:rPr>
                <w:rFonts w:ascii="Times New Roman" w:hAnsi="Times New Roman" w:cs="Times New Roman"/>
                <w:b/>
                <w:bCs/>
                <w:sz w:val="20"/>
                <w:szCs w:val="20"/>
              </w:rPr>
              <w:t>Moderate</w:t>
            </w:r>
          </w:p>
        </w:tc>
        <w:tc>
          <w:tcPr>
            <w:tcW w:w="2074" w:type="dxa"/>
            <w:tcBorders>
              <w:top w:val="single" w:sz="4" w:space="0" w:color="auto"/>
              <w:bottom w:val="single" w:sz="4" w:space="0" w:color="auto"/>
            </w:tcBorders>
            <w:shd w:val="clear" w:color="auto" w:fill="8DB3E2" w:themeFill="text2" w:themeFillTint="66"/>
          </w:tcPr>
          <w:p w14:paraId="4CF80A5C" w14:textId="77777777" w:rsidR="008B05E7" w:rsidRPr="00F2217F" w:rsidRDefault="008B05E7" w:rsidP="006A2F97">
            <w:pPr>
              <w:pStyle w:val="ListParagraph"/>
              <w:ind w:leftChars="0" w:left="2" w:hanging="2"/>
              <w:jc w:val="center"/>
              <w:rPr>
                <w:rFonts w:ascii="Times New Roman" w:hAnsi="Times New Roman" w:cs="Times New Roman"/>
                <w:b/>
                <w:bCs/>
                <w:sz w:val="20"/>
                <w:szCs w:val="20"/>
              </w:rPr>
            </w:pPr>
            <w:r w:rsidRPr="00F2217F">
              <w:rPr>
                <w:rFonts w:ascii="Times New Roman" w:hAnsi="Times New Roman" w:cs="Times New Roman"/>
                <w:b/>
                <w:bCs/>
                <w:sz w:val="20"/>
                <w:szCs w:val="20"/>
              </w:rPr>
              <w:t>High</w:t>
            </w:r>
          </w:p>
        </w:tc>
      </w:tr>
      <w:tr w:rsidR="008B05E7" w:rsidRPr="00F2217F" w14:paraId="68E47A8A" w14:textId="77777777" w:rsidTr="00F515E0">
        <w:tc>
          <w:tcPr>
            <w:tcW w:w="2043" w:type="dxa"/>
            <w:tcBorders>
              <w:top w:val="single" w:sz="4" w:space="0" w:color="auto"/>
            </w:tcBorders>
          </w:tcPr>
          <w:p w14:paraId="6C00EE0B" w14:textId="77777777" w:rsidR="008B05E7" w:rsidRPr="00F2217F" w:rsidRDefault="008B05E7" w:rsidP="006A2F97">
            <w:pPr>
              <w:pStyle w:val="ListParagraph"/>
              <w:ind w:leftChars="0" w:left="2" w:hanging="2"/>
              <w:jc w:val="center"/>
              <w:rPr>
                <w:rFonts w:ascii="Times New Roman" w:hAnsi="Times New Roman" w:cs="Times New Roman"/>
                <w:b/>
                <w:bCs/>
                <w:sz w:val="20"/>
                <w:szCs w:val="20"/>
              </w:rPr>
            </w:pPr>
            <w:r w:rsidRPr="00F2217F">
              <w:rPr>
                <w:rFonts w:ascii="Times New Roman" w:hAnsi="Times New Roman" w:cs="Times New Roman"/>
                <w:b/>
                <w:bCs/>
                <w:sz w:val="20"/>
                <w:szCs w:val="20"/>
              </w:rPr>
              <w:t>El Nino</w:t>
            </w:r>
          </w:p>
        </w:tc>
        <w:tc>
          <w:tcPr>
            <w:tcW w:w="2057" w:type="dxa"/>
            <w:tcBorders>
              <w:top w:val="single" w:sz="4" w:space="0" w:color="auto"/>
            </w:tcBorders>
          </w:tcPr>
          <w:p w14:paraId="7AB9165A"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+0.5 to +1</w:t>
            </w:r>
          </w:p>
        </w:tc>
        <w:tc>
          <w:tcPr>
            <w:tcW w:w="2115" w:type="dxa"/>
            <w:tcBorders>
              <w:top w:val="single" w:sz="4" w:space="0" w:color="auto"/>
            </w:tcBorders>
          </w:tcPr>
          <w:p w14:paraId="299B6C5D"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+1 to +1.5</w:t>
            </w:r>
          </w:p>
        </w:tc>
        <w:tc>
          <w:tcPr>
            <w:tcW w:w="2074" w:type="dxa"/>
            <w:tcBorders>
              <w:top w:val="single" w:sz="4" w:space="0" w:color="auto"/>
            </w:tcBorders>
          </w:tcPr>
          <w:p w14:paraId="4A98F464"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&gt;+1.5</w:t>
            </w:r>
          </w:p>
        </w:tc>
      </w:tr>
      <w:tr w:rsidR="008B05E7" w:rsidRPr="00F2217F" w14:paraId="20D1F159" w14:textId="77777777" w:rsidTr="00F515E0">
        <w:tc>
          <w:tcPr>
            <w:tcW w:w="2043" w:type="dxa"/>
            <w:tcBorders>
              <w:bottom w:val="single" w:sz="4" w:space="0" w:color="auto"/>
            </w:tcBorders>
          </w:tcPr>
          <w:p w14:paraId="203DF4A6" w14:textId="77777777" w:rsidR="008B05E7" w:rsidRPr="00F2217F" w:rsidRDefault="008B05E7" w:rsidP="006A2F97">
            <w:pPr>
              <w:pStyle w:val="ListParagraph"/>
              <w:ind w:leftChars="0" w:left="2" w:hanging="2"/>
              <w:jc w:val="center"/>
              <w:rPr>
                <w:rFonts w:ascii="Times New Roman" w:hAnsi="Times New Roman" w:cs="Times New Roman"/>
                <w:b/>
                <w:bCs/>
                <w:sz w:val="20"/>
                <w:szCs w:val="20"/>
              </w:rPr>
            </w:pPr>
            <w:r w:rsidRPr="00F2217F">
              <w:rPr>
                <w:rFonts w:ascii="Times New Roman" w:hAnsi="Times New Roman" w:cs="Times New Roman"/>
                <w:b/>
                <w:bCs/>
                <w:sz w:val="20"/>
                <w:szCs w:val="20"/>
              </w:rPr>
              <w:t>La Nina</w:t>
            </w:r>
          </w:p>
        </w:tc>
        <w:tc>
          <w:tcPr>
            <w:tcW w:w="2057" w:type="dxa"/>
            <w:tcBorders>
              <w:bottom w:val="single" w:sz="4" w:space="0" w:color="auto"/>
            </w:tcBorders>
          </w:tcPr>
          <w:p w14:paraId="03DF4918"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-0.5 to -1</w:t>
            </w:r>
          </w:p>
        </w:tc>
        <w:tc>
          <w:tcPr>
            <w:tcW w:w="2115" w:type="dxa"/>
            <w:tcBorders>
              <w:bottom w:val="single" w:sz="4" w:space="0" w:color="auto"/>
            </w:tcBorders>
          </w:tcPr>
          <w:p w14:paraId="2803C775"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-1 to -1.5</w:t>
            </w:r>
          </w:p>
        </w:tc>
        <w:tc>
          <w:tcPr>
            <w:tcW w:w="2074" w:type="dxa"/>
            <w:tcBorders>
              <w:bottom w:val="single" w:sz="4" w:space="0" w:color="auto"/>
            </w:tcBorders>
          </w:tcPr>
          <w:p w14:paraId="34078DA6" w14:textId="77777777" w:rsidR="008B05E7" w:rsidRPr="00F2217F" w:rsidRDefault="008B05E7" w:rsidP="006A2F97">
            <w:pPr>
              <w:pStyle w:val="ListParagraph"/>
              <w:ind w:leftChars="0" w:left="2" w:hanging="2"/>
              <w:jc w:val="center"/>
              <w:rPr>
                <w:rFonts w:ascii="Times New Roman" w:hAnsi="Times New Roman" w:cs="Times New Roman"/>
                <w:sz w:val="20"/>
                <w:szCs w:val="20"/>
              </w:rPr>
            </w:pPr>
            <w:r w:rsidRPr="00F2217F">
              <w:rPr>
                <w:rFonts w:ascii="Times New Roman" w:hAnsi="Times New Roman" w:cs="Times New Roman"/>
                <w:sz w:val="20"/>
                <w:szCs w:val="20"/>
              </w:rPr>
              <w:t>&lt;-1.5</w:t>
            </w:r>
          </w:p>
        </w:tc>
      </w:tr>
    </w:tbl>
    <w:p w14:paraId="3124A738" w14:textId="77777777" w:rsidR="008B05E7" w:rsidRPr="00F2217F" w:rsidRDefault="008B05E7" w:rsidP="006A2F97">
      <w:pPr>
        <w:pStyle w:val="ListParagraph"/>
        <w:spacing w:after="0" w:line="240" w:lineRule="auto"/>
        <w:ind w:leftChars="0" w:left="2" w:hanging="2"/>
        <w:jc w:val="center"/>
        <w:rPr>
          <w:rFonts w:ascii="Times New Roman" w:hAnsi="Times New Roman" w:cs="Times New Roman"/>
          <w:sz w:val="24"/>
          <w:szCs w:val="24"/>
        </w:rPr>
      </w:pPr>
    </w:p>
    <w:p w14:paraId="662FD88C" w14:textId="1EC72282" w:rsidR="008B05E7" w:rsidRPr="00F2217F" w:rsidRDefault="00F515E0"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This index is important to define the ENSO phase (E</w:t>
      </w:r>
      <w:r w:rsidR="00F2217F" w:rsidRPr="00F2217F">
        <w:rPr>
          <w:rFonts w:ascii="Times New Roman" w:hAnsi="Times New Roman" w:cs="Times New Roman"/>
          <w:sz w:val="24"/>
          <w:szCs w:val="24"/>
        </w:rPr>
        <w:t>l</w:t>
      </w:r>
      <w:r w:rsidR="008B05E7" w:rsidRPr="00F2217F">
        <w:rPr>
          <w:rFonts w:ascii="Times New Roman" w:hAnsi="Times New Roman" w:cs="Times New Roman"/>
          <w:sz w:val="24"/>
          <w:szCs w:val="24"/>
        </w:rPr>
        <w:t xml:space="preserve"> Nino; La Nina; normal) and the magnitude (Low; Moderate; High). Then, </w:t>
      </w:r>
      <w:r w:rsidR="00D026C1" w:rsidRPr="00F2217F">
        <w:rPr>
          <w:rFonts w:ascii="Times New Roman" w:hAnsi="Times New Roman" w:cs="Times New Roman"/>
          <w:sz w:val="24"/>
          <w:szCs w:val="24"/>
        </w:rPr>
        <w:t xml:space="preserve">it </w:t>
      </w:r>
      <w:r w:rsidR="008B05E7" w:rsidRPr="00F2217F">
        <w:rPr>
          <w:rFonts w:ascii="Times New Roman" w:hAnsi="Times New Roman" w:cs="Times New Roman"/>
          <w:sz w:val="24"/>
          <w:szCs w:val="24"/>
        </w:rPr>
        <w:t>can analyze the spatial</w:t>
      </w:r>
      <w:r w:rsidR="00F2217F" w:rsidRPr="00F2217F">
        <w:rPr>
          <w:rFonts w:ascii="Times New Roman" w:hAnsi="Times New Roman" w:cs="Times New Roman"/>
          <w:sz w:val="24"/>
          <w:szCs w:val="24"/>
        </w:rPr>
        <w:t>-</w:t>
      </w:r>
      <w:r w:rsidR="008B05E7" w:rsidRPr="00F2217F">
        <w:rPr>
          <w:rFonts w:ascii="Times New Roman" w:hAnsi="Times New Roman" w:cs="Times New Roman"/>
          <w:sz w:val="24"/>
          <w:szCs w:val="24"/>
        </w:rPr>
        <w:t>temporal condition of forest fire in every phase and magnitude of ENSO.</w:t>
      </w:r>
    </w:p>
    <w:p w14:paraId="54935E75" w14:textId="77777777"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p>
    <w:p w14:paraId="349B820D" w14:textId="77777777" w:rsidR="008B05E7" w:rsidRPr="00F2217F" w:rsidRDefault="008B05E7" w:rsidP="00F515E0">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hAnsi="Times New Roman" w:cs="Times New Roman"/>
          <w:i/>
          <w:iCs/>
          <w:sz w:val="24"/>
          <w:szCs w:val="24"/>
        </w:rPr>
        <w:t>FIRMS MODIS Active Fire</w:t>
      </w:r>
    </w:p>
    <w:p w14:paraId="4C6D4D0A" w14:textId="77777777" w:rsidR="00F515E0" w:rsidRDefault="00F515E0" w:rsidP="006A2F97">
      <w:pPr>
        <w:pStyle w:val="ListParagraph"/>
        <w:spacing w:after="0" w:line="240" w:lineRule="auto"/>
        <w:ind w:leftChars="0" w:left="2" w:hanging="2"/>
        <w:jc w:val="both"/>
        <w:rPr>
          <w:rFonts w:ascii="Times New Roman" w:hAnsi="Times New Roman" w:cs="Times New Roman"/>
          <w:sz w:val="24"/>
          <w:szCs w:val="24"/>
        </w:rPr>
      </w:pPr>
    </w:p>
    <w:p w14:paraId="4CD8F481" w14:textId="58839EBB"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The active fire data is gained from satellite MODIS. </w:t>
      </w:r>
      <w:r w:rsidR="00D026C1" w:rsidRPr="00F2217F">
        <w:rPr>
          <w:rFonts w:ascii="Times New Roman" w:hAnsi="Times New Roman" w:cs="Times New Roman"/>
          <w:sz w:val="24"/>
          <w:szCs w:val="24"/>
        </w:rPr>
        <w:t xml:space="preserve">This </w:t>
      </w:r>
      <w:r w:rsidRPr="00F2217F">
        <w:rPr>
          <w:rFonts w:ascii="Times New Roman" w:hAnsi="Times New Roman" w:cs="Times New Roman"/>
          <w:sz w:val="24"/>
          <w:szCs w:val="24"/>
        </w:rPr>
        <w:t>use</w:t>
      </w:r>
      <w:r w:rsidR="00D026C1" w:rsidRPr="00F2217F">
        <w:rPr>
          <w:rFonts w:ascii="Times New Roman" w:hAnsi="Times New Roman" w:cs="Times New Roman"/>
          <w:sz w:val="24"/>
          <w:szCs w:val="24"/>
        </w:rPr>
        <w:t>s</w:t>
      </w:r>
      <w:r w:rsidRPr="00F2217F">
        <w:rPr>
          <w:rFonts w:ascii="Times New Roman" w:hAnsi="Times New Roman" w:cs="Times New Roman"/>
          <w:sz w:val="24"/>
          <w:szCs w:val="24"/>
        </w:rPr>
        <w:t xml:space="preserve"> the MODIS Collection 6 (standard processing) MCD14ML from Fire Information for Resource Management System </w:t>
      </w:r>
      <w:sdt>
        <w:sdtPr>
          <w:rPr>
            <w:rFonts w:ascii="Times New Roman" w:hAnsi="Times New Roman" w:cs="Times New Roman"/>
            <w:sz w:val="24"/>
            <w:szCs w:val="24"/>
          </w:rPr>
          <w:id w:val="1588660846"/>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NAS21 \l 1033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(FIRMS, 2021)</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The MODIS itself is a daily dataset with </w:t>
      </w:r>
      <w:r w:rsidR="00F2217F" w:rsidRPr="00F2217F">
        <w:rPr>
          <w:rFonts w:ascii="Times New Roman" w:hAnsi="Times New Roman" w:cs="Times New Roman"/>
          <w:sz w:val="24"/>
          <w:szCs w:val="24"/>
        </w:rPr>
        <w:t xml:space="preserve">a </w:t>
      </w:r>
      <w:r w:rsidRPr="00F2217F">
        <w:rPr>
          <w:rFonts w:ascii="Times New Roman" w:hAnsi="Times New Roman" w:cs="Times New Roman"/>
          <w:sz w:val="24"/>
          <w:szCs w:val="24"/>
        </w:rPr>
        <w:t xml:space="preserve">resolution </w:t>
      </w:r>
      <w:r w:rsidR="00F2217F" w:rsidRPr="00F2217F">
        <w:rPr>
          <w:rFonts w:ascii="Times New Roman" w:hAnsi="Times New Roman" w:cs="Times New Roman"/>
          <w:sz w:val="24"/>
          <w:szCs w:val="24"/>
        </w:rPr>
        <w:t xml:space="preserve">of </w:t>
      </w:r>
      <w:r w:rsidRPr="00F2217F">
        <w:rPr>
          <w:rFonts w:ascii="Times New Roman" w:hAnsi="Times New Roman" w:cs="Times New Roman"/>
          <w:sz w:val="24"/>
          <w:szCs w:val="24"/>
        </w:rPr>
        <w:t>1-kilomet</w:t>
      </w:r>
      <w:r w:rsidR="00F2217F" w:rsidRPr="00F2217F">
        <w:rPr>
          <w:rFonts w:ascii="Times New Roman" w:hAnsi="Times New Roman" w:cs="Times New Roman"/>
          <w:sz w:val="24"/>
          <w:szCs w:val="24"/>
        </w:rPr>
        <w:t>re</w:t>
      </w:r>
      <w:r w:rsidRPr="00F2217F">
        <w:rPr>
          <w:rFonts w:ascii="Times New Roman" w:hAnsi="Times New Roman" w:cs="Times New Roman"/>
          <w:sz w:val="24"/>
          <w:szCs w:val="24"/>
        </w:rPr>
        <w:t xml:space="preserve"> pixel starting from 2001 to 2020 but </w:t>
      </w:r>
      <w:r w:rsidR="00D026C1" w:rsidRPr="00F2217F">
        <w:rPr>
          <w:rFonts w:ascii="Times New Roman" w:hAnsi="Times New Roman" w:cs="Times New Roman"/>
          <w:sz w:val="24"/>
          <w:szCs w:val="24"/>
        </w:rPr>
        <w:t xml:space="preserve">it </w:t>
      </w:r>
      <w:r w:rsidRPr="00F2217F">
        <w:rPr>
          <w:rFonts w:ascii="Times New Roman" w:hAnsi="Times New Roman" w:cs="Times New Roman"/>
          <w:sz w:val="24"/>
          <w:szCs w:val="24"/>
        </w:rPr>
        <w:t>can</w:t>
      </w:r>
      <w:r w:rsidR="00D026C1" w:rsidRPr="00F2217F">
        <w:rPr>
          <w:rFonts w:ascii="Times New Roman" w:hAnsi="Times New Roman" w:cs="Times New Roman"/>
          <w:sz w:val="24"/>
          <w:szCs w:val="24"/>
        </w:rPr>
        <w:t xml:space="preserve"> be</w:t>
      </w:r>
      <w:r w:rsidRPr="00F2217F">
        <w:rPr>
          <w:rFonts w:ascii="Times New Roman" w:hAnsi="Times New Roman" w:cs="Times New Roman"/>
          <w:sz w:val="24"/>
          <w:szCs w:val="24"/>
        </w:rPr>
        <w:t xml:space="preserve"> generate</w:t>
      </w:r>
      <w:r w:rsidR="00D026C1" w:rsidRPr="00F2217F">
        <w:rPr>
          <w:rFonts w:ascii="Times New Roman" w:hAnsi="Times New Roman" w:cs="Times New Roman"/>
          <w:sz w:val="24"/>
          <w:szCs w:val="24"/>
        </w:rPr>
        <w:t>d</w:t>
      </w:r>
      <w:r w:rsidRPr="00F2217F">
        <w:rPr>
          <w:rFonts w:ascii="Times New Roman" w:hAnsi="Times New Roman" w:cs="Times New Roman"/>
          <w:sz w:val="24"/>
          <w:szCs w:val="24"/>
        </w:rPr>
        <w:t xml:space="preserve"> into monthly forest fires.</w:t>
      </w:r>
    </w:p>
    <w:p w14:paraId="3A28D327" w14:textId="4B81784F"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lastRenderedPageBreak/>
        <w:t>Due to the property of MODIS, there are some limitations of this satellite to capture the small scale/local fire. Th</w:t>
      </w:r>
      <w:r w:rsidR="0021640B">
        <w:rPr>
          <w:rFonts w:ascii="Times New Roman" w:hAnsi="Times New Roman" w:cs="Times New Roman"/>
          <w:sz w:val="24"/>
          <w:szCs w:val="24"/>
        </w:rPr>
        <w:t>ere are</w:t>
      </w:r>
      <w:r w:rsidRPr="00F2217F">
        <w:rPr>
          <w:rFonts w:ascii="Times New Roman" w:hAnsi="Times New Roman" w:cs="Times New Roman"/>
          <w:sz w:val="24"/>
          <w:szCs w:val="24"/>
        </w:rPr>
        <w:t xml:space="preserve"> also factors from the cloud cover, tree canopy and heavy smoke. </w:t>
      </w:r>
      <w:r w:rsidR="0021640B">
        <w:rPr>
          <w:rFonts w:ascii="Times New Roman" w:hAnsi="Times New Roman" w:cs="Times New Roman"/>
          <w:sz w:val="24"/>
          <w:szCs w:val="24"/>
        </w:rPr>
        <w:t>However</w:t>
      </w:r>
      <w:r w:rsidRPr="00F2217F">
        <w:rPr>
          <w:rFonts w:ascii="Times New Roman" w:hAnsi="Times New Roman" w:cs="Times New Roman"/>
          <w:sz w:val="24"/>
          <w:szCs w:val="24"/>
        </w:rPr>
        <w:t>, th</w:t>
      </w:r>
      <w:r w:rsidR="0021640B">
        <w:rPr>
          <w:rFonts w:ascii="Times New Roman" w:hAnsi="Times New Roman" w:cs="Times New Roman"/>
          <w:sz w:val="24"/>
          <w:szCs w:val="24"/>
        </w:rPr>
        <w:t>e MODIS data</w:t>
      </w:r>
      <w:r w:rsidRPr="00F2217F">
        <w:rPr>
          <w:rFonts w:ascii="Times New Roman" w:hAnsi="Times New Roman" w:cs="Times New Roman"/>
          <w:sz w:val="24"/>
          <w:szCs w:val="24"/>
        </w:rPr>
        <w:t xml:space="preserve"> information is adequate to capture the regional scale active fire distribution.</w:t>
      </w:r>
    </w:p>
    <w:p w14:paraId="4B395449" w14:textId="7C19BBDB" w:rsidR="008B05E7" w:rsidRPr="00F2217F" w:rsidRDefault="0021640B"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5E7" w:rsidRPr="00F2217F">
        <w:rPr>
          <w:rFonts w:ascii="Times New Roman" w:hAnsi="Times New Roman" w:cs="Times New Roman"/>
          <w:sz w:val="24"/>
          <w:szCs w:val="24"/>
        </w:rPr>
        <w:t>To reduce the potential false alarm, th</w:t>
      </w:r>
      <w:r w:rsidR="00A02152">
        <w:rPr>
          <w:rFonts w:ascii="Times New Roman" w:hAnsi="Times New Roman" w:cs="Times New Roman"/>
          <w:sz w:val="24"/>
          <w:szCs w:val="24"/>
        </w:rPr>
        <w:t xml:space="preserve">is study </w:t>
      </w:r>
      <w:r w:rsidR="008B05E7" w:rsidRPr="00F2217F">
        <w:rPr>
          <w:rFonts w:ascii="Times New Roman" w:hAnsi="Times New Roman" w:cs="Times New Roman"/>
          <w:sz w:val="24"/>
          <w:szCs w:val="24"/>
        </w:rPr>
        <w:t xml:space="preserve">plot only the </w:t>
      </w:r>
      <w:r w:rsidR="00A02152">
        <w:rPr>
          <w:rFonts w:ascii="Times New Roman" w:hAnsi="Times New Roman" w:cs="Times New Roman"/>
          <w:sz w:val="24"/>
          <w:szCs w:val="24"/>
        </w:rPr>
        <w:t>hotspots with</w:t>
      </w:r>
      <w:r w:rsidR="008B05E7" w:rsidRPr="00F2217F">
        <w:rPr>
          <w:rFonts w:ascii="Times New Roman" w:hAnsi="Times New Roman" w:cs="Times New Roman"/>
          <w:sz w:val="24"/>
          <w:szCs w:val="24"/>
        </w:rPr>
        <w:t xml:space="preserve"> high-confidence of fire. This confidence scale </w:t>
      </w:r>
      <w:r w:rsidR="00A02152">
        <w:rPr>
          <w:rFonts w:ascii="Times New Roman" w:hAnsi="Times New Roman" w:cs="Times New Roman"/>
          <w:sz w:val="24"/>
          <w:szCs w:val="24"/>
        </w:rPr>
        <w:t xml:space="preserve">is set at </w:t>
      </w:r>
      <w:r w:rsidR="008B05E7" w:rsidRPr="00F2217F">
        <w:rPr>
          <w:rFonts w:ascii="Times New Roman" w:hAnsi="Times New Roman" w:cs="Times New Roman"/>
          <w:sz w:val="24"/>
          <w:szCs w:val="24"/>
        </w:rPr>
        <w:t>more than 80%</w:t>
      </w:r>
      <w:r w:rsidR="00A02152">
        <w:rPr>
          <w:rFonts w:ascii="Times New Roman" w:hAnsi="Times New Roman" w:cs="Times New Roman"/>
          <w:sz w:val="24"/>
          <w:szCs w:val="24"/>
        </w:rPr>
        <w:t xml:space="preserve"> confidence</w:t>
      </w:r>
      <w:r w:rsidR="008B05E7" w:rsidRPr="00F2217F">
        <w:rPr>
          <w:rFonts w:ascii="Times New Roman" w:hAnsi="Times New Roman" w:cs="Times New Roman"/>
          <w:sz w:val="24"/>
          <w:szCs w:val="24"/>
        </w:rPr>
        <w:t xml:space="preserve">. </w:t>
      </w:r>
      <w:r w:rsidR="00D026C1" w:rsidRPr="00F2217F">
        <w:rPr>
          <w:rFonts w:ascii="Times New Roman" w:hAnsi="Times New Roman" w:cs="Times New Roman"/>
          <w:sz w:val="24"/>
          <w:szCs w:val="24"/>
        </w:rPr>
        <w:t xml:space="preserve">Then, the area </w:t>
      </w:r>
      <w:r w:rsidR="008B05E7" w:rsidRPr="00F2217F">
        <w:rPr>
          <w:rFonts w:ascii="Times New Roman" w:hAnsi="Times New Roman" w:cs="Times New Roman"/>
          <w:sz w:val="24"/>
          <w:szCs w:val="24"/>
        </w:rPr>
        <w:t>also will</w:t>
      </w:r>
      <w:r w:rsidR="00D026C1" w:rsidRPr="00F2217F">
        <w:rPr>
          <w:rFonts w:ascii="Times New Roman" w:hAnsi="Times New Roman" w:cs="Times New Roman"/>
          <w:sz w:val="24"/>
          <w:szCs w:val="24"/>
        </w:rPr>
        <w:t xml:space="preserve"> be</w:t>
      </w:r>
      <w:r w:rsidR="008B05E7" w:rsidRPr="00F2217F">
        <w:rPr>
          <w:rFonts w:ascii="Times New Roman" w:hAnsi="Times New Roman" w:cs="Times New Roman"/>
          <w:sz w:val="24"/>
          <w:szCs w:val="24"/>
        </w:rPr>
        <w:t xml:space="preserve"> classif</w:t>
      </w:r>
      <w:r w:rsidR="00D026C1" w:rsidRPr="00F2217F">
        <w:rPr>
          <w:rFonts w:ascii="Times New Roman" w:hAnsi="Times New Roman" w:cs="Times New Roman"/>
          <w:sz w:val="24"/>
          <w:szCs w:val="24"/>
        </w:rPr>
        <w:t>ied</w:t>
      </w:r>
      <w:r w:rsidR="008B05E7" w:rsidRPr="00F2217F">
        <w:rPr>
          <w:rFonts w:ascii="Times New Roman" w:hAnsi="Times New Roman" w:cs="Times New Roman"/>
          <w:sz w:val="24"/>
          <w:szCs w:val="24"/>
        </w:rPr>
        <w:t xml:space="preserve"> as three different types of land, primary intact forest; primary forest with tree loss (degraded forest); outside primary forest/deforested. This will give more detail of forest fire occurrence.</w:t>
      </w:r>
    </w:p>
    <w:p w14:paraId="71635B8B" w14:textId="77777777" w:rsidR="008B05E7" w:rsidRPr="00F2217F" w:rsidRDefault="008B05E7" w:rsidP="006A2F97">
      <w:pPr>
        <w:pStyle w:val="ListParagraph"/>
        <w:spacing w:after="0" w:line="240" w:lineRule="auto"/>
        <w:ind w:leftChars="0" w:left="2" w:hanging="2"/>
        <w:jc w:val="both"/>
        <w:rPr>
          <w:rFonts w:ascii="Times New Roman" w:hAnsi="Times New Roman" w:cs="Times New Roman"/>
          <w:sz w:val="24"/>
          <w:szCs w:val="24"/>
        </w:rPr>
      </w:pPr>
    </w:p>
    <w:p w14:paraId="40B3CC04" w14:textId="77777777" w:rsidR="008B05E7" w:rsidRPr="00F2217F" w:rsidRDefault="008B05E7" w:rsidP="00A02152">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eastAsia="Times New Roman" w:hAnsi="Times New Roman" w:cs="Times New Roman"/>
          <w:i/>
          <w:iCs/>
          <w:color w:val="000000"/>
          <w:sz w:val="24"/>
          <w:szCs w:val="24"/>
          <w:lang w:val="en-ID"/>
        </w:rPr>
        <w:t>Forest loss distribution</w:t>
      </w:r>
    </w:p>
    <w:p w14:paraId="50E19740" w14:textId="77777777" w:rsidR="00A02152" w:rsidRDefault="00A02152" w:rsidP="006A2F97">
      <w:pPr>
        <w:spacing w:after="0" w:line="240" w:lineRule="auto"/>
        <w:ind w:leftChars="0" w:left="2" w:hanging="2"/>
        <w:jc w:val="both"/>
        <w:rPr>
          <w:rFonts w:ascii="Times New Roman" w:eastAsia="Times New Roman" w:hAnsi="Times New Roman" w:cs="Times New Roman"/>
          <w:color w:val="000000"/>
          <w:sz w:val="24"/>
          <w:szCs w:val="24"/>
          <w:lang w:val="en-ID"/>
        </w:rPr>
      </w:pPr>
    </w:p>
    <w:p w14:paraId="4CA686D3" w14:textId="7AE5D268" w:rsidR="008B05E7" w:rsidRDefault="008B05E7" w:rsidP="006A2F97">
      <w:pPr>
        <w:spacing w:after="0" w:line="240" w:lineRule="auto"/>
        <w:ind w:leftChars="0" w:left="2" w:hanging="2"/>
        <w:jc w:val="both"/>
        <w:rPr>
          <w:rFonts w:ascii="Times New Roman" w:eastAsia="Times New Roman" w:hAnsi="Times New Roman" w:cs="Times New Roman"/>
          <w:color w:val="000000"/>
          <w:sz w:val="24"/>
          <w:szCs w:val="24"/>
          <w:lang w:val="en-ID"/>
        </w:rPr>
      </w:pPr>
      <w:r w:rsidRPr="00F2217F">
        <w:rPr>
          <w:rFonts w:ascii="Times New Roman" w:eastAsia="Times New Roman" w:hAnsi="Times New Roman" w:cs="Times New Roman"/>
          <w:color w:val="000000"/>
          <w:sz w:val="24"/>
          <w:szCs w:val="24"/>
          <w:lang w:val="en-ID"/>
        </w:rPr>
        <w:t xml:space="preserve">The fire might occur outside the area of </w:t>
      </w:r>
      <w:r w:rsidR="00F2217F" w:rsidRPr="00F2217F">
        <w:rPr>
          <w:rFonts w:ascii="Times New Roman" w:eastAsia="Times New Roman" w:hAnsi="Times New Roman" w:cs="Times New Roman"/>
          <w:color w:val="000000"/>
          <w:sz w:val="24"/>
          <w:szCs w:val="24"/>
          <w:lang w:val="en-ID"/>
        </w:rPr>
        <w:t xml:space="preserve">the </w:t>
      </w:r>
      <w:r w:rsidRPr="00F2217F">
        <w:rPr>
          <w:rFonts w:ascii="Times New Roman" w:eastAsia="Times New Roman" w:hAnsi="Times New Roman" w:cs="Times New Roman"/>
          <w:color w:val="000000"/>
          <w:sz w:val="24"/>
          <w:szCs w:val="24"/>
          <w:lang w:val="en-ID"/>
        </w:rPr>
        <w:t xml:space="preserve">primary forest, this can lead to </w:t>
      </w:r>
      <w:r w:rsidR="00F2217F" w:rsidRPr="00F2217F">
        <w:rPr>
          <w:rFonts w:ascii="Times New Roman" w:eastAsia="Times New Roman" w:hAnsi="Times New Roman" w:cs="Times New Roman"/>
          <w:color w:val="000000"/>
          <w:sz w:val="24"/>
          <w:szCs w:val="24"/>
          <w:lang w:val="en-ID"/>
        </w:rPr>
        <w:t xml:space="preserve">a </w:t>
      </w:r>
      <w:r w:rsidRPr="00F2217F">
        <w:rPr>
          <w:rFonts w:ascii="Times New Roman" w:eastAsia="Times New Roman" w:hAnsi="Times New Roman" w:cs="Times New Roman"/>
          <w:color w:val="000000"/>
          <w:sz w:val="24"/>
          <w:szCs w:val="24"/>
          <w:lang w:val="en-ID"/>
        </w:rPr>
        <w:t xml:space="preserve">misinterpretation of </w:t>
      </w:r>
      <w:r w:rsidR="00F2217F" w:rsidRPr="00F2217F">
        <w:rPr>
          <w:rFonts w:ascii="Times New Roman" w:eastAsia="Times New Roman" w:hAnsi="Times New Roman" w:cs="Times New Roman"/>
          <w:color w:val="000000"/>
          <w:sz w:val="24"/>
          <w:szCs w:val="24"/>
          <w:lang w:val="en-ID"/>
        </w:rPr>
        <w:t xml:space="preserve">the </w:t>
      </w:r>
      <w:r w:rsidRPr="00F2217F">
        <w:rPr>
          <w:rFonts w:ascii="Times New Roman" w:eastAsia="Times New Roman" w:hAnsi="Times New Roman" w:cs="Times New Roman"/>
          <w:color w:val="000000"/>
          <w:sz w:val="24"/>
          <w:szCs w:val="24"/>
          <w:lang w:val="en-ID"/>
        </w:rPr>
        <w:t xml:space="preserve">forest fire. Moreover, the primary forest cover changes every year. Here, </w:t>
      </w:r>
      <w:r w:rsidR="00D026C1" w:rsidRPr="00F2217F">
        <w:rPr>
          <w:rFonts w:ascii="Times New Roman" w:eastAsia="Times New Roman" w:hAnsi="Times New Roman" w:cs="Times New Roman"/>
          <w:color w:val="000000"/>
          <w:sz w:val="24"/>
          <w:szCs w:val="24"/>
          <w:lang w:val="en-ID"/>
        </w:rPr>
        <w:t xml:space="preserve">the research </w:t>
      </w:r>
      <w:r w:rsidRPr="00F2217F">
        <w:rPr>
          <w:rFonts w:ascii="Times New Roman" w:eastAsia="Times New Roman" w:hAnsi="Times New Roman" w:cs="Times New Roman"/>
          <w:color w:val="000000"/>
          <w:sz w:val="24"/>
          <w:szCs w:val="24"/>
          <w:lang w:val="en-ID"/>
        </w:rPr>
        <w:t>use</w:t>
      </w:r>
      <w:r w:rsidR="00F2217F" w:rsidRPr="00F2217F">
        <w:rPr>
          <w:rFonts w:ascii="Times New Roman" w:eastAsia="Times New Roman" w:hAnsi="Times New Roman" w:cs="Times New Roman"/>
          <w:color w:val="000000"/>
          <w:sz w:val="24"/>
          <w:szCs w:val="24"/>
          <w:lang w:val="en-ID"/>
        </w:rPr>
        <w:t>s</w:t>
      </w:r>
      <w:r w:rsidRPr="00F2217F">
        <w:rPr>
          <w:rFonts w:ascii="Times New Roman" w:eastAsia="Times New Roman" w:hAnsi="Times New Roman" w:cs="Times New Roman"/>
          <w:color w:val="000000"/>
          <w:sz w:val="24"/>
          <w:szCs w:val="24"/>
          <w:lang w:val="en-ID"/>
        </w:rPr>
        <w:t xml:space="preserve"> primary forest cover loss in Indonesia </w:t>
      </w:r>
      <w:r w:rsidR="00F2217F" w:rsidRPr="00F2217F">
        <w:rPr>
          <w:rFonts w:ascii="Times New Roman" w:eastAsia="Times New Roman" w:hAnsi="Times New Roman" w:cs="Times New Roman"/>
          <w:color w:val="000000"/>
          <w:sz w:val="24"/>
          <w:szCs w:val="24"/>
          <w:lang w:val="en-ID"/>
        </w:rPr>
        <w:t xml:space="preserve">from </w:t>
      </w:r>
      <w:r w:rsidRPr="00F2217F">
        <w:rPr>
          <w:rFonts w:ascii="Times New Roman" w:eastAsia="Times New Roman" w:hAnsi="Times New Roman" w:cs="Times New Roman"/>
          <w:color w:val="000000"/>
          <w:sz w:val="24"/>
          <w:szCs w:val="24"/>
          <w:lang w:val="en-ID"/>
        </w:rPr>
        <w:t xml:space="preserve">2000 to 2012 </w:t>
      </w:r>
      <w:r w:rsidR="007B4A7C" w:rsidRPr="00F2217F">
        <w:rPr>
          <w:rFonts w:ascii="Times New Roman" w:eastAsia="Times New Roman" w:hAnsi="Times New Roman" w:cs="Times New Roman"/>
          <w:noProof/>
          <w:color w:val="000000"/>
          <w:sz w:val="24"/>
          <w:szCs w:val="24"/>
        </w:rPr>
        <w:t xml:space="preserve">(Margono </w:t>
      </w:r>
      <w:r w:rsidR="007B4A7C">
        <w:rPr>
          <w:rFonts w:ascii="Times New Roman" w:eastAsia="Times New Roman" w:hAnsi="Times New Roman" w:cs="Times New Roman"/>
          <w:noProof/>
          <w:color w:val="000000"/>
          <w:sz w:val="24"/>
          <w:szCs w:val="24"/>
        </w:rPr>
        <w:t>e</w:t>
      </w:r>
      <w:r w:rsidR="005A7686">
        <w:rPr>
          <w:rFonts w:ascii="Times New Roman" w:eastAsia="Times New Roman" w:hAnsi="Times New Roman" w:cs="Times New Roman"/>
          <w:noProof/>
          <w:color w:val="000000"/>
          <w:sz w:val="24"/>
          <w:szCs w:val="24"/>
        </w:rPr>
        <w:t>t</w:t>
      </w:r>
      <w:r w:rsidR="007B4A7C">
        <w:rPr>
          <w:rFonts w:ascii="Times New Roman" w:eastAsia="Times New Roman" w:hAnsi="Times New Roman" w:cs="Times New Roman"/>
          <w:noProof/>
          <w:color w:val="000000"/>
          <w:sz w:val="24"/>
          <w:szCs w:val="24"/>
        </w:rPr>
        <w:t xml:space="preserve"> al</w:t>
      </w:r>
      <w:r w:rsidR="005A7686">
        <w:rPr>
          <w:rFonts w:ascii="Times New Roman" w:eastAsia="Times New Roman" w:hAnsi="Times New Roman" w:cs="Times New Roman"/>
          <w:noProof/>
          <w:color w:val="000000"/>
          <w:sz w:val="24"/>
          <w:szCs w:val="24"/>
        </w:rPr>
        <w:t>.,</w:t>
      </w:r>
      <w:r w:rsidR="007B4A7C" w:rsidRPr="00F2217F">
        <w:rPr>
          <w:rFonts w:ascii="Times New Roman" w:eastAsia="Times New Roman" w:hAnsi="Times New Roman" w:cs="Times New Roman"/>
          <w:noProof/>
          <w:color w:val="000000"/>
          <w:sz w:val="24"/>
          <w:szCs w:val="24"/>
        </w:rPr>
        <w:t xml:space="preserve"> 2014)</w:t>
      </w:r>
      <w:r w:rsidRPr="00F2217F">
        <w:rPr>
          <w:rFonts w:ascii="Times New Roman" w:eastAsia="Times New Roman" w:hAnsi="Times New Roman" w:cs="Times New Roman"/>
          <w:color w:val="000000"/>
          <w:sz w:val="24"/>
          <w:szCs w:val="24"/>
          <w:lang w:val="en-ID"/>
        </w:rPr>
        <w:t xml:space="preserve"> to analyse the location of </w:t>
      </w:r>
      <w:r w:rsidR="00F2217F" w:rsidRPr="00F2217F">
        <w:rPr>
          <w:rFonts w:ascii="Times New Roman" w:eastAsia="Times New Roman" w:hAnsi="Times New Roman" w:cs="Times New Roman"/>
          <w:color w:val="000000"/>
          <w:sz w:val="24"/>
          <w:szCs w:val="24"/>
          <w:lang w:val="en-ID"/>
        </w:rPr>
        <w:t xml:space="preserve">the </w:t>
      </w:r>
      <w:r w:rsidRPr="00F2217F">
        <w:rPr>
          <w:rFonts w:ascii="Times New Roman" w:eastAsia="Times New Roman" w:hAnsi="Times New Roman" w:cs="Times New Roman"/>
          <w:color w:val="000000"/>
          <w:sz w:val="24"/>
          <w:szCs w:val="24"/>
          <w:lang w:val="en-ID"/>
        </w:rPr>
        <w:t xml:space="preserve">fire. In this dataset, </w:t>
      </w:r>
      <w:r w:rsidR="00F2217F" w:rsidRPr="00F2217F">
        <w:rPr>
          <w:rFonts w:ascii="Times New Roman" w:eastAsia="Times New Roman" w:hAnsi="Times New Roman" w:cs="Times New Roman"/>
          <w:color w:val="000000"/>
          <w:sz w:val="24"/>
          <w:szCs w:val="24"/>
          <w:lang w:val="en-ID"/>
        </w:rPr>
        <w:t xml:space="preserve">the </w:t>
      </w:r>
      <w:r w:rsidRPr="00F2217F">
        <w:rPr>
          <w:rFonts w:ascii="Times New Roman" w:eastAsia="Times New Roman" w:hAnsi="Times New Roman" w:cs="Times New Roman"/>
          <w:color w:val="000000"/>
          <w:sz w:val="24"/>
          <w:szCs w:val="24"/>
          <w:lang w:val="en-ID"/>
        </w:rPr>
        <w:t xml:space="preserve">primary forest is divided into 2, intact and degraded. </w:t>
      </w:r>
      <w:r w:rsidR="00F2217F" w:rsidRPr="00F2217F">
        <w:rPr>
          <w:rFonts w:ascii="Times New Roman" w:eastAsia="Times New Roman" w:hAnsi="Times New Roman" w:cs="Times New Roman"/>
          <w:color w:val="000000"/>
          <w:sz w:val="24"/>
          <w:szCs w:val="24"/>
          <w:lang w:val="en-ID"/>
        </w:rPr>
        <w:t>An i</w:t>
      </w:r>
      <w:r w:rsidRPr="00F2217F">
        <w:rPr>
          <w:rFonts w:ascii="Times New Roman" w:eastAsia="Times New Roman" w:hAnsi="Times New Roman" w:cs="Times New Roman"/>
          <w:color w:val="000000"/>
          <w:sz w:val="24"/>
          <w:szCs w:val="24"/>
          <w:lang w:val="en-ID"/>
        </w:rPr>
        <w:t>ntact primary forest is an area bigger than 50,000 ha without any significant human-caused disturbance and/or fragmentation</w:t>
      </w:r>
      <w:r w:rsidR="007B4A7C" w:rsidRPr="00F2217F">
        <w:rPr>
          <w:rFonts w:ascii="Times New Roman" w:eastAsia="Times New Roman" w:hAnsi="Times New Roman" w:cs="Times New Roman"/>
          <w:noProof/>
          <w:color w:val="000000"/>
          <w:sz w:val="24"/>
          <w:szCs w:val="24"/>
        </w:rPr>
        <w:t xml:space="preserve"> (Potapov et al., 2008)</w:t>
      </w:r>
      <w:r w:rsidRPr="00F2217F">
        <w:rPr>
          <w:rFonts w:ascii="Times New Roman" w:eastAsia="Times New Roman" w:hAnsi="Times New Roman" w:cs="Times New Roman"/>
          <w:color w:val="000000"/>
          <w:sz w:val="24"/>
          <w:szCs w:val="24"/>
          <w:lang w:val="en-ID"/>
        </w:rPr>
        <w:t xml:space="preserve">. </w:t>
      </w:r>
      <w:r w:rsidR="00F2217F" w:rsidRPr="00F2217F">
        <w:rPr>
          <w:rFonts w:ascii="Times New Roman" w:eastAsia="Times New Roman" w:hAnsi="Times New Roman" w:cs="Times New Roman"/>
          <w:color w:val="000000"/>
          <w:sz w:val="24"/>
          <w:szCs w:val="24"/>
          <w:lang w:val="en-ID"/>
        </w:rPr>
        <w:t>A d</w:t>
      </w:r>
      <w:r w:rsidRPr="00F2217F">
        <w:rPr>
          <w:rFonts w:ascii="Times New Roman" w:eastAsia="Times New Roman" w:hAnsi="Times New Roman" w:cs="Times New Roman"/>
          <w:color w:val="000000"/>
          <w:sz w:val="24"/>
          <w:szCs w:val="24"/>
          <w:lang w:val="en-ID"/>
        </w:rPr>
        <w:t xml:space="preserve">egraded primary forest is </w:t>
      </w:r>
      <w:r w:rsidR="00F2217F" w:rsidRPr="00F2217F">
        <w:rPr>
          <w:rFonts w:ascii="Times New Roman" w:eastAsia="Times New Roman" w:hAnsi="Times New Roman" w:cs="Times New Roman"/>
          <w:color w:val="000000"/>
          <w:sz w:val="24"/>
          <w:szCs w:val="24"/>
          <w:lang w:val="en-ID"/>
        </w:rPr>
        <w:t xml:space="preserve">a </w:t>
      </w:r>
      <w:r w:rsidRPr="00F2217F">
        <w:rPr>
          <w:rFonts w:ascii="Times New Roman" w:eastAsia="Times New Roman" w:hAnsi="Times New Roman" w:cs="Times New Roman"/>
          <w:color w:val="000000"/>
          <w:sz w:val="24"/>
          <w:szCs w:val="24"/>
          <w:lang w:val="en-ID"/>
        </w:rPr>
        <w:t>primary forest that has partial canopy loss and altered forest composition and structure</w:t>
      </w:r>
      <w:r w:rsidR="007B4A7C" w:rsidRPr="00F2217F">
        <w:rPr>
          <w:rFonts w:ascii="Times New Roman" w:eastAsia="Times New Roman" w:hAnsi="Times New Roman" w:cs="Times New Roman"/>
          <w:noProof/>
          <w:color w:val="000000"/>
          <w:sz w:val="24"/>
          <w:szCs w:val="24"/>
        </w:rPr>
        <w:t xml:space="preserve"> (Margono et al., 2012)</w:t>
      </w:r>
      <w:r w:rsidRPr="00F2217F">
        <w:rPr>
          <w:rFonts w:ascii="Times New Roman" w:eastAsia="Times New Roman" w:hAnsi="Times New Roman" w:cs="Times New Roman"/>
          <w:color w:val="000000"/>
          <w:sz w:val="24"/>
          <w:szCs w:val="24"/>
          <w:lang w:val="en-ID"/>
        </w:rPr>
        <w:t xml:space="preserve">. While outside forest area is defined as </w:t>
      </w:r>
      <w:r w:rsidR="00F2217F" w:rsidRPr="00F2217F">
        <w:rPr>
          <w:rFonts w:ascii="Times New Roman" w:eastAsia="Times New Roman" w:hAnsi="Times New Roman" w:cs="Times New Roman"/>
          <w:color w:val="000000"/>
          <w:sz w:val="24"/>
          <w:szCs w:val="24"/>
          <w:lang w:val="en-ID"/>
        </w:rPr>
        <w:t xml:space="preserve">the </w:t>
      </w:r>
      <w:r w:rsidRPr="00F2217F">
        <w:rPr>
          <w:rFonts w:ascii="Times New Roman" w:eastAsia="Times New Roman" w:hAnsi="Times New Roman" w:cs="Times New Roman"/>
          <w:color w:val="000000"/>
          <w:sz w:val="24"/>
          <w:szCs w:val="24"/>
          <w:lang w:val="en-ID"/>
        </w:rPr>
        <w:t>non-forest area o</w:t>
      </w:r>
      <w:r w:rsidR="00F2217F" w:rsidRPr="00F2217F">
        <w:rPr>
          <w:rFonts w:ascii="Times New Roman" w:eastAsia="Times New Roman" w:hAnsi="Times New Roman" w:cs="Times New Roman"/>
          <w:color w:val="000000"/>
          <w:sz w:val="24"/>
          <w:szCs w:val="24"/>
          <w:lang w:val="en-ID"/>
        </w:rPr>
        <w:t>f</w:t>
      </w:r>
      <w:r w:rsidRPr="00F2217F">
        <w:rPr>
          <w:rFonts w:ascii="Times New Roman" w:eastAsia="Times New Roman" w:hAnsi="Times New Roman" w:cs="Times New Roman"/>
          <w:color w:val="000000"/>
          <w:sz w:val="24"/>
          <w:szCs w:val="24"/>
          <w:lang w:val="en-ID"/>
        </w:rPr>
        <w:t xml:space="preserve"> cleared/deforested forest. Thus, they classified the area as:</w:t>
      </w:r>
    </w:p>
    <w:p w14:paraId="394EEAA9" w14:textId="77777777" w:rsidR="00A02152" w:rsidRPr="00F2217F" w:rsidRDefault="00A02152" w:rsidP="006A2F97">
      <w:pPr>
        <w:spacing w:after="0" w:line="240" w:lineRule="auto"/>
        <w:ind w:leftChars="0" w:left="2" w:hanging="2"/>
        <w:jc w:val="both"/>
        <w:rPr>
          <w:rFonts w:ascii="Times New Roman" w:eastAsia="Times New Roman" w:hAnsi="Times New Roman" w:cs="Times New Roman"/>
          <w:color w:val="000000"/>
          <w:sz w:val="24"/>
          <w:szCs w:val="24"/>
          <w:lang w:val="en-ID"/>
        </w:rPr>
      </w:pPr>
    </w:p>
    <w:p w14:paraId="2B8F3089" w14:textId="24D4C14D" w:rsidR="008B05E7" w:rsidRDefault="008B05E7" w:rsidP="006A2F97">
      <w:pPr>
        <w:spacing w:after="0" w:line="240" w:lineRule="auto"/>
        <w:ind w:leftChars="0" w:left="2" w:hanging="2"/>
        <w:jc w:val="center"/>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b/>
          <w:bCs/>
          <w:color w:val="000000"/>
          <w:sz w:val="20"/>
          <w:szCs w:val="20"/>
          <w:lang w:val="en-ID"/>
        </w:rPr>
        <w:t>Table 2.</w:t>
      </w:r>
      <w:r w:rsidRPr="00F2217F">
        <w:rPr>
          <w:rFonts w:ascii="Times New Roman" w:eastAsia="Times New Roman" w:hAnsi="Times New Roman" w:cs="Times New Roman"/>
          <w:color w:val="000000"/>
          <w:sz w:val="20"/>
          <w:szCs w:val="20"/>
          <w:lang w:val="en-ID"/>
        </w:rPr>
        <w:t xml:space="preserve"> Class of Area in Kalimantan</w:t>
      </w:r>
      <w:r w:rsidR="007B4A7C" w:rsidRPr="00F2217F">
        <w:rPr>
          <w:rFonts w:ascii="Times New Roman" w:eastAsia="Times New Roman" w:hAnsi="Times New Roman" w:cs="Times New Roman"/>
          <w:noProof/>
          <w:color w:val="000000"/>
          <w:sz w:val="20"/>
          <w:szCs w:val="20"/>
        </w:rPr>
        <w:t>)</w:t>
      </w:r>
    </w:p>
    <w:p w14:paraId="4295E063" w14:textId="77777777" w:rsidR="007B4A7C" w:rsidRPr="00F2217F" w:rsidRDefault="007B4A7C" w:rsidP="006A2F97">
      <w:pPr>
        <w:spacing w:after="0" w:line="240" w:lineRule="auto"/>
        <w:ind w:leftChars="0" w:left="2" w:hanging="2"/>
        <w:jc w:val="center"/>
        <w:rPr>
          <w:rFonts w:ascii="Times New Roman" w:eastAsia="Times New Roman" w:hAnsi="Times New Roman" w:cs="Times New Roman"/>
          <w:color w:val="000000"/>
          <w:sz w:val="20"/>
          <w:szCs w:val="20"/>
          <w:lang w:val="en-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5245"/>
      </w:tblGrid>
      <w:tr w:rsidR="008B05E7" w:rsidRPr="007B4A7C" w14:paraId="61D7673B" w14:textId="77777777" w:rsidTr="007B4A7C">
        <w:trPr>
          <w:jc w:val="center"/>
        </w:trPr>
        <w:tc>
          <w:tcPr>
            <w:tcW w:w="1624" w:type="dxa"/>
            <w:tcBorders>
              <w:top w:val="single" w:sz="4" w:space="0" w:color="auto"/>
              <w:bottom w:val="single" w:sz="4" w:space="0" w:color="auto"/>
            </w:tcBorders>
            <w:shd w:val="clear" w:color="auto" w:fill="8DB3E2" w:themeFill="text2" w:themeFillTint="66"/>
          </w:tcPr>
          <w:p w14:paraId="2F45B01E" w14:textId="77777777" w:rsidR="008B05E7" w:rsidRPr="007B4A7C" w:rsidRDefault="008B05E7" w:rsidP="006A2F97">
            <w:pPr>
              <w:ind w:leftChars="0" w:left="2" w:hanging="2"/>
              <w:jc w:val="center"/>
              <w:rPr>
                <w:rFonts w:ascii="Times New Roman" w:eastAsia="Times New Roman" w:hAnsi="Times New Roman" w:cs="Times New Roman"/>
                <w:b/>
                <w:bCs/>
                <w:color w:val="000000"/>
                <w:sz w:val="20"/>
                <w:szCs w:val="20"/>
                <w:lang w:val="en-ID"/>
              </w:rPr>
            </w:pPr>
            <w:r w:rsidRPr="007B4A7C">
              <w:rPr>
                <w:rFonts w:ascii="Times New Roman" w:eastAsia="Times New Roman" w:hAnsi="Times New Roman" w:cs="Times New Roman"/>
                <w:b/>
                <w:bCs/>
                <w:color w:val="000000"/>
                <w:sz w:val="20"/>
                <w:szCs w:val="20"/>
                <w:lang w:val="en-ID"/>
              </w:rPr>
              <w:t>Classes</w:t>
            </w:r>
          </w:p>
        </w:tc>
        <w:tc>
          <w:tcPr>
            <w:tcW w:w="5245" w:type="dxa"/>
            <w:tcBorders>
              <w:top w:val="single" w:sz="4" w:space="0" w:color="auto"/>
              <w:bottom w:val="single" w:sz="4" w:space="0" w:color="auto"/>
            </w:tcBorders>
            <w:shd w:val="clear" w:color="auto" w:fill="8DB3E2" w:themeFill="text2" w:themeFillTint="66"/>
          </w:tcPr>
          <w:p w14:paraId="1F823928" w14:textId="77777777" w:rsidR="008B05E7" w:rsidRPr="007B4A7C" w:rsidRDefault="008B05E7" w:rsidP="006A2F97">
            <w:pPr>
              <w:ind w:leftChars="0" w:left="2" w:hanging="2"/>
              <w:jc w:val="center"/>
              <w:rPr>
                <w:rFonts w:ascii="Times New Roman" w:eastAsia="Times New Roman" w:hAnsi="Times New Roman" w:cs="Times New Roman"/>
                <w:b/>
                <w:bCs/>
                <w:color w:val="000000"/>
                <w:sz w:val="20"/>
                <w:szCs w:val="20"/>
                <w:lang w:val="en-ID"/>
              </w:rPr>
            </w:pPr>
            <w:r w:rsidRPr="007B4A7C">
              <w:rPr>
                <w:rFonts w:ascii="Times New Roman" w:eastAsia="Times New Roman" w:hAnsi="Times New Roman" w:cs="Times New Roman"/>
                <w:b/>
                <w:bCs/>
                <w:color w:val="000000"/>
                <w:sz w:val="20"/>
                <w:szCs w:val="20"/>
                <w:lang w:val="en-ID"/>
              </w:rPr>
              <w:t>Area explanation</w:t>
            </w:r>
          </w:p>
        </w:tc>
      </w:tr>
      <w:tr w:rsidR="008B05E7" w:rsidRPr="007B4A7C" w14:paraId="1066BF40" w14:textId="77777777" w:rsidTr="007B4A7C">
        <w:trPr>
          <w:jc w:val="center"/>
        </w:trPr>
        <w:tc>
          <w:tcPr>
            <w:tcW w:w="1624" w:type="dxa"/>
            <w:tcBorders>
              <w:top w:val="single" w:sz="4" w:space="0" w:color="auto"/>
            </w:tcBorders>
          </w:tcPr>
          <w:p w14:paraId="1FA02903"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0</w:t>
            </w:r>
          </w:p>
        </w:tc>
        <w:tc>
          <w:tcPr>
            <w:tcW w:w="5245" w:type="dxa"/>
            <w:tcBorders>
              <w:top w:val="single" w:sz="4" w:space="0" w:color="auto"/>
            </w:tcBorders>
          </w:tcPr>
          <w:p w14:paraId="5E52251D"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Out of area study</w:t>
            </w:r>
          </w:p>
        </w:tc>
      </w:tr>
      <w:tr w:rsidR="008B05E7" w:rsidRPr="007B4A7C" w14:paraId="4AD5F7E7" w14:textId="77777777" w:rsidTr="007B4A7C">
        <w:trPr>
          <w:jc w:val="center"/>
        </w:trPr>
        <w:tc>
          <w:tcPr>
            <w:tcW w:w="1624" w:type="dxa"/>
          </w:tcPr>
          <w:p w14:paraId="50C3BB70"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w:t>
            </w:r>
          </w:p>
        </w:tc>
        <w:tc>
          <w:tcPr>
            <w:tcW w:w="5245" w:type="dxa"/>
          </w:tcPr>
          <w:p w14:paraId="7FFA9292"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No change of primary degraded forest from 2000-2012</w:t>
            </w:r>
          </w:p>
        </w:tc>
      </w:tr>
      <w:tr w:rsidR="008B05E7" w:rsidRPr="007B4A7C" w14:paraId="659E3614" w14:textId="77777777" w:rsidTr="007B4A7C">
        <w:trPr>
          <w:jc w:val="center"/>
        </w:trPr>
        <w:tc>
          <w:tcPr>
            <w:tcW w:w="1624" w:type="dxa"/>
          </w:tcPr>
          <w:p w14:paraId="0D944558"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2</w:t>
            </w:r>
          </w:p>
        </w:tc>
        <w:tc>
          <w:tcPr>
            <w:tcW w:w="5245" w:type="dxa"/>
          </w:tcPr>
          <w:p w14:paraId="0C34EE14"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No change of primary intact forest from 2000-2012</w:t>
            </w:r>
          </w:p>
        </w:tc>
      </w:tr>
      <w:tr w:rsidR="008B05E7" w:rsidRPr="007B4A7C" w14:paraId="29C23B68" w14:textId="77777777" w:rsidTr="007B4A7C">
        <w:trPr>
          <w:jc w:val="center"/>
        </w:trPr>
        <w:tc>
          <w:tcPr>
            <w:tcW w:w="1624" w:type="dxa"/>
          </w:tcPr>
          <w:p w14:paraId="018D7BAE"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3</w:t>
            </w:r>
          </w:p>
        </w:tc>
        <w:tc>
          <w:tcPr>
            <w:tcW w:w="5245" w:type="dxa"/>
          </w:tcPr>
          <w:p w14:paraId="2BCE7098"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No change of non-primary from 2000-2012</w:t>
            </w:r>
          </w:p>
        </w:tc>
      </w:tr>
      <w:tr w:rsidR="008B05E7" w:rsidRPr="007B4A7C" w14:paraId="5FBB7C82" w14:textId="77777777" w:rsidTr="007B4A7C">
        <w:trPr>
          <w:jc w:val="center"/>
        </w:trPr>
        <w:tc>
          <w:tcPr>
            <w:tcW w:w="1624" w:type="dxa"/>
          </w:tcPr>
          <w:p w14:paraId="1B6DCF00"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4</w:t>
            </w:r>
          </w:p>
        </w:tc>
        <w:tc>
          <w:tcPr>
            <w:tcW w:w="5245" w:type="dxa"/>
          </w:tcPr>
          <w:p w14:paraId="5EAAF665"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cleared 2005</w:t>
            </w:r>
          </w:p>
        </w:tc>
      </w:tr>
      <w:tr w:rsidR="008B05E7" w:rsidRPr="007B4A7C" w14:paraId="607B8928" w14:textId="77777777" w:rsidTr="007B4A7C">
        <w:trPr>
          <w:jc w:val="center"/>
        </w:trPr>
        <w:tc>
          <w:tcPr>
            <w:tcW w:w="1624" w:type="dxa"/>
          </w:tcPr>
          <w:p w14:paraId="36A47A78"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5</w:t>
            </w:r>
          </w:p>
        </w:tc>
        <w:tc>
          <w:tcPr>
            <w:tcW w:w="5245" w:type="dxa"/>
          </w:tcPr>
          <w:p w14:paraId="5EFB0F01"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cleared 2010</w:t>
            </w:r>
          </w:p>
        </w:tc>
      </w:tr>
      <w:tr w:rsidR="008B05E7" w:rsidRPr="007B4A7C" w14:paraId="54CAE72D" w14:textId="77777777" w:rsidTr="007B4A7C">
        <w:trPr>
          <w:jc w:val="center"/>
        </w:trPr>
        <w:tc>
          <w:tcPr>
            <w:tcW w:w="1624" w:type="dxa"/>
          </w:tcPr>
          <w:p w14:paraId="7E499DAB"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6</w:t>
            </w:r>
          </w:p>
        </w:tc>
        <w:tc>
          <w:tcPr>
            <w:tcW w:w="5245" w:type="dxa"/>
          </w:tcPr>
          <w:p w14:paraId="693296AA"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cleared 2012</w:t>
            </w:r>
          </w:p>
        </w:tc>
      </w:tr>
      <w:tr w:rsidR="008B05E7" w:rsidRPr="007B4A7C" w14:paraId="14D815FD" w14:textId="77777777" w:rsidTr="007B4A7C">
        <w:trPr>
          <w:jc w:val="center"/>
        </w:trPr>
        <w:tc>
          <w:tcPr>
            <w:tcW w:w="1624" w:type="dxa"/>
          </w:tcPr>
          <w:p w14:paraId="07138703"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7</w:t>
            </w:r>
          </w:p>
        </w:tc>
        <w:tc>
          <w:tcPr>
            <w:tcW w:w="5245" w:type="dxa"/>
          </w:tcPr>
          <w:p w14:paraId="132F3384"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2005</w:t>
            </w:r>
          </w:p>
        </w:tc>
      </w:tr>
      <w:tr w:rsidR="008B05E7" w:rsidRPr="007B4A7C" w14:paraId="05C2FCAD" w14:textId="77777777" w:rsidTr="007B4A7C">
        <w:trPr>
          <w:jc w:val="center"/>
        </w:trPr>
        <w:tc>
          <w:tcPr>
            <w:tcW w:w="1624" w:type="dxa"/>
          </w:tcPr>
          <w:p w14:paraId="40D045E1"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8</w:t>
            </w:r>
          </w:p>
        </w:tc>
        <w:tc>
          <w:tcPr>
            <w:tcW w:w="5245" w:type="dxa"/>
          </w:tcPr>
          <w:p w14:paraId="1115A0B5"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2010</w:t>
            </w:r>
          </w:p>
        </w:tc>
      </w:tr>
      <w:tr w:rsidR="008B05E7" w:rsidRPr="007B4A7C" w14:paraId="1E328D4E" w14:textId="77777777" w:rsidTr="007B4A7C">
        <w:trPr>
          <w:jc w:val="center"/>
        </w:trPr>
        <w:tc>
          <w:tcPr>
            <w:tcW w:w="1624" w:type="dxa"/>
          </w:tcPr>
          <w:p w14:paraId="24641FD0"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9</w:t>
            </w:r>
          </w:p>
        </w:tc>
        <w:tc>
          <w:tcPr>
            <w:tcW w:w="5245" w:type="dxa"/>
          </w:tcPr>
          <w:p w14:paraId="3025336C"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2012</w:t>
            </w:r>
          </w:p>
        </w:tc>
      </w:tr>
      <w:tr w:rsidR="008B05E7" w:rsidRPr="007B4A7C" w14:paraId="175A4C79" w14:textId="77777777" w:rsidTr="007B4A7C">
        <w:trPr>
          <w:jc w:val="center"/>
        </w:trPr>
        <w:tc>
          <w:tcPr>
            <w:tcW w:w="1624" w:type="dxa"/>
          </w:tcPr>
          <w:p w14:paraId="14639F5D"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10</w:t>
            </w:r>
          </w:p>
        </w:tc>
        <w:tc>
          <w:tcPr>
            <w:tcW w:w="5245" w:type="dxa"/>
          </w:tcPr>
          <w:p w14:paraId="4CE564D6"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degraded, cleared 2005</w:t>
            </w:r>
          </w:p>
        </w:tc>
      </w:tr>
      <w:tr w:rsidR="008B05E7" w:rsidRPr="007B4A7C" w14:paraId="67B1C475" w14:textId="77777777" w:rsidTr="007B4A7C">
        <w:trPr>
          <w:jc w:val="center"/>
        </w:trPr>
        <w:tc>
          <w:tcPr>
            <w:tcW w:w="1624" w:type="dxa"/>
          </w:tcPr>
          <w:p w14:paraId="7E34728E"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11</w:t>
            </w:r>
          </w:p>
        </w:tc>
        <w:tc>
          <w:tcPr>
            <w:tcW w:w="5245" w:type="dxa"/>
          </w:tcPr>
          <w:p w14:paraId="3D1B9F0F"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degraded, cleared 2010</w:t>
            </w:r>
          </w:p>
        </w:tc>
      </w:tr>
      <w:tr w:rsidR="008B05E7" w:rsidRPr="007B4A7C" w14:paraId="40F2B891" w14:textId="77777777" w:rsidTr="007B4A7C">
        <w:trPr>
          <w:jc w:val="center"/>
        </w:trPr>
        <w:tc>
          <w:tcPr>
            <w:tcW w:w="1624" w:type="dxa"/>
          </w:tcPr>
          <w:p w14:paraId="29CABDAF"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12</w:t>
            </w:r>
          </w:p>
        </w:tc>
        <w:tc>
          <w:tcPr>
            <w:tcW w:w="5245" w:type="dxa"/>
          </w:tcPr>
          <w:p w14:paraId="61DB9BBE"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degraded, cleared 2012</w:t>
            </w:r>
          </w:p>
        </w:tc>
      </w:tr>
      <w:tr w:rsidR="008B05E7" w:rsidRPr="007B4A7C" w14:paraId="55D8FA5B" w14:textId="77777777" w:rsidTr="007B4A7C">
        <w:trPr>
          <w:jc w:val="center"/>
        </w:trPr>
        <w:tc>
          <w:tcPr>
            <w:tcW w:w="1624" w:type="dxa"/>
          </w:tcPr>
          <w:p w14:paraId="3A9F65C6"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12</w:t>
            </w:r>
          </w:p>
        </w:tc>
        <w:tc>
          <w:tcPr>
            <w:tcW w:w="5245" w:type="dxa"/>
          </w:tcPr>
          <w:p w14:paraId="10102144"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2005, cleared 2010</w:t>
            </w:r>
          </w:p>
        </w:tc>
      </w:tr>
      <w:tr w:rsidR="008B05E7" w:rsidRPr="007B4A7C" w14:paraId="0868D5A2" w14:textId="77777777" w:rsidTr="007B4A7C">
        <w:trPr>
          <w:jc w:val="center"/>
        </w:trPr>
        <w:tc>
          <w:tcPr>
            <w:tcW w:w="1624" w:type="dxa"/>
          </w:tcPr>
          <w:p w14:paraId="000947EF"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14</w:t>
            </w:r>
          </w:p>
        </w:tc>
        <w:tc>
          <w:tcPr>
            <w:tcW w:w="5245" w:type="dxa"/>
          </w:tcPr>
          <w:p w14:paraId="7F194B40"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2005, cleared 2012</w:t>
            </w:r>
          </w:p>
        </w:tc>
      </w:tr>
      <w:tr w:rsidR="008B05E7" w:rsidRPr="007B4A7C" w14:paraId="37B4B585" w14:textId="77777777" w:rsidTr="007B4A7C">
        <w:trPr>
          <w:jc w:val="center"/>
        </w:trPr>
        <w:tc>
          <w:tcPr>
            <w:tcW w:w="1624" w:type="dxa"/>
            <w:tcBorders>
              <w:bottom w:val="single" w:sz="4" w:space="0" w:color="auto"/>
            </w:tcBorders>
          </w:tcPr>
          <w:p w14:paraId="38D86106"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15</w:t>
            </w:r>
          </w:p>
        </w:tc>
        <w:tc>
          <w:tcPr>
            <w:tcW w:w="5245" w:type="dxa"/>
            <w:tcBorders>
              <w:bottom w:val="single" w:sz="4" w:space="0" w:color="auto"/>
            </w:tcBorders>
          </w:tcPr>
          <w:p w14:paraId="600EED5B" w14:textId="77777777" w:rsidR="008B05E7" w:rsidRPr="007B4A7C" w:rsidRDefault="008B05E7" w:rsidP="006A2F97">
            <w:pPr>
              <w:ind w:leftChars="0" w:left="2" w:hanging="2"/>
              <w:jc w:val="both"/>
              <w:rPr>
                <w:rFonts w:ascii="Times New Roman" w:eastAsia="Times New Roman" w:hAnsi="Times New Roman" w:cs="Times New Roman"/>
                <w:color w:val="000000"/>
                <w:sz w:val="20"/>
                <w:szCs w:val="20"/>
                <w:lang w:val="en-ID"/>
              </w:rPr>
            </w:pPr>
            <w:r w:rsidRPr="007B4A7C">
              <w:rPr>
                <w:rFonts w:ascii="Times New Roman" w:eastAsia="Times New Roman" w:hAnsi="Times New Roman" w:cs="Times New Roman"/>
                <w:color w:val="000000"/>
                <w:sz w:val="20"/>
                <w:szCs w:val="20"/>
                <w:lang w:val="en-ID"/>
              </w:rPr>
              <w:t>Primary intact degraded 2010, cleared 2012</w:t>
            </w:r>
          </w:p>
        </w:tc>
      </w:tr>
    </w:tbl>
    <w:p w14:paraId="2AA473A7" w14:textId="568EAB05" w:rsidR="008B05E7" w:rsidRDefault="007B4A7C" w:rsidP="007B4A7C">
      <w:pPr>
        <w:spacing w:after="0" w:line="240" w:lineRule="auto"/>
        <w:ind w:leftChars="0" w:left="2" w:hanging="2"/>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 xml:space="preserve">Source: </w:t>
      </w:r>
      <w:r w:rsidRPr="00F2217F">
        <w:rPr>
          <w:rFonts w:ascii="Times New Roman" w:eastAsia="Times New Roman" w:hAnsi="Times New Roman" w:cs="Times New Roman"/>
          <w:noProof/>
          <w:color w:val="000000"/>
          <w:sz w:val="20"/>
          <w:szCs w:val="20"/>
        </w:rPr>
        <w:t xml:space="preserve">Margono </w:t>
      </w:r>
      <w:r>
        <w:rPr>
          <w:rFonts w:ascii="Times New Roman" w:eastAsia="Times New Roman" w:hAnsi="Times New Roman" w:cs="Times New Roman"/>
          <w:noProof/>
          <w:color w:val="000000"/>
          <w:sz w:val="20"/>
          <w:szCs w:val="20"/>
        </w:rPr>
        <w:t>et al.</w:t>
      </w:r>
      <w:r w:rsidRPr="00F2217F">
        <w:rPr>
          <w:rFonts w:ascii="Times New Roman" w:eastAsia="Times New Roman" w:hAnsi="Times New Roman" w:cs="Times New Roman"/>
          <w:noProof/>
          <w:color w:val="000000"/>
          <w:sz w:val="20"/>
          <w:szCs w:val="20"/>
        </w:rPr>
        <w:t>, 2014</w:t>
      </w:r>
    </w:p>
    <w:p w14:paraId="3A43B463" w14:textId="77777777" w:rsidR="007B4A7C" w:rsidRPr="00F2217F" w:rsidRDefault="007B4A7C" w:rsidP="007B4A7C">
      <w:pPr>
        <w:spacing w:after="0" w:line="240" w:lineRule="auto"/>
        <w:ind w:leftChars="0" w:left="2" w:hanging="2"/>
        <w:jc w:val="center"/>
        <w:rPr>
          <w:rFonts w:ascii="Times New Roman" w:eastAsia="Times New Roman" w:hAnsi="Times New Roman" w:cs="Times New Roman"/>
          <w:color w:val="000000"/>
          <w:sz w:val="24"/>
          <w:szCs w:val="24"/>
          <w:lang w:val="en-ID"/>
        </w:rPr>
      </w:pPr>
    </w:p>
    <w:p w14:paraId="01F59A53" w14:textId="2A2B5D6C" w:rsidR="008B05E7" w:rsidRPr="00F2217F" w:rsidRDefault="007B4A7C" w:rsidP="006A2F97">
      <w:pPr>
        <w:spacing w:after="0" w:line="240" w:lineRule="auto"/>
        <w:ind w:leftChars="0" w:left="2" w:hanging="2"/>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8B05E7" w:rsidRPr="00F2217F">
        <w:rPr>
          <w:rFonts w:ascii="Times New Roman" w:eastAsia="Arial" w:hAnsi="Times New Roman" w:cs="Times New Roman"/>
          <w:sz w:val="24"/>
          <w:szCs w:val="24"/>
        </w:rPr>
        <w:t xml:space="preserve">These classes of area are illustrated spatially in figure </w:t>
      </w:r>
      <w:r w:rsidR="00493637" w:rsidRPr="00F2217F">
        <w:rPr>
          <w:rFonts w:ascii="Times New Roman" w:eastAsia="Arial" w:hAnsi="Times New Roman" w:cs="Times New Roman"/>
          <w:sz w:val="24"/>
          <w:szCs w:val="24"/>
        </w:rPr>
        <w:t>5</w:t>
      </w:r>
      <w:r w:rsidR="008B05E7" w:rsidRPr="00F2217F">
        <w:rPr>
          <w:rFonts w:ascii="Times New Roman" w:eastAsia="Arial" w:hAnsi="Times New Roman" w:cs="Times New Roman"/>
          <w:sz w:val="24"/>
          <w:szCs w:val="24"/>
        </w:rPr>
        <w:t>. The dominant clas</w:t>
      </w:r>
      <w:r w:rsidR="00F2217F" w:rsidRPr="00F2217F">
        <w:rPr>
          <w:rFonts w:ascii="Times New Roman" w:eastAsia="Arial" w:hAnsi="Times New Roman" w:cs="Times New Roman"/>
          <w:sz w:val="24"/>
          <w:szCs w:val="24"/>
        </w:rPr>
        <w:t>se</w:t>
      </w:r>
      <w:r w:rsidR="008B05E7" w:rsidRPr="00F2217F">
        <w:rPr>
          <w:rFonts w:ascii="Times New Roman" w:eastAsia="Arial" w:hAnsi="Times New Roman" w:cs="Times New Roman"/>
          <w:sz w:val="24"/>
          <w:szCs w:val="24"/>
        </w:rPr>
        <w:t>s are 1 (no change of primary degraded forest from 2000-2012) and 3 (no change of non-primary from 2000-2012). Since 2000, the area of primary intact forest is very limited, most forest has been degraded or deforested.</w:t>
      </w:r>
    </w:p>
    <w:p w14:paraId="462E0EA9" w14:textId="2F8E119D" w:rsidR="008B05E7" w:rsidRPr="00F2217F" w:rsidRDefault="007B4A7C" w:rsidP="006A2F97">
      <w:pPr>
        <w:spacing w:after="0" w:line="240" w:lineRule="auto"/>
        <w:ind w:leftChars="0" w:left="2" w:hanging="2"/>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8B05E7" w:rsidRPr="00F2217F">
        <w:rPr>
          <w:rFonts w:ascii="Times New Roman" w:eastAsia="Arial" w:hAnsi="Times New Roman" w:cs="Times New Roman"/>
          <w:sz w:val="24"/>
          <w:szCs w:val="24"/>
        </w:rPr>
        <w:t xml:space="preserve">The other classes of 10 (Primary degraded, cleared 2005), 11(Primary degraded, cleared 2010), 12 (Primary degraded, cleared 2012) are also significant. Thus, the clearing areas in </w:t>
      </w:r>
      <w:r w:rsidR="00F2217F" w:rsidRPr="00F2217F">
        <w:rPr>
          <w:rFonts w:ascii="Times New Roman" w:eastAsia="Arial" w:hAnsi="Times New Roman" w:cs="Times New Roman"/>
          <w:sz w:val="24"/>
          <w:szCs w:val="24"/>
        </w:rPr>
        <w:t xml:space="preserve">the </w:t>
      </w:r>
      <w:r w:rsidR="008B05E7" w:rsidRPr="00F2217F">
        <w:rPr>
          <w:rFonts w:ascii="Times New Roman" w:eastAsia="Arial" w:hAnsi="Times New Roman" w:cs="Times New Roman"/>
          <w:sz w:val="24"/>
          <w:szCs w:val="24"/>
        </w:rPr>
        <w:t>degraded forest is dominant in every period.</w:t>
      </w:r>
    </w:p>
    <w:p w14:paraId="6FF53F30" w14:textId="77777777" w:rsidR="008B05E7" w:rsidRPr="00F2217F" w:rsidRDefault="008B05E7" w:rsidP="006A2F97">
      <w:pPr>
        <w:spacing w:after="0" w:line="240" w:lineRule="auto"/>
        <w:ind w:leftChars="0" w:left="2" w:hanging="2"/>
        <w:jc w:val="center"/>
        <w:rPr>
          <w:rFonts w:ascii="Times New Roman" w:eastAsia="Arial" w:hAnsi="Times New Roman" w:cs="Times New Roman"/>
          <w:sz w:val="24"/>
          <w:szCs w:val="24"/>
        </w:rPr>
      </w:pPr>
      <w:r w:rsidRPr="00F2217F">
        <w:rPr>
          <w:rFonts w:ascii="Times New Roman" w:eastAsia="Arial" w:hAnsi="Times New Roman" w:cs="Times New Roman"/>
          <w:noProof/>
          <w:sz w:val="24"/>
          <w:szCs w:val="24"/>
          <w:lang w:val="en-MY" w:eastAsia="en-MY"/>
        </w:rPr>
        <w:lastRenderedPageBreak/>
        <w:drawing>
          <wp:inline distT="0" distB="0" distL="0" distR="0" wp14:anchorId="2504BD41" wp14:editId="41DD24CE">
            <wp:extent cx="4644020" cy="4644020"/>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6929" cy="4666929"/>
                    </a:xfrm>
                    <a:prstGeom prst="rect">
                      <a:avLst/>
                    </a:prstGeom>
                  </pic:spPr>
                </pic:pic>
              </a:graphicData>
            </a:graphic>
          </wp:inline>
        </w:drawing>
      </w:r>
    </w:p>
    <w:p w14:paraId="0ACC2894" w14:textId="77777777" w:rsidR="007B4A7C" w:rsidRDefault="007B4A7C" w:rsidP="006A2F97">
      <w:pPr>
        <w:spacing w:after="0" w:line="240" w:lineRule="auto"/>
        <w:ind w:leftChars="0" w:left="2" w:hanging="2"/>
        <w:jc w:val="center"/>
        <w:rPr>
          <w:rFonts w:ascii="Times New Roman" w:eastAsia="Arial" w:hAnsi="Times New Roman" w:cs="Times New Roman"/>
          <w:b/>
          <w:bCs/>
          <w:sz w:val="20"/>
          <w:szCs w:val="20"/>
        </w:rPr>
      </w:pPr>
    </w:p>
    <w:p w14:paraId="2E860475" w14:textId="00EC7835" w:rsidR="008B05E7" w:rsidRPr="00F2217F" w:rsidRDefault="008B05E7" w:rsidP="006A2F97">
      <w:pPr>
        <w:spacing w:after="0" w:line="240" w:lineRule="auto"/>
        <w:ind w:leftChars="0" w:left="2" w:hanging="2"/>
        <w:jc w:val="center"/>
        <w:rPr>
          <w:rFonts w:ascii="Times New Roman" w:eastAsia="Arial" w:hAnsi="Times New Roman" w:cs="Times New Roman"/>
          <w:sz w:val="20"/>
          <w:szCs w:val="20"/>
        </w:rPr>
      </w:pPr>
      <w:r w:rsidRPr="00F2217F">
        <w:rPr>
          <w:rFonts w:ascii="Times New Roman" w:eastAsia="Arial" w:hAnsi="Times New Roman" w:cs="Times New Roman"/>
          <w:b/>
          <w:bCs/>
          <w:sz w:val="20"/>
          <w:szCs w:val="20"/>
        </w:rPr>
        <w:t>Fig</w:t>
      </w:r>
      <w:r w:rsidR="008E2EE5" w:rsidRPr="00F2217F">
        <w:rPr>
          <w:rFonts w:ascii="Times New Roman" w:hAnsi="Times New Roman" w:cs="Times New Roman"/>
          <w:b/>
          <w:bCs/>
          <w:sz w:val="20"/>
          <w:szCs w:val="20"/>
        </w:rPr>
        <w:t>ure</w:t>
      </w:r>
      <w:r w:rsidRPr="00F2217F">
        <w:rPr>
          <w:rFonts w:ascii="Times New Roman" w:eastAsia="Arial" w:hAnsi="Times New Roman" w:cs="Times New Roman"/>
          <w:b/>
          <w:bCs/>
          <w:sz w:val="20"/>
          <w:szCs w:val="20"/>
        </w:rPr>
        <w:t xml:space="preserve"> </w:t>
      </w:r>
      <w:r w:rsidR="00A354E4" w:rsidRPr="00F2217F">
        <w:rPr>
          <w:rFonts w:ascii="Times New Roman" w:eastAsia="Arial" w:hAnsi="Times New Roman" w:cs="Times New Roman"/>
          <w:b/>
          <w:bCs/>
          <w:sz w:val="20"/>
          <w:szCs w:val="20"/>
        </w:rPr>
        <w:t>5</w:t>
      </w:r>
      <w:r w:rsidR="008E2EE5" w:rsidRPr="00F2217F">
        <w:rPr>
          <w:rFonts w:ascii="Times New Roman" w:eastAsia="Arial" w:hAnsi="Times New Roman" w:cs="Times New Roman"/>
          <w:b/>
          <w:bCs/>
          <w:sz w:val="20"/>
          <w:szCs w:val="20"/>
        </w:rPr>
        <w:t>.</w:t>
      </w:r>
      <w:r w:rsidRPr="00F2217F">
        <w:rPr>
          <w:rFonts w:ascii="Times New Roman" w:eastAsia="Arial" w:hAnsi="Times New Roman" w:cs="Times New Roman"/>
          <w:sz w:val="20"/>
          <w:szCs w:val="20"/>
        </w:rPr>
        <w:t xml:space="preserve"> Spatial distribution of every forest class in Kalimantan (see table 2)</w:t>
      </w:r>
    </w:p>
    <w:p w14:paraId="677EBA2F" w14:textId="5DC5DD49" w:rsidR="007B4A7C" w:rsidRDefault="007B4A7C" w:rsidP="006A2F97">
      <w:pPr>
        <w:spacing w:after="0" w:line="240" w:lineRule="auto"/>
        <w:ind w:leftChars="0" w:left="2" w:hanging="2"/>
        <w:jc w:val="both"/>
        <w:rPr>
          <w:rFonts w:ascii="Times New Roman" w:eastAsia="Times New Roman" w:hAnsi="Times New Roman" w:cs="Times New Roman"/>
          <w:color w:val="000000"/>
          <w:sz w:val="24"/>
          <w:szCs w:val="24"/>
          <w:lang w:val="en-ID"/>
        </w:rPr>
      </w:pPr>
    </w:p>
    <w:p w14:paraId="0AC71CF4" w14:textId="77777777" w:rsidR="005A7686" w:rsidRDefault="005A7686" w:rsidP="006A2F97">
      <w:pPr>
        <w:spacing w:after="0" w:line="240" w:lineRule="auto"/>
        <w:ind w:leftChars="0" w:left="2" w:hanging="2"/>
        <w:jc w:val="both"/>
        <w:rPr>
          <w:rFonts w:ascii="Times New Roman" w:eastAsia="Times New Roman" w:hAnsi="Times New Roman" w:cs="Times New Roman"/>
          <w:color w:val="000000"/>
          <w:sz w:val="24"/>
          <w:szCs w:val="24"/>
          <w:lang w:val="en-ID"/>
        </w:rPr>
      </w:pPr>
    </w:p>
    <w:p w14:paraId="6665C542" w14:textId="3BF3540E" w:rsidR="008B05E7" w:rsidRDefault="007B4A7C" w:rsidP="006A2F97">
      <w:pPr>
        <w:spacing w:after="0" w:line="240" w:lineRule="auto"/>
        <w:ind w:leftChars="0" w:left="2" w:hanging="2"/>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b/>
      </w:r>
      <w:r>
        <w:rPr>
          <w:rFonts w:ascii="Times New Roman" w:eastAsia="Times New Roman" w:hAnsi="Times New Roman" w:cs="Times New Roman"/>
          <w:color w:val="000000"/>
          <w:sz w:val="24"/>
          <w:szCs w:val="24"/>
          <w:lang w:val="en-ID"/>
        </w:rPr>
        <w:tab/>
      </w:r>
      <w:r w:rsidR="008B05E7" w:rsidRPr="00F2217F">
        <w:rPr>
          <w:rFonts w:ascii="Times New Roman" w:eastAsia="Times New Roman" w:hAnsi="Times New Roman" w:cs="Times New Roman"/>
          <w:color w:val="000000"/>
          <w:sz w:val="24"/>
          <w:szCs w:val="24"/>
          <w:lang w:val="en-ID"/>
        </w:rPr>
        <w:t>From th</w:t>
      </w:r>
      <w:r w:rsidR="00C3604B">
        <w:rPr>
          <w:rFonts w:ascii="Times New Roman" w:eastAsia="Times New Roman" w:hAnsi="Times New Roman" w:cs="Times New Roman"/>
          <w:color w:val="000000"/>
          <w:sz w:val="24"/>
          <w:szCs w:val="24"/>
          <w:lang w:val="en-ID"/>
        </w:rPr>
        <w:t>ese</w:t>
      </w:r>
      <w:r w:rsidR="008B05E7" w:rsidRPr="00F2217F">
        <w:rPr>
          <w:rFonts w:ascii="Times New Roman" w:eastAsia="Times New Roman" w:hAnsi="Times New Roman" w:cs="Times New Roman"/>
          <w:color w:val="000000"/>
          <w:sz w:val="24"/>
          <w:szCs w:val="24"/>
          <w:lang w:val="en-ID"/>
        </w:rPr>
        <w:t xml:space="preserve"> classes, </w:t>
      </w:r>
      <w:r w:rsidR="00D026C1" w:rsidRPr="00F2217F">
        <w:rPr>
          <w:rFonts w:ascii="Times New Roman" w:eastAsia="Times New Roman" w:hAnsi="Times New Roman" w:cs="Times New Roman"/>
          <w:color w:val="000000"/>
          <w:sz w:val="24"/>
          <w:szCs w:val="24"/>
          <w:lang w:val="en-ID"/>
        </w:rPr>
        <w:t xml:space="preserve">it is </w:t>
      </w:r>
      <w:r w:rsidR="008B05E7" w:rsidRPr="00F2217F">
        <w:rPr>
          <w:rFonts w:ascii="Times New Roman" w:eastAsia="Times New Roman" w:hAnsi="Times New Roman" w:cs="Times New Roman"/>
          <w:color w:val="000000"/>
          <w:sz w:val="24"/>
          <w:szCs w:val="24"/>
          <w:lang w:val="en-ID"/>
        </w:rPr>
        <w:t>redistribute</w:t>
      </w:r>
      <w:r w:rsidR="00D026C1" w:rsidRPr="00F2217F">
        <w:rPr>
          <w:rFonts w:ascii="Times New Roman" w:eastAsia="Times New Roman" w:hAnsi="Times New Roman" w:cs="Times New Roman"/>
          <w:color w:val="000000"/>
          <w:sz w:val="24"/>
          <w:szCs w:val="24"/>
          <w:lang w:val="en-ID"/>
        </w:rPr>
        <w:t>d</w:t>
      </w:r>
      <w:r w:rsidR="008B05E7" w:rsidRPr="00F2217F">
        <w:rPr>
          <w:rFonts w:ascii="Times New Roman" w:eastAsia="Times New Roman" w:hAnsi="Times New Roman" w:cs="Times New Roman"/>
          <w:color w:val="000000"/>
          <w:sz w:val="24"/>
          <w:szCs w:val="24"/>
          <w:lang w:val="en-ID"/>
        </w:rPr>
        <w:t xml:space="preserve"> to classify the area in every year betwe</w:t>
      </w:r>
      <w:r w:rsidR="00C3604B">
        <w:rPr>
          <w:rFonts w:ascii="Times New Roman" w:eastAsia="Times New Roman" w:hAnsi="Times New Roman" w:cs="Times New Roman"/>
          <w:color w:val="000000"/>
          <w:sz w:val="24"/>
          <w:szCs w:val="24"/>
          <w:lang w:val="en-ID"/>
        </w:rPr>
        <w:t xml:space="preserve">en 2000 and 2020. The areas </w:t>
      </w:r>
      <w:r w:rsidR="008B05E7" w:rsidRPr="00F2217F">
        <w:rPr>
          <w:rFonts w:ascii="Times New Roman" w:eastAsia="Times New Roman" w:hAnsi="Times New Roman" w:cs="Times New Roman"/>
          <w:color w:val="000000"/>
          <w:sz w:val="24"/>
          <w:szCs w:val="24"/>
          <w:lang w:val="en-ID"/>
        </w:rPr>
        <w:t>are</w:t>
      </w:r>
      <w:r w:rsidR="00C3604B">
        <w:rPr>
          <w:rFonts w:ascii="Times New Roman" w:eastAsia="Times New Roman" w:hAnsi="Times New Roman" w:cs="Times New Roman"/>
          <w:color w:val="000000"/>
          <w:sz w:val="24"/>
          <w:szCs w:val="24"/>
          <w:lang w:val="en-ID"/>
        </w:rPr>
        <w:t xml:space="preserve"> classified as</w:t>
      </w:r>
      <w:r w:rsidR="008B05E7" w:rsidRPr="00F2217F">
        <w:rPr>
          <w:rFonts w:ascii="Times New Roman" w:eastAsia="Times New Roman" w:hAnsi="Times New Roman" w:cs="Times New Roman"/>
          <w:color w:val="000000"/>
          <w:sz w:val="24"/>
          <w:szCs w:val="24"/>
          <w:lang w:val="en-ID"/>
        </w:rPr>
        <w:t xml:space="preserve"> Primary Intact Forest, Degr</w:t>
      </w:r>
      <w:r w:rsidR="00C3604B">
        <w:rPr>
          <w:rFonts w:ascii="Times New Roman" w:eastAsia="Times New Roman" w:hAnsi="Times New Roman" w:cs="Times New Roman"/>
          <w:color w:val="000000"/>
          <w:sz w:val="24"/>
          <w:szCs w:val="24"/>
          <w:lang w:val="en-ID"/>
        </w:rPr>
        <w:t>aded Forest and Outside Forest (Table 3).</w:t>
      </w:r>
    </w:p>
    <w:p w14:paraId="694D5D20" w14:textId="77777777" w:rsidR="00C3604B" w:rsidRPr="00F2217F" w:rsidRDefault="00C3604B" w:rsidP="006A2F97">
      <w:pPr>
        <w:spacing w:after="0" w:line="240" w:lineRule="auto"/>
        <w:ind w:leftChars="0" w:left="2" w:hanging="2"/>
        <w:jc w:val="both"/>
        <w:rPr>
          <w:rFonts w:ascii="Times New Roman" w:eastAsia="Times New Roman" w:hAnsi="Times New Roman" w:cs="Times New Roman"/>
          <w:color w:val="000000"/>
          <w:sz w:val="24"/>
          <w:szCs w:val="24"/>
          <w:lang w:val="en-ID"/>
        </w:rPr>
      </w:pPr>
    </w:p>
    <w:p w14:paraId="57FA80E5" w14:textId="48F24EDC" w:rsidR="008B05E7" w:rsidRDefault="008B05E7" w:rsidP="006A2F97">
      <w:pPr>
        <w:spacing w:after="0" w:line="240" w:lineRule="auto"/>
        <w:ind w:leftChars="0" w:left="2" w:hanging="2"/>
        <w:jc w:val="center"/>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b/>
          <w:bCs/>
          <w:color w:val="000000"/>
          <w:sz w:val="20"/>
          <w:szCs w:val="20"/>
          <w:lang w:val="en-ID"/>
        </w:rPr>
        <w:t>Table 3.</w:t>
      </w:r>
      <w:r w:rsidRPr="00F2217F">
        <w:rPr>
          <w:rFonts w:ascii="Times New Roman" w:eastAsia="Times New Roman" w:hAnsi="Times New Roman" w:cs="Times New Roman"/>
          <w:color w:val="000000"/>
          <w:sz w:val="20"/>
          <w:szCs w:val="20"/>
          <w:lang w:val="en-ID"/>
        </w:rPr>
        <w:t xml:space="preserve"> Redistribution of </w:t>
      </w:r>
      <w:r w:rsidR="00C3604B">
        <w:rPr>
          <w:rFonts w:ascii="Times New Roman" w:eastAsia="Times New Roman" w:hAnsi="Times New Roman" w:cs="Times New Roman"/>
          <w:color w:val="000000"/>
          <w:sz w:val="20"/>
          <w:szCs w:val="20"/>
          <w:lang w:val="en-ID"/>
        </w:rPr>
        <w:t xml:space="preserve">the </w:t>
      </w:r>
      <w:r w:rsidRPr="00F2217F">
        <w:rPr>
          <w:rFonts w:ascii="Times New Roman" w:eastAsia="Times New Roman" w:hAnsi="Times New Roman" w:cs="Times New Roman"/>
          <w:color w:val="000000"/>
          <w:sz w:val="20"/>
          <w:szCs w:val="20"/>
          <w:lang w:val="en-ID"/>
        </w:rPr>
        <w:t>class region (see Table 2)</w:t>
      </w:r>
      <w:r w:rsidR="007B4A7C">
        <w:rPr>
          <w:rFonts w:ascii="Times New Roman" w:eastAsia="Times New Roman" w:hAnsi="Times New Roman" w:cs="Times New Roman"/>
          <w:color w:val="000000"/>
          <w:sz w:val="20"/>
          <w:szCs w:val="20"/>
          <w:lang w:val="en-ID"/>
        </w:rPr>
        <w:t>.</w:t>
      </w:r>
    </w:p>
    <w:p w14:paraId="12C8181B" w14:textId="77777777" w:rsidR="007B4A7C" w:rsidRPr="00F2217F" w:rsidRDefault="007B4A7C" w:rsidP="006A2F97">
      <w:pPr>
        <w:spacing w:after="0" w:line="240" w:lineRule="auto"/>
        <w:ind w:leftChars="0" w:left="2" w:hanging="2"/>
        <w:jc w:val="center"/>
        <w:rPr>
          <w:rFonts w:ascii="Times New Roman" w:eastAsia="Times New Roman" w:hAnsi="Times New Roman" w:cs="Times New Roman"/>
          <w:color w:val="000000"/>
          <w:sz w:val="20"/>
          <w:szCs w:val="20"/>
          <w:lang w:val="en-ID"/>
        </w:rPr>
      </w:pPr>
    </w:p>
    <w:tbl>
      <w:tblPr>
        <w:tblStyle w:val="TableGrid"/>
        <w:tblW w:w="8265" w:type="dxa"/>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641"/>
        <w:gridCol w:w="1641"/>
        <w:gridCol w:w="1641"/>
        <w:gridCol w:w="1641"/>
      </w:tblGrid>
      <w:tr w:rsidR="008B05E7" w:rsidRPr="00F2217F" w14:paraId="3E3EA029" w14:textId="77777777" w:rsidTr="007B4A7C">
        <w:tc>
          <w:tcPr>
            <w:tcW w:w="1701" w:type="dxa"/>
            <w:tcBorders>
              <w:top w:val="single" w:sz="4" w:space="0" w:color="auto"/>
              <w:bottom w:val="single" w:sz="4" w:space="0" w:color="auto"/>
            </w:tcBorders>
            <w:shd w:val="clear" w:color="auto" w:fill="8DB3E2" w:themeFill="text2" w:themeFillTint="66"/>
          </w:tcPr>
          <w:p w14:paraId="402FBD17"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p>
        </w:tc>
        <w:tc>
          <w:tcPr>
            <w:tcW w:w="1641" w:type="dxa"/>
            <w:tcBorders>
              <w:top w:val="single" w:sz="4" w:space="0" w:color="auto"/>
              <w:bottom w:val="single" w:sz="4" w:space="0" w:color="auto"/>
            </w:tcBorders>
            <w:shd w:val="clear" w:color="auto" w:fill="8DB3E2" w:themeFill="text2" w:themeFillTint="66"/>
          </w:tcPr>
          <w:p w14:paraId="0275E46A"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2000-2005</w:t>
            </w:r>
          </w:p>
        </w:tc>
        <w:tc>
          <w:tcPr>
            <w:tcW w:w="1641" w:type="dxa"/>
            <w:tcBorders>
              <w:top w:val="single" w:sz="4" w:space="0" w:color="auto"/>
              <w:bottom w:val="single" w:sz="4" w:space="0" w:color="auto"/>
            </w:tcBorders>
            <w:shd w:val="clear" w:color="auto" w:fill="8DB3E2" w:themeFill="text2" w:themeFillTint="66"/>
          </w:tcPr>
          <w:p w14:paraId="7FC86DCD"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2006-2010</w:t>
            </w:r>
          </w:p>
        </w:tc>
        <w:tc>
          <w:tcPr>
            <w:tcW w:w="1641" w:type="dxa"/>
            <w:tcBorders>
              <w:top w:val="single" w:sz="4" w:space="0" w:color="auto"/>
              <w:bottom w:val="single" w:sz="4" w:space="0" w:color="auto"/>
            </w:tcBorders>
            <w:shd w:val="clear" w:color="auto" w:fill="8DB3E2" w:themeFill="text2" w:themeFillTint="66"/>
          </w:tcPr>
          <w:p w14:paraId="472953A0"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2011-2012</w:t>
            </w:r>
          </w:p>
        </w:tc>
        <w:tc>
          <w:tcPr>
            <w:tcW w:w="1641" w:type="dxa"/>
            <w:tcBorders>
              <w:top w:val="single" w:sz="4" w:space="0" w:color="auto"/>
              <w:bottom w:val="single" w:sz="4" w:space="0" w:color="auto"/>
            </w:tcBorders>
            <w:shd w:val="clear" w:color="auto" w:fill="8DB3E2" w:themeFill="text2" w:themeFillTint="66"/>
          </w:tcPr>
          <w:p w14:paraId="1779FF2A"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2013-2020</w:t>
            </w:r>
          </w:p>
        </w:tc>
      </w:tr>
      <w:tr w:rsidR="008B05E7" w:rsidRPr="00F2217F" w14:paraId="6151D05C" w14:textId="77777777" w:rsidTr="007B4A7C">
        <w:tc>
          <w:tcPr>
            <w:tcW w:w="1701" w:type="dxa"/>
            <w:tcBorders>
              <w:top w:val="single" w:sz="4" w:space="0" w:color="auto"/>
            </w:tcBorders>
          </w:tcPr>
          <w:p w14:paraId="03931DB0"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Primary Intact Forest</w:t>
            </w:r>
          </w:p>
        </w:tc>
        <w:tc>
          <w:tcPr>
            <w:tcW w:w="1641" w:type="dxa"/>
            <w:tcBorders>
              <w:top w:val="single" w:sz="4" w:space="0" w:color="auto"/>
            </w:tcBorders>
          </w:tcPr>
          <w:p w14:paraId="3DE6A5C8"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2, 4, 5, 6, 7, 8, 9, 13, 14, 15</w:t>
            </w:r>
          </w:p>
        </w:tc>
        <w:tc>
          <w:tcPr>
            <w:tcW w:w="1641" w:type="dxa"/>
            <w:tcBorders>
              <w:top w:val="single" w:sz="4" w:space="0" w:color="auto"/>
            </w:tcBorders>
          </w:tcPr>
          <w:p w14:paraId="5472B003"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2, 5, 6, 8, 9, 15</w:t>
            </w:r>
          </w:p>
        </w:tc>
        <w:tc>
          <w:tcPr>
            <w:tcW w:w="1641" w:type="dxa"/>
            <w:tcBorders>
              <w:top w:val="single" w:sz="4" w:space="0" w:color="auto"/>
            </w:tcBorders>
          </w:tcPr>
          <w:p w14:paraId="4ED7526F"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2, 6, 9</w:t>
            </w:r>
          </w:p>
        </w:tc>
        <w:tc>
          <w:tcPr>
            <w:tcW w:w="1641" w:type="dxa"/>
            <w:tcBorders>
              <w:top w:val="single" w:sz="4" w:space="0" w:color="auto"/>
            </w:tcBorders>
          </w:tcPr>
          <w:p w14:paraId="35824304"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2</w:t>
            </w:r>
          </w:p>
        </w:tc>
      </w:tr>
      <w:tr w:rsidR="008B05E7" w:rsidRPr="00F2217F" w14:paraId="6FB48614" w14:textId="77777777" w:rsidTr="007B4A7C">
        <w:tc>
          <w:tcPr>
            <w:tcW w:w="1701" w:type="dxa"/>
          </w:tcPr>
          <w:p w14:paraId="1AB34672"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Degraded Forest</w:t>
            </w:r>
          </w:p>
        </w:tc>
        <w:tc>
          <w:tcPr>
            <w:tcW w:w="1641" w:type="dxa"/>
          </w:tcPr>
          <w:p w14:paraId="6AA241E7"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1, 10, 11, 12</w:t>
            </w:r>
          </w:p>
        </w:tc>
        <w:tc>
          <w:tcPr>
            <w:tcW w:w="1641" w:type="dxa"/>
          </w:tcPr>
          <w:p w14:paraId="6DC7277D"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1, 7, 11, 12, 13, 14</w:t>
            </w:r>
          </w:p>
        </w:tc>
        <w:tc>
          <w:tcPr>
            <w:tcW w:w="1641" w:type="dxa"/>
          </w:tcPr>
          <w:p w14:paraId="0C42C7D2"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1, 7,  8, 12, 14, 15</w:t>
            </w:r>
          </w:p>
        </w:tc>
        <w:tc>
          <w:tcPr>
            <w:tcW w:w="1641" w:type="dxa"/>
          </w:tcPr>
          <w:p w14:paraId="78F87BDB"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1, 7, 8, 9</w:t>
            </w:r>
          </w:p>
        </w:tc>
      </w:tr>
      <w:tr w:rsidR="008B05E7" w:rsidRPr="00F2217F" w14:paraId="43DC03B7" w14:textId="77777777" w:rsidTr="007B4A7C">
        <w:trPr>
          <w:trHeight w:val="611"/>
        </w:trPr>
        <w:tc>
          <w:tcPr>
            <w:tcW w:w="1701" w:type="dxa"/>
            <w:tcBorders>
              <w:bottom w:val="single" w:sz="4" w:space="0" w:color="auto"/>
            </w:tcBorders>
          </w:tcPr>
          <w:p w14:paraId="7B88A17A" w14:textId="77777777" w:rsidR="008B05E7" w:rsidRPr="00F2217F" w:rsidRDefault="008B05E7" w:rsidP="006A2F97">
            <w:pPr>
              <w:ind w:leftChars="0" w:left="2" w:hanging="2"/>
              <w:jc w:val="both"/>
              <w:rPr>
                <w:rFonts w:ascii="Times New Roman" w:eastAsia="Times New Roman" w:hAnsi="Times New Roman" w:cs="Times New Roman"/>
                <w:b/>
                <w:bCs/>
                <w:color w:val="000000"/>
                <w:sz w:val="20"/>
                <w:szCs w:val="20"/>
                <w:lang w:val="en-ID"/>
              </w:rPr>
            </w:pPr>
            <w:r w:rsidRPr="00F2217F">
              <w:rPr>
                <w:rFonts w:ascii="Times New Roman" w:eastAsia="Times New Roman" w:hAnsi="Times New Roman" w:cs="Times New Roman"/>
                <w:b/>
                <w:bCs/>
                <w:color w:val="000000"/>
                <w:sz w:val="20"/>
                <w:szCs w:val="20"/>
                <w:lang w:val="en-ID"/>
              </w:rPr>
              <w:t>Outside Forest</w:t>
            </w:r>
          </w:p>
        </w:tc>
        <w:tc>
          <w:tcPr>
            <w:tcW w:w="1641" w:type="dxa"/>
            <w:tcBorders>
              <w:bottom w:val="single" w:sz="4" w:space="0" w:color="auto"/>
            </w:tcBorders>
          </w:tcPr>
          <w:p w14:paraId="43A7BB08"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3</w:t>
            </w:r>
          </w:p>
        </w:tc>
        <w:tc>
          <w:tcPr>
            <w:tcW w:w="1641" w:type="dxa"/>
            <w:tcBorders>
              <w:bottom w:val="single" w:sz="4" w:space="0" w:color="auto"/>
            </w:tcBorders>
          </w:tcPr>
          <w:p w14:paraId="14BF0989"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3, 4, 10</w:t>
            </w:r>
          </w:p>
        </w:tc>
        <w:tc>
          <w:tcPr>
            <w:tcW w:w="1641" w:type="dxa"/>
            <w:tcBorders>
              <w:bottom w:val="single" w:sz="4" w:space="0" w:color="auto"/>
            </w:tcBorders>
          </w:tcPr>
          <w:p w14:paraId="7FDD8842"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3, 4, 5, 10, 11, 13</w:t>
            </w:r>
          </w:p>
        </w:tc>
        <w:tc>
          <w:tcPr>
            <w:tcW w:w="1641" w:type="dxa"/>
            <w:tcBorders>
              <w:bottom w:val="single" w:sz="4" w:space="0" w:color="auto"/>
            </w:tcBorders>
          </w:tcPr>
          <w:p w14:paraId="70C154B8" w14:textId="77777777" w:rsidR="008B05E7" w:rsidRPr="00F2217F" w:rsidRDefault="008B05E7" w:rsidP="006A2F97">
            <w:pPr>
              <w:ind w:leftChars="0" w:left="2" w:hanging="2"/>
              <w:jc w:val="both"/>
              <w:rPr>
                <w:rFonts w:ascii="Times New Roman" w:eastAsia="Times New Roman" w:hAnsi="Times New Roman" w:cs="Times New Roman"/>
                <w:color w:val="000000"/>
                <w:sz w:val="20"/>
                <w:szCs w:val="20"/>
                <w:lang w:val="en-ID"/>
              </w:rPr>
            </w:pPr>
            <w:r w:rsidRPr="00F2217F">
              <w:rPr>
                <w:rFonts w:ascii="Times New Roman" w:eastAsia="Times New Roman" w:hAnsi="Times New Roman" w:cs="Times New Roman"/>
                <w:color w:val="000000"/>
                <w:sz w:val="20"/>
                <w:szCs w:val="20"/>
                <w:lang w:val="en-ID"/>
              </w:rPr>
              <w:t>3, 4, 5, 6, 10, 11, 12, 13, 14, 15</w:t>
            </w:r>
          </w:p>
        </w:tc>
      </w:tr>
    </w:tbl>
    <w:p w14:paraId="6A875A78" w14:textId="77777777" w:rsidR="00B73AFF" w:rsidRPr="00F2217F" w:rsidRDefault="0084286F" w:rsidP="006A2F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65A6A960" w14:textId="77777777" w:rsidR="00B73AFF"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F2217F">
        <w:rPr>
          <w:rFonts w:ascii="Times New Roman" w:eastAsia="Times New Roman" w:hAnsi="Times New Roman" w:cs="Times New Roman"/>
          <w:b/>
          <w:color w:val="000000"/>
          <w:sz w:val="24"/>
          <w:szCs w:val="24"/>
        </w:rPr>
        <w:t xml:space="preserve"> </w:t>
      </w:r>
    </w:p>
    <w:p w14:paraId="45BCA469" w14:textId="77777777" w:rsidR="002D5096" w:rsidRPr="00F2217F" w:rsidRDefault="002D5096"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0FC367E" w14:textId="77777777" w:rsidR="002D5096" w:rsidRPr="00F2217F" w:rsidRDefault="002D5096"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6C384A0" w14:textId="77777777" w:rsidR="00B73AFF"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lastRenderedPageBreak/>
        <w:t xml:space="preserve">Results and discussion </w:t>
      </w:r>
    </w:p>
    <w:p w14:paraId="65C3A38C" w14:textId="77777777" w:rsidR="008E2EE5" w:rsidRPr="00F2217F" w:rsidRDefault="0084286F" w:rsidP="006A2F9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F2217F">
        <w:rPr>
          <w:rFonts w:ascii="Times New Roman" w:eastAsia="Times New Roman" w:hAnsi="Times New Roman" w:cs="Times New Roman"/>
          <w:b/>
          <w:color w:val="000000"/>
          <w:sz w:val="24"/>
          <w:szCs w:val="24"/>
        </w:rPr>
        <w:t xml:space="preserve"> </w:t>
      </w:r>
    </w:p>
    <w:p w14:paraId="1D661F42" w14:textId="77777777" w:rsidR="008E2EE5" w:rsidRPr="00F2217F" w:rsidRDefault="008E2EE5" w:rsidP="005A7686">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hAnsi="Times New Roman" w:cs="Times New Roman"/>
          <w:i/>
          <w:iCs/>
          <w:sz w:val="24"/>
          <w:szCs w:val="24"/>
        </w:rPr>
        <w:t>Kalimantan fire time distribution</w:t>
      </w:r>
    </w:p>
    <w:p w14:paraId="645D5343" w14:textId="77777777" w:rsidR="005A7686" w:rsidRDefault="005A7686" w:rsidP="006A2F97">
      <w:pPr>
        <w:pStyle w:val="ListParagraph"/>
        <w:spacing w:after="0" w:line="240" w:lineRule="auto"/>
        <w:ind w:leftChars="0" w:left="2" w:hanging="2"/>
        <w:jc w:val="both"/>
        <w:rPr>
          <w:rFonts w:ascii="Times New Roman" w:hAnsi="Times New Roman" w:cs="Times New Roman"/>
          <w:sz w:val="24"/>
          <w:szCs w:val="24"/>
        </w:rPr>
      </w:pPr>
    </w:p>
    <w:p w14:paraId="71C9E1F1" w14:textId="6F4C7CD1" w:rsidR="008E2EE5" w:rsidRPr="00F2217F" w:rsidRDefault="008E2EE5"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Fire in Kalimantan appears almost every month during 2001-2020 (Figure </w:t>
      </w:r>
      <w:r w:rsidR="00493637" w:rsidRPr="00F2217F">
        <w:rPr>
          <w:rFonts w:ascii="Times New Roman" w:hAnsi="Times New Roman" w:cs="Times New Roman"/>
          <w:sz w:val="24"/>
          <w:szCs w:val="24"/>
        </w:rPr>
        <w:t>6</w:t>
      </w:r>
      <w:r w:rsidRPr="00F2217F">
        <w:rPr>
          <w:rFonts w:ascii="Times New Roman" w:hAnsi="Times New Roman" w:cs="Times New Roman"/>
          <w:sz w:val="24"/>
          <w:szCs w:val="24"/>
        </w:rPr>
        <w:t xml:space="preserve">). However, the intensity of burnt areas increases in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 xml:space="preserve">July-October months. The fire became massive in 2002, 2004, 2007, 2009/2010, 2014/2015 and 2019. </w:t>
      </w:r>
      <w:r w:rsidR="00F2217F" w:rsidRPr="00F2217F">
        <w:rPr>
          <w:rFonts w:ascii="Times New Roman" w:hAnsi="Times New Roman" w:cs="Times New Roman"/>
          <w:sz w:val="24"/>
          <w:szCs w:val="24"/>
        </w:rPr>
        <w:t>Although</w:t>
      </w:r>
      <w:r w:rsidRPr="00F2217F">
        <w:rPr>
          <w:rFonts w:ascii="Times New Roman" w:hAnsi="Times New Roman" w:cs="Times New Roman"/>
          <w:sz w:val="24"/>
          <w:szCs w:val="24"/>
        </w:rPr>
        <w:t xml:space="preserve"> strong El Nino might cause a fire regime, the magnitude of El Nino is not always correlated with fire count. For example, in 2015 the ONI showed a very high score, compared to other years, but the peak of fire count is similar to the 2002 and 2019 seasons. </w:t>
      </w:r>
    </w:p>
    <w:p w14:paraId="68EDD8E1" w14:textId="577BC32E" w:rsidR="008E2EE5" w:rsidRDefault="005A7686"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2EE5" w:rsidRPr="00F2217F">
        <w:rPr>
          <w:rFonts w:ascii="Times New Roman" w:hAnsi="Times New Roman" w:cs="Times New Roman"/>
          <w:sz w:val="24"/>
          <w:szCs w:val="24"/>
        </w:rPr>
        <w:t xml:space="preserve">Between 2011-2013 is the low La Nina season. During this year, the fire remains increasing significantly between July-October. In this period, severe fire is mainly located in </w:t>
      </w:r>
      <w:r w:rsidR="00F2217F" w:rsidRPr="00F2217F">
        <w:rPr>
          <w:rFonts w:ascii="Times New Roman" w:hAnsi="Times New Roman" w:cs="Times New Roman"/>
          <w:sz w:val="24"/>
          <w:szCs w:val="24"/>
        </w:rPr>
        <w:t>S</w:t>
      </w:r>
      <w:r w:rsidR="008E2EE5" w:rsidRPr="00F2217F">
        <w:rPr>
          <w:rFonts w:ascii="Times New Roman" w:hAnsi="Times New Roman" w:cs="Times New Roman"/>
          <w:sz w:val="24"/>
          <w:szCs w:val="24"/>
        </w:rPr>
        <w:t>outh Central Kalimantan</w:t>
      </w:r>
      <w:sdt>
        <w:sdtPr>
          <w:rPr>
            <w:rFonts w:ascii="Times New Roman" w:hAnsi="Times New Roman" w:cs="Times New Roman"/>
            <w:sz w:val="24"/>
            <w:szCs w:val="24"/>
          </w:rPr>
          <w:id w:val="-115149193"/>
          <w:citation/>
        </w:sdtPr>
        <w:sdtEndPr/>
        <w:sdtContent>
          <w:r w:rsidR="008E2EE5" w:rsidRPr="00F2217F">
            <w:rPr>
              <w:rFonts w:ascii="Times New Roman" w:hAnsi="Times New Roman" w:cs="Times New Roman"/>
              <w:sz w:val="24"/>
              <w:szCs w:val="24"/>
            </w:rPr>
            <w:fldChar w:fldCharType="begin"/>
          </w:r>
          <w:r w:rsidR="008E2EE5" w:rsidRPr="00F2217F">
            <w:rPr>
              <w:rFonts w:ascii="Times New Roman" w:hAnsi="Times New Roman" w:cs="Times New Roman"/>
              <w:sz w:val="24"/>
              <w:szCs w:val="24"/>
            </w:rPr>
            <w:instrText xml:space="preserve"> CITATION Nin13 \l 1033 </w:instrText>
          </w:r>
          <w:r w:rsidR="008E2EE5"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(Yulianti &amp; Hayasaka, 2013)</w:t>
          </w:r>
          <w:r w:rsidR="008E2EE5" w:rsidRPr="00F2217F">
            <w:rPr>
              <w:rFonts w:ascii="Times New Roman" w:hAnsi="Times New Roman" w:cs="Times New Roman"/>
              <w:sz w:val="24"/>
              <w:szCs w:val="24"/>
            </w:rPr>
            <w:fldChar w:fldCharType="end"/>
          </w:r>
        </w:sdtContent>
      </w:sdt>
      <w:r w:rsidR="008E2EE5" w:rsidRPr="00F2217F">
        <w:rPr>
          <w:rFonts w:ascii="Times New Roman" w:hAnsi="Times New Roman" w:cs="Times New Roman"/>
          <w:sz w:val="24"/>
          <w:szCs w:val="24"/>
        </w:rPr>
        <w:t xml:space="preserve">. Although the intensity is not as high as the strong El Nino season. Thus strong El Nino has a dominant impact on fire in Kalimantan, but </w:t>
      </w:r>
      <w:r w:rsidR="00F2217F" w:rsidRPr="00F2217F">
        <w:rPr>
          <w:rFonts w:ascii="Times New Roman" w:hAnsi="Times New Roman" w:cs="Times New Roman"/>
          <w:sz w:val="24"/>
          <w:szCs w:val="24"/>
        </w:rPr>
        <w:t>other factors</w:t>
      </w:r>
      <w:r w:rsidR="008E2EE5" w:rsidRPr="00F2217F">
        <w:rPr>
          <w:rFonts w:ascii="Times New Roman" w:hAnsi="Times New Roman" w:cs="Times New Roman"/>
          <w:sz w:val="24"/>
          <w:szCs w:val="24"/>
        </w:rPr>
        <w:t xml:space="preserve"> cause the fire.</w:t>
      </w:r>
    </w:p>
    <w:p w14:paraId="7B649760" w14:textId="77777777" w:rsidR="005A7686" w:rsidRPr="00F2217F" w:rsidRDefault="005A7686" w:rsidP="006A2F97">
      <w:pPr>
        <w:pStyle w:val="ListParagraph"/>
        <w:spacing w:after="0" w:line="240" w:lineRule="auto"/>
        <w:ind w:leftChars="0" w:left="2" w:hanging="2"/>
        <w:jc w:val="both"/>
        <w:rPr>
          <w:rFonts w:ascii="Times New Roman" w:hAnsi="Times New Roman" w:cs="Times New Roman"/>
          <w:sz w:val="24"/>
          <w:szCs w:val="24"/>
        </w:rPr>
      </w:pPr>
    </w:p>
    <w:p w14:paraId="07A6132C"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drawing>
          <wp:inline distT="0" distB="0" distL="0" distR="0" wp14:anchorId="5BD9C388" wp14:editId="1081C3FA">
            <wp:extent cx="5638800" cy="3067050"/>
            <wp:effectExtent l="0" t="0" r="0" b="0"/>
            <wp:docPr id="2" name="Chart 2">
              <a:extLst xmlns:a="http://schemas.openxmlformats.org/drawingml/2006/main">
                <a:ext uri="{FF2B5EF4-FFF2-40B4-BE49-F238E27FC236}">
                  <a16:creationId xmlns:a16="http://schemas.microsoft.com/office/drawing/2014/main" id="{84FAC193-8CCD-8C4A-B5F9-3660CDF1C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965D85" w14:textId="77777777" w:rsidR="005A7686" w:rsidRDefault="005A7686" w:rsidP="006A2F97">
      <w:pPr>
        <w:pStyle w:val="ListParagraph"/>
        <w:spacing w:after="0" w:line="240" w:lineRule="auto"/>
        <w:ind w:leftChars="0" w:left="2" w:hanging="2"/>
        <w:jc w:val="center"/>
        <w:rPr>
          <w:rFonts w:ascii="Times New Roman" w:hAnsi="Times New Roman" w:cs="Times New Roman"/>
          <w:b/>
          <w:bCs/>
          <w:sz w:val="20"/>
          <w:szCs w:val="20"/>
        </w:rPr>
      </w:pPr>
    </w:p>
    <w:p w14:paraId="093A33E3" w14:textId="41FBA283" w:rsidR="008E2EE5" w:rsidRPr="00F2217F" w:rsidRDefault="008E2EE5"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 xml:space="preserve">Figure </w:t>
      </w:r>
      <w:r w:rsidR="00A354E4" w:rsidRPr="00F2217F">
        <w:rPr>
          <w:rFonts w:ascii="Times New Roman" w:hAnsi="Times New Roman" w:cs="Times New Roman"/>
          <w:b/>
          <w:bCs/>
          <w:sz w:val="20"/>
          <w:szCs w:val="20"/>
        </w:rPr>
        <w:t>6</w:t>
      </w:r>
      <w:r w:rsidRPr="00F2217F">
        <w:rPr>
          <w:rFonts w:ascii="Times New Roman" w:hAnsi="Times New Roman" w:cs="Times New Roman"/>
          <w:b/>
          <w:bCs/>
          <w:sz w:val="20"/>
          <w:szCs w:val="20"/>
        </w:rPr>
        <w:t>.</w:t>
      </w:r>
      <w:r w:rsidRPr="00F2217F">
        <w:rPr>
          <w:rFonts w:ascii="Times New Roman" w:hAnsi="Times New Roman" w:cs="Times New Roman"/>
          <w:sz w:val="20"/>
          <w:szCs w:val="20"/>
        </w:rPr>
        <w:t xml:space="preserve"> Fire count over Kalimantan during 2001-2020</w:t>
      </w:r>
    </w:p>
    <w:p w14:paraId="18E54816" w14:textId="77777777" w:rsidR="008E2EE5" w:rsidRPr="00F2217F" w:rsidRDefault="008E2EE5" w:rsidP="006A2F97">
      <w:pPr>
        <w:pStyle w:val="ListParagraph"/>
        <w:spacing w:after="0" w:line="240" w:lineRule="auto"/>
        <w:ind w:leftChars="0" w:left="2" w:hanging="2"/>
        <w:jc w:val="both"/>
        <w:rPr>
          <w:rFonts w:ascii="Times New Roman" w:hAnsi="Times New Roman" w:cs="Times New Roman"/>
          <w:sz w:val="24"/>
          <w:szCs w:val="24"/>
        </w:rPr>
      </w:pPr>
    </w:p>
    <w:p w14:paraId="2F0B2572" w14:textId="48E25D77" w:rsidR="008E2EE5" w:rsidRDefault="005A7686"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2EE5" w:rsidRPr="00F2217F">
        <w:rPr>
          <w:rFonts w:ascii="Times New Roman" w:hAnsi="Times New Roman" w:cs="Times New Roman"/>
          <w:sz w:val="24"/>
          <w:szCs w:val="24"/>
        </w:rPr>
        <w:t xml:space="preserve">The results show about 80% </w:t>
      </w:r>
      <w:r w:rsidR="00C3604B">
        <w:rPr>
          <w:rFonts w:ascii="Times New Roman" w:hAnsi="Times New Roman" w:cs="Times New Roman"/>
          <w:sz w:val="24"/>
          <w:szCs w:val="24"/>
        </w:rPr>
        <w:t xml:space="preserve">of </w:t>
      </w:r>
      <w:r w:rsidR="008E2EE5" w:rsidRPr="00F2217F">
        <w:rPr>
          <w:rFonts w:ascii="Times New Roman" w:hAnsi="Times New Roman" w:cs="Times New Roman"/>
          <w:sz w:val="24"/>
          <w:szCs w:val="24"/>
        </w:rPr>
        <w:t xml:space="preserve">fire appears in the Outside Forest/Deforested, around 20% in Degraded Forest (Figure </w:t>
      </w:r>
      <w:r w:rsidR="00493637" w:rsidRPr="00F2217F">
        <w:rPr>
          <w:rFonts w:ascii="Times New Roman" w:hAnsi="Times New Roman" w:cs="Times New Roman"/>
          <w:sz w:val="24"/>
          <w:szCs w:val="24"/>
        </w:rPr>
        <w:t>7</w:t>
      </w:r>
      <w:r w:rsidR="008E2EE5" w:rsidRPr="00F2217F">
        <w:rPr>
          <w:rFonts w:ascii="Times New Roman" w:hAnsi="Times New Roman" w:cs="Times New Roman"/>
          <w:sz w:val="24"/>
          <w:szCs w:val="24"/>
        </w:rPr>
        <w:t xml:space="preserve">) and less than 1% in Primary Intact Forest. Reduction of tree canopy in </w:t>
      </w:r>
      <w:r w:rsidR="00C3604B">
        <w:rPr>
          <w:rFonts w:ascii="Times New Roman" w:hAnsi="Times New Roman" w:cs="Times New Roman"/>
          <w:sz w:val="24"/>
          <w:szCs w:val="24"/>
        </w:rPr>
        <w:t xml:space="preserve">the </w:t>
      </w:r>
      <w:r w:rsidR="008E2EE5" w:rsidRPr="00F2217F">
        <w:rPr>
          <w:rFonts w:ascii="Times New Roman" w:hAnsi="Times New Roman" w:cs="Times New Roman"/>
          <w:sz w:val="24"/>
          <w:szCs w:val="24"/>
        </w:rPr>
        <w:t>deforested and degraded forest has a massive impact on regional and local climate</w:t>
      </w:r>
      <w:sdt>
        <w:sdtPr>
          <w:rPr>
            <w:rFonts w:ascii="Times New Roman" w:hAnsi="Times New Roman" w:cs="Times New Roman"/>
            <w:sz w:val="24"/>
            <w:szCs w:val="24"/>
          </w:rPr>
          <w:id w:val="1880823514"/>
          <w:citation/>
        </w:sdtPr>
        <w:sdtEndPr/>
        <w:sdtContent>
          <w:r w:rsidR="008E2EE5" w:rsidRPr="00F2217F">
            <w:rPr>
              <w:rFonts w:ascii="Times New Roman" w:hAnsi="Times New Roman" w:cs="Times New Roman"/>
              <w:sz w:val="24"/>
              <w:szCs w:val="24"/>
            </w:rPr>
            <w:fldChar w:fldCharType="begin"/>
          </w:r>
          <w:r w:rsidR="008E2EE5" w:rsidRPr="00F2217F">
            <w:rPr>
              <w:rFonts w:ascii="Times New Roman" w:hAnsi="Times New Roman" w:cs="Times New Roman"/>
              <w:sz w:val="24"/>
              <w:szCs w:val="24"/>
            </w:rPr>
            <w:instrText xml:space="preserve"> CITATION Nat171 \l 1033 </w:instrText>
          </w:r>
          <w:r w:rsidR="008E2EE5"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(Schultz, Lawrence, &amp; Lee, 2017)</w:t>
          </w:r>
          <w:r w:rsidR="008E2EE5" w:rsidRPr="00F2217F">
            <w:rPr>
              <w:rFonts w:ascii="Times New Roman" w:hAnsi="Times New Roman" w:cs="Times New Roman"/>
              <w:sz w:val="24"/>
              <w:szCs w:val="24"/>
            </w:rPr>
            <w:fldChar w:fldCharType="end"/>
          </w:r>
        </w:sdtContent>
      </w:sdt>
      <w:r w:rsidR="008E2EE5" w:rsidRPr="00F2217F">
        <w:rPr>
          <w:rFonts w:ascii="Times New Roman" w:hAnsi="Times New Roman" w:cs="Times New Roman"/>
          <w:sz w:val="24"/>
          <w:szCs w:val="24"/>
        </w:rPr>
        <w:t xml:space="preserve">. </w:t>
      </w:r>
      <w:r w:rsidR="00C3604B">
        <w:rPr>
          <w:rFonts w:ascii="Times New Roman" w:hAnsi="Times New Roman" w:cs="Times New Roman"/>
          <w:sz w:val="24"/>
          <w:szCs w:val="24"/>
        </w:rPr>
        <w:t>The d</w:t>
      </w:r>
      <w:r w:rsidR="008E2EE5" w:rsidRPr="00F2217F">
        <w:rPr>
          <w:rFonts w:ascii="Times New Roman" w:hAnsi="Times New Roman" w:cs="Times New Roman"/>
          <w:sz w:val="24"/>
          <w:szCs w:val="24"/>
        </w:rPr>
        <w:t>eforested region in Kalimantan experiences more extreme temperature events</w:t>
      </w:r>
      <w:r w:rsidRPr="00F2217F">
        <w:rPr>
          <w:rFonts w:ascii="Times New Roman" w:hAnsi="Times New Roman" w:cs="Times New Roman"/>
          <w:noProof/>
          <w:sz w:val="24"/>
          <w:szCs w:val="24"/>
        </w:rPr>
        <w:t xml:space="preserve"> (McAlpine et al., 2018)</w:t>
      </w:r>
      <w:r w:rsidR="008E2EE5" w:rsidRPr="00F2217F">
        <w:rPr>
          <w:rFonts w:ascii="Times New Roman" w:hAnsi="Times New Roman" w:cs="Times New Roman"/>
          <w:sz w:val="24"/>
          <w:szCs w:val="24"/>
        </w:rPr>
        <w:t>.</w:t>
      </w:r>
    </w:p>
    <w:p w14:paraId="59A85BC2" w14:textId="2F2878D2" w:rsidR="008E2EE5" w:rsidRDefault="00A02152"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2EE5" w:rsidRPr="00F2217F">
        <w:rPr>
          <w:rFonts w:ascii="Times New Roman" w:hAnsi="Times New Roman" w:cs="Times New Roman"/>
          <w:sz w:val="24"/>
          <w:szCs w:val="24"/>
        </w:rPr>
        <w:t xml:space="preserve">As fires burn the area periodically, the area of Degraded Forest and Outside Forest get bigger every year. The pattern of fire in Degraded Forest and Outside Forest is following </w:t>
      </w:r>
      <w:r w:rsidR="00F2217F" w:rsidRPr="00F2217F">
        <w:rPr>
          <w:rFonts w:ascii="Times New Roman" w:hAnsi="Times New Roman" w:cs="Times New Roman"/>
          <w:sz w:val="24"/>
          <w:szCs w:val="24"/>
        </w:rPr>
        <w:t>a</w:t>
      </w:r>
      <w:r w:rsidR="008E2EE5" w:rsidRPr="00F2217F">
        <w:rPr>
          <w:rFonts w:ascii="Times New Roman" w:hAnsi="Times New Roman" w:cs="Times New Roman"/>
          <w:sz w:val="24"/>
          <w:szCs w:val="24"/>
        </w:rPr>
        <w:t xml:space="preserve"> similar pattern with Figure </w:t>
      </w:r>
      <w:r w:rsidR="00493637" w:rsidRPr="00F2217F">
        <w:rPr>
          <w:rFonts w:ascii="Times New Roman" w:hAnsi="Times New Roman" w:cs="Times New Roman"/>
          <w:sz w:val="24"/>
          <w:szCs w:val="24"/>
        </w:rPr>
        <w:t>6</w:t>
      </w:r>
      <w:r w:rsidR="008E2EE5" w:rsidRPr="00F2217F">
        <w:rPr>
          <w:rFonts w:ascii="Times New Roman" w:hAnsi="Times New Roman" w:cs="Times New Roman"/>
          <w:sz w:val="24"/>
          <w:szCs w:val="24"/>
        </w:rPr>
        <w:t>. However</w:t>
      </w:r>
      <w:r w:rsidR="00F2217F" w:rsidRPr="00F2217F">
        <w:rPr>
          <w:rFonts w:ascii="Times New Roman" w:hAnsi="Times New Roman" w:cs="Times New Roman"/>
          <w:sz w:val="24"/>
          <w:szCs w:val="24"/>
        </w:rPr>
        <w:t>,</w:t>
      </w:r>
      <w:r w:rsidR="008E2EE5" w:rsidRPr="00F2217F">
        <w:rPr>
          <w:rFonts w:ascii="Times New Roman" w:hAnsi="Times New Roman" w:cs="Times New Roman"/>
          <w:sz w:val="24"/>
          <w:szCs w:val="24"/>
        </w:rPr>
        <w:t xml:space="preserve"> there are some differences. For example, comparing 2002 and 2015 which has similar peak fire</w:t>
      </w:r>
      <w:r w:rsidR="00F2217F" w:rsidRPr="00F2217F">
        <w:rPr>
          <w:rFonts w:ascii="Times New Roman" w:hAnsi="Times New Roman" w:cs="Times New Roman"/>
          <w:sz w:val="24"/>
          <w:szCs w:val="24"/>
        </w:rPr>
        <w:t>s</w:t>
      </w:r>
      <w:r w:rsidR="008E2EE5" w:rsidRPr="00F2217F">
        <w:rPr>
          <w:rFonts w:ascii="Times New Roman" w:hAnsi="Times New Roman" w:cs="Times New Roman"/>
          <w:sz w:val="24"/>
          <w:szCs w:val="24"/>
        </w:rPr>
        <w:t xml:space="preserve">. In </w:t>
      </w:r>
      <w:r w:rsidR="00F2217F" w:rsidRPr="00F2217F">
        <w:rPr>
          <w:rFonts w:ascii="Times New Roman" w:hAnsi="Times New Roman" w:cs="Times New Roman"/>
          <w:sz w:val="24"/>
          <w:szCs w:val="24"/>
        </w:rPr>
        <w:t>2002, there were more fires in the outside f</w:t>
      </w:r>
      <w:r w:rsidR="008E2EE5" w:rsidRPr="00F2217F">
        <w:rPr>
          <w:rFonts w:ascii="Times New Roman" w:hAnsi="Times New Roman" w:cs="Times New Roman"/>
          <w:sz w:val="24"/>
          <w:szCs w:val="24"/>
        </w:rPr>
        <w:t xml:space="preserve">orest, while </w:t>
      </w:r>
      <w:r w:rsidR="00F2217F" w:rsidRPr="00F2217F">
        <w:rPr>
          <w:rFonts w:ascii="Times New Roman" w:hAnsi="Times New Roman" w:cs="Times New Roman"/>
          <w:sz w:val="24"/>
          <w:szCs w:val="24"/>
        </w:rPr>
        <w:t>in 2015 in degraded f</w:t>
      </w:r>
      <w:r w:rsidR="008E2EE5" w:rsidRPr="00F2217F">
        <w:rPr>
          <w:rFonts w:ascii="Times New Roman" w:hAnsi="Times New Roman" w:cs="Times New Roman"/>
          <w:sz w:val="24"/>
          <w:szCs w:val="24"/>
        </w:rPr>
        <w:t>orest.</w:t>
      </w:r>
    </w:p>
    <w:p w14:paraId="2AD4F70C"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lastRenderedPageBreak/>
        <mc:AlternateContent>
          <mc:Choice Requires="wps">
            <w:drawing>
              <wp:anchor distT="0" distB="0" distL="114300" distR="114300" simplePos="0" relativeHeight="251661312" behindDoc="0" locked="0" layoutInCell="1" allowOverlap="1" wp14:anchorId="4876830B" wp14:editId="18375D21">
                <wp:simplePos x="0" y="0"/>
                <wp:positionH relativeFrom="column">
                  <wp:posOffset>600075</wp:posOffset>
                </wp:positionH>
                <wp:positionV relativeFrom="paragraph">
                  <wp:posOffset>53340</wp:posOffset>
                </wp:positionV>
                <wp:extent cx="409575" cy="316871"/>
                <wp:effectExtent l="0" t="0" r="9525" b="6985"/>
                <wp:wrapNone/>
                <wp:docPr id="9" name="Text Box 9"/>
                <wp:cNvGraphicFramePr/>
                <a:graphic xmlns:a="http://schemas.openxmlformats.org/drawingml/2006/main">
                  <a:graphicData uri="http://schemas.microsoft.com/office/word/2010/wordprocessingShape">
                    <wps:wsp>
                      <wps:cNvSpPr txBox="1"/>
                      <wps:spPr>
                        <a:xfrm>
                          <a:off x="0" y="0"/>
                          <a:ext cx="409575" cy="316871"/>
                        </a:xfrm>
                        <a:prstGeom prst="rect">
                          <a:avLst/>
                        </a:prstGeom>
                        <a:solidFill>
                          <a:schemeClr val="lt1"/>
                        </a:solidFill>
                        <a:ln w="6350">
                          <a:noFill/>
                        </a:ln>
                      </wps:spPr>
                      <wps:txbx>
                        <w:txbxContent>
                          <w:p w14:paraId="3925624F" w14:textId="35874FC7" w:rsidR="00B36B2D" w:rsidRPr="005A7686" w:rsidRDefault="005A7686" w:rsidP="008E2EE5">
                            <w:pPr>
                              <w:ind w:left="1" w:hanging="3"/>
                              <w:rPr>
                                <w:b/>
                                <w:bCs/>
                                <w:sz w:val="28"/>
                                <w:szCs w:val="28"/>
                              </w:rPr>
                            </w:pPr>
                            <w:r w:rsidRPr="005A7686">
                              <w:rPr>
                                <w:b/>
                                <w:bCs/>
                                <w:sz w:val="28"/>
                                <w:szCs w:val="28"/>
                              </w:rPr>
                              <w:t>(</w:t>
                            </w:r>
                            <w:r w:rsidR="00B36B2D" w:rsidRPr="005A7686">
                              <w:rPr>
                                <w:b/>
                                <w:bCs/>
                                <w:sz w:val="28"/>
                                <w:szCs w:val="28"/>
                              </w:rPr>
                              <w:t>a</w:t>
                            </w:r>
                            <w:r w:rsidRPr="005A7686">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6830B" id="_x0000_t202" coordsize="21600,21600" o:spt="202" path="m,l,21600r21600,l21600,xe">
                <v:stroke joinstyle="miter"/>
                <v:path gradientshapeok="t" o:connecttype="rect"/>
              </v:shapetype>
              <v:shape id="Text Box 9" o:spid="_x0000_s1026" type="#_x0000_t202" style="position:absolute;left:0;text-align:left;margin-left:47.25pt;margin-top:4.2pt;width:32.25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" fillcolor="white [3201]" stroked="f" strokeweight=".5pt">
                <v:textbox>
                  <w:txbxContent>
                    <w:p w14:paraId="3925624F" w14:textId="35874FC7" w:rsidR="00B36B2D" w:rsidRPr="005A7686" w:rsidRDefault="005A7686" w:rsidP="008E2EE5">
                      <w:pPr>
                        <w:ind w:left="1" w:hanging="3"/>
                        <w:rPr>
                          <w:b/>
                          <w:bCs/>
                          <w:sz w:val="28"/>
                          <w:szCs w:val="28"/>
                        </w:rPr>
                      </w:pPr>
                      <w:r w:rsidRPr="005A7686">
                        <w:rPr>
                          <w:b/>
                          <w:bCs/>
                          <w:sz w:val="28"/>
                          <w:szCs w:val="28"/>
                        </w:rPr>
                        <w:t>(</w:t>
                      </w:r>
                      <w:r w:rsidR="00B36B2D" w:rsidRPr="005A7686">
                        <w:rPr>
                          <w:b/>
                          <w:bCs/>
                          <w:sz w:val="28"/>
                          <w:szCs w:val="28"/>
                        </w:rPr>
                        <w:t>a</w:t>
                      </w:r>
                      <w:r w:rsidRPr="005A7686">
                        <w:rPr>
                          <w:b/>
                          <w:bCs/>
                          <w:sz w:val="28"/>
                          <w:szCs w:val="28"/>
                        </w:rPr>
                        <w:t>)</w:t>
                      </w:r>
                    </w:p>
                  </w:txbxContent>
                </v:textbox>
              </v:shape>
            </w:pict>
          </mc:Fallback>
        </mc:AlternateContent>
      </w:r>
      <w:r w:rsidRPr="00F2217F">
        <w:rPr>
          <w:rFonts w:ascii="Times New Roman" w:hAnsi="Times New Roman" w:cs="Times New Roman"/>
          <w:noProof/>
          <w:sz w:val="24"/>
          <w:szCs w:val="24"/>
          <w:lang w:val="en-MY" w:eastAsia="en-MY"/>
        </w:rPr>
        <w:drawing>
          <wp:inline distT="0" distB="0" distL="0" distR="0" wp14:anchorId="39F75FEB" wp14:editId="51CB8B74">
            <wp:extent cx="4942840" cy="2762250"/>
            <wp:effectExtent l="0" t="0" r="10160" b="0"/>
            <wp:docPr id="1" name="Chart 1">
              <a:extLst xmlns:a="http://schemas.openxmlformats.org/drawingml/2006/main">
                <a:ext uri="{FF2B5EF4-FFF2-40B4-BE49-F238E27FC236}">
                  <a16:creationId xmlns:a16="http://schemas.microsoft.com/office/drawing/2014/main" id="{97FE4CA9-3F95-7C40-93FE-EE39D4E59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164B78"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mc:AlternateContent>
          <mc:Choice Requires="wps">
            <w:drawing>
              <wp:anchor distT="0" distB="0" distL="114300" distR="114300" simplePos="0" relativeHeight="251662336" behindDoc="0" locked="0" layoutInCell="1" allowOverlap="1" wp14:anchorId="2462024C" wp14:editId="45E13CF6">
                <wp:simplePos x="0" y="0"/>
                <wp:positionH relativeFrom="column">
                  <wp:posOffset>647065</wp:posOffset>
                </wp:positionH>
                <wp:positionV relativeFrom="paragraph">
                  <wp:posOffset>91440</wp:posOffset>
                </wp:positionV>
                <wp:extent cx="466725" cy="334978"/>
                <wp:effectExtent l="0" t="0" r="9525" b="8255"/>
                <wp:wrapNone/>
                <wp:docPr id="10" name="Text Box 10"/>
                <wp:cNvGraphicFramePr/>
                <a:graphic xmlns:a="http://schemas.openxmlformats.org/drawingml/2006/main">
                  <a:graphicData uri="http://schemas.microsoft.com/office/word/2010/wordprocessingShape">
                    <wps:wsp>
                      <wps:cNvSpPr txBox="1"/>
                      <wps:spPr>
                        <a:xfrm>
                          <a:off x="0" y="0"/>
                          <a:ext cx="466725" cy="334978"/>
                        </a:xfrm>
                        <a:prstGeom prst="rect">
                          <a:avLst/>
                        </a:prstGeom>
                        <a:solidFill>
                          <a:schemeClr val="lt1"/>
                        </a:solidFill>
                        <a:ln w="6350">
                          <a:noFill/>
                        </a:ln>
                      </wps:spPr>
                      <wps:txbx>
                        <w:txbxContent>
                          <w:p w14:paraId="31E7CD93" w14:textId="532DB125" w:rsidR="00B36B2D" w:rsidRPr="005A7686" w:rsidRDefault="005A7686" w:rsidP="008E2EE5">
                            <w:pPr>
                              <w:ind w:left="1" w:hanging="3"/>
                              <w:rPr>
                                <w:b/>
                                <w:bCs/>
                                <w:sz w:val="28"/>
                                <w:szCs w:val="28"/>
                              </w:rPr>
                            </w:pPr>
                            <w:r w:rsidRPr="005A7686">
                              <w:rPr>
                                <w:b/>
                                <w:bCs/>
                                <w:sz w:val="28"/>
                                <w:szCs w:val="28"/>
                              </w:rPr>
                              <w:t>(</w:t>
                            </w:r>
                            <w:r w:rsidR="00B36B2D" w:rsidRPr="005A7686">
                              <w:rPr>
                                <w:b/>
                                <w:bCs/>
                                <w:sz w:val="28"/>
                                <w:szCs w:val="28"/>
                              </w:rPr>
                              <w:t>b</w:t>
                            </w:r>
                            <w:r w:rsidRPr="005A7686">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024C" id="Text Box 10" o:spid="_x0000_s1027" type="#_x0000_t202" style="position:absolute;left:0;text-align:left;margin-left:50.95pt;margin-top:7.2pt;width:36.75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" fillcolor="white [3201]" stroked="f" strokeweight=".5pt">
                <v:textbox>
                  <w:txbxContent>
                    <w:p w14:paraId="31E7CD93" w14:textId="532DB125" w:rsidR="00B36B2D" w:rsidRPr="005A7686" w:rsidRDefault="005A7686" w:rsidP="008E2EE5">
                      <w:pPr>
                        <w:ind w:left="1" w:hanging="3"/>
                        <w:rPr>
                          <w:b/>
                          <w:bCs/>
                          <w:sz w:val="28"/>
                          <w:szCs w:val="28"/>
                        </w:rPr>
                      </w:pPr>
                      <w:r w:rsidRPr="005A7686">
                        <w:rPr>
                          <w:b/>
                          <w:bCs/>
                          <w:sz w:val="28"/>
                          <w:szCs w:val="28"/>
                        </w:rPr>
                        <w:t>(</w:t>
                      </w:r>
                      <w:r w:rsidR="00B36B2D" w:rsidRPr="005A7686">
                        <w:rPr>
                          <w:b/>
                          <w:bCs/>
                          <w:sz w:val="28"/>
                          <w:szCs w:val="28"/>
                        </w:rPr>
                        <w:t>b</w:t>
                      </w:r>
                      <w:r w:rsidRPr="005A7686">
                        <w:rPr>
                          <w:b/>
                          <w:bCs/>
                          <w:sz w:val="28"/>
                          <w:szCs w:val="28"/>
                        </w:rPr>
                        <w:t>)</w:t>
                      </w:r>
                    </w:p>
                  </w:txbxContent>
                </v:textbox>
              </v:shape>
            </w:pict>
          </mc:Fallback>
        </mc:AlternateContent>
      </w:r>
      <w:r w:rsidRPr="00F2217F">
        <w:rPr>
          <w:rFonts w:ascii="Times New Roman" w:hAnsi="Times New Roman" w:cs="Times New Roman"/>
          <w:noProof/>
          <w:sz w:val="24"/>
          <w:szCs w:val="24"/>
          <w:lang w:val="en-MY" w:eastAsia="en-MY"/>
        </w:rPr>
        <w:drawing>
          <wp:inline distT="0" distB="0" distL="0" distR="0" wp14:anchorId="7595F1E3" wp14:editId="326C266B">
            <wp:extent cx="4942840" cy="2657475"/>
            <wp:effectExtent l="0" t="0" r="10160" b="9525"/>
            <wp:docPr id="3" name="Chart 3">
              <a:extLst xmlns:a="http://schemas.openxmlformats.org/drawingml/2006/main">
                <a:ext uri="{FF2B5EF4-FFF2-40B4-BE49-F238E27FC236}">
                  <a16:creationId xmlns:a16="http://schemas.microsoft.com/office/drawing/2014/main" id="{27F65A21-93AA-4E44-9956-87A9F75A6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A9350A" w14:textId="77777777" w:rsidR="005A7686" w:rsidRDefault="005A7686" w:rsidP="006A2F97">
      <w:pPr>
        <w:pStyle w:val="ListParagraph"/>
        <w:spacing w:after="0" w:line="240" w:lineRule="auto"/>
        <w:ind w:leftChars="0" w:left="2" w:hanging="2"/>
        <w:jc w:val="center"/>
        <w:rPr>
          <w:rFonts w:ascii="Times New Roman" w:hAnsi="Times New Roman" w:cs="Times New Roman"/>
          <w:b/>
          <w:bCs/>
          <w:sz w:val="20"/>
          <w:szCs w:val="20"/>
        </w:rPr>
      </w:pPr>
    </w:p>
    <w:p w14:paraId="3D5A18B4" w14:textId="1CA27D2F" w:rsidR="008E2EE5" w:rsidRPr="00F2217F" w:rsidRDefault="008E2EE5"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 xml:space="preserve">Figure </w:t>
      </w:r>
      <w:r w:rsidR="00A354E4" w:rsidRPr="00F2217F">
        <w:rPr>
          <w:rFonts w:ascii="Times New Roman" w:hAnsi="Times New Roman" w:cs="Times New Roman"/>
          <w:b/>
          <w:bCs/>
          <w:sz w:val="20"/>
          <w:szCs w:val="20"/>
        </w:rPr>
        <w:t>7</w:t>
      </w:r>
      <w:r w:rsidRPr="00F2217F">
        <w:rPr>
          <w:rFonts w:ascii="Times New Roman" w:hAnsi="Times New Roman" w:cs="Times New Roman"/>
          <w:b/>
          <w:bCs/>
          <w:sz w:val="20"/>
          <w:szCs w:val="20"/>
        </w:rPr>
        <w:t>.</w:t>
      </w:r>
      <w:r w:rsidRPr="00F2217F">
        <w:rPr>
          <w:rFonts w:ascii="Times New Roman" w:hAnsi="Times New Roman" w:cs="Times New Roman"/>
          <w:sz w:val="20"/>
          <w:szCs w:val="20"/>
        </w:rPr>
        <w:t xml:space="preserve"> Fire count by region between 2001-2020 </w:t>
      </w:r>
      <w:r w:rsidR="005A7686">
        <w:rPr>
          <w:rFonts w:ascii="Times New Roman" w:hAnsi="Times New Roman" w:cs="Times New Roman"/>
          <w:sz w:val="20"/>
          <w:szCs w:val="20"/>
        </w:rPr>
        <w:t>with</w:t>
      </w:r>
      <w:r w:rsidRPr="00F2217F">
        <w:rPr>
          <w:rFonts w:ascii="Times New Roman" w:hAnsi="Times New Roman" w:cs="Times New Roman"/>
          <w:sz w:val="20"/>
          <w:szCs w:val="20"/>
        </w:rPr>
        <w:t xml:space="preserve">in </w:t>
      </w:r>
      <w:r w:rsidR="005A7686">
        <w:rPr>
          <w:rFonts w:ascii="Times New Roman" w:hAnsi="Times New Roman" w:cs="Times New Roman"/>
          <w:sz w:val="20"/>
          <w:szCs w:val="20"/>
        </w:rPr>
        <w:t>(</w:t>
      </w:r>
      <w:r w:rsidRPr="00F2217F">
        <w:rPr>
          <w:rFonts w:ascii="Times New Roman" w:hAnsi="Times New Roman" w:cs="Times New Roman"/>
          <w:sz w:val="20"/>
          <w:szCs w:val="20"/>
        </w:rPr>
        <w:t>a</w:t>
      </w:r>
      <w:r w:rsidR="005A7686">
        <w:rPr>
          <w:rFonts w:ascii="Times New Roman" w:hAnsi="Times New Roman" w:cs="Times New Roman"/>
          <w:sz w:val="20"/>
          <w:szCs w:val="20"/>
        </w:rPr>
        <w:t>)</w:t>
      </w:r>
      <w:r w:rsidRPr="00F2217F">
        <w:rPr>
          <w:rFonts w:ascii="Times New Roman" w:hAnsi="Times New Roman" w:cs="Times New Roman"/>
          <w:sz w:val="20"/>
          <w:szCs w:val="20"/>
        </w:rPr>
        <w:t xml:space="preserve"> Outside Forest and </w:t>
      </w:r>
      <w:r w:rsidR="005A7686">
        <w:rPr>
          <w:rFonts w:ascii="Times New Roman" w:hAnsi="Times New Roman" w:cs="Times New Roman"/>
          <w:sz w:val="20"/>
          <w:szCs w:val="20"/>
        </w:rPr>
        <w:t>(</w:t>
      </w:r>
      <w:r w:rsidRPr="00F2217F">
        <w:rPr>
          <w:rFonts w:ascii="Times New Roman" w:hAnsi="Times New Roman" w:cs="Times New Roman"/>
          <w:sz w:val="20"/>
          <w:szCs w:val="20"/>
        </w:rPr>
        <w:t>b</w:t>
      </w:r>
      <w:r w:rsidR="005A7686">
        <w:rPr>
          <w:rFonts w:ascii="Times New Roman" w:hAnsi="Times New Roman" w:cs="Times New Roman"/>
          <w:sz w:val="20"/>
          <w:szCs w:val="20"/>
        </w:rPr>
        <w:t>)</w:t>
      </w:r>
      <w:r w:rsidRPr="00F2217F">
        <w:rPr>
          <w:rFonts w:ascii="Times New Roman" w:hAnsi="Times New Roman" w:cs="Times New Roman"/>
          <w:sz w:val="20"/>
          <w:szCs w:val="20"/>
        </w:rPr>
        <w:t xml:space="preserve"> Degraded Forest</w:t>
      </w:r>
    </w:p>
    <w:p w14:paraId="447290A0" w14:textId="77777777" w:rsidR="008E2EE5" w:rsidRPr="00F2217F" w:rsidRDefault="008E2EE5" w:rsidP="006A2F97">
      <w:pPr>
        <w:pStyle w:val="ListParagraph"/>
        <w:spacing w:after="0" w:line="240" w:lineRule="auto"/>
        <w:ind w:leftChars="0" w:left="2" w:hanging="2"/>
        <w:jc w:val="both"/>
        <w:rPr>
          <w:rFonts w:ascii="Times New Roman" w:hAnsi="Times New Roman" w:cs="Times New Roman"/>
          <w:sz w:val="24"/>
          <w:szCs w:val="24"/>
        </w:rPr>
      </w:pPr>
    </w:p>
    <w:p w14:paraId="40F97144" w14:textId="1EFC7715" w:rsidR="00A02152" w:rsidRDefault="00A02152" w:rsidP="00A02152">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p>
    <w:p w14:paraId="7A231ECA" w14:textId="24C8A89E" w:rsidR="008E2EE5" w:rsidRPr="00F2217F" w:rsidRDefault="008E2EE5" w:rsidP="00A02152">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hAnsi="Times New Roman" w:cs="Times New Roman"/>
          <w:i/>
          <w:iCs/>
          <w:sz w:val="24"/>
          <w:szCs w:val="24"/>
        </w:rPr>
        <w:t>Primary forest fire time distribution</w:t>
      </w:r>
    </w:p>
    <w:p w14:paraId="5A039880" w14:textId="77777777" w:rsidR="00A02152" w:rsidRDefault="00A02152" w:rsidP="006A2F97">
      <w:pPr>
        <w:pStyle w:val="ListParagraph"/>
        <w:spacing w:after="0" w:line="240" w:lineRule="auto"/>
        <w:ind w:leftChars="0" w:left="2" w:hanging="2"/>
        <w:jc w:val="both"/>
        <w:rPr>
          <w:rFonts w:ascii="Times New Roman" w:hAnsi="Times New Roman" w:cs="Times New Roman"/>
          <w:sz w:val="24"/>
          <w:szCs w:val="24"/>
        </w:rPr>
      </w:pPr>
    </w:p>
    <w:p w14:paraId="30613554" w14:textId="6E9ABEC8" w:rsidR="008E2EE5" w:rsidRDefault="008E2EE5"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 xml:space="preserve">Fire in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primary forest is measly compared to other types of regions, it is rare in tropical forest ecosystems</w:t>
      </w:r>
      <w:r w:rsidR="005A7686" w:rsidRPr="00F2217F">
        <w:rPr>
          <w:rFonts w:ascii="Times New Roman" w:hAnsi="Times New Roman" w:cs="Times New Roman"/>
          <w:noProof/>
          <w:sz w:val="24"/>
          <w:szCs w:val="24"/>
        </w:rPr>
        <w:t xml:space="preserve"> (Cochrane, 2003) (Goldammer, 2007)</w:t>
      </w:r>
      <w:r w:rsidRPr="00F2217F">
        <w:rPr>
          <w:rFonts w:ascii="Times New Roman" w:hAnsi="Times New Roman" w:cs="Times New Roman"/>
          <w:sz w:val="24"/>
          <w:szCs w:val="24"/>
        </w:rPr>
        <w:t>. Primary Intact Forest is more resilient compared with Degraded Forest, fire</w:t>
      </w:r>
      <w:r w:rsidR="00F2217F" w:rsidRPr="00F2217F">
        <w:rPr>
          <w:rFonts w:ascii="Times New Roman" w:hAnsi="Times New Roman" w:cs="Times New Roman"/>
          <w:sz w:val="24"/>
          <w:szCs w:val="24"/>
        </w:rPr>
        <w:t>-</w:t>
      </w:r>
      <w:r w:rsidRPr="00F2217F">
        <w:rPr>
          <w:rFonts w:ascii="Times New Roman" w:hAnsi="Times New Roman" w:cs="Times New Roman"/>
          <w:sz w:val="24"/>
          <w:szCs w:val="24"/>
        </w:rPr>
        <w:t xml:space="preserve">affected on average only 0.9% of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primary intact forest while 6.2-11% on degraded forest or deforested region</w:t>
      </w:r>
      <w:sdt>
        <w:sdtPr>
          <w:rPr>
            <w:rFonts w:ascii="Times New Roman" w:hAnsi="Times New Roman" w:cs="Times New Roman"/>
            <w:sz w:val="24"/>
            <w:szCs w:val="24"/>
          </w:rPr>
          <w:id w:val="2143230520"/>
          <w:citation/>
        </w:sdtPr>
        <w:sdtEndPr/>
        <w:sdtContent>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CITATION Tad20 \l 1033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(Nikonovas, Spessa, Doerr, Clay, &amp; Mezbahuddin, 2020)</w:t>
          </w:r>
          <w:r w:rsidRPr="00F2217F">
            <w:rPr>
              <w:rFonts w:ascii="Times New Roman" w:hAnsi="Times New Roman" w:cs="Times New Roman"/>
              <w:sz w:val="24"/>
              <w:szCs w:val="24"/>
            </w:rPr>
            <w:fldChar w:fldCharType="end"/>
          </w:r>
        </w:sdtContent>
      </w:sdt>
      <w:r w:rsidRPr="00F2217F">
        <w:rPr>
          <w:rFonts w:ascii="Times New Roman" w:hAnsi="Times New Roman" w:cs="Times New Roman"/>
          <w:sz w:val="24"/>
          <w:szCs w:val="24"/>
        </w:rPr>
        <w:t xml:space="preserve">. Although the pattern looks similar, the Primary Intact Forest fire has a unique condition as shown in Figure </w:t>
      </w:r>
      <w:r w:rsidR="00493637" w:rsidRPr="00F2217F">
        <w:rPr>
          <w:rFonts w:ascii="Times New Roman" w:hAnsi="Times New Roman" w:cs="Times New Roman"/>
          <w:sz w:val="24"/>
          <w:szCs w:val="24"/>
        </w:rPr>
        <w:t>8</w:t>
      </w:r>
      <w:r w:rsidRPr="00F2217F">
        <w:rPr>
          <w:rFonts w:ascii="Times New Roman" w:hAnsi="Times New Roman" w:cs="Times New Roman"/>
          <w:sz w:val="24"/>
          <w:szCs w:val="24"/>
        </w:rPr>
        <w:t xml:space="preserve">. First, the fire never happens outside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June-October months. Second, the highest forest fires appear in the 2004 season, not in 2015 when there is a very strong El Nino. Third, 2012 La Nina year has more fire than 2019 El Nino year.</w:t>
      </w:r>
    </w:p>
    <w:p w14:paraId="4D46A453" w14:textId="77777777" w:rsidR="005A7686" w:rsidRPr="00F2217F" w:rsidRDefault="005A7686" w:rsidP="006A2F97">
      <w:pPr>
        <w:pStyle w:val="ListParagraph"/>
        <w:spacing w:after="0" w:line="240" w:lineRule="auto"/>
        <w:ind w:leftChars="0" w:left="2" w:hanging="2"/>
        <w:jc w:val="both"/>
        <w:rPr>
          <w:rFonts w:ascii="Times New Roman" w:hAnsi="Times New Roman" w:cs="Times New Roman"/>
          <w:sz w:val="24"/>
          <w:szCs w:val="24"/>
        </w:rPr>
      </w:pPr>
    </w:p>
    <w:p w14:paraId="1C479A6E"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lastRenderedPageBreak/>
        <w:drawing>
          <wp:inline distT="0" distB="0" distL="0" distR="0" wp14:anchorId="49800A0B" wp14:editId="2DC6F3DA">
            <wp:extent cx="4695825" cy="2533650"/>
            <wp:effectExtent l="0" t="0" r="9525" b="0"/>
            <wp:docPr id="4" name="Chart 4">
              <a:extLst xmlns:a="http://schemas.openxmlformats.org/drawingml/2006/main">
                <a:ext uri="{FF2B5EF4-FFF2-40B4-BE49-F238E27FC236}">
                  <a16:creationId xmlns:a16="http://schemas.microsoft.com/office/drawing/2014/main" id="{B8B12F7D-AA70-DE4C-B561-3FA724712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715ADF" w14:textId="77777777" w:rsidR="005A3C20" w:rsidRDefault="005A3C20" w:rsidP="006A2F97">
      <w:pPr>
        <w:pStyle w:val="ListParagraph"/>
        <w:spacing w:after="0" w:line="240" w:lineRule="auto"/>
        <w:ind w:leftChars="0" w:left="2" w:hanging="2"/>
        <w:jc w:val="center"/>
        <w:rPr>
          <w:rFonts w:ascii="Times New Roman" w:hAnsi="Times New Roman" w:cs="Times New Roman"/>
          <w:b/>
          <w:bCs/>
          <w:sz w:val="20"/>
          <w:szCs w:val="20"/>
        </w:rPr>
      </w:pPr>
    </w:p>
    <w:p w14:paraId="01FC294F" w14:textId="46B81CFD" w:rsidR="008E2EE5" w:rsidRPr="00F2217F" w:rsidRDefault="008E2EE5"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 xml:space="preserve">Figure </w:t>
      </w:r>
      <w:r w:rsidR="00A354E4" w:rsidRPr="00F2217F">
        <w:rPr>
          <w:rFonts w:ascii="Times New Roman" w:hAnsi="Times New Roman" w:cs="Times New Roman"/>
          <w:b/>
          <w:bCs/>
          <w:sz w:val="20"/>
          <w:szCs w:val="20"/>
        </w:rPr>
        <w:t>8</w:t>
      </w:r>
      <w:r w:rsidRPr="00F2217F">
        <w:rPr>
          <w:rFonts w:ascii="Times New Roman" w:hAnsi="Times New Roman" w:cs="Times New Roman"/>
          <w:b/>
          <w:bCs/>
          <w:sz w:val="20"/>
          <w:szCs w:val="20"/>
        </w:rPr>
        <w:t>.</w:t>
      </w:r>
      <w:r w:rsidRPr="00F2217F">
        <w:rPr>
          <w:rFonts w:ascii="Times New Roman" w:hAnsi="Times New Roman" w:cs="Times New Roman"/>
          <w:sz w:val="20"/>
          <w:szCs w:val="20"/>
        </w:rPr>
        <w:t xml:space="preserve"> Fire count in </w:t>
      </w:r>
      <w:r w:rsidR="00F2217F" w:rsidRPr="00F2217F">
        <w:rPr>
          <w:rFonts w:ascii="Times New Roman" w:hAnsi="Times New Roman" w:cs="Times New Roman"/>
          <w:sz w:val="20"/>
          <w:szCs w:val="20"/>
        </w:rPr>
        <w:t xml:space="preserve">the </w:t>
      </w:r>
      <w:r w:rsidRPr="00F2217F">
        <w:rPr>
          <w:rFonts w:ascii="Times New Roman" w:hAnsi="Times New Roman" w:cs="Times New Roman"/>
          <w:sz w:val="20"/>
          <w:szCs w:val="20"/>
        </w:rPr>
        <w:t>primary forest fire of Kalimantan between 2001-2020</w:t>
      </w:r>
      <w:r w:rsidR="005A3C20">
        <w:rPr>
          <w:rFonts w:ascii="Times New Roman" w:hAnsi="Times New Roman" w:cs="Times New Roman"/>
          <w:sz w:val="20"/>
          <w:szCs w:val="20"/>
        </w:rPr>
        <w:t>.</w:t>
      </w:r>
    </w:p>
    <w:p w14:paraId="41C969C8" w14:textId="77777777" w:rsidR="008E2EE5" w:rsidRPr="00F2217F" w:rsidRDefault="008E2EE5" w:rsidP="006A2F97">
      <w:pPr>
        <w:pStyle w:val="ListParagraph"/>
        <w:spacing w:after="0" w:line="240" w:lineRule="auto"/>
        <w:ind w:leftChars="0" w:left="2" w:hanging="2"/>
        <w:jc w:val="both"/>
        <w:rPr>
          <w:rFonts w:ascii="Times New Roman" w:hAnsi="Times New Roman" w:cs="Times New Roman"/>
          <w:sz w:val="20"/>
          <w:szCs w:val="20"/>
        </w:rPr>
      </w:pPr>
    </w:p>
    <w:p w14:paraId="66EBEC55" w14:textId="003CC7C2" w:rsidR="008E2EE5" w:rsidRPr="00F2217F" w:rsidRDefault="00A02152"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026C1" w:rsidRPr="00F2217F">
        <w:rPr>
          <w:rFonts w:ascii="Times New Roman" w:hAnsi="Times New Roman" w:cs="Times New Roman"/>
          <w:sz w:val="24"/>
          <w:szCs w:val="24"/>
        </w:rPr>
        <w:t xml:space="preserve">The study </w:t>
      </w:r>
      <w:r w:rsidR="008E2EE5" w:rsidRPr="00F2217F">
        <w:rPr>
          <w:rFonts w:ascii="Times New Roman" w:hAnsi="Times New Roman" w:cs="Times New Roman"/>
          <w:sz w:val="24"/>
          <w:szCs w:val="24"/>
        </w:rPr>
        <w:t>also composite</w:t>
      </w:r>
      <w:r w:rsidR="00F2217F" w:rsidRPr="00F2217F">
        <w:rPr>
          <w:rFonts w:ascii="Times New Roman" w:hAnsi="Times New Roman" w:cs="Times New Roman"/>
          <w:sz w:val="24"/>
          <w:szCs w:val="24"/>
        </w:rPr>
        <w:t>s</w:t>
      </w:r>
      <w:r w:rsidR="008E2EE5" w:rsidRPr="00F2217F">
        <w:rPr>
          <w:rFonts w:ascii="Times New Roman" w:hAnsi="Times New Roman" w:cs="Times New Roman"/>
          <w:sz w:val="24"/>
          <w:szCs w:val="24"/>
        </w:rPr>
        <w:t xml:space="preserve"> the monthly fire into </w:t>
      </w:r>
      <w:r w:rsidR="00F2217F" w:rsidRPr="00F2217F">
        <w:rPr>
          <w:rFonts w:ascii="Times New Roman" w:hAnsi="Times New Roman" w:cs="Times New Roman"/>
          <w:sz w:val="24"/>
          <w:szCs w:val="24"/>
        </w:rPr>
        <w:t xml:space="preserve">the </w:t>
      </w:r>
      <w:r w:rsidR="008E2EE5" w:rsidRPr="00F2217F">
        <w:rPr>
          <w:rFonts w:ascii="Times New Roman" w:hAnsi="Times New Roman" w:cs="Times New Roman"/>
          <w:sz w:val="24"/>
          <w:szCs w:val="24"/>
        </w:rPr>
        <w:t xml:space="preserve">yearly fire (Figure </w:t>
      </w:r>
      <w:r w:rsidR="00493637" w:rsidRPr="00F2217F">
        <w:rPr>
          <w:rFonts w:ascii="Times New Roman" w:hAnsi="Times New Roman" w:cs="Times New Roman"/>
          <w:sz w:val="24"/>
          <w:szCs w:val="24"/>
        </w:rPr>
        <w:t>9</w:t>
      </w:r>
      <w:r w:rsidR="008E2EE5" w:rsidRPr="00F2217F">
        <w:rPr>
          <w:rFonts w:ascii="Times New Roman" w:hAnsi="Times New Roman" w:cs="Times New Roman"/>
          <w:sz w:val="24"/>
          <w:szCs w:val="24"/>
        </w:rPr>
        <w:t xml:space="preserve">). The black line is </w:t>
      </w:r>
      <w:r w:rsidR="00F2217F" w:rsidRPr="00F2217F">
        <w:rPr>
          <w:rFonts w:ascii="Times New Roman" w:hAnsi="Times New Roman" w:cs="Times New Roman"/>
          <w:sz w:val="24"/>
          <w:szCs w:val="24"/>
        </w:rPr>
        <w:t xml:space="preserve">a </w:t>
      </w:r>
      <w:r w:rsidR="008E2EE5" w:rsidRPr="00F2217F">
        <w:rPr>
          <w:rFonts w:ascii="Times New Roman" w:hAnsi="Times New Roman" w:cs="Times New Roman"/>
          <w:sz w:val="24"/>
          <w:szCs w:val="24"/>
        </w:rPr>
        <w:t xml:space="preserve">primary forest fire and the bar is combines fire in all regions. The red bar is for El Nino year. Then, compare the fire in all regions with fire in primary forest only. In general, the fire follows the same pattern for both. The only main difference appears between 2002-2006. In </w:t>
      </w:r>
      <w:r w:rsidR="00F2217F" w:rsidRPr="00F2217F">
        <w:rPr>
          <w:rFonts w:ascii="Times New Roman" w:hAnsi="Times New Roman" w:cs="Times New Roman"/>
          <w:sz w:val="24"/>
          <w:szCs w:val="24"/>
        </w:rPr>
        <w:t xml:space="preserve">the </w:t>
      </w:r>
      <w:r w:rsidR="008E2EE5" w:rsidRPr="00F2217F">
        <w:rPr>
          <w:rFonts w:ascii="Times New Roman" w:hAnsi="Times New Roman" w:cs="Times New Roman"/>
          <w:sz w:val="24"/>
          <w:szCs w:val="24"/>
        </w:rPr>
        <w:t xml:space="preserve">primary forest, the 2004 fire is higher than </w:t>
      </w:r>
      <w:r w:rsidR="00F2217F" w:rsidRPr="00F2217F">
        <w:rPr>
          <w:rFonts w:ascii="Times New Roman" w:hAnsi="Times New Roman" w:cs="Times New Roman"/>
          <w:sz w:val="24"/>
          <w:szCs w:val="24"/>
        </w:rPr>
        <w:t xml:space="preserve">in </w:t>
      </w:r>
      <w:r w:rsidR="008E2EE5" w:rsidRPr="00F2217F">
        <w:rPr>
          <w:rFonts w:ascii="Times New Roman" w:hAnsi="Times New Roman" w:cs="Times New Roman"/>
          <w:sz w:val="24"/>
          <w:szCs w:val="24"/>
        </w:rPr>
        <w:t>2002 and 2006. But in the combine</w:t>
      </w:r>
      <w:r w:rsidR="00F2217F" w:rsidRPr="00F2217F">
        <w:rPr>
          <w:rFonts w:ascii="Times New Roman" w:hAnsi="Times New Roman" w:cs="Times New Roman"/>
          <w:sz w:val="24"/>
          <w:szCs w:val="24"/>
        </w:rPr>
        <w:t>d</w:t>
      </w:r>
      <w:r w:rsidR="008E2EE5" w:rsidRPr="00F2217F">
        <w:rPr>
          <w:rFonts w:ascii="Times New Roman" w:hAnsi="Times New Roman" w:cs="Times New Roman"/>
          <w:sz w:val="24"/>
          <w:szCs w:val="24"/>
        </w:rPr>
        <w:t xml:space="preserve"> region, 2004 </w:t>
      </w:r>
      <w:r w:rsidR="005A3C20">
        <w:rPr>
          <w:rFonts w:ascii="Times New Roman" w:hAnsi="Times New Roman" w:cs="Times New Roman"/>
          <w:sz w:val="24"/>
          <w:szCs w:val="24"/>
        </w:rPr>
        <w:t>s</w:t>
      </w:r>
      <w:r w:rsidR="008E2EE5" w:rsidRPr="00F2217F">
        <w:rPr>
          <w:rFonts w:ascii="Times New Roman" w:hAnsi="Times New Roman" w:cs="Times New Roman"/>
          <w:sz w:val="24"/>
          <w:szCs w:val="24"/>
        </w:rPr>
        <w:t>aw a lower fire count compared to 2002 and 2006.</w:t>
      </w:r>
    </w:p>
    <w:p w14:paraId="03D65F16" w14:textId="77777777" w:rsidR="008E2EE5" w:rsidRPr="00073A27" w:rsidRDefault="008E2EE5" w:rsidP="006A2F97">
      <w:pPr>
        <w:pStyle w:val="ListParagraph"/>
        <w:spacing w:after="0" w:line="240" w:lineRule="auto"/>
        <w:ind w:leftChars="0" w:left="2" w:hanging="2"/>
        <w:jc w:val="both"/>
        <w:rPr>
          <w:rFonts w:ascii="Times New Roman" w:hAnsi="Times New Roman" w:cs="Times New Roman"/>
          <w:sz w:val="20"/>
          <w:szCs w:val="20"/>
        </w:rPr>
      </w:pPr>
    </w:p>
    <w:p w14:paraId="520A792D"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drawing>
          <wp:inline distT="0" distB="0" distL="0" distR="0" wp14:anchorId="4B206A4D" wp14:editId="36B20254">
            <wp:extent cx="5248275" cy="2867025"/>
            <wp:effectExtent l="0" t="0" r="9525" b="9525"/>
            <wp:docPr id="5" name="Chart 5">
              <a:extLst xmlns:a="http://schemas.openxmlformats.org/drawingml/2006/main">
                <a:ext uri="{FF2B5EF4-FFF2-40B4-BE49-F238E27FC236}">
                  <a16:creationId xmlns:a16="http://schemas.microsoft.com/office/drawing/2014/main" id="{D0E1620B-E7EE-3944-8F3B-80E02C555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E77B4B" w14:textId="77777777" w:rsidR="00073A27" w:rsidRPr="00073A27" w:rsidRDefault="00073A27" w:rsidP="006A2F97">
      <w:pPr>
        <w:pStyle w:val="ListParagraph"/>
        <w:spacing w:after="0" w:line="240" w:lineRule="auto"/>
        <w:ind w:leftChars="0" w:left="2" w:hanging="2"/>
        <w:jc w:val="center"/>
        <w:rPr>
          <w:rFonts w:ascii="Times New Roman" w:hAnsi="Times New Roman" w:cs="Times New Roman"/>
          <w:b/>
          <w:bCs/>
          <w:sz w:val="16"/>
          <w:szCs w:val="16"/>
        </w:rPr>
      </w:pPr>
    </w:p>
    <w:p w14:paraId="76D7974D" w14:textId="1CD9FDBA" w:rsidR="008E2EE5" w:rsidRPr="00F2217F" w:rsidRDefault="008E2EE5"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 xml:space="preserve">Figure </w:t>
      </w:r>
      <w:r w:rsidR="00A354E4" w:rsidRPr="00F2217F">
        <w:rPr>
          <w:rFonts w:ascii="Times New Roman" w:hAnsi="Times New Roman" w:cs="Times New Roman"/>
          <w:b/>
          <w:bCs/>
          <w:sz w:val="20"/>
          <w:szCs w:val="20"/>
        </w:rPr>
        <w:t>9</w:t>
      </w:r>
      <w:r w:rsidRPr="00F2217F">
        <w:rPr>
          <w:rFonts w:ascii="Times New Roman" w:hAnsi="Times New Roman" w:cs="Times New Roman"/>
          <w:b/>
          <w:bCs/>
          <w:sz w:val="20"/>
          <w:szCs w:val="20"/>
        </w:rPr>
        <w:t>.</w:t>
      </w:r>
      <w:r w:rsidRPr="00F2217F">
        <w:rPr>
          <w:rFonts w:ascii="Times New Roman" w:hAnsi="Times New Roman" w:cs="Times New Roman"/>
          <w:sz w:val="20"/>
          <w:szCs w:val="20"/>
        </w:rPr>
        <w:t xml:space="preserve"> Comparison of yearly fire between primary forest fire and all</w:t>
      </w:r>
      <w:r w:rsidR="00F2217F" w:rsidRPr="00F2217F">
        <w:rPr>
          <w:rFonts w:ascii="Times New Roman" w:hAnsi="Times New Roman" w:cs="Times New Roman"/>
          <w:sz w:val="20"/>
          <w:szCs w:val="20"/>
        </w:rPr>
        <w:t>-</w:t>
      </w:r>
      <w:r w:rsidRPr="00F2217F">
        <w:rPr>
          <w:rFonts w:ascii="Times New Roman" w:hAnsi="Times New Roman" w:cs="Times New Roman"/>
          <w:sz w:val="20"/>
          <w:szCs w:val="20"/>
        </w:rPr>
        <w:t>region fire</w:t>
      </w:r>
    </w:p>
    <w:p w14:paraId="47D44AA6" w14:textId="77777777" w:rsidR="008E2EE5" w:rsidRPr="00073A27" w:rsidRDefault="008E2EE5" w:rsidP="006A2F97">
      <w:pPr>
        <w:pStyle w:val="ListParagraph"/>
        <w:spacing w:after="0" w:line="240" w:lineRule="auto"/>
        <w:ind w:leftChars="0" w:left="2" w:hanging="2"/>
        <w:jc w:val="both"/>
        <w:rPr>
          <w:rFonts w:ascii="Times New Roman" w:hAnsi="Times New Roman" w:cs="Times New Roman"/>
          <w:sz w:val="24"/>
          <w:szCs w:val="24"/>
        </w:rPr>
      </w:pPr>
    </w:p>
    <w:p w14:paraId="3640AEE0" w14:textId="06EBF477" w:rsidR="008E2EE5" w:rsidRDefault="00A02152" w:rsidP="006A2F97">
      <w:pPr>
        <w:pBdr>
          <w:top w:val="nil"/>
          <w:left w:val="nil"/>
          <w:bottom w:val="nil"/>
          <w:right w:val="nil"/>
          <w:between w:val="nil"/>
        </w:pBdr>
        <w:spacing w:after="0" w:line="240" w:lineRule="auto"/>
        <w:ind w:leftChars="0" w:left="2" w:hanging="2"/>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8E2EE5" w:rsidRPr="00F2217F">
        <w:rPr>
          <w:rFonts w:ascii="Times New Roman" w:eastAsia="Arial" w:hAnsi="Times New Roman" w:cs="Times New Roman"/>
          <w:sz w:val="24"/>
          <w:szCs w:val="24"/>
        </w:rPr>
        <w:t xml:space="preserve">To get more detail, </w:t>
      </w:r>
      <w:r w:rsidR="00D026C1" w:rsidRPr="00F2217F">
        <w:rPr>
          <w:rFonts w:ascii="Times New Roman" w:eastAsia="Arial" w:hAnsi="Times New Roman" w:cs="Times New Roman"/>
          <w:sz w:val="24"/>
          <w:szCs w:val="24"/>
        </w:rPr>
        <w:t xml:space="preserve">the research </w:t>
      </w:r>
      <w:r w:rsidR="008E2EE5" w:rsidRPr="00F2217F">
        <w:rPr>
          <w:rFonts w:ascii="Times New Roman" w:eastAsia="Arial" w:hAnsi="Times New Roman" w:cs="Times New Roman"/>
          <w:sz w:val="24"/>
          <w:szCs w:val="24"/>
        </w:rPr>
        <w:t>also plot</w:t>
      </w:r>
      <w:r w:rsidR="00F2217F" w:rsidRPr="00F2217F">
        <w:rPr>
          <w:rFonts w:ascii="Times New Roman" w:eastAsia="Arial" w:hAnsi="Times New Roman" w:cs="Times New Roman"/>
          <w:sz w:val="24"/>
          <w:szCs w:val="24"/>
        </w:rPr>
        <w:t>s</w:t>
      </w:r>
      <w:r w:rsidR="008E2EE5" w:rsidRPr="00F2217F">
        <w:rPr>
          <w:rFonts w:ascii="Times New Roman" w:eastAsia="Arial" w:hAnsi="Times New Roman" w:cs="Times New Roman"/>
          <w:sz w:val="24"/>
          <w:szCs w:val="24"/>
        </w:rPr>
        <w:t xml:space="preserve"> the spatial distribution of forest cover in Figure </w:t>
      </w:r>
      <w:r w:rsidR="00493637" w:rsidRPr="00F2217F">
        <w:rPr>
          <w:rFonts w:ascii="Times New Roman" w:eastAsia="Arial" w:hAnsi="Times New Roman" w:cs="Times New Roman"/>
          <w:sz w:val="24"/>
          <w:szCs w:val="24"/>
        </w:rPr>
        <w:t>10</w:t>
      </w:r>
      <w:r w:rsidR="008E2EE5" w:rsidRPr="00F2217F">
        <w:rPr>
          <w:rFonts w:ascii="Times New Roman" w:eastAsia="Arial" w:hAnsi="Times New Roman" w:cs="Times New Roman"/>
          <w:sz w:val="24"/>
          <w:szCs w:val="24"/>
        </w:rPr>
        <w:t xml:space="preserve">. The region of Primary Intact Forest remains stable in every period, </w:t>
      </w:r>
      <w:r w:rsidR="00F2217F" w:rsidRPr="00F2217F">
        <w:rPr>
          <w:rFonts w:ascii="Times New Roman" w:eastAsia="Arial" w:hAnsi="Times New Roman" w:cs="Times New Roman"/>
          <w:sz w:val="24"/>
          <w:szCs w:val="24"/>
        </w:rPr>
        <w:t xml:space="preserve">with </w:t>
      </w:r>
      <w:r w:rsidR="008E2EE5" w:rsidRPr="00F2217F">
        <w:rPr>
          <w:rFonts w:ascii="Times New Roman" w:eastAsia="Arial" w:hAnsi="Times New Roman" w:cs="Times New Roman"/>
          <w:sz w:val="24"/>
          <w:szCs w:val="24"/>
        </w:rPr>
        <w:t>almost no significant change. Meanwhile</w:t>
      </w:r>
      <w:r w:rsidR="00F2217F" w:rsidRPr="00F2217F">
        <w:rPr>
          <w:rFonts w:ascii="Times New Roman" w:eastAsia="Arial" w:hAnsi="Times New Roman" w:cs="Times New Roman"/>
          <w:sz w:val="24"/>
          <w:szCs w:val="24"/>
        </w:rPr>
        <w:t>,</w:t>
      </w:r>
      <w:r w:rsidR="008E2EE5" w:rsidRPr="00F2217F">
        <w:rPr>
          <w:rFonts w:ascii="Times New Roman" w:eastAsia="Arial" w:hAnsi="Times New Roman" w:cs="Times New Roman"/>
          <w:sz w:val="24"/>
          <w:szCs w:val="24"/>
        </w:rPr>
        <w:t xml:space="preserve"> degraded forest and outside forest area</w:t>
      </w:r>
      <w:r w:rsidR="007461DB">
        <w:rPr>
          <w:rFonts w:ascii="Times New Roman" w:eastAsia="Arial" w:hAnsi="Times New Roman" w:cs="Times New Roman"/>
          <w:sz w:val="24"/>
          <w:szCs w:val="24"/>
        </w:rPr>
        <w:t>s</w:t>
      </w:r>
      <w:r w:rsidR="008E2EE5" w:rsidRPr="00F2217F">
        <w:rPr>
          <w:rFonts w:ascii="Times New Roman" w:eastAsia="Arial" w:hAnsi="Times New Roman" w:cs="Times New Roman"/>
          <w:sz w:val="24"/>
          <w:szCs w:val="24"/>
        </w:rPr>
        <w:t xml:space="preserve"> decreased significantly from 2000 to 2012. Then, these regions bounce back and increase periodically between 2013-2020. </w:t>
      </w:r>
    </w:p>
    <w:p w14:paraId="6A81A8C8" w14:textId="77777777" w:rsidR="008E2EE5" w:rsidRPr="00F2217F" w:rsidRDefault="008E2EE5" w:rsidP="006A2F97">
      <w:pPr>
        <w:pBdr>
          <w:top w:val="nil"/>
          <w:left w:val="nil"/>
          <w:bottom w:val="nil"/>
          <w:right w:val="nil"/>
          <w:between w:val="nil"/>
        </w:pBdr>
        <w:spacing w:after="0" w:line="240" w:lineRule="auto"/>
        <w:ind w:leftChars="0" w:left="2" w:hanging="2"/>
        <w:jc w:val="center"/>
        <w:rPr>
          <w:rFonts w:ascii="Times New Roman" w:eastAsia="Arial" w:hAnsi="Times New Roman" w:cs="Times New Roman"/>
          <w:sz w:val="24"/>
          <w:szCs w:val="24"/>
        </w:rPr>
      </w:pPr>
      <w:r w:rsidRPr="00F2217F">
        <w:rPr>
          <w:rFonts w:ascii="Times New Roman" w:eastAsia="Arial" w:hAnsi="Times New Roman" w:cs="Times New Roman"/>
          <w:noProof/>
          <w:sz w:val="24"/>
          <w:szCs w:val="24"/>
          <w:lang w:val="en-MY" w:eastAsia="en-MY"/>
        </w:rPr>
        <w:lastRenderedPageBreak/>
        <w:drawing>
          <wp:inline distT="0" distB="0" distL="0" distR="0" wp14:anchorId="103EA775" wp14:editId="4EAAE482">
            <wp:extent cx="4925085" cy="656750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istribution of class reg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8823" cy="6572492"/>
                    </a:xfrm>
                    <a:prstGeom prst="rect">
                      <a:avLst/>
                    </a:prstGeom>
                  </pic:spPr>
                </pic:pic>
              </a:graphicData>
            </a:graphic>
          </wp:inline>
        </w:drawing>
      </w:r>
    </w:p>
    <w:p w14:paraId="6637F28F" w14:textId="77777777" w:rsidR="003C598A" w:rsidRDefault="003C598A" w:rsidP="006A2F97">
      <w:pPr>
        <w:pBdr>
          <w:top w:val="nil"/>
          <w:left w:val="nil"/>
          <w:bottom w:val="nil"/>
          <w:right w:val="nil"/>
          <w:between w:val="nil"/>
        </w:pBdr>
        <w:spacing w:after="0" w:line="240" w:lineRule="auto"/>
        <w:ind w:leftChars="0" w:left="2" w:hanging="2"/>
        <w:jc w:val="center"/>
        <w:rPr>
          <w:rFonts w:ascii="Times New Roman" w:eastAsia="Arial" w:hAnsi="Times New Roman" w:cs="Times New Roman"/>
          <w:b/>
          <w:bCs/>
          <w:sz w:val="20"/>
          <w:szCs w:val="20"/>
        </w:rPr>
      </w:pPr>
    </w:p>
    <w:p w14:paraId="0B34DF98" w14:textId="4D9EF55E" w:rsidR="008E2EE5" w:rsidRPr="00F2217F" w:rsidRDefault="008E2EE5" w:rsidP="006A2F97">
      <w:pPr>
        <w:pBdr>
          <w:top w:val="nil"/>
          <w:left w:val="nil"/>
          <w:bottom w:val="nil"/>
          <w:right w:val="nil"/>
          <w:between w:val="nil"/>
        </w:pBdr>
        <w:spacing w:after="0" w:line="240" w:lineRule="auto"/>
        <w:ind w:leftChars="0" w:left="2" w:hanging="2"/>
        <w:jc w:val="center"/>
        <w:rPr>
          <w:rFonts w:ascii="Times New Roman" w:eastAsia="Arial" w:hAnsi="Times New Roman" w:cs="Times New Roman"/>
          <w:sz w:val="20"/>
          <w:szCs w:val="20"/>
        </w:rPr>
      </w:pPr>
      <w:r w:rsidRPr="00F2217F">
        <w:rPr>
          <w:rFonts w:ascii="Times New Roman" w:eastAsia="Arial" w:hAnsi="Times New Roman" w:cs="Times New Roman"/>
          <w:b/>
          <w:bCs/>
          <w:sz w:val="20"/>
          <w:szCs w:val="20"/>
        </w:rPr>
        <w:t xml:space="preserve">Figure </w:t>
      </w:r>
      <w:r w:rsidR="00A354E4" w:rsidRPr="00F2217F">
        <w:rPr>
          <w:rFonts w:ascii="Times New Roman" w:eastAsia="Arial" w:hAnsi="Times New Roman" w:cs="Times New Roman"/>
          <w:b/>
          <w:bCs/>
          <w:sz w:val="20"/>
          <w:szCs w:val="20"/>
        </w:rPr>
        <w:t>10</w:t>
      </w:r>
      <w:r w:rsidRPr="00F2217F">
        <w:rPr>
          <w:rFonts w:ascii="Times New Roman" w:eastAsia="Arial" w:hAnsi="Times New Roman" w:cs="Times New Roman"/>
          <w:b/>
          <w:bCs/>
          <w:sz w:val="20"/>
          <w:szCs w:val="20"/>
        </w:rPr>
        <w:t>.</w:t>
      </w:r>
      <w:r w:rsidRPr="00F2217F">
        <w:rPr>
          <w:rFonts w:ascii="Times New Roman" w:eastAsia="Arial" w:hAnsi="Times New Roman" w:cs="Times New Roman"/>
          <w:sz w:val="20"/>
          <w:szCs w:val="20"/>
        </w:rPr>
        <w:t xml:space="preserve"> The distribution area of Primary Intact Forest, Degraded Forest and Outside Forest in four periods (2000-2005, 2006-2010, 2011-2012, 2013-2020)</w:t>
      </w:r>
    </w:p>
    <w:p w14:paraId="2E353C39" w14:textId="77777777" w:rsidR="003C598A" w:rsidRDefault="003C598A" w:rsidP="003C598A">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p>
    <w:p w14:paraId="06728305" w14:textId="0B6148DF" w:rsidR="008E2EE5" w:rsidRPr="00F2217F" w:rsidRDefault="008E2EE5" w:rsidP="003C598A">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iCs/>
          <w:sz w:val="24"/>
          <w:szCs w:val="24"/>
        </w:rPr>
      </w:pPr>
      <w:r w:rsidRPr="00F2217F">
        <w:rPr>
          <w:rFonts w:ascii="Times New Roman" w:hAnsi="Times New Roman" w:cs="Times New Roman"/>
          <w:i/>
          <w:iCs/>
          <w:sz w:val="24"/>
          <w:szCs w:val="24"/>
        </w:rPr>
        <w:t>Variability primary forest fire and El Nino</w:t>
      </w:r>
    </w:p>
    <w:p w14:paraId="774782FF" w14:textId="77777777" w:rsidR="003C598A" w:rsidRDefault="003C598A" w:rsidP="006A2F97">
      <w:pPr>
        <w:pStyle w:val="ListParagraph"/>
        <w:spacing w:after="0" w:line="240" w:lineRule="auto"/>
        <w:ind w:leftChars="0" w:left="2" w:hanging="2"/>
        <w:jc w:val="both"/>
        <w:rPr>
          <w:rFonts w:ascii="Times New Roman" w:hAnsi="Times New Roman" w:cs="Times New Roman"/>
          <w:sz w:val="24"/>
          <w:szCs w:val="24"/>
        </w:rPr>
      </w:pPr>
    </w:p>
    <w:p w14:paraId="7218FE27" w14:textId="0D795844" w:rsidR="008E2EE5" w:rsidRDefault="00D026C1" w:rsidP="006A2F97">
      <w:pPr>
        <w:pStyle w:val="ListParagraph"/>
        <w:spacing w:after="0" w:line="240" w:lineRule="auto"/>
        <w:ind w:leftChars="0" w:left="2" w:hanging="2"/>
        <w:jc w:val="both"/>
        <w:rPr>
          <w:rFonts w:ascii="Times New Roman" w:hAnsi="Times New Roman" w:cs="Times New Roman"/>
          <w:sz w:val="24"/>
          <w:szCs w:val="24"/>
        </w:rPr>
      </w:pPr>
      <w:r w:rsidRPr="00F2217F">
        <w:rPr>
          <w:rFonts w:ascii="Times New Roman" w:hAnsi="Times New Roman" w:cs="Times New Roman"/>
          <w:sz w:val="24"/>
          <w:szCs w:val="24"/>
        </w:rPr>
        <w:t>The</w:t>
      </w:r>
      <w:r w:rsidR="008E2EE5" w:rsidRPr="00F2217F">
        <w:rPr>
          <w:rFonts w:ascii="Times New Roman" w:hAnsi="Times New Roman" w:cs="Times New Roman"/>
          <w:sz w:val="24"/>
          <w:szCs w:val="24"/>
        </w:rPr>
        <w:t xml:space="preserve"> monthly time series</w:t>
      </w:r>
      <w:r w:rsidRPr="00F2217F">
        <w:rPr>
          <w:rFonts w:ascii="Times New Roman" w:hAnsi="Times New Roman" w:cs="Times New Roman"/>
          <w:sz w:val="24"/>
          <w:szCs w:val="24"/>
        </w:rPr>
        <w:t xml:space="preserve"> are plotted</w:t>
      </w:r>
      <w:r w:rsidR="008E2EE5" w:rsidRPr="00F2217F">
        <w:rPr>
          <w:rFonts w:ascii="Times New Roman" w:hAnsi="Times New Roman" w:cs="Times New Roman"/>
          <w:sz w:val="24"/>
          <w:szCs w:val="24"/>
        </w:rPr>
        <w:t xml:space="preserve"> of Primary Forest Fire and ONI (Figure </w:t>
      </w:r>
      <w:r w:rsidR="00493637" w:rsidRPr="00F2217F">
        <w:rPr>
          <w:rFonts w:ascii="Times New Roman" w:hAnsi="Times New Roman" w:cs="Times New Roman"/>
          <w:sz w:val="24"/>
          <w:szCs w:val="24"/>
        </w:rPr>
        <w:t>11</w:t>
      </w:r>
      <w:r w:rsidR="008E2EE5" w:rsidRPr="00F2217F">
        <w:rPr>
          <w:rFonts w:ascii="Times New Roman" w:hAnsi="Times New Roman" w:cs="Times New Roman"/>
          <w:sz w:val="24"/>
          <w:szCs w:val="24"/>
        </w:rPr>
        <w:t>) to clarify the variability of these two phenomena. The fire appears almost every year and the general pattern of fire count is similar to ONI. However</w:t>
      </w:r>
      <w:r w:rsidR="00F2217F" w:rsidRPr="00F2217F">
        <w:rPr>
          <w:rFonts w:ascii="Times New Roman" w:hAnsi="Times New Roman" w:cs="Times New Roman"/>
          <w:sz w:val="24"/>
          <w:szCs w:val="24"/>
        </w:rPr>
        <w:t>,</w:t>
      </w:r>
      <w:r w:rsidR="008E2EE5" w:rsidRPr="00F2217F">
        <w:rPr>
          <w:rFonts w:ascii="Times New Roman" w:hAnsi="Times New Roman" w:cs="Times New Roman"/>
          <w:sz w:val="24"/>
          <w:szCs w:val="24"/>
        </w:rPr>
        <w:t xml:space="preserve"> there are some anomalies. For example, the 2004 season </w:t>
      </w:r>
      <w:r w:rsidR="008E2EE5" w:rsidRPr="00F2217F">
        <w:rPr>
          <w:rFonts w:ascii="Times New Roman" w:hAnsi="Times New Roman" w:cs="Times New Roman"/>
          <w:sz w:val="24"/>
          <w:szCs w:val="24"/>
        </w:rPr>
        <w:lastRenderedPageBreak/>
        <w:t xml:space="preserve">showed almost 40 fire counts in moderate El Nino, while very strong El Nino years like 2015 only gained half of it. </w:t>
      </w:r>
      <w:r w:rsidR="00F2217F" w:rsidRPr="00F2217F">
        <w:rPr>
          <w:rFonts w:ascii="Times New Roman" w:hAnsi="Times New Roman" w:cs="Times New Roman"/>
          <w:sz w:val="24"/>
          <w:szCs w:val="24"/>
        </w:rPr>
        <w:t>The p</w:t>
      </w:r>
      <w:r w:rsidR="008E2EE5" w:rsidRPr="00F2217F">
        <w:rPr>
          <w:rFonts w:ascii="Times New Roman" w:hAnsi="Times New Roman" w:cs="Times New Roman"/>
          <w:sz w:val="24"/>
          <w:szCs w:val="24"/>
        </w:rPr>
        <w:t xml:space="preserve">rimary intact forest is highly resilient to fire as its monthly fire is considerably very low compared to other types of </w:t>
      </w:r>
      <w:r w:rsidR="00F2217F" w:rsidRPr="00F2217F">
        <w:rPr>
          <w:rFonts w:ascii="Times New Roman" w:hAnsi="Times New Roman" w:cs="Times New Roman"/>
          <w:sz w:val="24"/>
          <w:szCs w:val="24"/>
        </w:rPr>
        <w:t xml:space="preserve">the </w:t>
      </w:r>
      <w:r w:rsidR="008E2EE5" w:rsidRPr="00F2217F">
        <w:rPr>
          <w:rFonts w:ascii="Times New Roman" w:hAnsi="Times New Roman" w:cs="Times New Roman"/>
          <w:sz w:val="24"/>
          <w:szCs w:val="24"/>
        </w:rPr>
        <w:t>region which reach 3.000-8.000 fire count in a month.</w:t>
      </w:r>
    </w:p>
    <w:p w14:paraId="033BE446" w14:textId="77777777" w:rsidR="003C598A" w:rsidRPr="00F2217F" w:rsidRDefault="003C598A" w:rsidP="006A2F97">
      <w:pPr>
        <w:pStyle w:val="ListParagraph"/>
        <w:spacing w:after="0" w:line="240" w:lineRule="auto"/>
        <w:ind w:leftChars="0" w:left="2" w:hanging="2"/>
        <w:jc w:val="both"/>
        <w:rPr>
          <w:rFonts w:ascii="Times New Roman" w:hAnsi="Times New Roman" w:cs="Times New Roman"/>
          <w:sz w:val="24"/>
          <w:szCs w:val="24"/>
        </w:rPr>
      </w:pPr>
    </w:p>
    <w:p w14:paraId="43DB05DE"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r w:rsidRPr="00F2217F">
        <w:rPr>
          <w:rFonts w:ascii="Times New Roman" w:hAnsi="Times New Roman" w:cs="Times New Roman"/>
          <w:noProof/>
          <w:sz w:val="24"/>
          <w:szCs w:val="24"/>
          <w:lang w:val="en-MY" w:eastAsia="en-MY"/>
        </w:rPr>
        <w:drawing>
          <wp:inline distT="0" distB="0" distL="0" distR="0" wp14:anchorId="0D0D2120" wp14:editId="4BBC908E">
            <wp:extent cx="5187635" cy="2906162"/>
            <wp:effectExtent l="0" t="0" r="6985" b="15240"/>
            <wp:docPr id="8" name="Chart 8">
              <a:extLst xmlns:a="http://schemas.openxmlformats.org/drawingml/2006/main">
                <a:ext uri="{FF2B5EF4-FFF2-40B4-BE49-F238E27FC236}">
                  <a16:creationId xmlns:a16="http://schemas.microsoft.com/office/drawing/2014/main" id="{89288C4E-EAEA-F046-B597-5CF6C50EC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690F2F" w14:textId="77777777" w:rsidR="003C598A" w:rsidRDefault="003C598A" w:rsidP="006A2F97">
      <w:pPr>
        <w:pStyle w:val="ListParagraph"/>
        <w:spacing w:after="0" w:line="240" w:lineRule="auto"/>
        <w:ind w:leftChars="0" w:left="2" w:hanging="2"/>
        <w:jc w:val="center"/>
        <w:rPr>
          <w:rFonts w:ascii="Times New Roman" w:hAnsi="Times New Roman" w:cs="Times New Roman"/>
          <w:b/>
          <w:bCs/>
          <w:sz w:val="20"/>
          <w:szCs w:val="20"/>
        </w:rPr>
      </w:pPr>
    </w:p>
    <w:p w14:paraId="447CFE79" w14:textId="300A2FBF" w:rsidR="008E2EE5" w:rsidRPr="00F2217F" w:rsidRDefault="008E2EE5" w:rsidP="006A2F97">
      <w:pPr>
        <w:pStyle w:val="ListParagraph"/>
        <w:spacing w:after="0" w:line="240" w:lineRule="auto"/>
        <w:ind w:leftChars="0" w:left="2" w:hanging="2"/>
        <w:jc w:val="center"/>
        <w:rPr>
          <w:rFonts w:ascii="Times New Roman" w:hAnsi="Times New Roman" w:cs="Times New Roman"/>
          <w:sz w:val="20"/>
          <w:szCs w:val="20"/>
        </w:rPr>
      </w:pPr>
      <w:r w:rsidRPr="00F2217F">
        <w:rPr>
          <w:rFonts w:ascii="Times New Roman" w:hAnsi="Times New Roman" w:cs="Times New Roman"/>
          <w:b/>
          <w:bCs/>
          <w:sz w:val="20"/>
          <w:szCs w:val="20"/>
        </w:rPr>
        <w:t>Figure 7.</w:t>
      </w:r>
      <w:r w:rsidRPr="00F2217F">
        <w:rPr>
          <w:rFonts w:ascii="Times New Roman" w:hAnsi="Times New Roman" w:cs="Times New Roman"/>
          <w:sz w:val="20"/>
          <w:szCs w:val="20"/>
        </w:rPr>
        <w:t xml:space="preserve"> Time-series of monthly primary forest fire and El Nino Indeks</w:t>
      </w:r>
      <w:r w:rsidR="00073A27">
        <w:rPr>
          <w:rFonts w:ascii="Times New Roman" w:hAnsi="Times New Roman" w:cs="Times New Roman"/>
          <w:sz w:val="20"/>
          <w:szCs w:val="20"/>
        </w:rPr>
        <w:t>.</w:t>
      </w:r>
    </w:p>
    <w:p w14:paraId="0A3B4638" w14:textId="77777777" w:rsidR="008E2EE5" w:rsidRPr="00F2217F" w:rsidRDefault="008E2EE5" w:rsidP="006A2F97">
      <w:pPr>
        <w:pStyle w:val="ListParagraph"/>
        <w:spacing w:after="0" w:line="240" w:lineRule="auto"/>
        <w:ind w:leftChars="0" w:left="2" w:hanging="2"/>
        <w:jc w:val="center"/>
        <w:rPr>
          <w:rFonts w:ascii="Times New Roman" w:hAnsi="Times New Roman" w:cs="Times New Roman"/>
          <w:sz w:val="24"/>
          <w:szCs w:val="24"/>
        </w:rPr>
      </w:pPr>
    </w:p>
    <w:p w14:paraId="1F019927" w14:textId="2170CBCB" w:rsidR="00B73AFF" w:rsidRPr="00F2217F" w:rsidRDefault="003C598A" w:rsidP="006A2F97">
      <w:pPr>
        <w:pStyle w:val="ListParagraph"/>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2EE5" w:rsidRPr="00F2217F">
        <w:rPr>
          <w:rFonts w:ascii="Times New Roman" w:hAnsi="Times New Roman" w:cs="Times New Roman"/>
          <w:sz w:val="24"/>
          <w:szCs w:val="24"/>
        </w:rPr>
        <w:t>Unfortunately, the remaining primary forest in Kalimantan is miserable. There are only 209.649 km</w:t>
      </w:r>
      <w:r w:rsidR="008E2EE5" w:rsidRPr="00F2217F">
        <w:rPr>
          <w:rFonts w:ascii="Times New Roman" w:hAnsi="Times New Roman" w:cs="Times New Roman"/>
          <w:sz w:val="24"/>
          <w:szCs w:val="24"/>
          <w:vertAlign w:val="superscript"/>
        </w:rPr>
        <w:t>2</w:t>
      </w:r>
      <w:r w:rsidR="008E2EE5" w:rsidRPr="00F2217F">
        <w:rPr>
          <w:rFonts w:ascii="Times New Roman" w:hAnsi="Times New Roman" w:cs="Times New Roman"/>
          <w:sz w:val="24"/>
          <w:szCs w:val="24"/>
        </w:rPr>
        <w:t xml:space="preserve"> left or 28.4% of the whole Borneo</w:t>
      </w:r>
      <w:r w:rsidR="00073A27" w:rsidRPr="00F2217F">
        <w:rPr>
          <w:rFonts w:ascii="Times New Roman" w:hAnsi="Times New Roman" w:cs="Times New Roman"/>
          <w:noProof/>
          <w:sz w:val="24"/>
          <w:szCs w:val="24"/>
        </w:rPr>
        <w:t xml:space="preserve"> (Gaveau et al., 2014)</w:t>
      </w:r>
      <w:r w:rsidR="008E2EE5" w:rsidRPr="00F2217F">
        <w:rPr>
          <w:rFonts w:ascii="Times New Roman" w:hAnsi="Times New Roman" w:cs="Times New Roman"/>
          <w:sz w:val="24"/>
          <w:szCs w:val="24"/>
        </w:rPr>
        <w:t xml:space="preserve">. Moreover, the fire-resistant forest only covers 4.5% of </w:t>
      </w:r>
      <w:r w:rsidR="00F2217F" w:rsidRPr="00F2217F">
        <w:rPr>
          <w:rFonts w:ascii="Times New Roman" w:hAnsi="Times New Roman" w:cs="Times New Roman"/>
          <w:sz w:val="24"/>
          <w:szCs w:val="24"/>
        </w:rPr>
        <w:t xml:space="preserve">the </w:t>
      </w:r>
      <w:r w:rsidR="008E2EE5" w:rsidRPr="00F2217F">
        <w:rPr>
          <w:rFonts w:ascii="Times New Roman" w:hAnsi="Times New Roman" w:cs="Times New Roman"/>
          <w:sz w:val="24"/>
          <w:szCs w:val="24"/>
        </w:rPr>
        <w:t xml:space="preserve">non-peatland and 3% of </w:t>
      </w:r>
      <w:r w:rsidR="00F2217F" w:rsidRPr="00F2217F">
        <w:rPr>
          <w:rFonts w:ascii="Times New Roman" w:hAnsi="Times New Roman" w:cs="Times New Roman"/>
          <w:sz w:val="24"/>
          <w:szCs w:val="24"/>
        </w:rPr>
        <w:t xml:space="preserve">the </w:t>
      </w:r>
      <w:r w:rsidR="008E2EE5" w:rsidRPr="00F2217F">
        <w:rPr>
          <w:rFonts w:ascii="Times New Roman" w:hAnsi="Times New Roman" w:cs="Times New Roman"/>
          <w:sz w:val="24"/>
          <w:szCs w:val="24"/>
        </w:rPr>
        <w:t>peatlands area</w:t>
      </w:r>
      <w:sdt>
        <w:sdtPr>
          <w:rPr>
            <w:rFonts w:ascii="Times New Roman" w:hAnsi="Times New Roman" w:cs="Times New Roman"/>
            <w:sz w:val="24"/>
            <w:szCs w:val="24"/>
          </w:rPr>
          <w:id w:val="-1180967825"/>
          <w:citation/>
        </w:sdtPr>
        <w:sdtEndPr/>
        <w:sdtContent>
          <w:r w:rsidR="008E2EE5" w:rsidRPr="00F2217F">
            <w:rPr>
              <w:rFonts w:ascii="Times New Roman" w:hAnsi="Times New Roman" w:cs="Times New Roman"/>
              <w:sz w:val="24"/>
              <w:szCs w:val="24"/>
            </w:rPr>
            <w:fldChar w:fldCharType="begin"/>
          </w:r>
          <w:r w:rsidR="008E2EE5" w:rsidRPr="00F2217F">
            <w:rPr>
              <w:rFonts w:ascii="Times New Roman" w:hAnsi="Times New Roman" w:cs="Times New Roman"/>
              <w:sz w:val="24"/>
              <w:szCs w:val="24"/>
            </w:rPr>
            <w:instrText xml:space="preserve"> CITATION Tad20 \l 1033 </w:instrText>
          </w:r>
          <w:r w:rsidR="008E2EE5"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(Nikonovas, Spessa, Doerr, Clay, &amp; Mezbahuddin, 2020)</w:t>
          </w:r>
          <w:r w:rsidR="008E2EE5" w:rsidRPr="00F2217F">
            <w:rPr>
              <w:rFonts w:ascii="Times New Roman" w:hAnsi="Times New Roman" w:cs="Times New Roman"/>
              <w:sz w:val="24"/>
              <w:szCs w:val="24"/>
            </w:rPr>
            <w:fldChar w:fldCharType="end"/>
          </w:r>
        </w:sdtContent>
      </w:sdt>
      <w:r w:rsidR="008E2EE5" w:rsidRPr="00F2217F">
        <w:rPr>
          <w:rFonts w:ascii="Times New Roman" w:hAnsi="Times New Roman" w:cs="Times New Roman"/>
          <w:sz w:val="24"/>
          <w:szCs w:val="24"/>
        </w:rPr>
        <w:t>. This is not only caused by fire</w:t>
      </w:r>
      <w:sdt>
        <w:sdtPr>
          <w:rPr>
            <w:rFonts w:ascii="Times New Roman" w:hAnsi="Times New Roman" w:cs="Times New Roman"/>
            <w:sz w:val="24"/>
            <w:szCs w:val="24"/>
          </w:rPr>
          <w:id w:val="-1367831818"/>
          <w:citation/>
        </w:sdtPr>
        <w:sdtEndPr/>
        <w:sdtContent>
          <w:r w:rsidR="008E2EE5" w:rsidRPr="00F2217F">
            <w:rPr>
              <w:rFonts w:ascii="Times New Roman" w:hAnsi="Times New Roman" w:cs="Times New Roman"/>
              <w:sz w:val="24"/>
              <w:szCs w:val="24"/>
            </w:rPr>
            <w:fldChar w:fldCharType="begin"/>
          </w:r>
          <w:r w:rsidR="008E2EE5" w:rsidRPr="00F2217F">
            <w:rPr>
              <w:rFonts w:ascii="Times New Roman" w:hAnsi="Times New Roman" w:cs="Times New Roman"/>
              <w:sz w:val="24"/>
              <w:szCs w:val="24"/>
            </w:rPr>
            <w:instrText xml:space="preserve"> CITATION JGG90 \l 1033 </w:instrText>
          </w:r>
          <w:r w:rsidR="008E2EE5"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(Goldammer &amp; Siegert, 1990)</w:t>
          </w:r>
          <w:r w:rsidR="008E2EE5" w:rsidRPr="00F2217F">
            <w:rPr>
              <w:rFonts w:ascii="Times New Roman" w:hAnsi="Times New Roman" w:cs="Times New Roman"/>
              <w:sz w:val="24"/>
              <w:szCs w:val="24"/>
            </w:rPr>
            <w:fldChar w:fldCharType="end"/>
          </w:r>
        </w:sdtContent>
      </w:sdt>
      <w:r w:rsidR="00073A27" w:rsidRPr="00F2217F">
        <w:rPr>
          <w:rFonts w:ascii="Times New Roman" w:hAnsi="Times New Roman" w:cs="Times New Roman"/>
          <w:noProof/>
          <w:sz w:val="24"/>
          <w:szCs w:val="24"/>
        </w:rPr>
        <w:t xml:space="preserve"> (Siegert, Ruecker, Hinrichs, &amp; Hoffmann, 2001)</w:t>
      </w:r>
      <w:r w:rsidR="008E2EE5" w:rsidRPr="00F2217F">
        <w:rPr>
          <w:rFonts w:ascii="Times New Roman" w:hAnsi="Times New Roman" w:cs="Times New Roman"/>
          <w:sz w:val="24"/>
          <w:szCs w:val="24"/>
        </w:rPr>
        <w:t xml:space="preserve">, but also </w:t>
      </w:r>
      <w:r w:rsidR="00073A27">
        <w:rPr>
          <w:rFonts w:ascii="Times New Roman" w:hAnsi="Times New Roman" w:cs="Times New Roman"/>
          <w:sz w:val="24"/>
          <w:szCs w:val="24"/>
        </w:rPr>
        <w:t xml:space="preserve">conversion to </w:t>
      </w:r>
      <w:r w:rsidR="008E2EE5" w:rsidRPr="00F2217F">
        <w:rPr>
          <w:rFonts w:ascii="Times New Roman" w:hAnsi="Times New Roman" w:cs="Times New Roman"/>
          <w:sz w:val="24"/>
          <w:szCs w:val="24"/>
        </w:rPr>
        <w:t>plantation and wood logging</w:t>
      </w:r>
      <w:sdt>
        <w:sdtPr>
          <w:rPr>
            <w:rFonts w:ascii="Times New Roman" w:hAnsi="Times New Roman" w:cs="Times New Roman"/>
            <w:sz w:val="24"/>
            <w:szCs w:val="24"/>
          </w:rPr>
          <w:id w:val="373809514"/>
          <w:citation/>
        </w:sdtPr>
        <w:sdtEndPr/>
        <w:sdtContent>
          <w:r w:rsidR="008E2EE5" w:rsidRPr="00F2217F">
            <w:rPr>
              <w:rFonts w:ascii="Times New Roman" w:hAnsi="Times New Roman" w:cs="Times New Roman"/>
              <w:sz w:val="24"/>
              <w:szCs w:val="24"/>
            </w:rPr>
            <w:fldChar w:fldCharType="begin"/>
          </w:r>
          <w:r w:rsidR="008E2EE5" w:rsidRPr="00F2217F">
            <w:rPr>
              <w:rFonts w:ascii="Times New Roman" w:hAnsi="Times New Roman" w:cs="Times New Roman"/>
              <w:sz w:val="24"/>
              <w:szCs w:val="24"/>
            </w:rPr>
            <w:instrText xml:space="preserve"> CITATION HBr90 \l 1033 </w:instrText>
          </w:r>
          <w:r w:rsidR="008E2EE5"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 (Brookfield &amp; Byron, 1990)</w:t>
          </w:r>
          <w:r w:rsidR="008E2EE5" w:rsidRPr="00F2217F">
            <w:rPr>
              <w:rFonts w:ascii="Times New Roman" w:hAnsi="Times New Roman" w:cs="Times New Roman"/>
              <w:sz w:val="24"/>
              <w:szCs w:val="24"/>
            </w:rPr>
            <w:fldChar w:fldCharType="end"/>
          </w:r>
        </w:sdtContent>
      </w:sdt>
      <w:r w:rsidR="008E2EE5" w:rsidRPr="00F2217F">
        <w:rPr>
          <w:rFonts w:ascii="Times New Roman" w:hAnsi="Times New Roman" w:cs="Times New Roman"/>
          <w:sz w:val="24"/>
          <w:szCs w:val="24"/>
        </w:rPr>
        <w:t>.</w:t>
      </w:r>
    </w:p>
    <w:p w14:paraId="1B5D3999" w14:textId="7051C9EB" w:rsidR="00B73AFF" w:rsidRDefault="00B73AFF" w:rsidP="006A2F97">
      <w:pPr>
        <w:spacing w:after="0" w:line="240" w:lineRule="auto"/>
        <w:ind w:leftChars="0" w:left="2" w:hanging="2"/>
        <w:jc w:val="center"/>
        <w:rPr>
          <w:rFonts w:ascii="Times New Roman" w:eastAsia="Times New Roman" w:hAnsi="Times New Roman" w:cs="Times New Roman"/>
        </w:rPr>
      </w:pPr>
    </w:p>
    <w:p w14:paraId="0CBC27AC" w14:textId="77777777" w:rsidR="003C598A" w:rsidRPr="00F2217F" w:rsidRDefault="003C598A" w:rsidP="006A2F97">
      <w:pPr>
        <w:spacing w:after="0" w:line="240" w:lineRule="auto"/>
        <w:ind w:leftChars="0" w:left="2" w:hanging="2"/>
        <w:jc w:val="center"/>
        <w:rPr>
          <w:rFonts w:ascii="Times New Roman" w:eastAsia="Times New Roman" w:hAnsi="Times New Roman" w:cs="Times New Roman"/>
        </w:rPr>
      </w:pPr>
    </w:p>
    <w:p w14:paraId="6277608C" w14:textId="77777777" w:rsidR="00B73AFF" w:rsidRPr="00F2217F" w:rsidRDefault="0084286F" w:rsidP="006A2F97">
      <w:pPr>
        <w:spacing w:after="0" w:line="240" w:lineRule="auto"/>
        <w:ind w:leftChars="0" w:left="2" w:hanging="2"/>
        <w:rPr>
          <w:rFonts w:ascii="Times New Roman" w:eastAsia="Times New Roman" w:hAnsi="Times New Roman" w:cs="Times New Roman"/>
          <w:sz w:val="24"/>
          <w:szCs w:val="24"/>
        </w:rPr>
      </w:pPr>
      <w:r w:rsidRPr="00F2217F">
        <w:rPr>
          <w:rFonts w:ascii="Times New Roman" w:eastAsia="Times New Roman" w:hAnsi="Times New Roman" w:cs="Times New Roman"/>
          <w:b/>
          <w:sz w:val="24"/>
          <w:szCs w:val="24"/>
        </w:rPr>
        <w:t xml:space="preserve">Conclusion </w:t>
      </w:r>
    </w:p>
    <w:p w14:paraId="18BFBD05" w14:textId="77777777" w:rsidR="00B73AFF" w:rsidRPr="00F2217F" w:rsidRDefault="00B73AFF" w:rsidP="006A2F97">
      <w:pPr>
        <w:spacing w:after="0" w:line="240" w:lineRule="auto"/>
        <w:ind w:leftChars="0" w:left="2" w:hanging="2"/>
        <w:rPr>
          <w:rFonts w:ascii="Times New Roman" w:eastAsia="Times New Roman" w:hAnsi="Times New Roman" w:cs="Times New Roman"/>
          <w:sz w:val="24"/>
          <w:szCs w:val="24"/>
        </w:rPr>
      </w:pPr>
    </w:p>
    <w:p w14:paraId="6DD67E47" w14:textId="223CD3CC" w:rsidR="00622064" w:rsidRPr="00F2217F" w:rsidRDefault="00622064" w:rsidP="006A2F97">
      <w:pPr>
        <w:spacing w:after="0" w:line="240" w:lineRule="auto"/>
        <w:ind w:leftChars="0" w:left="2" w:hanging="2"/>
        <w:jc w:val="both"/>
        <w:rPr>
          <w:rFonts w:ascii="Times New Roman" w:eastAsia="Times New Roman" w:hAnsi="Times New Roman" w:cs="Times New Roman"/>
          <w:sz w:val="24"/>
          <w:szCs w:val="24"/>
        </w:rPr>
      </w:pPr>
      <w:r w:rsidRPr="00F2217F">
        <w:rPr>
          <w:rFonts w:ascii="Times New Roman" w:hAnsi="Times New Roman" w:cs="Times New Roman"/>
          <w:sz w:val="24"/>
          <w:szCs w:val="24"/>
        </w:rPr>
        <w:t xml:space="preserve">El Nino has a significant impact on fire in Kalimantan, although it is not the only dominant factor. However, the majority of fires do not occur in primary intact forest areas. Only less than 1% of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fire is in primary forest, about 20% in degraded forest. The rest almost 80% of wildfire occurs in the area outside forest/deforested area.</w:t>
      </w:r>
      <w:r w:rsidR="003C598A">
        <w:rPr>
          <w:rFonts w:ascii="Times New Roman" w:hAnsi="Times New Roman" w:cs="Times New Roman"/>
          <w:sz w:val="24"/>
          <w:szCs w:val="24"/>
        </w:rPr>
        <w:t xml:space="preserve"> </w:t>
      </w:r>
      <w:r w:rsidRPr="00F2217F">
        <w:rPr>
          <w:rFonts w:ascii="Times New Roman" w:hAnsi="Times New Roman" w:cs="Times New Roman"/>
          <w:sz w:val="24"/>
          <w:szCs w:val="24"/>
        </w:rPr>
        <w:t>Forest area, especially primary intact forest, is very resilient from fire. It needs very high dry conditions to start a fire in this region. This condition mainly appears during the dry season between (June-August). Sometimes, it is until October. Thus, the fire never occur</w:t>
      </w:r>
      <w:r w:rsidR="00A7070A">
        <w:rPr>
          <w:rFonts w:ascii="Times New Roman" w:hAnsi="Times New Roman" w:cs="Times New Roman"/>
          <w:sz w:val="24"/>
          <w:szCs w:val="24"/>
        </w:rPr>
        <w:t>ed</w:t>
      </w:r>
      <w:r w:rsidRPr="00F2217F">
        <w:rPr>
          <w:rFonts w:ascii="Times New Roman" w:hAnsi="Times New Roman" w:cs="Times New Roman"/>
          <w:sz w:val="24"/>
          <w:szCs w:val="24"/>
        </w:rPr>
        <w:t xml:space="preserve"> outside </w:t>
      </w:r>
      <w:r w:rsidR="00F2217F" w:rsidRPr="00F2217F">
        <w:rPr>
          <w:rFonts w:ascii="Times New Roman" w:hAnsi="Times New Roman" w:cs="Times New Roman"/>
          <w:sz w:val="24"/>
          <w:szCs w:val="24"/>
        </w:rPr>
        <w:t xml:space="preserve">the </w:t>
      </w:r>
      <w:r w:rsidRPr="00F2217F">
        <w:rPr>
          <w:rFonts w:ascii="Times New Roman" w:hAnsi="Times New Roman" w:cs="Times New Roman"/>
          <w:sz w:val="24"/>
          <w:szCs w:val="24"/>
        </w:rPr>
        <w:t xml:space="preserve">June-October </w:t>
      </w:r>
      <w:r w:rsidR="00A7070A">
        <w:rPr>
          <w:rFonts w:ascii="Times New Roman" w:hAnsi="Times New Roman" w:cs="Times New Roman"/>
          <w:sz w:val="24"/>
          <w:szCs w:val="24"/>
        </w:rPr>
        <w:t>period</w:t>
      </w:r>
      <w:r w:rsidRPr="00F2217F">
        <w:rPr>
          <w:rFonts w:ascii="Times New Roman" w:hAnsi="Times New Roman" w:cs="Times New Roman"/>
          <w:sz w:val="24"/>
          <w:szCs w:val="24"/>
        </w:rPr>
        <w:t>.</w:t>
      </w:r>
    </w:p>
    <w:p w14:paraId="0E283BDF" w14:textId="6A6C552E" w:rsidR="00B73AFF" w:rsidRPr="00F2217F" w:rsidRDefault="003C598A" w:rsidP="006A2F97">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22064" w:rsidRPr="00F2217F">
        <w:rPr>
          <w:rFonts w:ascii="Times New Roman" w:hAnsi="Times New Roman" w:cs="Times New Roman"/>
          <w:sz w:val="24"/>
          <w:szCs w:val="24"/>
        </w:rPr>
        <w:t>Then, looking at the variability, primary intact forest fire has shown different patterns compared with the general pattern of wildfires in Kalimantan. Higher El Nino Index did not always mean the</w:t>
      </w:r>
      <w:r w:rsidR="00A7070A">
        <w:rPr>
          <w:rFonts w:ascii="Times New Roman" w:hAnsi="Times New Roman" w:cs="Times New Roman"/>
          <w:sz w:val="24"/>
          <w:szCs w:val="24"/>
        </w:rPr>
        <w:t>re are</w:t>
      </w:r>
      <w:r w:rsidR="00622064" w:rsidRPr="00F2217F">
        <w:rPr>
          <w:rFonts w:ascii="Times New Roman" w:hAnsi="Times New Roman" w:cs="Times New Roman"/>
          <w:sz w:val="24"/>
          <w:szCs w:val="24"/>
        </w:rPr>
        <w:t xml:space="preserve"> more massive</w:t>
      </w:r>
      <w:r w:rsidR="00A7070A">
        <w:rPr>
          <w:rFonts w:ascii="Times New Roman" w:hAnsi="Times New Roman" w:cs="Times New Roman"/>
          <w:sz w:val="24"/>
          <w:szCs w:val="24"/>
        </w:rPr>
        <w:t xml:space="preserve"> fire within the</w:t>
      </w:r>
      <w:r w:rsidR="00622064" w:rsidRPr="00F2217F">
        <w:rPr>
          <w:rFonts w:ascii="Times New Roman" w:hAnsi="Times New Roman" w:cs="Times New Roman"/>
          <w:sz w:val="24"/>
          <w:szCs w:val="24"/>
        </w:rPr>
        <w:t xml:space="preserve"> primary intact forest. So, El Nino has less impact on </w:t>
      </w:r>
      <w:r w:rsidR="00F2217F" w:rsidRPr="00F2217F">
        <w:rPr>
          <w:rFonts w:ascii="Times New Roman" w:hAnsi="Times New Roman" w:cs="Times New Roman"/>
          <w:sz w:val="24"/>
          <w:szCs w:val="24"/>
        </w:rPr>
        <w:t xml:space="preserve">the </w:t>
      </w:r>
      <w:r w:rsidR="00622064" w:rsidRPr="00F2217F">
        <w:rPr>
          <w:rFonts w:ascii="Times New Roman" w:hAnsi="Times New Roman" w:cs="Times New Roman"/>
          <w:sz w:val="24"/>
          <w:szCs w:val="24"/>
        </w:rPr>
        <w:t>primary intact forest.</w:t>
      </w:r>
      <w:r>
        <w:rPr>
          <w:rFonts w:ascii="Times New Roman" w:hAnsi="Times New Roman" w:cs="Times New Roman"/>
          <w:sz w:val="24"/>
          <w:szCs w:val="24"/>
        </w:rPr>
        <w:t xml:space="preserve"> </w:t>
      </w:r>
      <w:r w:rsidR="00622064" w:rsidRPr="00F2217F">
        <w:rPr>
          <w:rFonts w:ascii="Times New Roman" w:hAnsi="Times New Roman" w:cs="Times New Roman"/>
          <w:sz w:val="24"/>
          <w:szCs w:val="24"/>
        </w:rPr>
        <w:t xml:space="preserve">In general, as fires are low in primary intact forest regions, it is hard to </w:t>
      </w:r>
      <w:r w:rsidR="00622064" w:rsidRPr="00F2217F">
        <w:rPr>
          <w:rFonts w:ascii="Times New Roman" w:hAnsi="Times New Roman" w:cs="Times New Roman"/>
          <w:sz w:val="24"/>
          <w:szCs w:val="24"/>
        </w:rPr>
        <w:lastRenderedPageBreak/>
        <w:t>say that El Nino is a dominant factor of primary intact forest fire in Kalimantan. But, the impact of El Nino is clearly shown in the other area</w:t>
      </w:r>
      <w:r w:rsidR="004001D9">
        <w:rPr>
          <w:rFonts w:ascii="Times New Roman" w:hAnsi="Times New Roman" w:cs="Times New Roman"/>
          <w:sz w:val="24"/>
          <w:szCs w:val="24"/>
        </w:rPr>
        <w:t xml:space="preserve"> outside of the primary intact forest. </w:t>
      </w:r>
    </w:p>
    <w:p w14:paraId="388D9535" w14:textId="77777777" w:rsidR="00B73AFF" w:rsidRPr="00F2217F" w:rsidRDefault="00B73AFF" w:rsidP="006A2F97">
      <w:pPr>
        <w:spacing w:after="0" w:line="240" w:lineRule="auto"/>
        <w:ind w:leftChars="0" w:left="2" w:hanging="2"/>
        <w:rPr>
          <w:rFonts w:ascii="Times New Roman" w:eastAsia="Times New Roman" w:hAnsi="Times New Roman" w:cs="Times New Roman"/>
          <w:sz w:val="24"/>
          <w:szCs w:val="24"/>
        </w:rPr>
      </w:pPr>
    </w:p>
    <w:p w14:paraId="2AA1D8C3" w14:textId="77777777" w:rsidR="00B73AFF" w:rsidRPr="00F2217F" w:rsidRDefault="00B73AFF" w:rsidP="006A2F97">
      <w:pPr>
        <w:spacing w:after="0" w:line="240" w:lineRule="auto"/>
        <w:ind w:leftChars="0" w:left="2" w:hanging="2"/>
        <w:rPr>
          <w:rFonts w:ascii="Times New Roman" w:eastAsia="Times New Roman" w:hAnsi="Times New Roman" w:cs="Times New Roman"/>
          <w:sz w:val="24"/>
          <w:szCs w:val="24"/>
        </w:rPr>
      </w:pPr>
    </w:p>
    <w:p w14:paraId="1E0587C2" w14:textId="77777777" w:rsidR="00B73AFF" w:rsidRPr="00F2217F" w:rsidRDefault="0084286F" w:rsidP="006A2F97">
      <w:pPr>
        <w:spacing w:after="0" w:line="240" w:lineRule="auto"/>
        <w:ind w:leftChars="0" w:left="2" w:hanging="2"/>
        <w:rPr>
          <w:rFonts w:ascii="Times New Roman" w:eastAsia="Times New Roman" w:hAnsi="Times New Roman" w:cs="Times New Roman"/>
          <w:sz w:val="24"/>
          <w:szCs w:val="24"/>
        </w:rPr>
      </w:pPr>
      <w:r w:rsidRPr="00F2217F">
        <w:rPr>
          <w:rFonts w:ascii="Times New Roman" w:eastAsia="Times New Roman" w:hAnsi="Times New Roman" w:cs="Times New Roman"/>
          <w:b/>
          <w:sz w:val="24"/>
          <w:szCs w:val="24"/>
        </w:rPr>
        <w:t xml:space="preserve">Acknowledgement </w:t>
      </w:r>
    </w:p>
    <w:p w14:paraId="5535EBED" w14:textId="77777777" w:rsidR="00B73AFF" w:rsidRPr="00F2217F" w:rsidRDefault="0084286F" w:rsidP="006A2F97">
      <w:pPr>
        <w:spacing w:after="0" w:line="240" w:lineRule="auto"/>
        <w:ind w:leftChars="0" w:left="2" w:hanging="2"/>
        <w:rPr>
          <w:rFonts w:ascii="Times New Roman" w:eastAsia="Times New Roman" w:hAnsi="Times New Roman" w:cs="Times New Roman"/>
          <w:sz w:val="24"/>
          <w:szCs w:val="24"/>
        </w:rPr>
      </w:pPr>
      <w:r w:rsidRPr="00F2217F">
        <w:rPr>
          <w:rFonts w:ascii="Times New Roman" w:eastAsia="Times New Roman" w:hAnsi="Times New Roman" w:cs="Times New Roman"/>
          <w:sz w:val="24"/>
          <w:szCs w:val="24"/>
        </w:rPr>
        <w:t xml:space="preserve"> </w:t>
      </w:r>
    </w:p>
    <w:p w14:paraId="10A8C3C2" w14:textId="1BB72785" w:rsidR="00B73AFF" w:rsidRPr="003C598A" w:rsidRDefault="00622064" w:rsidP="003C598A">
      <w:pPr>
        <w:spacing w:after="0" w:line="240" w:lineRule="auto"/>
        <w:ind w:leftChars="0" w:left="2" w:hanging="2"/>
        <w:jc w:val="both"/>
        <w:rPr>
          <w:rFonts w:ascii="Times New Roman" w:eastAsia="Times New Roman" w:hAnsi="Times New Roman" w:cs="Times New Roman"/>
          <w:sz w:val="24"/>
          <w:szCs w:val="24"/>
        </w:rPr>
      </w:pPr>
      <w:r w:rsidRPr="003C598A">
        <w:rPr>
          <w:rFonts w:ascii="Times New Roman" w:eastAsia="Times New Roman" w:hAnsi="Times New Roman" w:cs="Times New Roman"/>
          <w:color w:val="323232"/>
          <w:sz w:val="24"/>
          <w:szCs w:val="24"/>
          <w:lang w:val="en-ID"/>
        </w:rPr>
        <w:t>We acknowledge the use of data and/or imagery from NASA's Fire Information for Resource Management System (FIRMS) (</w:t>
      </w:r>
      <w:r w:rsidRPr="00F54B5F">
        <w:rPr>
          <w:rFonts w:ascii="Times New Roman" w:eastAsia="Times New Roman" w:hAnsi="Times New Roman" w:cs="Times New Roman"/>
          <w:sz w:val="24"/>
          <w:szCs w:val="24"/>
          <w:lang w:val="en-ID"/>
        </w:rPr>
        <w:t>https://earthdata.nasa.gov/firms</w:t>
      </w:r>
      <w:r w:rsidRPr="003C598A">
        <w:rPr>
          <w:rFonts w:ascii="Times New Roman" w:eastAsia="Times New Roman" w:hAnsi="Times New Roman" w:cs="Times New Roman"/>
          <w:color w:val="323232"/>
          <w:sz w:val="24"/>
          <w:szCs w:val="24"/>
          <w:lang w:val="en-ID"/>
        </w:rPr>
        <w:t>), part of the NASA Earth Observing System Data and Information System (EOSDIS).</w:t>
      </w:r>
      <w:r w:rsidR="0084286F" w:rsidRPr="003C598A">
        <w:rPr>
          <w:rFonts w:ascii="Times New Roman" w:eastAsia="Times New Roman" w:hAnsi="Times New Roman" w:cs="Times New Roman"/>
          <w:sz w:val="24"/>
          <w:szCs w:val="24"/>
        </w:rPr>
        <w:t xml:space="preserve"> </w:t>
      </w:r>
    </w:p>
    <w:p w14:paraId="356AA917" w14:textId="77777777" w:rsidR="00BE0277" w:rsidRPr="003C598A" w:rsidRDefault="0084286F" w:rsidP="003C598A">
      <w:pPr>
        <w:spacing w:after="0" w:line="240" w:lineRule="auto"/>
        <w:ind w:leftChars="0" w:left="2" w:hanging="2"/>
        <w:jc w:val="both"/>
        <w:rPr>
          <w:rFonts w:ascii="Times New Roman" w:eastAsia="Times New Roman" w:hAnsi="Times New Roman" w:cs="Times New Roman"/>
          <w:b/>
          <w:sz w:val="24"/>
          <w:szCs w:val="24"/>
        </w:rPr>
      </w:pPr>
      <w:r w:rsidRPr="003C598A">
        <w:rPr>
          <w:rFonts w:ascii="Times New Roman" w:eastAsia="Times New Roman" w:hAnsi="Times New Roman" w:cs="Times New Roman"/>
          <w:b/>
          <w:sz w:val="24"/>
          <w:szCs w:val="24"/>
        </w:rPr>
        <w:t xml:space="preserve"> </w:t>
      </w:r>
    </w:p>
    <w:p w14:paraId="57E5B95C" w14:textId="77777777" w:rsidR="00493637" w:rsidRPr="00F2217F" w:rsidRDefault="00493637" w:rsidP="006A2F97">
      <w:pPr>
        <w:spacing w:after="0" w:line="240" w:lineRule="auto"/>
        <w:ind w:leftChars="0" w:left="0" w:firstLineChars="0" w:firstLine="0"/>
        <w:rPr>
          <w:rFonts w:ascii="Times New Roman" w:eastAsia="Times New Roman" w:hAnsi="Times New Roman" w:cs="Times New Roman"/>
          <w:b/>
          <w:sz w:val="24"/>
          <w:szCs w:val="24"/>
        </w:rPr>
      </w:pPr>
    </w:p>
    <w:p w14:paraId="0F47AD38" w14:textId="77777777" w:rsidR="00B73AFF" w:rsidRPr="00F2217F" w:rsidRDefault="0084286F" w:rsidP="006A2F97">
      <w:pPr>
        <w:spacing w:after="0" w:line="240" w:lineRule="auto"/>
        <w:ind w:leftChars="0" w:left="2" w:hanging="2"/>
        <w:rPr>
          <w:rFonts w:ascii="Times New Roman" w:eastAsia="Times New Roman" w:hAnsi="Times New Roman" w:cs="Times New Roman"/>
          <w:sz w:val="24"/>
          <w:szCs w:val="24"/>
        </w:rPr>
      </w:pPr>
      <w:r w:rsidRPr="00F2217F">
        <w:rPr>
          <w:rFonts w:ascii="Times New Roman" w:eastAsia="Times New Roman" w:hAnsi="Times New Roman" w:cs="Times New Roman"/>
          <w:b/>
          <w:sz w:val="24"/>
          <w:szCs w:val="24"/>
        </w:rPr>
        <w:t xml:space="preserve">References </w:t>
      </w:r>
    </w:p>
    <w:p w14:paraId="4BCCE7AE" w14:textId="77777777" w:rsidR="00B73AFF" w:rsidRPr="00F2217F" w:rsidRDefault="0084286F" w:rsidP="006A2F97">
      <w:pPr>
        <w:spacing w:after="0" w:line="240" w:lineRule="auto"/>
        <w:ind w:leftChars="0" w:left="2" w:hanging="2"/>
        <w:rPr>
          <w:rFonts w:ascii="Times New Roman" w:eastAsia="Times New Roman" w:hAnsi="Times New Roman" w:cs="Times New Roman"/>
          <w:b/>
          <w:sz w:val="24"/>
          <w:szCs w:val="24"/>
        </w:rPr>
      </w:pPr>
      <w:r w:rsidRPr="00F2217F">
        <w:rPr>
          <w:rFonts w:ascii="Times New Roman" w:eastAsia="Times New Roman" w:hAnsi="Times New Roman" w:cs="Times New Roman"/>
          <w:b/>
          <w:sz w:val="24"/>
          <w:szCs w:val="24"/>
        </w:rPr>
        <w:t xml:space="preserve"> </w:t>
      </w:r>
    </w:p>
    <w:p w14:paraId="60A83518"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Adriani, M., Moyer, S., Kendrick, A., Henry, G., &amp; Wood, S. (2016). </w:t>
      </w:r>
      <w:r w:rsidRPr="00F2217F">
        <w:rPr>
          <w:rFonts w:ascii="Times New Roman" w:hAnsi="Times New Roman" w:cs="Times New Roman"/>
          <w:i/>
          <w:iCs/>
          <w:noProof/>
          <w:sz w:val="24"/>
          <w:szCs w:val="24"/>
        </w:rPr>
        <w:t>The Cost of Fire: An Economic Analysis of Indonesia's 2015 Fire Crisis.</w:t>
      </w:r>
      <w:r w:rsidRPr="00F2217F">
        <w:rPr>
          <w:rFonts w:ascii="Times New Roman" w:hAnsi="Times New Roman" w:cs="Times New Roman"/>
          <w:noProof/>
          <w:sz w:val="24"/>
          <w:szCs w:val="24"/>
        </w:rPr>
        <w:t xml:space="preserve"> Jakarta: World Bank Group.</w:t>
      </w:r>
    </w:p>
    <w:p w14:paraId="3009C6F7" w14:textId="78E44A26"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Baker, J. C., &amp; Spracklen, D. V. (2019). Climate Benefits of Intact Amazon Forests and the Biophysical Consequences of Disturbance. </w:t>
      </w:r>
      <w:r w:rsidRPr="00F2217F">
        <w:rPr>
          <w:rFonts w:ascii="Times New Roman" w:hAnsi="Times New Roman" w:cs="Times New Roman"/>
          <w:i/>
          <w:iCs/>
          <w:noProof/>
          <w:sz w:val="24"/>
          <w:szCs w:val="24"/>
        </w:rPr>
        <w:t>Frontiers in Forests and Global Change</w:t>
      </w:r>
      <w:r w:rsidRPr="00F2217F">
        <w:rPr>
          <w:rFonts w:ascii="Times New Roman" w:hAnsi="Times New Roman" w:cs="Times New Roman"/>
          <w:noProof/>
          <w:sz w:val="24"/>
          <w:szCs w:val="24"/>
        </w:rPr>
        <w:t xml:space="preserve">, </w:t>
      </w:r>
      <w:r w:rsidR="00C65D72" w:rsidRPr="00C65D72">
        <w:t xml:space="preserve"> </w:t>
      </w:r>
      <w:r w:rsidR="00C65D72" w:rsidRPr="00C65D72">
        <w:rPr>
          <w:rFonts w:ascii="Times New Roman" w:hAnsi="Times New Roman" w:cs="Times New Roman"/>
          <w:noProof/>
          <w:sz w:val="24"/>
          <w:szCs w:val="24"/>
        </w:rPr>
        <w:t>2:47. doi: 10.3389/ffgc.2019.00047</w:t>
      </w:r>
    </w:p>
    <w:p w14:paraId="0222C521" w14:textId="3ABF951F"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Bonan, G. B. (2008). Forests and Climate Change: Forcings, Feedbacks, and the Climate Benefits of Forests. </w:t>
      </w:r>
      <w:r w:rsidRPr="00F2217F">
        <w:rPr>
          <w:rFonts w:ascii="Times New Roman" w:hAnsi="Times New Roman" w:cs="Times New Roman"/>
          <w:i/>
          <w:iCs/>
          <w:noProof/>
          <w:sz w:val="24"/>
          <w:szCs w:val="24"/>
        </w:rPr>
        <w:t>Science</w:t>
      </w:r>
      <w:r w:rsidRPr="00F2217F">
        <w:rPr>
          <w:rFonts w:ascii="Times New Roman" w:hAnsi="Times New Roman" w:cs="Times New Roman"/>
          <w:noProof/>
          <w:sz w:val="24"/>
          <w:szCs w:val="24"/>
        </w:rPr>
        <w:t xml:space="preserve">, </w:t>
      </w:r>
      <w:r w:rsidR="00C65D72" w:rsidRPr="00C65D72">
        <w:rPr>
          <w:rFonts w:ascii="Times New Roman" w:hAnsi="Times New Roman" w:cs="Times New Roman"/>
          <w:i/>
          <w:iCs/>
          <w:noProof/>
          <w:sz w:val="24"/>
          <w:szCs w:val="24"/>
        </w:rPr>
        <w:t>320</w:t>
      </w:r>
      <w:r w:rsidR="00C65D72">
        <w:rPr>
          <w:rFonts w:ascii="Times New Roman" w:hAnsi="Times New Roman" w:cs="Times New Roman"/>
          <w:noProof/>
          <w:sz w:val="24"/>
          <w:szCs w:val="24"/>
        </w:rPr>
        <w:t xml:space="preserve">(5882), </w:t>
      </w:r>
      <w:r w:rsidRPr="00F2217F">
        <w:rPr>
          <w:rFonts w:ascii="Times New Roman" w:hAnsi="Times New Roman" w:cs="Times New Roman"/>
          <w:noProof/>
          <w:sz w:val="24"/>
          <w:szCs w:val="24"/>
        </w:rPr>
        <w:t>1444-1449.</w:t>
      </w:r>
    </w:p>
    <w:p w14:paraId="0AF13CD6" w14:textId="1089DB07"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Bouma, M., Kovats, R., Goubet, S., Cox, J. S., &amp; Haines, A. (1997). Global assesment of El Nino's disaster burden. </w:t>
      </w:r>
      <w:r w:rsidRPr="00F2217F">
        <w:rPr>
          <w:rFonts w:ascii="Times New Roman" w:hAnsi="Times New Roman" w:cs="Times New Roman"/>
          <w:i/>
          <w:iCs/>
          <w:noProof/>
          <w:sz w:val="24"/>
          <w:szCs w:val="24"/>
        </w:rPr>
        <w:t>The Lancet</w:t>
      </w:r>
      <w:r w:rsidRPr="00F2217F">
        <w:rPr>
          <w:rFonts w:ascii="Times New Roman" w:hAnsi="Times New Roman" w:cs="Times New Roman"/>
          <w:noProof/>
          <w:sz w:val="24"/>
          <w:szCs w:val="24"/>
        </w:rPr>
        <w:t xml:space="preserve">, </w:t>
      </w:r>
      <w:r w:rsidR="00C65D72" w:rsidRPr="00C65D72">
        <w:rPr>
          <w:rFonts w:ascii="Times New Roman" w:hAnsi="Times New Roman" w:cs="Times New Roman"/>
          <w:i/>
          <w:iCs/>
          <w:noProof/>
          <w:sz w:val="24"/>
          <w:szCs w:val="24"/>
        </w:rPr>
        <w:t>350</w:t>
      </w:r>
      <w:r w:rsidR="00C65D72">
        <w:rPr>
          <w:rFonts w:ascii="Times New Roman" w:hAnsi="Times New Roman" w:cs="Times New Roman"/>
          <w:noProof/>
          <w:sz w:val="24"/>
          <w:szCs w:val="24"/>
        </w:rPr>
        <w:t xml:space="preserve">(9089), </w:t>
      </w:r>
      <w:r w:rsidRPr="00F2217F">
        <w:rPr>
          <w:rFonts w:ascii="Times New Roman" w:hAnsi="Times New Roman" w:cs="Times New Roman"/>
          <w:noProof/>
          <w:sz w:val="24"/>
          <w:szCs w:val="24"/>
        </w:rPr>
        <w:t>1435-1438.</w:t>
      </w:r>
    </w:p>
    <w:p w14:paraId="63B799E9" w14:textId="15CBCA19"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Brookfield, H., &amp; Byron, Y. (1990). Deforestation and timber extraction in Borneo and the Malay Peninsula: the record since 1965. </w:t>
      </w:r>
      <w:r w:rsidRPr="00F2217F">
        <w:rPr>
          <w:rFonts w:ascii="Times New Roman" w:hAnsi="Times New Roman" w:cs="Times New Roman"/>
          <w:i/>
          <w:iCs/>
          <w:noProof/>
          <w:sz w:val="24"/>
          <w:szCs w:val="24"/>
        </w:rPr>
        <w:t>Global Environmental Change</w:t>
      </w:r>
      <w:r w:rsidRPr="00F2217F">
        <w:rPr>
          <w:rFonts w:ascii="Times New Roman" w:hAnsi="Times New Roman" w:cs="Times New Roman"/>
          <w:noProof/>
          <w:sz w:val="24"/>
          <w:szCs w:val="24"/>
        </w:rPr>
        <w:t xml:space="preserve">, </w:t>
      </w:r>
      <w:r w:rsidR="001B5046" w:rsidRPr="001B5046">
        <w:rPr>
          <w:rFonts w:ascii="Times New Roman" w:hAnsi="Times New Roman" w:cs="Times New Roman"/>
          <w:i/>
          <w:iCs/>
          <w:noProof/>
          <w:sz w:val="24"/>
          <w:szCs w:val="24"/>
        </w:rPr>
        <w:t>1</w:t>
      </w:r>
      <w:r w:rsidR="001B5046">
        <w:rPr>
          <w:rFonts w:ascii="Times New Roman" w:hAnsi="Times New Roman" w:cs="Times New Roman"/>
          <w:noProof/>
          <w:sz w:val="24"/>
          <w:szCs w:val="24"/>
        </w:rPr>
        <w:t xml:space="preserve">(1), </w:t>
      </w:r>
      <w:r w:rsidRPr="00F2217F">
        <w:rPr>
          <w:rFonts w:ascii="Times New Roman" w:hAnsi="Times New Roman" w:cs="Times New Roman"/>
          <w:noProof/>
          <w:sz w:val="24"/>
          <w:szCs w:val="24"/>
        </w:rPr>
        <w:t>42-56.</w:t>
      </w:r>
    </w:p>
    <w:p w14:paraId="15986B03" w14:textId="079DD47C"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Brown, T., Hall, B., &amp; Westerling, A. (2004). The impact of twenty-first century climate change on wildland fire danger in the western United States: An applications perspective. </w:t>
      </w:r>
      <w:r w:rsidRPr="00F2217F">
        <w:rPr>
          <w:rFonts w:ascii="Times New Roman" w:hAnsi="Times New Roman" w:cs="Times New Roman"/>
          <w:i/>
          <w:iCs/>
          <w:noProof/>
          <w:sz w:val="24"/>
          <w:szCs w:val="24"/>
        </w:rPr>
        <w:t>Climate Change</w:t>
      </w:r>
      <w:r w:rsidRPr="00F2217F">
        <w:rPr>
          <w:rFonts w:ascii="Times New Roman" w:hAnsi="Times New Roman" w:cs="Times New Roman"/>
          <w:noProof/>
          <w:sz w:val="24"/>
          <w:szCs w:val="24"/>
        </w:rPr>
        <w:t xml:space="preserve">, </w:t>
      </w:r>
      <w:r w:rsidR="001B5046" w:rsidRPr="001B5046">
        <w:rPr>
          <w:rFonts w:ascii="Times New Roman" w:hAnsi="Times New Roman" w:cs="Times New Roman"/>
          <w:i/>
          <w:iCs/>
          <w:noProof/>
          <w:sz w:val="24"/>
          <w:szCs w:val="24"/>
        </w:rPr>
        <w:t>62</w:t>
      </w:r>
      <w:r w:rsidR="001B5046">
        <w:rPr>
          <w:rFonts w:ascii="Times New Roman" w:hAnsi="Times New Roman" w:cs="Times New Roman"/>
          <w:noProof/>
          <w:sz w:val="24"/>
          <w:szCs w:val="24"/>
        </w:rPr>
        <w:t xml:space="preserve">, </w:t>
      </w:r>
      <w:r w:rsidRPr="00F2217F">
        <w:rPr>
          <w:rFonts w:ascii="Times New Roman" w:hAnsi="Times New Roman" w:cs="Times New Roman"/>
          <w:noProof/>
          <w:sz w:val="24"/>
          <w:szCs w:val="24"/>
        </w:rPr>
        <w:t>365-388.</w:t>
      </w:r>
    </w:p>
    <w:p w14:paraId="134E0173"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Bureau of Meteorology. (2017). </w:t>
      </w:r>
      <w:r w:rsidRPr="00F2217F">
        <w:rPr>
          <w:rFonts w:ascii="Times New Roman" w:hAnsi="Times New Roman" w:cs="Times New Roman"/>
          <w:i/>
          <w:iCs/>
          <w:noProof/>
          <w:sz w:val="24"/>
          <w:szCs w:val="24"/>
        </w:rPr>
        <w:t>bom.gov.au</w:t>
      </w:r>
      <w:r w:rsidRPr="00F2217F">
        <w:rPr>
          <w:rFonts w:ascii="Times New Roman" w:hAnsi="Times New Roman" w:cs="Times New Roman"/>
          <w:noProof/>
          <w:sz w:val="24"/>
          <w:szCs w:val="24"/>
        </w:rPr>
        <w:t>. Retrieved 08 02, 2017, from http://www.bom.gov.au/climate/ahead/about-ENSO-outlooks.shtml</w:t>
      </w:r>
    </w:p>
    <w:p w14:paraId="329A4476" w14:textId="63C1A6A3"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Cochrane, M. A. (2003). Fire science for rainforests. </w:t>
      </w:r>
      <w:r w:rsidRPr="00F2217F">
        <w:rPr>
          <w:rFonts w:ascii="Times New Roman" w:hAnsi="Times New Roman" w:cs="Times New Roman"/>
          <w:i/>
          <w:iCs/>
          <w:noProof/>
          <w:sz w:val="24"/>
          <w:szCs w:val="24"/>
        </w:rPr>
        <w:t>Nature</w:t>
      </w:r>
      <w:r w:rsidRPr="00F2217F">
        <w:rPr>
          <w:rFonts w:ascii="Times New Roman" w:hAnsi="Times New Roman" w:cs="Times New Roman"/>
          <w:noProof/>
          <w:sz w:val="24"/>
          <w:szCs w:val="24"/>
        </w:rPr>
        <w:t xml:space="preserve">, </w:t>
      </w:r>
      <w:r w:rsidR="001B5046" w:rsidRPr="001B5046">
        <w:rPr>
          <w:rFonts w:ascii="Times New Roman" w:hAnsi="Times New Roman" w:cs="Times New Roman"/>
          <w:i/>
          <w:iCs/>
          <w:noProof/>
          <w:sz w:val="24"/>
          <w:szCs w:val="24"/>
        </w:rPr>
        <w:t>421</w:t>
      </w:r>
      <w:r w:rsidR="001B5046">
        <w:rPr>
          <w:rFonts w:ascii="Times New Roman" w:hAnsi="Times New Roman" w:cs="Times New Roman"/>
          <w:noProof/>
          <w:sz w:val="24"/>
          <w:szCs w:val="24"/>
        </w:rPr>
        <w:t xml:space="preserve">, </w:t>
      </w:r>
      <w:r w:rsidRPr="00F2217F">
        <w:rPr>
          <w:rFonts w:ascii="Times New Roman" w:hAnsi="Times New Roman" w:cs="Times New Roman"/>
          <w:noProof/>
          <w:sz w:val="24"/>
          <w:szCs w:val="24"/>
        </w:rPr>
        <w:t>913-919.</w:t>
      </w:r>
    </w:p>
    <w:p w14:paraId="634138BC"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Dahlman, L. (2016, February 11). </w:t>
      </w:r>
      <w:r w:rsidRPr="00F2217F">
        <w:rPr>
          <w:rFonts w:ascii="Times New Roman" w:hAnsi="Times New Roman" w:cs="Times New Roman"/>
          <w:i/>
          <w:iCs/>
          <w:noProof/>
          <w:sz w:val="24"/>
          <w:szCs w:val="24"/>
        </w:rPr>
        <w:t>Climate Variability: Oceanic Nino Index</w:t>
      </w:r>
      <w:r w:rsidRPr="00F2217F">
        <w:rPr>
          <w:rFonts w:ascii="Times New Roman" w:hAnsi="Times New Roman" w:cs="Times New Roman"/>
          <w:noProof/>
          <w:sz w:val="24"/>
          <w:szCs w:val="24"/>
        </w:rPr>
        <w:t>. Retrieved from climate.gov: https://www.climate.gov/news-features/understanding-climate/climate-variability-oceanic-niño-index</w:t>
      </w:r>
    </w:p>
    <w:p w14:paraId="582A6447" w14:textId="14939FC0" w:rsidR="006302F1" w:rsidRPr="00F2217F" w:rsidRDefault="006302F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Edwards, R. B., Naylor, R. L., Higgins, M. M., &amp; Falcon, W. P. (2020). Causes of Indonesia's forest fire. </w:t>
      </w:r>
      <w:r w:rsidRPr="00F2217F">
        <w:rPr>
          <w:rFonts w:ascii="Times New Roman" w:hAnsi="Times New Roman" w:cs="Times New Roman"/>
          <w:i/>
          <w:iCs/>
          <w:noProof/>
          <w:sz w:val="24"/>
          <w:szCs w:val="24"/>
        </w:rPr>
        <w:t>World Development</w:t>
      </w:r>
      <w:r w:rsidR="0074760F">
        <w:rPr>
          <w:rFonts w:ascii="Times New Roman" w:hAnsi="Times New Roman" w:cs="Times New Roman"/>
          <w:noProof/>
          <w:sz w:val="24"/>
          <w:szCs w:val="24"/>
        </w:rPr>
        <w:t>, 127</w:t>
      </w:r>
      <w:r w:rsidR="001B5046">
        <w:rPr>
          <w:rFonts w:ascii="Times New Roman" w:hAnsi="Times New Roman" w:cs="Times New Roman"/>
          <w:noProof/>
          <w:sz w:val="24"/>
          <w:szCs w:val="24"/>
        </w:rPr>
        <w:t>(2020), 104717.</w:t>
      </w:r>
    </w:p>
    <w:p w14:paraId="6D55EBC8"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Field, R. D., Werf, G. R., Fanin, T., Fetzer, E. J., Fuller, R., Jethva, H., . . . Worden, H. M. (2016). Indonesian fire activity and smoke pollution in 2015 show persistent nonlinear sensitivity to El Nino-induce drought. </w:t>
      </w:r>
      <w:r w:rsidRPr="00F2217F">
        <w:rPr>
          <w:rFonts w:ascii="Times New Roman" w:hAnsi="Times New Roman" w:cs="Times New Roman"/>
          <w:i/>
          <w:iCs/>
          <w:noProof/>
          <w:sz w:val="24"/>
          <w:szCs w:val="24"/>
        </w:rPr>
        <w:t>Proceeding of the National Academy of Sciences of the United States of America</w:t>
      </w:r>
      <w:r w:rsidRPr="00F2217F">
        <w:rPr>
          <w:rFonts w:ascii="Times New Roman" w:hAnsi="Times New Roman" w:cs="Times New Roman"/>
          <w:noProof/>
          <w:sz w:val="24"/>
          <w:szCs w:val="24"/>
        </w:rPr>
        <w:t xml:space="preserve"> (pp. 9204-9209). Falmouth: Woods Hole Research Center.</w:t>
      </w:r>
    </w:p>
    <w:p w14:paraId="14433864"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FIRMS, N. (2021, January). </w:t>
      </w:r>
      <w:r w:rsidRPr="00F2217F">
        <w:rPr>
          <w:rFonts w:ascii="Times New Roman" w:hAnsi="Times New Roman" w:cs="Times New Roman"/>
          <w:i/>
          <w:iCs/>
          <w:noProof/>
          <w:sz w:val="24"/>
          <w:szCs w:val="24"/>
        </w:rPr>
        <w:t>earthdata.nasa.gov</w:t>
      </w:r>
      <w:r w:rsidRPr="00F2217F">
        <w:rPr>
          <w:rFonts w:ascii="Times New Roman" w:hAnsi="Times New Roman" w:cs="Times New Roman"/>
          <w:noProof/>
          <w:sz w:val="24"/>
          <w:szCs w:val="24"/>
        </w:rPr>
        <w:t>. Retrieved from earthdata.nasa.gov/firms: https://earthdata.nasa.gov/firms</w:t>
      </w:r>
    </w:p>
    <w:p w14:paraId="71D71AFC" w14:textId="45C2C5F0"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lastRenderedPageBreak/>
        <w:t xml:space="preserve">Fuller, D., &amp; Murphy, K. (2006). The Enso-Fire Dynamic in Insular Southeast Asia . </w:t>
      </w:r>
      <w:r w:rsidRPr="00F2217F">
        <w:rPr>
          <w:rFonts w:ascii="Times New Roman" w:hAnsi="Times New Roman" w:cs="Times New Roman"/>
          <w:i/>
          <w:iCs/>
          <w:noProof/>
          <w:sz w:val="24"/>
          <w:szCs w:val="24"/>
        </w:rPr>
        <w:t>Climatic Change</w:t>
      </w:r>
      <w:r w:rsidRPr="00F2217F">
        <w:rPr>
          <w:rFonts w:ascii="Times New Roman" w:hAnsi="Times New Roman" w:cs="Times New Roman"/>
          <w:noProof/>
          <w:sz w:val="24"/>
          <w:szCs w:val="24"/>
        </w:rPr>
        <w:t xml:space="preserve">, </w:t>
      </w:r>
      <w:r w:rsidR="0074760F" w:rsidRPr="0074760F">
        <w:rPr>
          <w:rFonts w:ascii="Times New Roman" w:hAnsi="Times New Roman" w:cs="Times New Roman"/>
          <w:i/>
          <w:iCs/>
          <w:noProof/>
          <w:sz w:val="24"/>
          <w:szCs w:val="24"/>
        </w:rPr>
        <w:t>74</w:t>
      </w:r>
      <w:r w:rsidR="0074760F">
        <w:rPr>
          <w:rFonts w:ascii="Times New Roman" w:hAnsi="Times New Roman" w:cs="Times New Roman"/>
          <w:noProof/>
          <w:sz w:val="24"/>
          <w:szCs w:val="24"/>
        </w:rPr>
        <w:t xml:space="preserve">, </w:t>
      </w:r>
      <w:r w:rsidRPr="00F2217F">
        <w:rPr>
          <w:rFonts w:ascii="Times New Roman" w:hAnsi="Times New Roman" w:cs="Times New Roman"/>
          <w:noProof/>
          <w:sz w:val="24"/>
          <w:szCs w:val="24"/>
        </w:rPr>
        <w:t>435-455.</w:t>
      </w:r>
    </w:p>
    <w:p w14:paraId="3BB1FFDC" w14:textId="6D2CBC8C" w:rsidR="0074760F" w:rsidRPr="0074760F" w:rsidRDefault="002304B9" w:rsidP="0074760F">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Gaveau, D. L., Sloan, S., Molidena, E., Yaen, H., Sheil, D., Abram, N. K., . . . Meijaard, E. (2014). Four Decades of Forest Persistence, Clearance and Logging on Borneo. </w:t>
      </w:r>
      <w:r w:rsidRPr="00F2217F">
        <w:rPr>
          <w:rFonts w:ascii="Times New Roman" w:hAnsi="Times New Roman" w:cs="Times New Roman"/>
          <w:i/>
          <w:iCs/>
          <w:noProof/>
          <w:sz w:val="24"/>
          <w:szCs w:val="24"/>
        </w:rPr>
        <w:t>PLOS One</w:t>
      </w:r>
      <w:r w:rsidR="0074760F">
        <w:rPr>
          <w:rFonts w:ascii="Times New Roman" w:hAnsi="Times New Roman" w:cs="Times New Roman"/>
          <w:noProof/>
          <w:sz w:val="24"/>
          <w:szCs w:val="24"/>
        </w:rPr>
        <w:t xml:space="preserve">, </w:t>
      </w:r>
      <w:r w:rsidR="0074760F" w:rsidRPr="0074760F">
        <w:rPr>
          <w:rFonts w:ascii="Times New Roman" w:hAnsi="Times New Roman" w:cs="Times New Roman"/>
          <w:noProof/>
          <w:sz w:val="24"/>
          <w:szCs w:val="24"/>
        </w:rPr>
        <w:t>9(7)</w:t>
      </w:r>
      <w:r w:rsidR="0074760F">
        <w:rPr>
          <w:rFonts w:ascii="Times New Roman" w:hAnsi="Times New Roman" w:cs="Times New Roman"/>
          <w:noProof/>
          <w:sz w:val="24"/>
          <w:szCs w:val="24"/>
        </w:rPr>
        <w:t>,</w:t>
      </w:r>
    </w:p>
    <w:p w14:paraId="64331A66" w14:textId="4D5E169A" w:rsidR="002304B9" w:rsidRPr="00F2217F" w:rsidRDefault="0074760F" w:rsidP="0074760F">
      <w:pPr>
        <w:pStyle w:val="Bibliography"/>
        <w:spacing w:after="0"/>
        <w:ind w:leftChars="0" w:left="720" w:firstLineChars="0" w:hanging="720"/>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sidRPr="0074760F">
        <w:rPr>
          <w:rFonts w:ascii="Times New Roman" w:hAnsi="Times New Roman" w:cs="Times New Roman"/>
          <w:noProof/>
          <w:sz w:val="24"/>
          <w:szCs w:val="24"/>
        </w:rPr>
        <w:t>e101654. doi:10.1371/journal.pone.0101654</w:t>
      </w:r>
    </w:p>
    <w:p w14:paraId="1788A7C7" w14:textId="7BD9EFFD"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Glantz, M. H., &amp; Ramirez, I. J. (2020). Reviewing the Oceanic Nino Index (ONI) to Enhance Societal Readiness for El Nino's Impacts. </w:t>
      </w:r>
      <w:r w:rsidRPr="00F2217F">
        <w:rPr>
          <w:rFonts w:ascii="Times New Roman" w:hAnsi="Times New Roman" w:cs="Times New Roman"/>
          <w:i/>
          <w:iCs/>
          <w:noProof/>
          <w:sz w:val="24"/>
          <w:szCs w:val="24"/>
        </w:rPr>
        <w:t>Journal of Disaster Risk Science</w:t>
      </w:r>
      <w:r w:rsidRPr="00F2217F">
        <w:rPr>
          <w:rFonts w:ascii="Times New Roman" w:hAnsi="Times New Roman" w:cs="Times New Roman"/>
          <w:noProof/>
          <w:sz w:val="24"/>
          <w:szCs w:val="24"/>
        </w:rPr>
        <w:t xml:space="preserve">, </w:t>
      </w:r>
      <w:r w:rsidR="0074760F" w:rsidRPr="0074760F">
        <w:rPr>
          <w:rFonts w:ascii="Times New Roman" w:hAnsi="Times New Roman" w:cs="Times New Roman"/>
          <w:i/>
          <w:iCs/>
          <w:noProof/>
          <w:sz w:val="24"/>
          <w:szCs w:val="24"/>
        </w:rPr>
        <w:t>11</w:t>
      </w:r>
      <w:r w:rsidR="0074760F">
        <w:rPr>
          <w:rFonts w:ascii="Times New Roman" w:hAnsi="Times New Roman" w:cs="Times New Roman"/>
          <w:noProof/>
          <w:sz w:val="24"/>
          <w:szCs w:val="24"/>
        </w:rPr>
        <w:t xml:space="preserve">(3), </w:t>
      </w:r>
      <w:r w:rsidRPr="00F2217F">
        <w:rPr>
          <w:rFonts w:ascii="Times New Roman" w:hAnsi="Times New Roman" w:cs="Times New Roman"/>
          <w:noProof/>
          <w:sz w:val="24"/>
          <w:szCs w:val="24"/>
        </w:rPr>
        <w:t>394-403.</w:t>
      </w:r>
    </w:p>
    <w:p w14:paraId="70994645" w14:textId="1D60CA80"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Goldammer, J. G. (2007). History of equatorial vegetation fires and fire research in Southeast Asia before the 1997-98 episode: A reconstruction of creeping environmental changes. </w:t>
      </w:r>
      <w:r w:rsidRPr="00F2217F">
        <w:rPr>
          <w:rFonts w:ascii="Times New Roman" w:hAnsi="Times New Roman" w:cs="Times New Roman"/>
          <w:i/>
          <w:iCs/>
          <w:noProof/>
          <w:sz w:val="24"/>
          <w:szCs w:val="24"/>
        </w:rPr>
        <w:t>Mitigation and Adaptation Strategies for Global Change</w:t>
      </w:r>
      <w:r w:rsidRPr="00F2217F">
        <w:rPr>
          <w:rFonts w:ascii="Times New Roman" w:hAnsi="Times New Roman" w:cs="Times New Roman"/>
          <w:noProof/>
          <w:sz w:val="24"/>
          <w:szCs w:val="24"/>
        </w:rPr>
        <w:t xml:space="preserve">, </w:t>
      </w:r>
      <w:r w:rsidR="00051A78" w:rsidRPr="00051A78">
        <w:rPr>
          <w:rFonts w:ascii="Times New Roman" w:hAnsi="Times New Roman" w:cs="Times New Roman"/>
          <w:i/>
          <w:iCs/>
          <w:noProof/>
          <w:sz w:val="24"/>
          <w:szCs w:val="24"/>
        </w:rPr>
        <w:t>12</w:t>
      </w:r>
      <w:r w:rsidR="00051A78">
        <w:rPr>
          <w:rFonts w:ascii="Times New Roman" w:hAnsi="Times New Roman" w:cs="Times New Roman"/>
          <w:noProof/>
          <w:sz w:val="24"/>
          <w:szCs w:val="24"/>
        </w:rPr>
        <w:t xml:space="preserve">, </w:t>
      </w:r>
      <w:r w:rsidRPr="00F2217F">
        <w:rPr>
          <w:rFonts w:ascii="Times New Roman" w:hAnsi="Times New Roman" w:cs="Times New Roman"/>
          <w:noProof/>
          <w:sz w:val="24"/>
          <w:szCs w:val="24"/>
        </w:rPr>
        <w:t>13-32.</w:t>
      </w:r>
    </w:p>
    <w:p w14:paraId="4329C21F"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Goldammer, J., &amp; Siegert, B. (1990). The Impact of Drought and Forest Fires on Tropical Lowland Rain Forest of East Kalimantan. In G. J.G., </w:t>
      </w:r>
      <w:r w:rsidRPr="00F2217F">
        <w:rPr>
          <w:rFonts w:ascii="Times New Roman" w:hAnsi="Times New Roman" w:cs="Times New Roman"/>
          <w:i/>
          <w:iCs/>
          <w:noProof/>
          <w:sz w:val="24"/>
          <w:szCs w:val="24"/>
        </w:rPr>
        <w:t>Fire in the Tropical Biota. Ecological Studies (Analysis and Synthesis)</w:t>
      </w:r>
      <w:r w:rsidRPr="00F2217F">
        <w:rPr>
          <w:rFonts w:ascii="Times New Roman" w:hAnsi="Times New Roman" w:cs="Times New Roman"/>
          <w:noProof/>
          <w:sz w:val="24"/>
          <w:szCs w:val="24"/>
        </w:rPr>
        <w:t xml:space="preserve"> (pp. 11-31). Berlin, Heidelberg: Springer.</w:t>
      </w:r>
    </w:p>
    <w:p w14:paraId="3408FF3F" w14:textId="14E663F3" w:rsidR="002D5096"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Gross, M. (2015). A fire with global connections. </w:t>
      </w:r>
      <w:r w:rsidRPr="00F2217F">
        <w:rPr>
          <w:rFonts w:ascii="Times New Roman" w:hAnsi="Times New Roman" w:cs="Times New Roman"/>
          <w:i/>
          <w:iCs/>
          <w:noProof/>
          <w:sz w:val="24"/>
          <w:szCs w:val="24"/>
        </w:rPr>
        <w:t>Current Biology</w:t>
      </w:r>
      <w:r w:rsidRPr="00F2217F">
        <w:rPr>
          <w:rFonts w:ascii="Times New Roman" w:hAnsi="Times New Roman" w:cs="Times New Roman"/>
          <w:noProof/>
          <w:sz w:val="24"/>
          <w:szCs w:val="24"/>
        </w:rPr>
        <w:t xml:space="preserve">, </w:t>
      </w:r>
      <w:r w:rsidR="00051A78" w:rsidRPr="00051A78">
        <w:rPr>
          <w:rFonts w:ascii="Times New Roman" w:hAnsi="Times New Roman" w:cs="Times New Roman"/>
          <w:i/>
          <w:iCs/>
          <w:noProof/>
          <w:sz w:val="24"/>
          <w:szCs w:val="24"/>
        </w:rPr>
        <w:t>25</w:t>
      </w:r>
      <w:r w:rsidR="00051A78">
        <w:rPr>
          <w:rFonts w:ascii="Times New Roman" w:hAnsi="Times New Roman" w:cs="Times New Roman"/>
          <w:noProof/>
          <w:sz w:val="24"/>
          <w:szCs w:val="24"/>
        </w:rPr>
        <w:t xml:space="preserve">(23), </w:t>
      </w:r>
      <w:r w:rsidRPr="00F2217F">
        <w:rPr>
          <w:rFonts w:ascii="Times New Roman" w:hAnsi="Times New Roman" w:cs="Times New Roman"/>
          <w:noProof/>
          <w:sz w:val="24"/>
          <w:szCs w:val="24"/>
        </w:rPr>
        <w:t>R1107-R1109.</w:t>
      </w:r>
    </w:p>
    <w:p w14:paraId="5834E183" w14:textId="160B9A50" w:rsidR="00284E3B"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Huijnen, V., Wooster, M., Kaiser, J., Gaveau, D., Flemming, J., Parrington, M., . . . Weele, M. v. (2016). Fire carbon emissions over maritime southeast Asia in 2015 largest since 1997. </w:t>
      </w:r>
      <w:r w:rsidRPr="00F2217F">
        <w:rPr>
          <w:rFonts w:ascii="Times New Roman" w:hAnsi="Times New Roman" w:cs="Times New Roman"/>
          <w:i/>
          <w:iCs/>
          <w:noProof/>
          <w:sz w:val="24"/>
          <w:szCs w:val="24"/>
        </w:rPr>
        <w:t>Scientific Reports</w:t>
      </w:r>
      <w:r w:rsidRPr="00F2217F">
        <w:rPr>
          <w:rFonts w:ascii="Times New Roman" w:hAnsi="Times New Roman" w:cs="Times New Roman"/>
          <w:noProof/>
          <w:sz w:val="24"/>
          <w:szCs w:val="24"/>
        </w:rPr>
        <w:t xml:space="preserve">, </w:t>
      </w:r>
      <w:r w:rsidR="00051A78" w:rsidRPr="00051A78">
        <w:rPr>
          <w:rFonts w:ascii="Times New Roman" w:hAnsi="Times New Roman" w:cs="Times New Roman"/>
          <w:noProof/>
          <w:sz w:val="24"/>
          <w:szCs w:val="24"/>
        </w:rPr>
        <w:t>6, 26886 (2016). https://doi.org/10.1038/srep26886</w:t>
      </w:r>
    </w:p>
    <w:p w14:paraId="7FBC3F52"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Guhardja, E., Fatawi, M., Sutisna, M., Mori, T., &amp; Ohta, S. (2000). </w:t>
      </w:r>
      <w:r w:rsidRPr="00F2217F">
        <w:rPr>
          <w:rFonts w:ascii="Times New Roman" w:hAnsi="Times New Roman" w:cs="Times New Roman"/>
          <w:i/>
          <w:iCs/>
          <w:noProof/>
          <w:sz w:val="24"/>
          <w:szCs w:val="24"/>
        </w:rPr>
        <w:t>Rainforest Ecosystem of East Kalimantan, El Nino, Drought, Fire and Human Impacts.</w:t>
      </w:r>
      <w:r w:rsidRPr="00F2217F">
        <w:rPr>
          <w:rFonts w:ascii="Times New Roman" w:hAnsi="Times New Roman" w:cs="Times New Roman"/>
          <w:noProof/>
          <w:sz w:val="24"/>
          <w:szCs w:val="24"/>
        </w:rPr>
        <w:t xml:space="preserve"> New York: Springer.</w:t>
      </w:r>
    </w:p>
    <w:p w14:paraId="73D619BB" w14:textId="0B00A03C"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Hamada, J., Yamanaka, M., Matsumoto, J., Fukao, S., Winarso, P., &amp; Sribimawati, T. (2002). Spatial and Temporal variations of the rainy season over Indonesia and their link to ENSO. </w:t>
      </w:r>
      <w:r w:rsidRPr="00F2217F">
        <w:rPr>
          <w:rFonts w:ascii="Times New Roman" w:hAnsi="Times New Roman" w:cs="Times New Roman"/>
          <w:i/>
          <w:iCs/>
          <w:noProof/>
          <w:sz w:val="24"/>
          <w:szCs w:val="24"/>
        </w:rPr>
        <w:t>Japan Meteorological Society, 80</w:t>
      </w:r>
      <w:r w:rsidR="00051A78">
        <w:rPr>
          <w:rFonts w:ascii="Times New Roman" w:hAnsi="Times New Roman" w:cs="Times New Roman"/>
          <w:noProof/>
          <w:sz w:val="24"/>
          <w:szCs w:val="24"/>
        </w:rPr>
        <w:t>(2)</w:t>
      </w:r>
      <w:r w:rsidRPr="00F2217F">
        <w:rPr>
          <w:rFonts w:ascii="Times New Roman" w:hAnsi="Times New Roman" w:cs="Times New Roman"/>
          <w:noProof/>
          <w:sz w:val="24"/>
          <w:szCs w:val="24"/>
        </w:rPr>
        <w:t>, 285-310.</w:t>
      </w:r>
    </w:p>
    <w:p w14:paraId="77A61F54" w14:textId="6D03B06B" w:rsidR="00284E3B" w:rsidRPr="00F2217F" w:rsidRDefault="00284E3B"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Kirono, D., Tapper, N., &amp; McBride, J. (1999). Documenting Indonesian rainfall in the 1997/1998 El Nino event. </w:t>
      </w:r>
      <w:r w:rsidRPr="00F2217F">
        <w:rPr>
          <w:rFonts w:ascii="Times New Roman" w:hAnsi="Times New Roman" w:cs="Times New Roman"/>
          <w:i/>
          <w:iCs/>
          <w:noProof/>
          <w:sz w:val="24"/>
          <w:szCs w:val="24"/>
        </w:rPr>
        <w:t>Physical Geography, 20</w:t>
      </w:r>
      <w:r w:rsidR="00051A78">
        <w:rPr>
          <w:rFonts w:ascii="Times New Roman" w:hAnsi="Times New Roman" w:cs="Times New Roman"/>
          <w:noProof/>
          <w:sz w:val="24"/>
          <w:szCs w:val="24"/>
        </w:rPr>
        <w:t>(5)</w:t>
      </w:r>
      <w:r w:rsidRPr="00F2217F">
        <w:rPr>
          <w:rFonts w:ascii="Times New Roman" w:hAnsi="Times New Roman" w:cs="Times New Roman"/>
          <w:noProof/>
          <w:sz w:val="24"/>
          <w:szCs w:val="24"/>
        </w:rPr>
        <w:t>, 422-435.</w:t>
      </w:r>
    </w:p>
    <w:p w14:paraId="3B0CD838"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Lestari, A., Rumantir, G., &amp; Tapper, N. (2016). A Spatio-temporal Analysis on The Forest Fire Occurrence in Central Kalimantan, Indonesia. </w:t>
      </w:r>
      <w:r w:rsidRPr="00F2217F">
        <w:rPr>
          <w:rFonts w:ascii="Times New Roman" w:hAnsi="Times New Roman" w:cs="Times New Roman"/>
          <w:i/>
          <w:iCs/>
          <w:noProof/>
          <w:sz w:val="24"/>
          <w:szCs w:val="24"/>
        </w:rPr>
        <w:t>Pacific Asia Conference on Information System (PACIS) 2016</w:t>
      </w:r>
      <w:r w:rsidRPr="00F2217F">
        <w:rPr>
          <w:rFonts w:ascii="Times New Roman" w:hAnsi="Times New Roman" w:cs="Times New Roman"/>
          <w:noProof/>
          <w:sz w:val="24"/>
          <w:szCs w:val="24"/>
        </w:rPr>
        <w:t xml:space="preserve"> (p. 90). Melbourne: AIS eLibrary.</w:t>
      </w:r>
    </w:p>
    <w:p w14:paraId="76CFBC2D" w14:textId="195AF6D6"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McAlpine, C. A., Johnson, A., Salazar, A., Syktus, J., Wilson, K., Seabrook, L., . . . Sheil, D. (2018). Forest loss and Borneo's climate. </w:t>
      </w:r>
      <w:r w:rsidRPr="00F2217F">
        <w:rPr>
          <w:rFonts w:ascii="Times New Roman" w:hAnsi="Times New Roman" w:cs="Times New Roman"/>
          <w:i/>
          <w:iCs/>
          <w:noProof/>
          <w:sz w:val="24"/>
          <w:szCs w:val="24"/>
        </w:rPr>
        <w:t>Environmental Research Letters</w:t>
      </w:r>
      <w:r w:rsidRPr="00F2217F">
        <w:rPr>
          <w:rFonts w:ascii="Times New Roman" w:hAnsi="Times New Roman" w:cs="Times New Roman"/>
          <w:noProof/>
          <w:sz w:val="24"/>
          <w:szCs w:val="24"/>
        </w:rPr>
        <w:t xml:space="preserve">, </w:t>
      </w:r>
      <w:r w:rsidRPr="00AC52DB">
        <w:rPr>
          <w:rFonts w:ascii="Times New Roman" w:hAnsi="Times New Roman" w:cs="Times New Roman"/>
          <w:i/>
          <w:iCs/>
          <w:noProof/>
          <w:sz w:val="24"/>
          <w:szCs w:val="24"/>
        </w:rPr>
        <w:t>13</w:t>
      </w:r>
      <w:r w:rsidR="00AC52DB">
        <w:rPr>
          <w:rFonts w:ascii="Times New Roman" w:hAnsi="Times New Roman" w:cs="Times New Roman"/>
          <w:noProof/>
          <w:sz w:val="24"/>
          <w:szCs w:val="24"/>
        </w:rPr>
        <w:t>(4), 1-10</w:t>
      </w:r>
      <w:r w:rsidRPr="00F2217F">
        <w:rPr>
          <w:rFonts w:ascii="Times New Roman" w:hAnsi="Times New Roman" w:cs="Times New Roman"/>
          <w:noProof/>
          <w:sz w:val="24"/>
          <w:szCs w:val="24"/>
        </w:rPr>
        <w:t>.</w:t>
      </w:r>
    </w:p>
    <w:p w14:paraId="1A72F067" w14:textId="547731D4"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Margono, B. A., Potapov, P. V., Turubanova, S., Stolle, F., &amp; C, M. (2014). Primary Forest Cover Loss in Indonesia over 2000-2012. </w:t>
      </w:r>
      <w:r w:rsidRPr="00F2217F">
        <w:rPr>
          <w:rFonts w:ascii="Times New Roman" w:hAnsi="Times New Roman" w:cs="Times New Roman"/>
          <w:i/>
          <w:iCs/>
          <w:noProof/>
          <w:sz w:val="24"/>
          <w:szCs w:val="24"/>
        </w:rPr>
        <w:t>Nature Climate Change</w:t>
      </w:r>
      <w:r w:rsidRPr="00F2217F">
        <w:rPr>
          <w:rFonts w:ascii="Times New Roman" w:hAnsi="Times New Roman" w:cs="Times New Roman"/>
          <w:noProof/>
          <w:sz w:val="24"/>
          <w:szCs w:val="24"/>
        </w:rPr>
        <w:t>,</w:t>
      </w:r>
      <w:r w:rsidR="00AC52DB">
        <w:rPr>
          <w:rFonts w:ascii="Times New Roman" w:hAnsi="Times New Roman" w:cs="Times New Roman"/>
          <w:noProof/>
          <w:sz w:val="24"/>
          <w:szCs w:val="24"/>
        </w:rPr>
        <w:t xml:space="preserve"> </w:t>
      </w:r>
      <w:r w:rsidR="00AC52DB" w:rsidRPr="00AC52DB">
        <w:rPr>
          <w:rFonts w:ascii="Times New Roman" w:hAnsi="Times New Roman" w:cs="Times New Roman"/>
          <w:i/>
          <w:iCs/>
          <w:noProof/>
          <w:sz w:val="24"/>
          <w:szCs w:val="24"/>
        </w:rPr>
        <w:t>4</w:t>
      </w:r>
      <w:r w:rsidR="00AC52DB">
        <w:rPr>
          <w:rFonts w:ascii="Times New Roman" w:hAnsi="Times New Roman" w:cs="Times New Roman"/>
          <w:noProof/>
          <w:sz w:val="24"/>
          <w:szCs w:val="24"/>
        </w:rPr>
        <w:t>,</w:t>
      </w:r>
      <w:r w:rsidRPr="00F2217F">
        <w:rPr>
          <w:rFonts w:ascii="Times New Roman" w:hAnsi="Times New Roman" w:cs="Times New Roman"/>
          <w:noProof/>
          <w:sz w:val="24"/>
          <w:szCs w:val="24"/>
        </w:rPr>
        <w:t xml:space="preserve"> 730-735.</w:t>
      </w:r>
    </w:p>
    <w:p w14:paraId="467D622E" w14:textId="24FBA6FE"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Margono, B. A., Turubanova, S., Zhuravleva, I., Potapov, P., Tyukavina, A., Baccini, A., . . . Hansen, M. C. (2012). Mapping and monitoring deforestation and forest degradation in Sumatra (Indonesia) using Landsat time series data sets from 1990 to 2010. </w:t>
      </w:r>
      <w:r w:rsidRPr="00F2217F">
        <w:rPr>
          <w:rFonts w:ascii="Times New Roman" w:hAnsi="Times New Roman" w:cs="Times New Roman"/>
          <w:i/>
          <w:iCs/>
          <w:noProof/>
          <w:sz w:val="24"/>
          <w:szCs w:val="24"/>
        </w:rPr>
        <w:t>Environ. Res. Lett</w:t>
      </w:r>
      <w:r w:rsidRPr="00F2217F">
        <w:rPr>
          <w:rFonts w:ascii="Times New Roman" w:hAnsi="Times New Roman" w:cs="Times New Roman"/>
          <w:noProof/>
          <w:sz w:val="24"/>
          <w:szCs w:val="24"/>
        </w:rPr>
        <w:t>.</w:t>
      </w:r>
      <w:r w:rsidR="00AC52DB">
        <w:rPr>
          <w:rFonts w:ascii="Times New Roman" w:hAnsi="Times New Roman" w:cs="Times New Roman"/>
          <w:noProof/>
          <w:sz w:val="24"/>
          <w:szCs w:val="24"/>
        </w:rPr>
        <w:t xml:space="preserve">, </w:t>
      </w:r>
      <w:r w:rsidR="00AC52DB" w:rsidRPr="00AC52DB">
        <w:rPr>
          <w:rFonts w:ascii="Times New Roman" w:hAnsi="Times New Roman" w:cs="Times New Roman"/>
          <w:i/>
          <w:iCs/>
          <w:noProof/>
          <w:sz w:val="24"/>
          <w:szCs w:val="24"/>
        </w:rPr>
        <w:t>7</w:t>
      </w:r>
      <w:r w:rsidR="00AC52DB">
        <w:rPr>
          <w:rFonts w:ascii="Times New Roman" w:hAnsi="Times New Roman" w:cs="Times New Roman"/>
          <w:noProof/>
          <w:sz w:val="24"/>
          <w:szCs w:val="24"/>
        </w:rPr>
        <w:t>(3), 1-16.</w:t>
      </w:r>
    </w:p>
    <w:p w14:paraId="4EF1AB70"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Langner, A., Achard, F., Vancutsem, C., Pekel, J.-F., Simonetti, D., Grassi, G., . . . Nakayama, M. (2015). Assessment of Above-Ground Biomass of Borneo Forests through a New Data-Fusion Approach Combining Two Pan-Tropical Biomass Maps. </w:t>
      </w:r>
      <w:r w:rsidRPr="00F2217F">
        <w:rPr>
          <w:rFonts w:ascii="Times New Roman" w:hAnsi="Times New Roman" w:cs="Times New Roman"/>
          <w:i/>
          <w:iCs/>
          <w:noProof/>
          <w:sz w:val="24"/>
          <w:szCs w:val="24"/>
        </w:rPr>
        <w:t>Land, 4</w:t>
      </w:r>
      <w:r w:rsidRPr="00F2217F">
        <w:rPr>
          <w:rFonts w:ascii="Times New Roman" w:hAnsi="Times New Roman" w:cs="Times New Roman"/>
          <w:noProof/>
          <w:sz w:val="24"/>
          <w:szCs w:val="24"/>
        </w:rPr>
        <w:t>(3), 656-669.</w:t>
      </w:r>
    </w:p>
    <w:p w14:paraId="284ABDEF" w14:textId="0477338E"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lastRenderedPageBreak/>
        <w:t xml:space="preserve">Langner, A., Miettinen, J., &amp; Siegert, F. (2007). Land cover change 2002-2005 in Borneo and the role of fire derived from MODIS imagery. </w:t>
      </w:r>
      <w:r w:rsidRPr="00F2217F">
        <w:rPr>
          <w:rFonts w:ascii="Times New Roman" w:hAnsi="Times New Roman" w:cs="Times New Roman"/>
          <w:i/>
          <w:iCs/>
          <w:noProof/>
          <w:sz w:val="24"/>
          <w:szCs w:val="24"/>
        </w:rPr>
        <w:t>Global Change Biology, 13</w:t>
      </w:r>
      <w:r w:rsidR="00552F10">
        <w:rPr>
          <w:rFonts w:ascii="Times New Roman" w:hAnsi="Times New Roman" w:cs="Times New Roman"/>
          <w:noProof/>
          <w:sz w:val="24"/>
          <w:szCs w:val="24"/>
        </w:rPr>
        <w:t>(11)</w:t>
      </w:r>
      <w:r w:rsidRPr="00F2217F">
        <w:rPr>
          <w:rFonts w:ascii="Times New Roman" w:hAnsi="Times New Roman" w:cs="Times New Roman"/>
          <w:noProof/>
          <w:sz w:val="24"/>
          <w:szCs w:val="24"/>
        </w:rPr>
        <w:t>, 2329-2340.</w:t>
      </w:r>
    </w:p>
    <w:p w14:paraId="56652FEC"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Harris, N., Minnemeyer, S., Stolle, F., &amp; Payne, O. (2015, October 16). </w:t>
      </w:r>
      <w:r w:rsidRPr="00F2217F">
        <w:rPr>
          <w:rFonts w:ascii="Times New Roman" w:hAnsi="Times New Roman" w:cs="Times New Roman"/>
          <w:i/>
          <w:iCs/>
          <w:noProof/>
          <w:sz w:val="24"/>
          <w:szCs w:val="24"/>
        </w:rPr>
        <w:t>wri.org</w:t>
      </w:r>
      <w:r w:rsidRPr="00F2217F">
        <w:rPr>
          <w:rFonts w:ascii="Times New Roman" w:hAnsi="Times New Roman" w:cs="Times New Roman"/>
          <w:noProof/>
          <w:sz w:val="24"/>
          <w:szCs w:val="24"/>
        </w:rPr>
        <w:t>. Retrieved 08 04, 2017, from http://www.wri.org/blog/2015/10/Indonesia's-fire-outbreaks-producing-more-daily-emissions-entire-us-economy</w:t>
      </w:r>
    </w:p>
    <w:p w14:paraId="02EC501F" w14:textId="5C3807BE"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McAlpine, C. A., Johnson, A., Salazar, A., Syktus, J., Wilson, K., Seabrook, L., . . . Sheil, D. (2018). Forest loss and Borneo's climate. </w:t>
      </w:r>
      <w:r w:rsidRPr="00F2217F">
        <w:rPr>
          <w:rFonts w:ascii="Times New Roman" w:hAnsi="Times New Roman" w:cs="Times New Roman"/>
          <w:i/>
          <w:iCs/>
          <w:noProof/>
          <w:sz w:val="24"/>
          <w:szCs w:val="24"/>
        </w:rPr>
        <w:t>Environmental Research Letters</w:t>
      </w:r>
      <w:r w:rsidRPr="00F2217F">
        <w:rPr>
          <w:rFonts w:ascii="Times New Roman" w:hAnsi="Times New Roman" w:cs="Times New Roman"/>
          <w:noProof/>
          <w:sz w:val="24"/>
          <w:szCs w:val="24"/>
        </w:rPr>
        <w:t>, 13</w:t>
      </w:r>
      <w:r w:rsidR="00552F10">
        <w:rPr>
          <w:rFonts w:ascii="Times New Roman" w:hAnsi="Times New Roman" w:cs="Times New Roman"/>
          <w:noProof/>
          <w:sz w:val="24"/>
          <w:szCs w:val="24"/>
        </w:rPr>
        <w:t>(4), 1-10</w:t>
      </w:r>
      <w:r w:rsidRPr="00F2217F">
        <w:rPr>
          <w:rFonts w:ascii="Times New Roman" w:hAnsi="Times New Roman" w:cs="Times New Roman"/>
          <w:noProof/>
          <w:sz w:val="24"/>
          <w:szCs w:val="24"/>
        </w:rPr>
        <w:t>.</w:t>
      </w:r>
    </w:p>
    <w:p w14:paraId="3ECA7181" w14:textId="77777777"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National Oceanic and Atmospheric Administration. (2017). </w:t>
      </w:r>
      <w:r w:rsidRPr="00F2217F">
        <w:rPr>
          <w:rFonts w:ascii="Times New Roman" w:hAnsi="Times New Roman" w:cs="Times New Roman"/>
          <w:i/>
          <w:iCs/>
          <w:noProof/>
          <w:sz w:val="24"/>
          <w:szCs w:val="24"/>
        </w:rPr>
        <w:t>www.climate.gov</w:t>
      </w:r>
      <w:r w:rsidRPr="00F2217F">
        <w:rPr>
          <w:rFonts w:ascii="Times New Roman" w:hAnsi="Times New Roman" w:cs="Times New Roman"/>
          <w:noProof/>
          <w:sz w:val="24"/>
          <w:szCs w:val="24"/>
        </w:rPr>
        <w:t>. Retrieved 08 03, 2017, from https://www.climate.gov/enso</w:t>
      </w:r>
    </w:p>
    <w:p w14:paraId="77713D33" w14:textId="79D8C73E"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Nikonovas, T., Spessa, A., Doerr, S. H., Clay, G. D., &amp; Mezbahuddin, S. (2020). Near-complete loss of fire-resistant primary tropical forest cover in Sumatra and Kalimantan. </w:t>
      </w:r>
      <w:r w:rsidRPr="00F2217F">
        <w:rPr>
          <w:rFonts w:ascii="Times New Roman" w:hAnsi="Times New Roman" w:cs="Times New Roman"/>
          <w:i/>
          <w:iCs/>
          <w:noProof/>
          <w:sz w:val="24"/>
          <w:szCs w:val="24"/>
        </w:rPr>
        <w:t>Communications Earth &amp; Environment</w:t>
      </w:r>
      <w:r w:rsidRPr="00F2217F">
        <w:rPr>
          <w:rFonts w:ascii="Times New Roman" w:hAnsi="Times New Roman" w:cs="Times New Roman"/>
          <w:noProof/>
          <w:sz w:val="24"/>
          <w:szCs w:val="24"/>
        </w:rPr>
        <w:t xml:space="preserve">, </w:t>
      </w:r>
      <w:r w:rsidRPr="00552F10">
        <w:rPr>
          <w:rFonts w:ascii="Times New Roman" w:hAnsi="Times New Roman" w:cs="Times New Roman"/>
          <w:i/>
          <w:iCs/>
          <w:noProof/>
          <w:sz w:val="24"/>
          <w:szCs w:val="24"/>
        </w:rPr>
        <w:t>1</w:t>
      </w:r>
      <w:r w:rsidR="00552F10">
        <w:rPr>
          <w:rFonts w:ascii="Times New Roman" w:hAnsi="Times New Roman" w:cs="Times New Roman"/>
          <w:noProof/>
          <w:sz w:val="24"/>
          <w:szCs w:val="24"/>
        </w:rPr>
        <w:t>, 65</w:t>
      </w:r>
      <w:r w:rsidRPr="00F2217F">
        <w:rPr>
          <w:rFonts w:ascii="Times New Roman" w:hAnsi="Times New Roman" w:cs="Times New Roman"/>
          <w:noProof/>
          <w:sz w:val="24"/>
          <w:szCs w:val="24"/>
        </w:rPr>
        <w:t>.</w:t>
      </w:r>
    </w:p>
    <w:p w14:paraId="4E45CE7A" w14:textId="07192B5E"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Page, S. E., Siegert, F., Rieley, J. O., Boehm, H.-D. V., Jaya, A., &amp; Limin, S. (2002). The amount of carbon released from peat and forest fires in Indonesia during 1997. </w:t>
      </w:r>
      <w:r w:rsidRPr="00F2217F">
        <w:rPr>
          <w:rFonts w:ascii="Times New Roman" w:hAnsi="Times New Roman" w:cs="Times New Roman"/>
          <w:i/>
          <w:iCs/>
          <w:noProof/>
          <w:sz w:val="24"/>
          <w:szCs w:val="24"/>
        </w:rPr>
        <w:t>Nature</w:t>
      </w:r>
      <w:r w:rsidRPr="00F2217F">
        <w:rPr>
          <w:rFonts w:ascii="Times New Roman" w:hAnsi="Times New Roman" w:cs="Times New Roman"/>
          <w:noProof/>
          <w:sz w:val="24"/>
          <w:szCs w:val="24"/>
        </w:rPr>
        <w:t xml:space="preserve">, </w:t>
      </w:r>
      <w:r w:rsidR="00FB3A71" w:rsidRPr="00552F10">
        <w:rPr>
          <w:rFonts w:ascii="Times New Roman" w:hAnsi="Times New Roman" w:cs="Times New Roman"/>
          <w:i/>
          <w:iCs/>
          <w:noProof/>
          <w:sz w:val="24"/>
          <w:szCs w:val="24"/>
        </w:rPr>
        <w:t>420</w:t>
      </w:r>
      <w:r w:rsidR="00FB3A71">
        <w:rPr>
          <w:rFonts w:ascii="Times New Roman" w:hAnsi="Times New Roman" w:cs="Times New Roman"/>
          <w:noProof/>
          <w:sz w:val="24"/>
          <w:szCs w:val="24"/>
        </w:rPr>
        <w:t xml:space="preserve">, </w:t>
      </w:r>
      <w:r w:rsidRPr="00F2217F">
        <w:rPr>
          <w:rFonts w:ascii="Times New Roman" w:hAnsi="Times New Roman" w:cs="Times New Roman"/>
          <w:noProof/>
          <w:sz w:val="24"/>
          <w:szCs w:val="24"/>
        </w:rPr>
        <w:t>61-65.</w:t>
      </w:r>
    </w:p>
    <w:p w14:paraId="670F0F63" w14:textId="7DC3A269"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Potapov, P., Yaroshenko, A., Turubanova, S., Dubinin, M., Laestadius, L., Thies, C., . . . Tsybikova, E. (2008). Mapping the World's Intact Forest Landscapes by Remote Sensing. </w:t>
      </w:r>
      <w:r w:rsidRPr="00F2217F">
        <w:rPr>
          <w:rFonts w:ascii="Times New Roman" w:hAnsi="Times New Roman" w:cs="Times New Roman"/>
          <w:i/>
          <w:iCs/>
          <w:noProof/>
          <w:sz w:val="24"/>
          <w:szCs w:val="24"/>
        </w:rPr>
        <w:t>Ecology and Society</w:t>
      </w:r>
      <w:r w:rsidRPr="00F2217F">
        <w:rPr>
          <w:rFonts w:ascii="Times New Roman" w:hAnsi="Times New Roman" w:cs="Times New Roman"/>
          <w:noProof/>
          <w:sz w:val="24"/>
          <w:szCs w:val="24"/>
        </w:rPr>
        <w:t xml:space="preserve">, </w:t>
      </w:r>
      <w:r w:rsidRPr="00FB3A71">
        <w:rPr>
          <w:rFonts w:ascii="Times New Roman" w:hAnsi="Times New Roman" w:cs="Times New Roman"/>
          <w:i/>
          <w:iCs/>
          <w:noProof/>
          <w:sz w:val="24"/>
          <w:szCs w:val="24"/>
        </w:rPr>
        <w:t>13</w:t>
      </w:r>
      <w:r w:rsidR="00FB3A71">
        <w:rPr>
          <w:rFonts w:ascii="Times New Roman" w:hAnsi="Times New Roman" w:cs="Times New Roman"/>
          <w:noProof/>
          <w:sz w:val="24"/>
          <w:szCs w:val="24"/>
        </w:rPr>
        <w:t xml:space="preserve">(2), </w:t>
      </w:r>
      <w:r w:rsidRPr="00F2217F">
        <w:rPr>
          <w:rFonts w:ascii="Times New Roman" w:hAnsi="Times New Roman" w:cs="Times New Roman"/>
          <w:noProof/>
          <w:sz w:val="24"/>
          <w:szCs w:val="24"/>
        </w:rPr>
        <w:t>51.</w:t>
      </w:r>
    </w:p>
    <w:p w14:paraId="47CE267A" w14:textId="1E26BA96" w:rsidR="00284E3B" w:rsidRPr="00F2217F" w:rsidRDefault="00B36B2D" w:rsidP="00717C64">
      <w:pPr>
        <w:spacing w:after="0"/>
        <w:ind w:leftChars="0" w:left="720" w:firstLineChars="0" w:hanging="720"/>
        <w:jc w:val="both"/>
        <w:rPr>
          <w:rFonts w:ascii="Times New Roman" w:hAnsi="Times New Roman" w:cs="Times New Roman"/>
        </w:rPr>
      </w:pPr>
      <w:r w:rsidRPr="00F2217F">
        <w:rPr>
          <w:rFonts w:ascii="Times New Roman" w:hAnsi="Times New Roman" w:cs="Times New Roman"/>
          <w:noProof/>
          <w:sz w:val="24"/>
          <w:szCs w:val="24"/>
        </w:rPr>
        <w:t xml:space="preserve">Quinn, W., Zopf, D., Short, K., &amp; Kuo, R. Y. (1978). Historical trends and statistics of the Southern Oscillation, El Nino and Indonesian drought. </w:t>
      </w:r>
      <w:r w:rsidRPr="00F2217F">
        <w:rPr>
          <w:rFonts w:ascii="Times New Roman" w:hAnsi="Times New Roman" w:cs="Times New Roman"/>
          <w:i/>
          <w:iCs/>
          <w:noProof/>
          <w:sz w:val="24"/>
          <w:szCs w:val="24"/>
        </w:rPr>
        <w:t>Fish. Bull.</w:t>
      </w:r>
      <w:r w:rsidRPr="00F2217F">
        <w:rPr>
          <w:rFonts w:ascii="Times New Roman" w:hAnsi="Times New Roman" w:cs="Times New Roman"/>
          <w:noProof/>
          <w:sz w:val="24"/>
          <w:szCs w:val="24"/>
        </w:rPr>
        <w:t xml:space="preserve">, </w:t>
      </w:r>
      <w:r w:rsidR="00FB3A71" w:rsidRPr="00FB3A71">
        <w:rPr>
          <w:rFonts w:ascii="Times New Roman" w:hAnsi="Times New Roman" w:cs="Times New Roman"/>
          <w:i/>
          <w:iCs/>
          <w:noProof/>
          <w:sz w:val="24"/>
          <w:szCs w:val="24"/>
        </w:rPr>
        <w:t>76</w:t>
      </w:r>
      <w:r w:rsidR="00FB3A71">
        <w:rPr>
          <w:rFonts w:ascii="Times New Roman" w:hAnsi="Times New Roman" w:cs="Times New Roman"/>
          <w:noProof/>
          <w:sz w:val="24"/>
          <w:szCs w:val="24"/>
        </w:rPr>
        <w:t xml:space="preserve">(3), </w:t>
      </w:r>
      <w:r w:rsidRPr="00F2217F">
        <w:rPr>
          <w:rFonts w:ascii="Times New Roman" w:hAnsi="Times New Roman" w:cs="Times New Roman"/>
          <w:noProof/>
          <w:sz w:val="24"/>
          <w:szCs w:val="24"/>
        </w:rPr>
        <w:t>663-678.</w:t>
      </w:r>
    </w:p>
    <w:p w14:paraId="4AA6E42C" w14:textId="5A216BBF" w:rsidR="002304B9" w:rsidRPr="00F2217F" w:rsidRDefault="002304B9"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Rasmusson, E. M., &amp; Carpenter, T. H. (1982). Variations in Tropical Sea Surface Temperature and Surface Wind Fields Associated with the Southern Oscillation/ El Nino. </w:t>
      </w:r>
      <w:r w:rsidRPr="00F2217F">
        <w:rPr>
          <w:rFonts w:ascii="Times New Roman" w:hAnsi="Times New Roman" w:cs="Times New Roman"/>
          <w:i/>
          <w:iCs/>
          <w:noProof/>
          <w:sz w:val="24"/>
          <w:szCs w:val="24"/>
        </w:rPr>
        <w:t>Monthly Weather Review</w:t>
      </w:r>
      <w:r w:rsidRPr="00F2217F">
        <w:rPr>
          <w:rFonts w:ascii="Times New Roman" w:hAnsi="Times New Roman" w:cs="Times New Roman"/>
          <w:noProof/>
          <w:sz w:val="24"/>
          <w:szCs w:val="24"/>
        </w:rPr>
        <w:t xml:space="preserve">, </w:t>
      </w:r>
      <w:r w:rsidR="00FB3A71" w:rsidRPr="00FB3A71">
        <w:rPr>
          <w:rFonts w:ascii="Times New Roman" w:hAnsi="Times New Roman" w:cs="Times New Roman"/>
          <w:i/>
          <w:iCs/>
          <w:noProof/>
          <w:sz w:val="24"/>
          <w:szCs w:val="24"/>
        </w:rPr>
        <w:t>110</w:t>
      </w:r>
      <w:r w:rsidR="00FB3A71">
        <w:rPr>
          <w:rFonts w:ascii="Times New Roman" w:hAnsi="Times New Roman" w:cs="Times New Roman"/>
          <w:noProof/>
          <w:sz w:val="24"/>
          <w:szCs w:val="24"/>
        </w:rPr>
        <w:t xml:space="preserve">(5), </w:t>
      </w:r>
      <w:r w:rsidRPr="00F2217F">
        <w:rPr>
          <w:rFonts w:ascii="Times New Roman" w:hAnsi="Times New Roman" w:cs="Times New Roman"/>
          <w:noProof/>
          <w:sz w:val="24"/>
          <w:szCs w:val="24"/>
        </w:rPr>
        <w:t>354-384.</w:t>
      </w:r>
    </w:p>
    <w:p w14:paraId="7F8C3B41" w14:textId="5140026C" w:rsidR="00110D41" w:rsidRPr="00F2217F" w:rsidRDefault="00110D41"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Schultz, N. M., Lawrence, P. J., &amp; Lee, X. (2017). Global sate</w:t>
      </w:r>
      <w:r w:rsidR="00F2217F" w:rsidRPr="00F2217F">
        <w:rPr>
          <w:rFonts w:ascii="Times New Roman" w:hAnsi="Times New Roman" w:cs="Times New Roman"/>
          <w:noProof/>
          <w:sz w:val="24"/>
          <w:szCs w:val="24"/>
        </w:rPr>
        <w:t>l</w:t>
      </w:r>
      <w:r w:rsidRPr="00F2217F">
        <w:rPr>
          <w:rFonts w:ascii="Times New Roman" w:hAnsi="Times New Roman" w:cs="Times New Roman"/>
          <w:noProof/>
          <w:sz w:val="24"/>
          <w:szCs w:val="24"/>
        </w:rPr>
        <w:t xml:space="preserve">lite data highlights the diurnal asymmetry of the surface temperature response to deforestation. </w:t>
      </w:r>
      <w:r w:rsidRPr="00F2217F">
        <w:rPr>
          <w:rFonts w:ascii="Times New Roman" w:hAnsi="Times New Roman" w:cs="Times New Roman"/>
          <w:i/>
          <w:iCs/>
          <w:noProof/>
          <w:sz w:val="24"/>
          <w:szCs w:val="24"/>
        </w:rPr>
        <w:t>JGR Biogeosciences</w:t>
      </w:r>
      <w:r w:rsidR="00FB3A71">
        <w:rPr>
          <w:rFonts w:ascii="Times New Roman" w:hAnsi="Times New Roman" w:cs="Times New Roman"/>
          <w:noProof/>
          <w:sz w:val="24"/>
          <w:szCs w:val="24"/>
        </w:rPr>
        <w:t xml:space="preserve">, </w:t>
      </w:r>
      <w:r w:rsidR="00FB3A71" w:rsidRPr="00FB3A71">
        <w:rPr>
          <w:rFonts w:ascii="Times New Roman" w:hAnsi="Times New Roman" w:cs="Times New Roman"/>
          <w:i/>
          <w:iCs/>
          <w:noProof/>
          <w:sz w:val="24"/>
          <w:szCs w:val="24"/>
        </w:rPr>
        <w:t>122</w:t>
      </w:r>
      <w:r w:rsidR="00FB3A71">
        <w:rPr>
          <w:rFonts w:ascii="Times New Roman" w:hAnsi="Times New Roman" w:cs="Times New Roman"/>
          <w:noProof/>
          <w:sz w:val="24"/>
          <w:szCs w:val="24"/>
        </w:rPr>
        <w:t xml:space="preserve">(4), </w:t>
      </w:r>
      <w:r w:rsidR="00FB3A71" w:rsidRPr="00FB3A71">
        <w:rPr>
          <w:rFonts w:ascii="Times New Roman" w:hAnsi="Times New Roman" w:cs="Times New Roman"/>
          <w:noProof/>
          <w:sz w:val="24"/>
          <w:szCs w:val="24"/>
        </w:rPr>
        <w:t>903-917</w:t>
      </w:r>
      <w:r w:rsidR="00FB3A71">
        <w:rPr>
          <w:rFonts w:ascii="Times New Roman" w:hAnsi="Times New Roman" w:cs="Times New Roman"/>
          <w:noProof/>
          <w:sz w:val="24"/>
          <w:szCs w:val="24"/>
        </w:rPr>
        <w:t>.</w:t>
      </w:r>
    </w:p>
    <w:p w14:paraId="41CA338F" w14:textId="514F1FA1" w:rsidR="002D5096" w:rsidRPr="00F2217F" w:rsidRDefault="002D5096"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Siegert, F., Ruecker, G., Hinrichs, A., &amp; Hoffmann, A. (2001). Increased damage from fires in logged during droughts caused by El Nino. </w:t>
      </w:r>
      <w:r w:rsidR="00FB3A71" w:rsidRPr="00FB3A71">
        <w:rPr>
          <w:rFonts w:ascii="Times New Roman" w:hAnsi="Times New Roman" w:cs="Times New Roman"/>
          <w:i/>
          <w:iCs/>
          <w:noProof/>
          <w:sz w:val="24"/>
          <w:szCs w:val="24"/>
        </w:rPr>
        <w:t>N</w:t>
      </w:r>
      <w:r w:rsidRPr="00F2217F">
        <w:rPr>
          <w:rFonts w:ascii="Times New Roman" w:hAnsi="Times New Roman" w:cs="Times New Roman"/>
          <w:i/>
          <w:iCs/>
          <w:noProof/>
          <w:sz w:val="24"/>
          <w:szCs w:val="24"/>
        </w:rPr>
        <w:t>ature</w:t>
      </w:r>
      <w:r w:rsidRPr="00F2217F">
        <w:rPr>
          <w:rFonts w:ascii="Times New Roman" w:hAnsi="Times New Roman" w:cs="Times New Roman"/>
          <w:noProof/>
          <w:sz w:val="24"/>
          <w:szCs w:val="24"/>
        </w:rPr>
        <w:t xml:space="preserve">, </w:t>
      </w:r>
      <w:r w:rsidR="00FB3A71">
        <w:rPr>
          <w:rFonts w:ascii="Times New Roman" w:hAnsi="Times New Roman" w:cs="Times New Roman"/>
          <w:noProof/>
          <w:sz w:val="24"/>
          <w:szCs w:val="24"/>
        </w:rPr>
        <w:t xml:space="preserve">414, </w:t>
      </w:r>
      <w:r w:rsidRPr="00F2217F">
        <w:rPr>
          <w:rFonts w:ascii="Times New Roman" w:hAnsi="Times New Roman" w:cs="Times New Roman"/>
          <w:noProof/>
          <w:sz w:val="24"/>
          <w:szCs w:val="24"/>
        </w:rPr>
        <w:t>437-440.</w:t>
      </w:r>
    </w:p>
    <w:p w14:paraId="0528D40A" w14:textId="32BA5504" w:rsidR="002D5096" w:rsidRPr="00F2217F" w:rsidRDefault="002D5096"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Trenberth, K. E., &amp; Stepaniak, D. P. (2001). Indices of El Nino evolution. </w:t>
      </w:r>
      <w:r w:rsidRPr="00F2217F">
        <w:rPr>
          <w:rFonts w:ascii="Times New Roman" w:hAnsi="Times New Roman" w:cs="Times New Roman"/>
          <w:i/>
          <w:iCs/>
          <w:noProof/>
          <w:sz w:val="24"/>
          <w:szCs w:val="24"/>
        </w:rPr>
        <w:t>Journal of Climate</w:t>
      </w:r>
      <w:r w:rsidRPr="00F2217F">
        <w:rPr>
          <w:rFonts w:ascii="Times New Roman" w:hAnsi="Times New Roman" w:cs="Times New Roman"/>
          <w:noProof/>
          <w:sz w:val="24"/>
          <w:szCs w:val="24"/>
        </w:rPr>
        <w:t xml:space="preserve">, </w:t>
      </w:r>
      <w:r w:rsidR="00B3514D" w:rsidRPr="00B3514D">
        <w:rPr>
          <w:rFonts w:ascii="Times New Roman" w:hAnsi="Times New Roman" w:cs="Times New Roman"/>
          <w:i/>
          <w:iCs/>
          <w:noProof/>
          <w:sz w:val="24"/>
          <w:szCs w:val="24"/>
        </w:rPr>
        <w:t>14</w:t>
      </w:r>
      <w:r w:rsidR="00B3514D">
        <w:rPr>
          <w:rFonts w:ascii="Times New Roman" w:hAnsi="Times New Roman" w:cs="Times New Roman"/>
          <w:noProof/>
          <w:sz w:val="24"/>
          <w:szCs w:val="24"/>
        </w:rPr>
        <w:t>(8),</w:t>
      </w:r>
      <w:r w:rsidRPr="00F2217F">
        <w:rPr>
          <w:rFonts w:ascii="Times New Roman" w:hAnsi="Times New Roman" w:cs="Times New Roman"/>
          <w:noProof/>
          <w:sz w:val="24"/>
          <w:szCs w:val="24"/>
        </w:rPr>
        <w:t>1697-1701.</w:t>
      </w:r>
    </w:p>
    <w:p w14:paraId="0A5B2401" w14:textId="28324840" w:rsidR="002D5096" w:rsidRPr="00F2217F" w:rsidRDefault="002D5096"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Trenberth, K. E. (1997). The Definition of El Nino. </w:t>
      </w:r>
      <w:r w:rsidRPr="00F2217F">
        <w:rPr>
          <w:rFonts w:ascii="Times New Roman" w:hAnsi="Times New Roman" w:cs="Times New Roman"/>
          <w:i/>
          <w:iCs/>
          <w:noProof/>
          <w:sz w:val="24"/>
          <w:szCs w:val="24"/>
        </w:rPr>
        <w:t>Bulletin American Meteorology Society</w:t>
      </w:r>
      <w:r w:rsidRPr="00F2217F">
        <w:rPr>
          <w:rFonts w:ascii="Times New Roman" w:hAnsi="Times New Roman" w:cs="Times New Roman"/>
          <w:noProof/>
          <w:sz w:val="24"/>
          <w:szCs w:val="24"/>
        </w:rPr>
        <w:t xml:space="preserve">, </w:t>
      </w:r>
      <w:r w:rsidR="00B3514D" w:rsidRPr="00B3514D">
        <w:rPr>
          <w:rFonts w:ascii="Times New Roman" w:hAnsi="Times New Roman" w:cs="Times New Roman"/>
          <w:i/>
          <w:iCs/>
          <w:noProof/>
          <w:sz w:val="24"/>
          <w:szCs w:val="24"/>
        </w:rPr>
        <w:t>78</w:t>
      </w:r>
      <w:r w:rsidR="00B3514D">
        <w:rPr>
          <w:rFonts w:ascii="Times New Roman" w:hAnsi="Times New Roman" w:cs="Times New Roman"/>
          <w:noProof/>
          <w:sz w:val="24"/>
          <w:szCs w:val="24"/>
        </w:rPr>
        <w:t xml:space="preserve">(12), </w:t>
      </w:r>
      <w:r w:rsidRPr="00F2217F">
        <w:rPr>
          <w:rFonts w:ascii="Times New Roman" w:hAnsi="Times New Roman" w:cs="Times New Roman"/>
          <w:noProof/>
          <w:sz w:val="24"/>
          <w:szCs w:val="24"/>
        </w:rPr>
        <w:t>2772-2777.</w:t>
      </w:r>
    </w:p>
    <w:p w14:paraId="6580FFD2" w14:textId="2F6B8ACF" w:rsidR="00F2217F" w:rsidRPr="00F2217F" w:rsidRDefault="002D5096" w:rsidP="00717C64">
      <w:pPr>
        <w:pStyle w:val="Bibliography"/>
        <w:spacing w:after="0"/>
        <w:ind w:leftChars="0" w:left="720" w:firstLineChars="0" w:hanging="720"/>
        <w:contextualSpacing/>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Uhl, C., Kauffman, J., &amp; Cummings, D. (1988). Fire in the Venezuelan Amazon 2: environmental conditions necessary for forest fires in the evergreen rainforest of Venezuela. </w:t>
      </w:r>
      <w:r w:rsidRPr="00F2217F">
        <w:rPr>
          <w:rFonts w:ascii="Times New Roman" w:hAnsi="Times New Roman" w:cs="Times New Roman"/>
          <w:i/>
          <w:iCs/>
          <w:noProof/>
          <w:sz w:val="24"/>
          <w:szCs w:val="24"/>
        </w:rPr>
        <w:t>Oikos</w:t>
      </w:r>
      <w:r w:rsidRPr="00F2217F">
        <w:rPr>
          <w:rFonts w:ascii="Times New Roman" w:hAnsi="Times New Roman" w:cs="Times New Roman"/>
          <w:noProof/>
          <w:sz w:val="24"/>
          <w:szCs w:val="24"/>
        </w:rPr>
        <w:t xml:space="preserve">, </w:t>
      </w:r>
      <w:r w:rsidR="00B3514D" w:rsidRPr="00B3514D">
        <w:rPr>
          <w:rFonts w:ascii="Times New Roman" w:hAnsi="Times New Roman" w:cs="Times New Roman"/>
          <w:i/>
          <w:iCs/>
          <w:noProof/>
          <w:sz w:val="24"/>
          <w:szCs w:val="24"/>
        </w:rPr>
        <w:t>53</w:t>
      </w:r>
      <w:r w:rsidR="00B3514D">
        <w:rPr>
          <w:rFonts w:ascii="Times New Roman" w:hAnsi="Times New Roman" w:cs="Times New Roman"/>
          <w:noProof/>
          <w:sz w:val="24"/>
          <w:szCs w:val="24"/>
        </w:rPr>
        <w:t xml:space="preserve">(2), </w:t>
      </w:r>
      <w:r w:rsidRPr="00F2217F">
        <w:rPr>
          <w:rFonts w:ascii="Times New Roman" w:hAnsi="Times New Roman" w:cs="Times New Roman"/>
          <w:noProof/>
          <w:sz w:val="24"/>
          <w:szCs w:val="24"/>
        </w:rPr>
        <w:t>176-184.</w:t>
      </w:r>
    </w:p>
    <w:p w14:paraId="20E303BE" w14:textId="6636ABBE" w:rsidR="00F2217F" w:rsidRPr="00F2217F" w:rsidRDefault="00F2217F"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noProof/>
          <w:sz w:val="24"/>
          <w:szCs w:val="24"/>
        </w:rPr>
        <w:t xml:space="preserve">Wooster, M., Perry, G., &amp; Zoumas, A. (2012). Fire, drought and El Nino relationships on Borneo (Southeast Asia) in the pre-MODIS era (1980-2000). </w:t>
      </w:r>
      <w:r w:rsidRPr="00F2217F">
        <w:rPr>
          <w:rFonts w:ascii="Times New Roman" w:hAnsi="Times New Roman" w:cs="Times New Roman"/>
          <w:i/>
          <w:iCs/>
          <w:noProof/>
          <w:sz w:val="24"/>
          <w:szCs w:val="24"/>
        </w:rPr>
        <w:t>Biogeosciences, 9</w:t>
      </w:r>
      <w:r w:rsidR="00B3514D">
        <w:rPr>
          <w:rFonts w:ascii="Times New Roman" w:hAnsi="Times New Roman" w:cs="Times New Roman"/>
          <w:noProof/>
          <w:sz w:val="24"/>
          <w:szCs w:val="24"/>
        </w:rPr>
        <w:t>(1)</w:t>
      </w:r>
      <w:r w:rsidRPr="00F2217F">
        <w:rPr>
          <w:rFonts w:ascii="Times New Roman" w:hAnsi="Times New Roman" w:cs="Times New Roman"/>
          <w:noProof/>
          <w:sz w:val="24"/>
          <w:szCs w:val="24"/>
        </w:rPr>
        <w:t>, 317-340.</w:t>
      </w:r>
    </w:p>
    <w:p w14:paraId="40134B71" w14:textId="521AFA73" w:rsidR="00BE0277" w:rsidRPr="00F2217F" w:rsidRDefault="002D5096" w:rsidP="00717C64">
      <w:pPr>
        <w:pStyle w:val="Bibliography"/>
        <w:spacing w:after="0"/>
        <w:ind w:leftChars="0" w:left="720" w:firstLineChars="0" w:hanging="720"/>
        <w:jc w:val="both"/>
        <w:rPr>
          <w:rFonts w:ascii="Times New Roman" w:hAnsi="Times New Roman" w:cs="Times New Roman"/>
          <w:noProof/>
          <w:sz w:val="24"/>
          <w:szCs w:val="24"/>
        </w:rPr>
      </w:pPr>
      <w:r w:rsidRPr="00F2217F">
        <w:rPr>
          <w:rFonts w:ascii="Times New Roman" w:hAnsi="Times New Roman" w:cs="Times New Roman"/>
          <w:sz w:val="24"/>
          <w:szCs w:val="24"/>
        </w:rPr>
        <w:fldChar w:fldCharType="begin"/>
      </w:r>
      <w:r w:rsidRPr="00F2217F">
        <w:rPr>
          <w:rFonts w:ascii="Times New Roman" w:hAnsi="Times New Roman" w:cs="Times New Roman"/>
          <w:sz w:val="24"/>
          <w:szCs w:val="24"/>
        </w:rPr>
        <w:instrText xml:space="preserve"> BIBLIOGRAPHY </w:instrText>
      </w:r>
      <w:r w:rsidRPr="00F2217F">
        <w:rPr>
          <w:rFonts w:ascii="Times New Roman" w:hAnsi="Times New Roman" w:cs="Times New Roman"/>
          <w:sz w:val="24"/>
          <w:szCs w:val="24"/>
        </w:rPr>
        <w:fldChar w:fldCharType="separate"/>
      </w:r>
      <w:r w:rsidR="00BE0277" w:rsidRPr="00F2217F">
        <w:rPr>
          <w:rFonts w:ascii="Times New Roman" w:hAnsi="Times New Roman" w:cs="Times New Roman"/>
          <w:noProof/>
          <w:sz w:val="24"/>
          <w:szCs w:val="24"/>
        </w:rPr>
        <w:t xml:space="preserve">Yin, Y., Yu, Y., &amp; Chen, Y. (2009). Relationship between flood/drought disasters and ENSO from 1857 to 2003 in the Taihu Lake Basin, China. </w:t>
      </w:r>
      <w:r w:rsidR="00BE0277" w:rsidRPr="00F2217F">
        <w:rPr>
          <w:rFonts w:ascii="Times New Roman" w:hAnsi="Times New Roman" w:cs="Times New Roman"/>
          <w:i/>
          <w:iCs/>
          <w:noProof/>
          <w:sz w:val="24"/>
          <w:szCs w:val="24"/>
        </w:rPr>
        <w:t>Quaternary International</w:t>
      </w:r>
      <w:r w:rsidR="00BE0277" w:rsidRPr="00F2217F">
        <w:rPr>
          <w:rFonts w:ascii="Times New Roman" w:hAnsi="Times New Roman" w:cs="Times New Roman"/>
          <w:noProof/>
          <w:sz w:val="24"/>
          <w:szCs w:val="24"/>
        </w:rPr>
        <w:t xml:space="preserve">, </w:t>
      </w:r>
      <w:r w:rsidR="00B3514D" w:rsidRPr="00B3514D">
        <w:rPr>
          <w:rFonts w:ascii="Times New Roman" w:hAnsi="Times New Roman" w:cs="Times New Roman"/>
          <w:i/>
          <w:iCs/>
          <w:noProof/>
          <w:sz w:val="24"/>
          <w:szCs w:val="24"/>
        </w:rPr>
        <w:t>208</w:t>
      </w:r>
      <w:r w:rsidR="00B3514D">
        <w:rPr>
          <w:rFonts w:ascii="Times New Roman" w:hAnsi="Times New Roman" w:cs="Times New Roman"/>
          <w:noProof/>
          <w:sz w:val="24"/>
          <w:szCs w:val="24"/>
        </w:rPr>
        <w:t xml:space="preserve">(1), </w:t>
      </w:r>
      <w:r w:rsidR="00BE0277" w:rsidRPr="00F2217F">
        <w:rPr>
          <w:rFonts w:ascii="Times New Roman" w:hAnsi="Times New Roman" w:cs="Times New Roman"/>
          <w:noProof/>
          <w:sz w:val="24"/>
          <w:szCs w:val="24"/>
        </w:rPr>
        <w:t>93-101.</w:t>
      </w:r>
    </w:p>
    <w:p w14:paraId="516EE34F" w14:textId="400C0F2C" w:rsidR="00B73AFF" w:rsidRPr="008C5503" w:rsidRDefault="00BE0277" w:rsidP="00FF1939">
      <w:pPr>
        <w:pStyle w:val="Bibliography"/>
        <w:spacing w:after="0"/>
        <w:ind w:leftChars="0" w:left="720" w:firstLineChars="0" w:hanging="720"/>
        <w:jc w:val="both"/>
        <w:rPr>
          <w:rFonts w:ascii="Times New Roman" w:hAnsi="Times New Roman" w:cs="Times New Roman"/>
          <w:sz w:val="24"/>
          <w:szCs w:val="24"/>
        </w:rPr>
      </w:pPr>
      <w:r w:rsidRPr="00F2217F">
        <w:rPr>
          <w:rFonts w:ascii="Times New Roman" w:hAnsi="Times New Roman" w:cs="Times New Roman"/>
          <w:noProof/>
          <w:sz w:val="24"/>
          <w:szCs w:val="24"/>
        </w:rPr>
        <w:t xml:space="preserve">Yulianti, N., &amp; Hayasaka, H. (2013). Recent Active Fires under El Nino Conditions in Kalimantan, Indonesia. </w:t>
      </w:r>
      <w:r w:rsidRPr="00F2217F">
        <w:rPr>
          <w:rFonts w:ascii="Times New Roman" w:hAnsi="Times New Roman" w:cs="Times New Roman"/>
          <w:i/>
          <w:iCs/>
          <w:noProof/>
          <w:sz w:val="24"/>
          <w:szCs w:val="24"/>
        </w:rPr>
        <w:t>American Journal of Plant Sciences</w:t>
      </w:r>
      <w:r w:rsidRPr="00F2217F">
        <w:rPr>
          <w:rFonts w:ascii="Times New Roman" w:hAnsi="Times New Roman" w:cs="Times New Roman"/>
          <w:noProof/>
          <w:sz w:val="24"/>
          <w:szCs w:val="24"/>
        </w:rPr>
        <w:t xml:space="preserve">, </w:t>
      </w:r>
      <w:r w:rsidR="00B3514D" w:rsidRPr="00B3514D">
        <w:rPr>
          <w:rFonts w:ascii="Times New Roman" w:hAnsi="Times New Roman" w:cs="Times New Roman"/>
          <w:i/>
          <w:iCs/>
          <w:noProof/>
          <w:sz w:val="24"/>
          <w:szCs w:val="24"/>
        </w:rPr>
        <w:t>4</w:t>
      </w:r>
      <w:r w:rsidR="00B3514D">
        <w:rPr>
          <w:rFonts w:ascii="Times New Roman" w:hAnsi="Times New Roman" w:cs="Times New Roman"/>
          <w:noProof/>
          <w:sz w:val="24"/>
          <w:szCs w:val="24"/>
        </w:rPr>
        <w:t xml:space="preserve">(3a), </w:t>
      </w:r>
      <w:r w:rsidRPr="00F2217F">
        <w:rPr>
          <w:rFonts w:ascii="Times New Roman" w:hAnsi="Times New Roman" w:cs="Times New Roman"/>
          <w:noProof/>
          <w:sz w:val="24"/>
          <w:szCs w:val="24"/>
        </w:rPr>
        <w:t>685-696.</w:t>
      </w:r>
      <w:r w:rsidR="002D5096" w:rsidRPr="00F2217F">
        <w:rPr>
          <w:rFonts w:ascii="Times New Roman" w:hAnsi="Times New Roman" w:cs="Times New Roman"/>
          <w:b/>
          <w:bCs/>
          <w:sz w:val="24"/>
          <w:szCs w:val="24"/>
        </w:rPr>
        <w:fldChar w:fldCharType="end"/>
      </w:r>
    </w:p>
    <w:sectPr w:rsidR="00B73AFF" w:rsidRPr="008C5503" w:rsidSect="008432A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30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BCFE6" w14:textId="77777777" w:rsidR="00790E8E" w:rsidRDefault="00790E8E">
      <w:pPr>
        <w:spacing w:after="0" w:line="240" w:lineRule="auto"/>
        <w:ind w:left="0" w:hanging="2"/>
      </w:pPr>
      <w:r>
        <w:separator/>
      </w:r>
    </w:p>
  </w:endnote>
  <w:endnote w:type="continuationSeparator" w:id="0">
    <w:p w14:paraId="29461D21" w14:textId="77777777" w:rsidR="00790E8E" w:rsidRDefault="00790E8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444D" w14:textId="77777777" w:rsidR="008432AA" w:rsidRDefault="008432A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97448" w14:textId="77777777" w:rsidR="008432AA" w:rsidRDefault="008432A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68A2" w14:textId="77777777" w:rsidR="008432AA" w:rsidRDefault="008432A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86A3E" w14:textId="77777777" w:rsidR="00790E8E" w:rsidRDefault="00790E8E">
      <w:pPr>
        <w:spacing w:after="0" w:line="240" w:lineRule="auto"/>
        <w:ind w:left="0" w:hanging="2"/>
      </w:pPr>
      <w:r>
        <w:separator/>
      </w:r>
    </w:p>
  </w:footnote>
  <w:footnote w:type="continuationSeparator" w:id="0">
    <w:p w14:paraId="0B2DDA87" w14:textId="77777777" w:rsidR="00790E8E" w:rsidRDefault="00790E8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E60B" w14:textId="77777777" w:rsidR="008432AA" w:rsidRDefault="008432A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A758" w14:textId="002186B6" w:rsidR="008432AA" w:rsidRPr="008432AA" w:rsidRDefault="008432AA" w:rsidP="008432AA">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8432AA">
      <w:rPr>
        <w:rFonts w:ascii="Times New Roman" w:eastAsia="Times New Roman" w:hAnsi="Times New Roman" w:cs="Times New Roman"/>
        <w:sz w:val="18"/>
        <w:szCs w:val="18"/>
      </w:rPr>
      <w:t>GEOGRAFIA Online</w:t>
    </w:r>
    <w:r w:rsidRPr="008432AA">
      <w:rPr>
        <w:rFonts w:ascii="Times New Roman" w:eastAsia="Times New Roman" w:hAnsi="Times New Roman" w:cs="Times New Roman"/>
        <w:sz w:val="18"/>
        <w:szCs w:val="18"/>
        <w:vertAlign w:val="superscript"/>
      </w:rPr>
      <w:t>TM</w:t>
    </w:r>
    <w:r w:rsidRPr="008432AA">
      <w:rPr>
        <w:rFonts w:ascii="Times New Roman" w:eastAsia="Times New Roman" w:hAnsi="Times New Roman" w:cs="Times New Roman"/>
        <w:sz w:val="18"/>
        <w:szCs w:val="18"/>
      </w:rPr>
      <w:t xml:space="preserve"> Malaysian Journal of Society and Space</w:t>
    </w:r>
    <w:r w:rsidRPr="008432AA">
      <w:rPr>
        <w:rFonts w:ascii="Times New Roman" w:eastAsia="Times New Roman" w:hAnsi="Times New Roman" w:cs="Times New Roman"/>
        <w:b/>
        <w:sz w:val="18"/>
        <w:szCs w:val="18"/>
      </w:rPr>
      <w:t xml:space="preserve"> </w:t>
    </w:r>
    <w:r w:rsidRPr="008432AA">
      <w:rPr>
        <w:rFonts w:ascii="Times New Roman" w:eastAsia="Times New Roman" w:hAnsi="Times New Roman" w:cs="Times New Roman"/>
        <w:sz w:val="18"/>
        <w:szCs w:val="18"/>
      </w:rPr>
      <w:t>17 issue</w:t>
    </w:r>
    <w:r w:rsidRPr="008432AA">
      <w:rPr>
        <w:rFonts w:ascii="Times New Roman" w:eastAsia="Times New Roman" w:hAnsi="Times New Roman" w:cs="Times New Roman"/>
        <w:b/>
        <w:sz w:val="18"/>
        <w:szCs w:val="18"/>
      </w:rPr>
      <w:t xml:space="preserve"> </w:t>
    </w:r>
    <w:r w:rsidRPr="008432AA">
      <w:rPr>
        <w:rFonts w:ascii="Times New Roman" w:eastAsia="Times New Roman" w:hAnsi="Times New Roman" w:cs="Times New Roman"/>
        <w:sz w:val="18"/>
        <w:szCs w:val="18"/>
      </w:rPr>
      <w:t>4</w:t>
    </w:r>
    <w:r w:rsidRPr="008432AA">
      <w:rPr>
        <w:rFonts w:ascii="Times New Roman" w:eastAsia="Times New Roman" w:hAnsi="Times New Roman" w:cs="Times New Roman"/>
        <w:b/>
        <w:sz w:val="18"/>
        <w:szCs w:val="18"/>
      </w:rPr>
      <w:t xml:space="preserve"> </w:t>
    </w:r>
    <w:r w:rsidRPr="008432AA">
      <w:rPr>
        <w:rFonts w:ascii="Times New Roman" w:eastAsia="Times New Roman" w:hAnsi="Times New Roman" w:cs="Times New Roman"/>
        <w:sz w:val="18"/>
        <w:szCs w:val="18"/>
      </w:rPr>
      <w:t>(</w:t>
    </w:r>
    <w:r w:rsidR="00FF1939">
      <w:rPr>
        <w:rFonts w:ascii="Times New Roman" w:eastAsia="Times New Roman" w:hAnsi="Times New Roman" w:cs="Times New Roman"/>
        <w:sz w:val="18"/>
        <w:szCs w:val="18"/>
      </w:rPr>
      <w:t>305-320</w:t>
    </w:r>
    <w:r w:rsidRPr="008432AA">
      <w:rPr>
        <w:rFonts w:ascii="Times New Roman" w:eastAsia="Times New Roman" w:hAnsi="Times New Roman" w:cs="Times New Roman"/>
        <w:sz w:val="18"/>
        <w:szCs w:val="18"/>
      </w:rPr>
      <w:t>)</w:t>
    </w:r>
    <w:r w:rsidRPr="008432AA">
      <w:rPr>
        <w:rFonts w:ascii="Times New Roman" w:eastAsia="Times New Roman" w:hAnsi="Times New Roman" w:cs="Times New Roman"/>
        <w:sz w:val="18"/>
        <w:szCs w:val="18"/>
      </w:rPr>
      <w:tab/>
    </w:r>
  </w:p>
  <w:p w14:paraId="42888FE5" w14:textId="4628B049" w:rsidR="008432AA" w:rsidRPr="008432AA" w:rsidRDefault="008432AA" w:rsidP="008432AA">
    <w:pPr>
      <w:pStyle w:val="Header"/>
      <w:ind w:left="0" w:hanging="2"/>
      <w:rPr>
        <w:rFonts w:ascii="Times New Roman" w:hAnsi="Times New Roman" w:cs="Times New Roman"/>
        <w:sz w:val="18"/>
        <w:szCs w:val="18"/>
      </w:rPr>
    </w:pPr>
    <w:r w:rsidRPr="008432AA">
      <w:rPr>
        <w:rFonts w:ascii="Times New Roman" w:eastAsia="Times New Roman" w:hAnsi="Times New Roman" w:cs="Times New Roman"/>
        <w:sz w:val="18"/>
        <w:szCs w:val="18"/>
      </w:rPr>
      <w:t xml:space="preserve">© 2021, e-ISSN 2682-7727  </w:t>
    </w:r>
    <w:bookmarkStart w:id="9" w:name="_GoBack"/>
    <w:r w:rsidR="00FF1939" w:rsidRPr="00FF1939">
      <w:rPr>
        <w:rFonts w:ascii="Times New Roman" w:hAnsi="Times New Roman" w:cs="Times New Roman"/>
        <w:sz w:val="18"/>
        <w:szCs w:val="18"/>
        <w:lang w:eastAsia="en-MY"/>
      </w:rPr>
      <w:fldChar w:fldCharType="begin"/>
    </w:r>
    <w:r w:rsidR="00FF1939" w:rsidRPr="00FF1939">
      <w:rPr>
        <w:rFonts w:ascii="Times New Roman" w:hAnsi="Times New Roman" w:cs="Times New Roman"/>
        <w:sz w:val="18"/>
        <w:szCs w:val="18"/>
        <w:lang w:eastAsia="en-MY"/>
      </w:rPr>
      <w:instrText xml:space="preserve"> HYPERLINK "https://doi.org/10.17576/geo-2021-1704-21" </w:instrText>
    </w:r>
    <w:r w:rsidR="00FF1939" w:rsidRPr="00FF1939">
      <w:rPr>
        <w:rFonts w:ascii="Times New Roman" w:hAnsi="Times New Roman" w:cs="Times New Roman"/>
        <w:sz w:val="18"/>
        <w:szCs w:val="18"/>
        <w:lang w:eastAsia="en-MY"/>
      </w:rPr>
    </w:r>
    <w:r w:rsidR="00FF1939" w:rsidRPr="00FF1939">
      <w:rPr>
        <w:rFonts w:ascii="Times New Roman" w:hAnsi="Times New Roman" w:cs="Times New Roman"/>
        <w:sz w:val="18"/>
        <w:szCs w:val="18"/>
        <w:lang w:eastAsia="en-MY"/>
      </w:rPr>
      <w:fldChar w:fldCharType="separate"/>
    </w:r>
    <w:r w:rsidRPr="00FF1939">
      <w:rPr>
        <w:rStyle w:val="Hyperlink"/>
        <w:rFonts w:ascii="Times New Roman" w:hAnsi="Times New Roman" w:cs="Times New Roman"/>
        <w:color w:val="auto"/>
        <w:sz w:val="18"/>
        <w:szCs w:val="18"/>
        <w:u w:val="none"/>
        <w:lang w:eastAsia="en-MY"/>
      </w:rPr>
      <w:t>https://doi.org/10.17576/geo-2021-1704-</w:t>
    </w:r>
    <w:r w:rsidRPr="00FF1939">
      <w:rPr>
        <w:rStyle w:val="Hyperlink"/>
        <w:rFonts w:ascii="Times New Roman" w:hAnsi="Times New Roman" w:cs="Times New Roman"/>
        <w:color w:val="auto"/>
        <w:sz w:val="18"/>
        <w:szCs w:val="18"/>
        <w:u w:val="none"/>
        <w:lang w:eastAsia="en-MY"/>
      </w:rPr>
      <w:t>21</w:t>
    </w:r>
    <w:r w:rsidR="00FF1939" w:rsidRPr="00FF1939">
      <w:rPr>
        <w:rFonts w:ascii="Times New Roman" w:hAnsi="Times New Roman" w:cs="Times New Roman"/>
        <w:sz w:val="18"/>
        <w:szCs w:val="18"/>
        <w:lang w:eastAsia="en-MY"/>
      </w:rPr>
      <w:fldChar w:fldCharType="end"/>
    </w:r>
    <w:bookmarkEnd w:id="9"/>
    <w:sdt>
      <w:sdtPr>
        <w:rPr>
          <w:rFonts w:ascii="Times New Roman" w:hAnsi="Times New Roman" w:cs="Times New Roman"/>
          <w:sz w:val="18"/>
          <w:szCs w:val="18"/>
        </w:rPr>
        <w:id w:val="100394655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8432AA">
          <w:rPr>
            <w:rFonts w:ascii="Times New Roman" w:hAnsi="Times New Roman" w:cs="Times New Roman"/>
            <w:sz w:val="18"/>
            <w:szCs w:val="18"/>
          </w:rPr>
          <w:fldChar w:fldCharType="begin"/>
        </w:r>
        <w:r w:rsidRPr="008432AA">
          <w:rPr>
            <w:rFonts w:ascii="Times New Roman" w:hAnsi="Times New Roman" w:cs="Times New Roman"/>
            <w:sz w:val="18"/>
            <w:szCs w:val="18"/>
          </w:rPr>
          <w:instrText xml:space="preserve"> PAGE   \* MERGEFORMAT </w:instrText>
        </w:r>
        <w:r w:rsidRPr="008432AA">
          <w:rPr>
            <w:rFonts w:ascii="Times New Roman" w:hAnsi="Times New Roman" w:cs="Times New Roman"/>
            <w:sz w:val="18"/>
            <w:szCs w:val="18"/>
          </w:rPr>
          <w:fldChar w:fldCharType="separate"/>
        </w:r>
        <w:r w:rsidR="00FF1939">
          <w:rPr>
            <w:rFonts w:ascii="Times New Roman" w:hAnsi="Times New Roman" w:cs="Times New Roman"/>
            <w:noProof/>
            <w:sz w:val="18"/>
            <w:szCs w:val="18"/>
          </w:rPr>
          <w:t>320</w:t>
        </w:r>
        <w:r w:rsidRPr="008432AA">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34B07" w14:textId="77777777" w:rsidR="008432AA" w:rsidRDefault="008432A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B34D7A"/>
    <w:multiLevelType w:val="hybridMultilevel"/>
    <w:tmpl w:val="4022B948"/>
    <w:lvl w:ilvl="0" w:tplc="75F0D890">
      <w:start w:val="1"/>
      <w:numFmt w:val="decimal"/>
      <w:lvlText w:val="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605020A9"/>
    <w:multiLevelType w:val="hybridMultilevel"/>
    <w:tmpl w:val="8050DD34"/>
    <w:lvl w:ilvl="0" w:tplc="4F6689EA">
      <w:start w:val="1"/>
      <w:numFmt w:val="decimal"/>
      <w:lvlText w:val="3.%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766012ED"/>
    <w:multiLevelType w:val="hybridMultilevel"/>
    <w:tmpl w:val="364A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2tDS1NDQztjQxNTNT0lEKTi0uzszPAykwrAUAgLN/3SwAAAA="/>
  </w:docVars>
  <w:rsids>
    <w:rsidRoot w:val="00B73AFF"/>
    <w:rsid w:val="0001451F"/>
    <w:rsid w:val="000407C3"/>
    <w:rsid w:val="00051A78"/>
    <w:rsid w:val="00055750"/>
    <w:rsid w:val="00073A27"/>
    <w:rsid w:val="000915DA"/>
    <w:rsid w:val="00110D41"/>
    <w:rsid w:val="001238C0"/>
    <w:rsid w:val="0014703E"/>
    <w:rsid w:val="001B5046"/>
    <w:rsid w:val="0021640B"/>
    <w:rsid w:val="002304B9"/>
    <w:rsid w:val="00284E3B"/>
    <w:rsid w:val="002D5096"/>
    <w:rsid w:val="00375D33"/>
    <w:rsid w:val="003835E0"/>
    <w:rsid w:val="003C598A"/>
    <w:rsid w:val="004001D9"/>
    <w:rsid w:val="00493637"/>
    <w:rsid w:val="004A2E81"/>
    <w:rsid w:val="004D2E43"/>
    <w:rsid w:val="005053D3"/>
    <w:rsid w:val="00540B26"/>
    <w:rsid w:val="00552F10"/>
    <w:rsid w:val="00564B8A"/>
    <w:rsid w:val="005A3C20"/>
    <w:rsid w:val="005A7686"/>
    <w:rsid w:val="00622064"/>
    <w:rsid w:val="006302F1"/>
    <w:rsid w:val="00647FF1"/>
    <w:rsid w:val="0066390F"/>
    <w:rsid w:val="006A2F97"/>
    <w:rsid w:val="006C5729"/>
    <w:rsid w:val="006C6E98"/>
    <w:rsid w:val="00717C64"/>
    <w:rsid w:val="007461DB"/>
    <w:rsid w:val="0074760F"/>
    <w:rsid w:val="00773644"/>
    <w:rsid w:val="00790E8E"/>
    <w:rsid w:val="007B4A7C"/>
    <w:rsid w:val="007F5603"/>
    <w:rsid w:val="0084286F"/>
    <w:rsid w:val="008432AA"/>
    <w:rsid w:val="00881754"/>
    <w:rsid w:val="008B05E7"/>
    <w:rsid w:val="008C5503"/>
    <w:rsid w:val="008D6309"/>
    <w:rsid w:val="008E2EE5"/>
    <w:rsid w:val="008F320A"/>
    <w:rsid w:val="00937130"/>
    <w:rsid w:val="009930B3"/>
    <w:rsid w:val="009A1097"/>
    <w:rsid w:val="00A02152"/>
    <w:rsid w:val="00A354E4"/>
    <w:rsid w:val="00A7070A"/>
    <w:rsid w:val="00AC282C"/>
    <w:rsid w:val="00AC52DB"/>
    <w:rsid w:val="00B3514D"/>
    <w:rsid w:val="00B36B2D"/>
    <w:rsid w:val="00B712AC"/>
    <w:rsid w:val="00B73AFF"/>
    <w:rsid w:val="00BC1109"/>
    <w:rsid w:val="00BE0277"/>
    <w:rsid w:val="00C3604B"/>
    <w:rsid w:val="00C4657F"/>
    <w:rsid w:val="00C50F2F"/>
    <w:rsid w:val="00C57224"/>
    <w:rsid w:val="00C65D72"/>
    <w:rsid w:val="00C8045E"/>
    <w:rsid w:val="00C93DA2"/>
    <w:rsid w:val="00CA088B"/>
    <w:rsid w:val="00D026C1"/>
    <w:rsid w:val="00D17076"/>
    <w:rsid w:val="00DD3CC0"/>
    <w:rsid w:val="00F2217F"/>
    <w:rsid w:val="00F515E0"/>
    <w:rsid w:val="00F54B5F"/>
    <w:rsid w:val="00FB3A71"/>
    <w:rsid w:val="00FF193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1BFF"/>
  <w15:docId w15:val="{B421D29A-C71B-4BB0-A525-151839C0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uiPriority w:val="9"/>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ibliography">
    <w:name w:val="Bibliography"/>
    <w:basedOn w:val="Normal"/>
    <w:next w:val="Normal"/>
    <w:uiPriority w:val="37"/>
    <w:unhideWhenUsed/>
    <w:rsid w:val="00622064"/>
  </w:style>
  <w:style w:type="paragraph" w:styleId="Caption">
    <w:name w:val="caption"/>
    <w:basedOn w:val="Normal"/>
    <w:next w:val="Normal"/>
    <w:uiPriority w:val="35"/>
    <w:unhideWhenUsed/>
    <w:qFormat/>
    <w:rsid w:val="0066390F"/>
    <w:pPr>
      <w:suppressAutoHyphens w:val="0"/>
      <w:spacing w:line="240" w:lineRule="auto"/>
      <w:ind w:leftChars="0" w:left="0" w:firstLineChars="0" w:firstLine="0"/>
      <w:textDirection w:val="lrTb"/>
      <w:textAlignment w:val="auto"/>
      <w:outlineLvl w:val="9"/>
    </w:pPr>
    <w:rPr>
      <w:rFonts w:ascii="Times New Roman" w:eastAsiaTheme="minorHAnsi" w:hAnsi="Times New Roman" w:cs="Times New Roman"/>
      <w:i/>
      <w:iCs/>
      <w:color w:val="1F497D" w:themeColor="text2"/>
      <w:positio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716">
      <w:bodyDiv w:val="1"/>
      <w:marLeft w:val="0"/>
      <w:marRight w:val="0"/>
      <w:marTop w:val="0"/>
      <w:marBottom w:val="0"/>
      <w:divBdr>
        <w:top w:val="none" w:sz="0" w:space="0" w:color="auto"/>
        <w:left w:val="none" w:sz="0" w:space="0" w:color="auto"/>
        <w:bottom w:val="none" w:sz="0" w:space="0" w:color="auto"/>
        <w:right w:val="none" w:sz="0" w:space="0" w:color="auto"/>
      </w:divBdr>
    </w:div>
    <w:div w:id="20015788">
      <w:bodyDiv w:val="1"/>
      <w:marLeft w:val="0"/>
      <w:marRight w:val="0"/>
      <w:marTop w:val="0"/>
      <w:marBottom w:val="0"/>
      <w:divBdr>
        <w:top w:val="none" w:sz="0" w:space="0" w:color="auto"/>
        <w:left w:val="none" w:sz="0" w:space="0" w:color="auto"/>
        <w:bottom w:val="none" w:sz="0" w:space="0" w:color="auto"/>
        <w:right w:val="none" w:sz="0" w:space="0" w:color="auto"/>
      </w:divBdr>
    </w:div>
    <w:div w:id="56827385">
      <w:bodyDiv w:val="1"/>
      <w:marLeft w:val="0"/>
      <w:marRight w:val="0"/>
      <w:marTop w:val="0"/>
      <w:marBottom w:val="0"/>
      <w:divBdr>
        <w:top w:val="none" w:sz="0" w:space="0" w:color="auto"/>
        <w:left w:val="none" w:sz="0" w:space="0" w:color="auto"/>
        <w:bottom w:val="none" w:sz="0" w:space="0" w:color="auto"/>
        <w:right w:val="none" w:sz="0" w:space="0" w:color="auto"/>
      </w:divBdr>
    </w:div>
    <w:div w:id="68776550">
      <w:bodyDiv w:val="1"/>
      <w:marLeft w:val="0"/>
      <w:marRight w:val="0"/>
      <w:marTop w:val="0"/>
      <w:marBottom w:val="0"/>
      <w:divBdr>
        <w:top w:val="none" w:sz="0" w:space="0" w:color="auto"/>
        <w:left w:val="none" w:sz="0" w:space="0" w:color="auto"/>
        <w:bottom w:val="none" w:sz="0" w:space="0" w:color="auto"/>
        <w:right w:val="none" w:sz="0" w:space="0" w:color="auto"/>
      </w:divBdr>
    </w:div>
    <w:div w:id="89204423">
      <w:bodyDiv w:val="1"/>
      <w:marLeft w:val="0"/>
      <w:marRight w:val="0"/>
      <w:marTop w:val="0"/>
      <w:marBottom w:val="0"/>
      <w:divBdr>
        <w:top w:val="none" w:sz="0" w:space="0" w:color="auto"/>
        <w:left w:val="none" w:sz="0" w:space="0" w:color="auto"/>
        <w:bottom w:val="none" w:sz="0" w:space="0" w:color="auto"/>
        <w:right w:val="none" w:sz="0" w:space="0" w:color="auto"/>
      </w:divBdr>
    </w:div>
    <w:div w:id="100993802">
      <w:bodyDiv w:val="1"/>
      <w:marLeft w:val="0"/>
      <w:marRight w:val="0"/>
      <w:marTop w:val="0"/>
      <w:marBottom w:val="0"/>
      <w:divBdr>
        <w:top w:val="none" w:sz="0" w:space="0" w:color="auto"/>
        <w:left w:val="none" w:sz="0" w:space="0" w:color="auto"/>
        <w:bottom w:val="none" w:sz="0" w:space="0" w:color="auto"/>
        <w:right w:val="none" w:sz="0" w:space="0" w:color="auto"/>
      </w:divBdr>
    </w:div>
    <w:div w:id="139615997">
      <w:bodyDiv w:val="1"/>
      <w:marLeft w:val="0"/>
      <w:marRight w:val="0"/>
      <w:marTop w:val="0"/>
      <w:marBottom w:val="0"/>
      <w:divBdr>
        <w:top w:val="none" w:sz="0" w:space="0" w:color="auto"/>
        <w:left w:val="none" w:sz="0" w:space="0" w:color="auto"/>
        <w:bottom w:val="none" w:sz="0" w:space="0" w:color="auto"/>
        <w:right w:val="none" w:sz="0" w:space="0" w:color="auto"/>
      </w:divBdr>
    </w:div>
    <w:div w:id="141777759">
      <w:bodyDiv w:val="1"/>
      <w:marLeft w:val="0"/>
      <w:marRight w:val="0"/>
      <w:marTop w:val="0"/>
      <w:marBottom w:val="0"/>
      <w:divBdr>
        <w:top w:val="none" w:sz="0" w:space="0" w:color="auto"/>
        <w:left w:val="none" w:sz="0" w:space="0" w:color="auto"/>
        <w:bottom w:val="none" w:sz="0" w:space="0" w:color="auto"/>
        <w:right w:val="none" w:sz="0" w:space="0" w:color="auto"/>
      </w:divBdr>
    </w:div>
    <w:div w:id="149643774">
      <w:bodyDiv w:val="1"/>
      <w:marLeft w:val="0"/>
      <w:marRight w:val="0"/>
      <w:marTop w:val="0"/>
      <w:marBottom w:val="0"/>
      <w:divBdr>
        <w:top w:val="none" w:sz="0" w:space="0" w:color="auto"/>
        <w:left w:val="none" w:sz="0" w:space="0" w:color="auto"/>
        <w:bottom w:val="none" w:sz="0" w:space="0" w:color="auto"/>
        <w:right w:val="none" w:sz="0" w:space="0" w:color="auto"/>
      </w:divBdr>
    </w:div>
    <w:div w:id="165287294">
      <w:bodyDiv w:val="1"/>
      <w:marLeft w:val="0"/>
      <w:marRight w:val="0"/>
      <w:marTop w:val="0"/>
      <w:marBottom w:val="0"/>
      <w:divBdr>
        <w:top w:val="none" w:sz="0" w:space="0" w:color="auto"/>
        <w:left w:val="none" w:sz="0" w:space="0" w:color="auto"/>
        <w:bottom w:val="none" w:sz="0" w:space="0" w:color="auto"/>
        <w:right w:val="none" w:sz="0" w:space="0" w:color="auto"/>
      </w:divBdr>
    </w:div>
    <w:div w:id="174392612">
      <w:bodyDiv w:val="1"/>
      <w:marLeft w:val="0"/>
      <w:marRight w:val="0"/>
      <w:marTop w:val="0"/>
      <w:marBottom w:val="0"/>
      <w:divBdr>
        <w:top w:val="none" w:sz="0" w:space="0" w:color="auto"/>
        <w:left w:val="none" w:sz="0" w:space="0" w:color="auto"/>
        <w:bottom w:val="none" w:sz="0" w:space="0" w:color="auto"/>
        <w:right w:val="none" w:sz="0" w:space="0" w:color="auto"/>
      </w:divBdr>
    </w:div>
    <w:div w:id="180513736">
      <w:bodyDiv w:val="1"/>
      <w:marLeft w:val="0"/>
      <w:marRight w:val="0"/>
      <w:marTop w:val="0"/>
      <w:marBottom w:val="0"/>
      <w:divBdr>
        <w:top w:val="none" w:sz="0" w:space="0" w:color="auto"/>
        <w:left w:val="none" w:sz="0" w:space="0" w:color="auto"/>
        <w:bottom w:val="none" w:sz="0" w:space="0" w:color="auto"/>
        <w:right w:val="none" w:sz="0" w:space="0" w:color="auto"/>
      </w:divBdr>
    </w:div>
    <w:div w:id="191768442">
      <w:bodyDiv w:val="1"/>
      <w:marLeft w:val="0"/>
      <w:marRight w:val="0"/>
      <w:marTop w:val="0"/>
      <w:marBottom w:val="0"/>
      <w:divBdr>
        <w:top w:val="none" w:sz="0" w:space="0" w:color="auto"/>
        <w:left w:val="none" w:sz="0" w:space="0" w:color="auto"/>
        <w:bottom w:val="none" w:sz="0" w:space="0" w:color="auto"/>
        <w:right w:val="none" w:sz="0" w:space="0" w:color="auto"/>
      </w:divBdr>
    </w:div>
    <w:div w:id="205216836">
      <w:bodyDiv w:val="1"/>
      <w:marLeft w:val="0"/>
      <w:marRight w:val="0"/>
      <w:marTop w:val="0"/>
      <w:marBottom w:val="0"/>
      <w:divBdr>
        <w:top w:val="none" w:sz="0" w:space="0" w:color="auto"/>
        <w:left w:val="none" w:sz="0" w:space="0" w:color="auto"/>
        <w:bottom w:val="none" w:sz="0" w:space="0" w:color="auto"/>
        <w:right w:val="none" w:sz="0" w:space="0" w:color="auto"/>
      </w:divBdr>
    </w:div>
    <w:div w:id="215747211">
      <w:bodyDiv w:val="1"/>
      <w:marLeft w:val="0"/>
      <w:marRight w:val="0"/>
      <w:marTop w:val="0"/>
      <w:marBottom w:val="0"/>
      <w:divBdr>
        <w:top w:val="none" w:sz="0" w:space="0" w:color="auto"/>
        <w:left w:val="none" w:sz="0" w:space="0" w:color="auto"/>
        <w:bottom w:val="none" w:sz="0" w:space="0" w:color="auto"/>
        <w:right w:val="none" w:sz="0" w:space="0" w:color="auto"/>
      </w:divBdr>
    </w:div>
    <w:div w:id="219371070">
      <w:bodyDiv w:val="1"/>
      <w:marLeft w:val="0"/>
      <w:marRight w:val="0"/>
      <w:marTop w:val="0"/>
      <w:marBottom w:val="0"/>
      <w:divBdr>
        <w:top w:val="none" w:sz="0" w:space="0" w:color="auto"/>
        <w:left w:val="none" w:sz="0" w:space="0" w:color="auto"/>
        <w:bottom w:val="none" w:sz="0" w:space="0" w:color="auto"/>
        <w:right w:val="none" w:sz="0" w:space="0" w:color="auto"/>
      </w:divBdr>
    </w:div>
    <w:div w:id="237137444">
      <w:bodyDiv w:val="1"/>
      <w:marLeft w:val="0"/>
      <w:marRight w:val="0"/>
      <w:marTop w:val="0"/>
      <w:marBottom w:val="0"/>
      <w:divBdr>
        <w:top w:val="none" w:sz="0" w:space="0" w:color="auto"/>
        <w:left w:val="none" w:sz="0" w:space="0" w:color="auto"/>
        <w:bottom w:val="none" w:sz="0" w:space="0" w:color="auto"/>
        <w:right w:val="none" w:sz="0" w:space="0" w:color="auto"/>
      </w:divBdr>
    </w:div>
    <w:div w:id="242417765">
      <w:bodyDiv w:val="1"/>
      <w:marLeft w:val="0"/>
      <w:marRight w:val="0"/>
      <w:marTop w:val="0"/>
      <w:marBottom w:val="0"/>
      <w:divBdr>
        <w:top w:val="none" w:sz="0" w:space="0" w:color="auto"/>
        <w:left w:val="none" w:sz="0" w:space="0" w:color="auto"/>
        <w:bottom w:val="none" w:sz="0" w:space="0" w:color="auto"/>
        <w:right w:val="none" w:sz="0" w:space="0" w:color="auto"/>
      </w:divBdr>
    </w:div>
    <w:div w:id="243733541">
      <w:bodyDiv w:val="1"/>
      <w:marLeft w:val="0"/>
      <w:marRight w:val="0"/>
      <w:marTop w:val="0"/>
      <w:marBottom w:val="0"/>
      <w:divBdr>
        <w:top w:val="none" w:sz="0" w:space="0" w:color="auto"/>
        <w:left w:val="none" w:sz="0" w:space="0" w:color="auto"/>
        <w:bottom w:val="none" w:sz="0" w:space="0" w:color="auto"/>
        <w:right w:val="none" w:sz="0" w:space="0" w:color="auto"/>
      </w:divBdr>
    </w:div>
    <w:div w:id="260573569">
      <w:bodyDiv w:val="1"/>
      <w:marLeft w:val="0"/>
      <w:marRight w:val="0"/>
      <w:marTop w:val="0"/>
      <w:marBottom w:val="0"/>
      <w:divBdr>
        <w:top w:val="none" w:sz="0" w:space="0" w:color="auto"/>
        <w:left w:val="none" w:sz="0" w:space="0" w:color="auto"/>
        <w:bottom w:val="none" w:sz="0" w:space="0" w:color="auto"/>
        <w:right w:val="none" w:sz="0" w:space="0" w:color="auto"/>
      </w:divBdr>
    </w:div>
    <w:div w:id="344132452">
      <w:bodyDiv w:val="1"/>
      <w:marLeft w:val="0"/>
      <w:marRight w:val="0"/>
      <w:marTop w:val="0"/>
      <w:marBottom w:val="0"/>
      <w:divBdr>
        <w:top w:val="none" w:sz="0" w:space="0" w:color="auto"/>
        <w:left w:val="none" w:sz="0" w:space="0" w:color="auto"/>
        <w:bottom w:val="none" w:sz="0" w:space="0" w:color="auto"/>
        <w:right w:val="none" w:sz="0" w:space="0" w:color="auto"/>
      </w:divBdr>
    </w:div>
    <w:div w:id="382022321">
      <w:bodyDiv w:val="1"/>
      <w:marLeft w:val="0"/>
      <w:marRight w:val="0"/>
      <w:marTop w:val="0"/>
      <w:marBottom w:val="0"/>
      <w:divBdr>
        <w:top w:val="none" w:sz="0" w:space="0" w:color="auto"/>
        <w:left w:val="none" w:sz="0" w:space="0" w:color="auto"/>
        <w:bottom w:val="none" w:sz="0" w:space="0" w:color="auto"/>
        <w:right w:val="none" w:sz="0" w:space="0" w:color="auto"/>
      </w:divBdr>
    </w:div>
    <w:div w:id="420179261">
      <w:bodyDiv w:val="1"/>
      <w:marLeft w:val="0"/>
      <w:marRight w:val="0"/>
      <w:marTop w:val="0"/>
      <w:marBottom w:val="0"/>
      <w:divBdr>
        <w:top w:val="none" w:sz="0" w:space="0" w:color="auto"/>
        <w:left w:val="none" w:sz="0" w:space="0" w:color="auto"/>
        <w:bottom w:val="none" w:sz="0" w:space="0" w:color="auto"/>
        <w:right w:val="none" w:sz="0" w:space="0" w:color="auto"/>
      </w:divBdr>
    </w:div>
    <w:div w:id="426584398">
      <w:bodyDiv w:val="1"/>
      <w:marLeft w:val="0"/>
      <w:marRight w:val="0"/>
      <w:marTop w:val="0"/>
      <w:marBottom w:val="0"/>
      <w:divBdr>
        <w:top w:val="none" w:sz="0" w:space="0" w:color="auto"/>
        <w:left w:val="none" w:sz="0" w:space="0" w:color="auto"/>
        <w:bottom w:val="none" w:sz="0" w:space="0" w:color="auto"/>
        <w:right w:val="none" w:sz="0" w:space="0" w:color="auto"/>
      </w:divBdr>
    </w:div>
    <w:div w:id="501242560">
      <w:bodyDiv w:val="1"/>
      <w:marLeft w:val="0"/>
      <w:marRight w:val="0"/>
      <w:marTop w:val="0"/>
      <w:marBottom w:val="0"/>
      <w:divBdr>
        <w:top w:val="none" w:sz="0" w:space="0" w:color="auto"/>
        <w:left w:val="none" w:sz="0" w:space="0" w:color="auto"/>
        <w:bottom w:val="none" w:sz="0" w:space="0" w:color="auto"/>
        <w:right w:val="none" w:sz="0" w:space="0" w:color="auto"/>
      </w:divBdr>
    </w:div>
    <w:div w:id="561645586">
      <w:bodyDiv w:val="1"/>
      <w:marLeft w:val="0"/>
      <w:marRight w:val="0"/>
      <w:marTop w:val="0"/>
      <w:marBottom w:val="0"/>
      <w:divBdr>
        <w:top w:val="none" w:sz="0" w:space="0" w:color="auto"/>
        <w:left w:val="none" w:sz="0" w:space="0" w:color="auto"/>
        <w:bottom w:val="none" w:sz="0" w:space="0" w:color="auto"/>
        <w:right w:val="none" w:sz="0" w:space="0" w:color="auto"/>
      </w:divBdr>
    </w:div>
    <w:div w:id="580531108">
      <w:bodyDiv w:val="1"/>
      <w:marLeft w:val="0"/>
      <w:marRight w:val="0"/>
      <w:marTop w:val="0"/>
      <w:marBottom w:val="0"/>
      <w:divBdr>
        <w:top w:val="none" w:sz="0" w:space="0" w:color="auto"/>
        <w:left w:val="none" w:sz="0" w:space="0" w:color="auto"/>
        <w:bottom w:val="none" w:sz="0" w:space="0" w:color="auto"/>
        <w:right w:val="none" w:sz="0" w:space="0" w:color="auto"/>
      </w:divBdr>
    </w:div>
    <w:div w:id="582027602">
      <w:bodyDiv w:val="1"/>
      <w:marLeft w:val="0"/>
      <w:marRight w:val="0"/>
      <w:marTop w:val="0"/>
      <w:marBottom w:val="0"/>
      <w:divBdr>
        <w:top w:val="none" w:sz="0" w:space="0" w:color="auto"/>
        <w:left w:val="none" w:sz="0" w:space="0" w:color="auto"/>
        <w:bottom w:val="none" w:sz="0" w:space="0" w:color="auto"/>
        <w:right w:val="none" w:sz="0" w:space="0" w:color="auto"/>
      </w:divBdr>
    </w:div>
    <w:div w:id="656887095">
      <w:bodyDiv w:val="1"/>
      <w:marLeft w:val="0"/>
      <w:marRight w:val="0"/>
      <w:marTop w:val="0"/>
      <w:marBottom w:val="0"/>
      <w:divBdr>
        <w:top w:val="none" w:sz="0" w:space="0" w:color="auto"/>
        <w:left w:val="none" w:sz="0" w:space="0" w:color="auto"/>
        <w:bottom w:val="none" w:sz="0" w:space="0" w:color="auto"/>
        <w:right w:val="none" w:sz="0" w:space="0" w:color="auto"/>
      </w:divBdr>
    </w:div>
    <w:div w:id="663583550">
      <w:bodyDiv w:val="1"/>
      <w:marLeft w:val="0"/>
      <w:marRight w:val="0"/>
      <w:marTop w:val="0"/>
      <w:marBottom w:val="0"/>
      <w:divBdr>
        <w:top w:val="none" w:sz="0" w:space="0" w:color="auto"/>
        <w:left w:val="none" w:sz="0" w:space="0" w:color="auto"/>
        <w:bottom w:val="none" w:sz="0" w:space="0" w:color="auto"/>
        <w:right w:val="none" w:sz="0" w:space="0" w:color="auto"/>
      </w:divBdr>
    </w:div>
    <w:div w:id="670138001">
      <w:bodyDiv w:val="1"/>
      <w:marLeft w:val="0"/>
      <w:marRight w:val="0"/>
      <w:marTop w:val="0"/>
      <w:marBottom w:val="0"/>
      <w:divBdr>
        <w:top w:val="none" w:sz="0" w:space="0" w:color="auto"/>
        <w:left w:val="none" w:sz="0" w:space="0" w:color="auto"/>
        <w:bottom w:val="none" w:sz="0" w:space="0" w:color="auto"/>
        <w:right w:val="none" w:sz="0" w:space="0" w:color="auto"/>
      </w:divBdr>
    </w:div>
    <w:div w:id="729157459">
      <w:bodyDiv w:val="1"/>
      <w:marLeft w:val="0"/>
      <w:marRight w:val="0"/>
      <w:marTop w:val="0"/>
      <w:marBottom w:val="0"/>
      <w:divBdr>
        <w:top w:val="none" w:sz="0" w:space="0" w:color="auto"/>
        <w:left w:val="none" w:sz="0" w:space="0" w:color="auto"/>
        <w:bottom w:val="none" w:sz="0" w:space="0" w:color="auto"/>
        <w:right w:val="none" w:sz="0" w:space="0" w:color="auto"/>
      </w:divBdr>
    </w:div>
    <w:div w:id="751123836">
      <w:bodyDiv w:val="1"/>
      <w:marLeft w:val="0"/>
      <w:marRight w:val="0"/>
      <w:marTop w:val="0"/>
      <w:marBottom w:val="0"/>
      <w:divBdr>
        <w:top w:val="none" w:sz="0" w:space="0" w:color="auto"/>
        <w:left w:val="none" w:sz="0" w:space="0" w:color="auto"/>
        <w:bottom w:val="none" w:sz="0" w:space="0" w:color="auto"/>
        <w:right w:val="none" w:sz="0" w:space="0" w:color="auto"/>
      </w:divBdr>
    </w:div>
    <w:div w:id="761729336">
      <w:bodyDiv w:val="1"/>
      <w:marLeft w:val="0"/>
      <w:marRight w:val="0"/>
      <w:marTop w:val="0"/>
      <w:marBottom w:val="0"/>
      <w:divBdr>
        <w:top w:val="none" w:sz="0" w:space="0" w:color="auto"/>
        <w:left w:val="none" w:sz="0" w:space="0" w:color="auto"/>
        <w:bottom w:val="none" w:sz="0" w:space="0" w:color="auto"/>
        <w:right w:val="none" w:sz="0" w:space="0" w:color="auto"/>
      </w:divBdr>
    </w:div>
    <w:div w:id="764151577">
      <w:bodyDiv w:val="1"/>
      <w:marLeft w:val="0"/>
      <w:marRight w:val="0"/>
      <w:marTop w:val="0"/>
      <w:marBottom w:val="0"/>
      <w:divBdr>
        <w:top w:val="none" w:sz="0" w:space="0" w:color="auto"/>
        <w:left w:val="none" w:sz="0" w:space="0" w:color="auto"/>
        <w:bottom w:val="none" w:sz="0" w:space="0" w:color="auto"/>
        <w:right w:val="none" w:sz="0" w:space="0" w:color="auto"/>
      </w:divBdr>
    </w:div>
    <w:div w:id="842551251">
      <w:bodyDiv w:val="1"/>
      <w:marLeft w:val="0"/>
      <w:marRight w:val="0"/>
      <w:marTop w:val="0"/>
      <w:marBottom w:val="0"/>
      <w:divBdr>
        <w:top w:val="none" w:sz="0" w:space="0" w:color="auto"/>
        <w:left w:val="none" w:sz="0" w:space="0" w:color="auto"/>
        <w:bottom w:val="none" w:sz="0" w:space="0" w:color="auto"/>
        <w:right w:val="none" w:sz="0" w:space="0" w:color="auto"/>
      </w:divBdr>
    </w:div>
    <w:div w:id="846168023">
      <w:bodyDiv w:val="1"/>
      <w:marLeft w:val="0"/>
      <w:marRight w:val="0"/>
      <w:marTop w:val="0"/>
      <w:marBottom w:val="0"/>
      <w:divBdr>
        <w:top w:val="none" w:sz="0" w:space="0" w:color="auto"/>
        <w:left w:val="none" w:sz="0" w:space="0" w:color="auto"/>
        <w:bottom w:val="none" w:sz="0" w:space="0" w:color="auto"/>
        <w:right w:val="none" w:sz="0" w:space="0" w:color="auto"/>
      </w:divBdr>
    </w:div>
    <w:div w:id="862404448">
      <w:bodyDiv w:val="1"/>
      <w:marLeft w:val="0"/>
      <w:marRight w:val="0"/>
      <w:marTop w:val="0"/>
      <w:marBottom w:val="0"/>
      <w:divBdr>
        <w:top w:val="none" w:sz="0" w:space="0" w:color="auto"/>
        <w:left w:val="none" w:sz="0" w:space="0" w:color="auto"/>
        <w:bottom w:val="none" w:sz="0" w:space="0" w:color="auto"/>
        <w:right w:val="none" w:sz="0" w:space="0" w:color="auto"/>
      </w:divBdr>
    </w:div>
    <w:div w:id="864438414">
      <w:bodyDiv w:val="1"/>
      <w:marLeft w:val="0"/>
      <w:marRight w:val="0"/>
      <w:marTop w:val="0"/>
      <w:marBottom w:val="0"/>
      <w:divBdr>
        <w:top w:val="none" w:sz="0" w:space="0" w:color="auto"/>
        <w:left w:val="none" w:sz="0" w:space="0" w:color="auto"/>
        <w:bottom w:val="none" w:sz="0" w:space="0" w:color="auto"/>
        <w:right w:val="none" w:sz="0" w:space="0" w:color="auto"/>
      </w:divBdr>
    </w:div>
    <w:div w:id="918097095">
      <w:bodyDiv w:val="1"/>
      <w:marLeft w:val="0"/>
      <w:marRight w:val="0"/>
      <w:marTop w:val="0"/>
      <w:marBottom w:val="0"/>
      <w:divBdr>
        <w:top w:val="none" w:sz="0" w:space="0" w:color="auto"/>
        <w:left w:val="none" w:sz="0" w:space="0" w:color="auto"/>
        <w:bottom w:val="none" w:sz="0" w:space="0" w:color="auto"/>
        <w:right w:val="none" w:sz="0" w:space="0" w:color="auto"/>
      </w:divBdr>
    </w:div>
    <w:div w:id="927690189">
      <w:bodyDiv w:val="1"/>
      <w:marLeft w:val="0"/>
      <w:marRight w:val="0"/>
      <w:marTop w:val="0"/>
      <w:marBottom w:val="0"/>
      <w:divBdr>
        <w:top w:val="none" w:sz="0" w:space="0" w:color="auto"/>
        <w:left w:val="none" w:sz="0" w:space="0" w:color="auto"/>
        <w:bottom w:val="none" w:sz="0" w:space="0" w:color="auto"/>
        <w:right w:val="none" w:sz="0" w:space="0" w:color="auto"/>
      </w:divBdr>
    </w:div>
    <w:div w:id="931860341">
      <w:bodyDiv w:val="1"/>
      <w:marLeft w:val="0"/>
      <w:marRight w:val="0"/>
      <w:marTop w:val="0"/>
      <w:marBottom w:val="0"/>
      <w:divBdr>
        <w:top w:val="none" w:sz="0" w:space="0" w:color="auto"/>
        <w:left w:val="none" w:sz="0" w:space="0" w:color="auto"/>
        <w:bottom w:val="none" w:sz="0" w:space="0" w:color="auto"/>
        <w:right w:val="none" w:sz="0" w:space="0" w:color="auto"/>
      </w:divBdr>
    </w:div>
    <w:div w:id="932708562">
      <w:bodyDiv w:val="1"/>
      <w:marLeft w:val="0"/>
      <w:marRight w:val="0"/>
      <w:marTop w:val="0"/>
      <w:marBottom w:val="0"/>
      <w:divBdr>
        <w:top w:val="none" w:sz="0" w:space="0" w:color="auto"/>
        <w:left w:val="none" w:sz="0" w:space="0" w:color="auto"/>
        <w:bottom w:val="none" w:sz="0" w:space="0" w:color="auto"/>
        <w:right w:val="none" w:sz="0" w:space="0" w:color="auto"/>
      </w:divBdr>
    </w:div>
    <w:div w:id="956252005">
      <w:bodyDiv w:val="1"/>
      <w:marLeft w:val="0"/>
      <w:marRight w:val="0"/>
      <w:marTop w:val="0"/>
      <w:marBottom w:val="0"/>
      <w:divBdr>
        <w:top w:val="none" w:sz="0" w:space="0" w:color="auto"/>
        <w:left w:val="none" w:sz="0" w:space="0" w:color="auto"/>
        <w:bottom w:val="none" w:sz="0" w:space="0" w:color="auto"/>
        <w:right w:val="none" w:sz="0" w:space="0" w:color="auto"/>
      </w:divBdr>
    </w:div>
    <w:div w:id="978388709">
      <w:bodyDiv w:val="1"/>
      <w:marLeft w:val="0"/>
      <w:marRight w:val="0"/>
      <w:marTop w:val="0"/>
      <w:marBottom w:val="0"/>
      <w:divBdr>
        <w:top w:val="none" w:sz="0" w:space="0" w:color="auto"/>
        <w:left w:val="none" w:sz="0" w:space="0" w:color="auto"/>
        <w:bottom w:val="none" w:sz="0" w:space="0" w:color="auto"/>
        <w:right w:val="none" w:sz="0" w:space="0" w:color="auto"/>
      </w:divBdr>
    </w:div>
    <w:div w:id="991833635">
      <w:bodyDiv w:val="1"/>
      <w:marLeft w:val="0"/>
      <w:marRight w:val="0"/>
      <w:marTop w:val="0"/>
      <w:marBottom w:val="0"/>
      <w:divBdr>
        <w:top w:val="none" w:sz="0" w:space="0" w:color="auto"/>
        <w:left w:val="none" w:sz="0" w:space="0" w:color="auto"/>
        <w:bottom w:val="none" w:sz="0" w:space="0" w:color="auto"/>
        <w:right w:val="none" w:sz="0" w:space="0" w:color="auto"/>
      </w:divBdr>
    </w:div>
    <w:div w:id="1017805153">
      <w:bodyDiv w:val="1"/>
      <w:marLeft w:val="0"/>
      <w:marRight w:val="0"/>
      <w:marTop w:val="0"/>
      <w:marBottom w:val="0"/>
      <w:divBdr>
        <w:top w:val="none" w:sz="0" w:space="0" w:color="auto"/>
        <w:left w:val="none" w:sz="0" w:space="0" w:color="auto"/>
        <w:bottom w:val="none" w:sz="0" w:space="0" w:color="auto"/>
        <w:right w:val="none" w:sz="0" w:space="0" w:color="auto"/>
      </w:divBdr>
    </w:div>
    <w:div w:id="1047149116">
      <w:bodyDiv w:val="1"/>
      <w:marLeft w:val="0"/>
      <w:marRight w:val="0"/>
      <w:marTop w:val="0"/>
      <w:marBottom w:val="0"/>
      <w:divBdr>
        <w:top w:val="none" w:sz="0" w:space="0" w:color="auto"/>
        <w:left w:val="none" w:sz="0" w:space="0" w:color="auto"/>
        <w:bottom w:val="none" w:sz="0" w:space="0" w:color="auto"/>
        <w:right w:val="none" w:sz="0" w:space="0" w:color="auto"/>
      </w:divBdr>
    </w:div>
    <w:div w:id="1125655844">
      <w:bodyDiv w:val="1"/>
      <w:marLeft w:val="0"/>
      <w:marRight w:val="0"/>
      <w:marTop w:val="0"/>
      <w:marBottom w:val="0"/>
      <w:divBdr>
        <w:top w:val="none" w:sz="0" w:space="0" w:color="auto"/>
        <w:left w:val="none" w:sz="0" w:space="0" w:color="auto"/>
        <w:bottom w:val="none" w:sz="0" w:space="0" w:color="auto"/>
        <w:right w:val="none" w:sz="0" w:space="0" w:color="auto"/>
      </w:divBdr>
    </w:div>
    <w:div w:id="1130592768">
      <w:bodyDiv w:val="1"/>
      <w:marLeft w:val="0"/>
      <w:marRight w:val="0"/>
      <w:marTop w:val="0"/>
      <w:marBottom w:val="0"/>
      <w:divBdr>
        <w:top w:val="none" w:sz="0" w:space="0" w:color="auto"/>
        <w:left w:val="none" w:sz="0" w:space="0" w:color="auto"/>
        <w:bottom w:val="none" w:sz="0" w:space="0" w:color="auto"/>
        <w:right w:val="none" w:sz="0" w:space="0" w:color="auto"/>
      </w:divBdr>
    </w:div>
    <w:div w:id="1137146251">
      <w:bodyDiv w:val="1"/>
      <w:marLeft w:val="0"/>
      <w:marRight w:val="0"/>
      <w:marTop w:val="0"/>
      <w:marBottom w:val="0"/>
      <w:divBdr>
        <w:top w:val="none" w:sz="0" w:space="0" w:color="auto"/>
        <w:left w:val="none" w:sz="0" w:space="0" w:color="auto"/>
        <w:bottom w:val="none" w:sz="0" w:space="0" w:color="auto"/>
        <w:right w:val="none" w:sz="0" w:space="0" w:color="auto"/>
      </w:divBdr>
    </w:div>
    <w:div w:id="1149861153">
      <w:bodyDiv w:val="1"/>
      <w:marLeft w:val="0"/>
      <w:marRight w:val="0"/>
      <w:marTop w:val="0"/>
      <w:marBottom w:val="0"/>
      <w:divBdr>
        <w:top w:val="none" w:sz="0" w:space="0" w:color="auto"/>
        <w:left w:val="none" w:sz="0" w:space="0" w:color="auto"/>
        <w:bottom w:val="none" w:sz="0" w:space="0" w:color="auto"/>
        <w:right w:val="none" w:sz="0" w:space="0" w:color="auto"/>
      </w:divBdr>
    </w:div>
    <w:div w:id="1150057162">
      <w:bodyDiv w:val="1"/>
      <w:marLeft w:val="0"/>
      <w:marRight w:val="0"/>
      <w:marTop w:val="0"/>
      <w:marBottom w:val="0"/>
      <w:divBdr>
        <w:top w:val="none" w:sz="0" w:space="0" w:color="auto"/>
        <w:left w:val="none" w:sz="0" w:space="0" w:color="auto"/>
        <w:bottom w:val="none" w:sz="0" w:space="0" w:color="auto"/>
        <w:right w:val="none" w:sz="0" w:space="0" w:color="auto"/>
      </w:divBdr>
    </w:div>
    <w:div w:id="1167407334">
      <w:bodyDiv w:val="1"/>
      <w:marLeft w:val="0"/>
      <w:marRight w:val="0"/>
      <w:marTop w:val="0"/>
      <w:marBottom w:val="0"/>
      <w:divBdr>
        <w:top w:val="none" w:sz="0" w:space="0" w:color="auto"/>
        <w:left w:val="none" w:sz="0" w:space="0" w:color="auto"/>
        <w:bottom w:val="none" w:sz="0" w:space="0" w:color="auto"/>
        <w:right w:val="none" w:sz="0" w:space="0" w:color="auto"/>
      </w:divBdr>
    </w:div>
    <w:div w:id="1177844505">
      <w:bodyDiv w:val="1"/>
      <w:marLeft w:val="0"/>
      <w:marRight w:val="0"/>
      <w:marTop w:val="0"/>
      <w:marBottom w:val="0"/>
      <w:divBdr>
        <w:top w:val="none" w:sz="0" w:space="0" w:color="auto"/>
        <w:left w:val="none" w:sz="0" w:space="0" w:color="auto"/>
        <w:bottom w:val="none" w:sz="0" w:space="0" w:color="auto"/>
        <w:right w:val="none" w:sz="0" w:space="0" w:color="auto"/>
      </w:divBdr>
    </w:div>
    <w:div w:id="1231967291">
      <w:bodyDiv w:val="1"/>
      <w:marLeft w:val="0"/>
      <w:marRight w:val="0"/>
      <w:marTop w:val="0"/>
      <w:marBottom w:val="0"/>
      <w:divBdr>
        <w:top w:val="none" w:sz="0" w:space="0" w:color="auto"/>
        <w:left w:val="none" w:sz="0" w:space="0" w:color="auto"/>
        <w:bottom w:val="none" w:sz="0" w:space="0" w:color="auto"/>
        <w:right w:val="none" w:sz="0" w:space="0" w:color="auto"/>
      </w:divBdr>
    </w:div>
    <w:div w:id="1238514206">
      <w:bodyDiv w:val="1"/>
      <w:marLeft w:val="0"/>
      <w:marRight w:val="0"/>
      <w:marTop w:val="0"/>
      <w:marBottom w:val="0"/>
      <w:divBdr>
        <w:top w:val="none" w:sz="0" w:space="0" w:color="auto"/>
        <w:left w:val="none" w:sz="0" w:space="0" w:color="auto"/>
        <w:bottom w:val="none" w:sz="0" w:space="0" w:color="auto"/>
        <w:right w:val="none" w:sz="0" w:space="0" w:color="auto"/>
      </w:divBdr>
    </w:div>
    <w:div w:id="1278373595">
      <w:bodyDiv w:val="1"/>
      <w:marLeft w:val="0"/>
      <w:marRight w:val="0"/>
      <w:marTop w:val="0"/>
      <w:marBottom w:val="0"/>
      <w:divBdr>
        <w:top w:val="none" w:sz="0" w:space="0" w:color="auto"/>
        <w:left w:val="none" w:sz="0" w:space="0" w:color="auto"/>
        <w:bottom w:val="none" w:sz="0" w:space="0" w:color="auto"/>
        <w:right w:val="none" w:sz="0" w:space="0" w:color="auto"/>
      </w:divBdr>
    </w:div>
    <w:div w:id="1283610683">
      <w:bodyDiv w:val="1"/>
      <w:marLeft w:val="0"/>
      <w:marRight w:val="0"/>
      <w:marTop w:val="0"/>
      <w:marBottom w:val="0"/>
      <w:divBdr>
        <w:top w:val="none" w:sz="0" w:space="0" w:color="auto"/>
        <w:left w:val="none" w:sz="0" w:space="0" w:color="auto"/>
        <w:bottom w:val="none" w:sz="0" w:space="0" w:color="auto"/>
        <w:right w:val="none" w:sz="0" w:space="0" w:color="auto"/>
      </w:divBdr>
    </w:div>
    <w:div w:id="1291479733">
      <w:bodyDiv w:val="1"/>
      <w:marLeft w:val="0"/>
      <w:marRight w:val="0"/>
      <w:marTop w:val="0"/>
      <w:marBottom w:val="0"/>
      <w:divBdr>
        <w:top w:val="none" w:sz="0" w:space="0" w:color="auto"/>
        <w:left w:val="none" w:sz="0" w:space="0" w:color="auto"/>
        <w:bottom w:val="none" w:sz="0" w:space="0" w:color="auto"/>
        <w:right w:val="none" w:sz="0" w:space="0" w:color="auto"/>
      </w:divBdr>
    </w:div>
    <w:div w:id="1320621577">
      <w:bodyDiv w:val="1"/>
      <w:marLeft w:val="0"/>
      <w:marRight w:val="0"/>
      <w:marTop w:val="0"/>
      <w:marBottom w:val="0"/>
      <w:divBdr>
        <w:top w:val="none" w:sz="0" w:space="0" w:color="auto"/>
        <w:left w:val="none" w:sz="0" w:space="0" w:color="auto"/>
        <w:bottom w:val="none" w:sz="0" w:space="0" w:color="auto"/>
        <w:right w:val="none" w:sz="0" w:space="0" w:color="auto"/>
      </w:divBdr>
    </w:div>
    <w:div w:id="1346706924">
      <w:bodyDiv w:val="1"/>
      <w:marLeft w:val="0"/>
      <w:marRight w:val="0"/>
      <w:marTop w:val="0"/>
      <w:marBottom w:val="0"/>
      <w:divBdr>
        <w:top w:val="none" w:sz="0" w:space="0" w:color="auto"/>
        <w:left w:val="none" w:sz="0" w:space="0" w:color="auto"/>
        <w:bottom w:val="none" w:sz="0" w:space="0" w:color="auto"/>
        <w:right w:val="none" w:sz="0" w:space="0" w:color="auto"/>
      </w:divBdr>
    </w:div>
    <w:div w:id="1373965185">
      <w:bodyDiv w:val="1"/>
      <w:marLeft w:val="0"/>
      <w:marRight w:val="0"/>
      <w:marTop w:val="0"/>
      <w:marBottom w:val="0"/>
      <w:divBdr>
        <w:top w:val="none" w:sz="0" w:space="0" w:color="auto"/>
        <w:left w:val="none" w:sz="0" w:space="0" w:color="auto"/>
        <w:bottom w:val="none" w:sz="0" w:space="0" w:color="auto"/>
        <w:right w:val="none" w:sz="0" w:space="0" w:color="auto"/>
      </w:divBdr>
    </w:div>
    <w:div w:id="1389525761">
      <w:bodyDiv w:val="1"/>
      <w:marLeft w:val="0"/>
      <w:marRight w:val="0"/>
      <w:marTop w:val="0"/>
      <w:marBottom w:val="0"/>
      <w:divBdr>
        <w:top w:val="none" w:sz="0" w:space="0" w:color="auto"/>
        <w:left w:val="none" w:sz="0" w:space="0" w:color="auto"/>
        <w:bottom w:val="none" w:sz="0" w:space="0" w:color="auto"/>
        <w:right w:val="none" w:sz="0" w:space="0" w:color="auto"/>
      </w:divBdr>
    </w:div>
    <w:div w:id="1418288050">
      <w:bodyDiv w:val="1"/>
      <w:marLeft w:val="0"/>
      <w:marRight w:val="0"/>
      <w:marTop w:val="0"/>
      <w:marBottom w:val="0"/>
      <w:divBdr>
        <w:top w:val="none" w:sz="0" w:space="0" w:color="auto"/>
        <w:left w:val="none" w:sz="0" w:space="0" w:color="auto"/>
        <w:bottom w:val="none" w:sz="0" w:space="0" w:color="auto"/>
        <w:right w:val="none" w:sz="0" w:space="0" w:color="auto"/>
      </w:divBdr>
    </w:div>
    <w:div w:id="1433093219">
      <w:bodyDiv w:val="1"/>
      <w:marLeft w:val="0"/>
      <w:marRight w:val="0"/>
      <w:marTop w:val="0"/>
      <w:marBottom w:val="0"/>
      <w:divBdr>
        <w:top w:val="none" w:sz="0" w:space="0" w:color="auto"/>
        <w:left w:val="none" w:sz="0" w:space="0" w:color="auto"/>
        <w:bottom w:val="none" w:sz="0" w:space="0" w:color="auto"/>
        <w:right w:val="none" w:sz="0" w:space="0" w:color="auto"/>
      </w:divBdr>
    </w:div>
    <w:div w:id="1444884279">
      <w:bodyDiv w:val="1"/>
      <w:marLeft w:val="0"/>
      <w:marRight w:val="0"/>
      <w:marTop w:val="0"/>
      <w:marBottom w:val="0"/>
      <w:divBdr>
        <w:top w:val="none" w:sz="0" w:space="0" w:color="auto"/>
        <w:left w:val="none" w:sz="0" w:space="0" w:color="auto"/>
        <w:bottom w:val="none" w:sz="0" w:space="0" w:color="auto"/>
        <w:right w:val="none" w:sz="0" w:space="0" w:color="auto"/>
      </w:divBdr>
    </w:div>
    <w:div w:id="1483085495">
      <w:bodyDiv w:val="1"/>
      <w:marLeft w:val="0"/>
      <w:marRight w:val="0"/>
      <w:marTop w:val="0"/>
      <w:marBottom w:val="0"/>
      <w:divBdr>
        <w:top w:val="none" w:sz="0" w:space="0" w:color="auto"/>
        <w:left w:val="none" w:sz="0" w:space="0" w:color="auto"/>
        <w:bottom w:val="none" w:sz="0" w:space="0" w:color="auto"/>
        <w:right w:val="none" w:sz="0" w:space="0" w:color="auto"/>
      </w:divBdr>
    </w:div>
    <w:div w:id="1496335636">
      <w:bodyDiv w:val="1"/>
      <w:marLeft w:val="0"/>
      <w:marRight w:val="0"/>
      <w:marTop w:val="0"/>
      <w:marBottom w:val="0"/>
      <w:divBdr>
        <w:top w:val="none" w:sz="0" w:space="0" w:color="auto"/>
        <w:left w:val="none" w:sz="0" w:space="0" w:color="auto"/>
        <w:bottom w:val="none" w:sz="0" w:space="0" w:color="auto"/>
        <w:right w:val="none" w:sz="0" w:space="0" w:color="auto"/>
      </w:divBdr>
    </w:div>
    <w:div w:id="1499539142">
      <w:bodyDiv w:val="1"/>
      <w:marLeft w:val="0"/>
      <w:marRight w:val="0"/>
      <w:marTop w:val="0"/>
      <w:marBottom w:val="0"/>
      <w:divBdr>
        <w:top w:val="none" w:sz="0" w:space="0" w:color="auto"/>
        <w:left w:val="none" w:sz="0" w:space="0" w:color="auto"/>
        <w:bottom w:val="none" w:sz="0" w:space="0" w:color="auto"/>
        <w:right w:val="none" w:sz="0" w:space="0" w:color="auto"/>
      </w:divBdr>
    </w:div>
    <w:div w:id="1528903798">
      <w:bodyDiv w:val="1"/>
      <w:marLeft w:val="0"/>
      <w:marRight w:val="0"/>
      <w:marTop w:val="0"/>
      <w:marBottom w:val="0"/>
      <w:divBdr>
        <w:top w:val="none" w:sz="0" w:space="0" w:color="auto"/>
        <w:left w:val="none" w:sz="0" w:space="0" w:color="auto"/>
        <w:bottom w:val="none" w:sz="0" w:space="0" w:color="auto"/>
        <w:right w:val="none" w:sz="0" w:space="0" w:color="auto"/>
      </w:divBdr>
    </w:div>
    <w:div w:id="1546678938">
      <w:bodyDiv w:val="1"/>
      <w:marLeft w:val="0"/>
      <w:marRight w:val="0"/>
      <w:marTop w:val="0"/>
      <w:marBottom w:val="0"/>
      <w:divBdr>
        <w:top w:val="none" w:sz="0" w:space="0" w:color="auto"/>
        <w:left w:val="none" w:sz="0" w:space="0" w:color="auto"/>
        <w:bottom w:val="none" w:sz="0" w:space="0" w:color="auto"/>
        <w:right w:val="none" w:sz="0" w:space="0" w:color="auto"/>
      </w:divBdr>
    </w:div>
    <w:div w:id="1575357584">
      <w:bodyDiv w:val="1"/>
      <w:marLeft w:val="0"/>
      <w:marRight w:val="0"/>
      <w:marTop w:val="0"/>
      <w:marBottom w:val="0"/>
      <w:divBdr>
        <w:top w:val="none" w:sz="0" w:space="0" w:color="auto"/>
        <w:left w:val="none" w:sz="0" w:space="0" w:color="auto"/>
        <w:bottom w:val="none" w:sz="0" w:space="0" w:color="auto"/>
        <w:right w:val="none" w:sz="0" w:space="0" w:color="auto"/>
      </w:divBdr>
    </w:div>
    <w:div w:id="1594899225">
      <w:bodyDiv w:val="1"/>
      <w:marLeft w:val="0"/>
      <w:marRight w:val="0"/>
      <w:marTop w:val="0"/>
      <w:marBottom w:val="0"/>
      <w:divBdr>
        <w:top w:val="none" w:sz="0" w:space="0" w:color="auto"/>
        <w:left w:val="none" w:sz="0" w:space="0" w:color="auto"/>
        <w:bottom w:val="none" w:sz="0" w:space="0" w:color="auto"/>
        <w:right w:val="none" w:sz="0" w:space="0" w:color="auto"/>
      </w:divBdr>
    </w:div>
    <w:div w:id="1651210891">
      <w:bodyDiv w:val="1"/>
      <w:marLeft w:val="0"/>
      <w:marRight w:val="0"/>
      <w:marTop w:val="0"/>
      <w:marBottom w:val="0"/>
      <w:divBdr>
        <w:top w:val="none" w:sz="0" w:space="0" w:color="auto"/>
        <w:left w:val="none" w:sz="0" w:space="0" w:color="auto"/>
        <w:bottom w:val="none" w:sz="0" w:space="0" w:color="auto"/>
        <w:right w:val="none" w:sz="0" w:space="0" w:color="auto"/>
      </w:divBdr>
    </w:div>
    <w:div w:id="1671715464">
      <w:bodyDiv w:val="1"/>
      <w:marLeft w:val="0"/>
      <w:marRight w:val="0"/>
      <w:marTop w:val="0"/>
      <w:marBottom w:val="0"/>
      <w:divBdr>
        <w:top w:val="none" w:sz="0" w:space="0" w:color="auto"/>
        <w:left w:val="none" w:sz="0" w:space="0" w:color="auto"/>
        <w:bottom w:val="none" w:sz="0" w:space="0" w:color="auto"/>
        <w:right w:val="none" w:sz="0" w:space="0" w:color="auto"/>
      </w:divBdr>
    </w:div>
    <w:div w:id="1685472059">
      <w:bodyDiv w:val="1"/>
      <w:marLeft w:val="0"/>
      <w:marRight w:val="0"/>
      <w:marTop w:val="0"/>
      <w:marBottom w:val="0"/>
      <w:divBdr>
        <w:top w:val="none" w:sz="0" w:space="0" w:color="auto"/>
        <w:left w:val="none" w:sz="0" w:space="0" w:color="auto"/>
        <w:bottom w:val="none" w:sz="0" w:space="0" w:color="auto"/>
        <w:right w:val="none" w:sz="0" w:space="0" w:color="auto"/>
      </w:divBdr>
    </w:div>
    <w:div w:id="1694068470">
      <w:bodyDiv w:val="1"/>
      <w:marLeft w:val="0"/>
      <w:marRight w:val="0"/>
      <w:marTop w:val="0"/>
      <w:marBottom w:val="0"/>
      <w:divBdr>
        <w:top w:val="none" w:sz="0" w:space="0" w:color="auto"/>
        <w:left w:val="none" w:sz="0" w:space="0" w:color="auto"/>
        <w:bottom w:val="none" w:sz="0" w:space="0" w:color="auto"/>
        <w:right w:val="none" w:sz="0" w:space="0" w:color="auto"/>
      </w:divBdr>
    </w:div>
    <w:div w:id="1766420671">
      <w:bodyDiv w:val="1"/>
      <w:marLeft w:val="0"/>
      <w:marRight w:val="0"/>
      <w:marTop w:val="0"/>
      <w:marBottom w:val="0"/>
      <w:divBdr>
        <w:top w:val="none" w:sz="0" w:space="0" w:color="auto"/>
        <w:left w:val="none" w:sz="0" w:space="0" w:color="auto"/>
        <w:bottom w:val="none" w:sz="0" w:space="0" w:color="auto"/>
        <w:right w:val="none" w:sz="0" w:space="0" w:color="auto"/>
      </w:divBdr>
    </w:div>
    <w:div w:id="1773353937">
      <w:bodyDiv w:val="1"/>
      <w:marLeft w:val="0"/>
      <w:marRight w:val="0"/>
      <w:marTop w:val="0"/>
      <w:marBottom w:val="0"/>
      <w:divBdr>
        <w:top w:val="none" w:sz="0" w:space="0" w:color="auto"/>
        <w:left w:val="none" w:sz="0" w:space="0" w:color="auto"/>
        <w:bottom w:val="none" w:sz="0" w:space="0" w:color="auto"/>
        <w:right w:val="none" w:sz="0" w:space="0" w:color="auto"/>
      </w:divBdr>
    </w:div>
    <w:div w:id="1779400246">
      <w:bodyDiv w:val="1"/>
      <w:marLeft w:val="0"/>
      <w:marRight w:val="0"/>
      <w:marTop w:val="0"/>
      <w:marBottom w:val="0"/>
      <w:divBdr>
        <w:top w:val="none" w:sz="0" w:space="0" w:color="auto"/>
        <w:left w:val="none" w:sz="0" w:space="0" w:color="auto"/>
        <w:bottom w:val="none" w:sz="0" w:space="0" w:color="auto"/>
        <w:right w:val="none" w:sz="0" w:space="0" w:color="auto"/>
      </w:divBdr>
    </w:div>
    <w:div w:id="1780946993">
      <w:bodyDiv w:val="1"/>
      <w:marLeft w:val="0"/>
      <w:marRight w:val="0"/>
      <w:marTop w:val="0"/>
      <w:marBottom w:val="0"/>
      <w:divBdr>
        <w:top w:val="none" w:sz="0" w:space="0" w:color="auto"/>
        <w:left w:val="none" w:sz="0" w:space="0" w:color="auto"/>
        <w:bottom w:val="none" w:sz="0" w:space="0" w:color="auto"/>
        <w:right w:val="none" w:sz="0" w:space="0" w:color="auto"/>
      </w:divBdr>
    </w:div>
    <w:div w:id="1798598768">
      <w:bodyDiv w:val="1"/>
      <w:marLeft w:val="0"/>
      <w:marRight w:val="0"/>
      <w:marTop w:val="0"/>
      <w:marBottom w:val="0"/>
      <w:divBdr>
        <w:top w:val="none" w:sz="0" w:space="0" w:color="auto"/>
        <w:left w:val="none" w:sz="0" w:space="0" w:color="auto"/>
        <w:bottom w:val="none" w:sz="0" w:space="0" w:color="auto"/>
        <w:right w:val="none" w:sz="0" w:space="0" w:color="auto"/>
      </w:divBdr>
    </w:div>
    <w:div w:id="1825968286">
      <w:bodyDiv w:val="1"/>
      <w:marLeft w:val="0"/>
      <w:marRight w:val="0"/>
      <w:marTop w:val="0"/>
      <w:marBottom w:val="0"/>
      <w:divBdr>
        <w:top w:val="none" w:sz="0" w:space="0" w:color="auto"/>
        <w:left w:val="none" w:sz="0" w:space="0" w:color="auto"/>
        <w:bottom w:val="none" w:sz="0" w:space="0" w:color="auto"/>
        <w:right w:val="none" w:sz="0" w:space="0" w:color="auto"/>
      </w:divBdr>
    </w:div>
    <w:div w:id="1864781352">
      <w:bodyDiv w:val="1"/>
      <w:marLeft w:val="0"/>
      <w:marRight w:val="0"/>
      <w:marTop w:val="0"/>
      <w:marBottom w:val="0"/>
      <w:divBdr>
        <w:top w:val="none" w:sz="0" w:space="0" w:color="auto"/>
        <w:left w:val="none" w:sz="0" w:space="0" w:color="auto"/>
        <w:bottom w:val="none" w:sz="0" w:space="0" w:color="auto"/>
        <w:right w:val="none" w:sz="0" w:space="0" w:color="auto"/>
      </w:divBdr>
    </w:div>
    <w:div w:id="1967465933">
      <w:bodyDiv w:val="1"/>
      <w:marLeft w:val="0"/>
      <w:marRight w:val="0"/>
      <w:marTop w:val="0"/>
      <w:marBottom w:val="0"/>
      <w:divBdr>
        <w:top w:val="none" w:sz="0" w:space="0" w:color="auto"/>
        <w:left w:val="none" w:sz="0" w:space="0" w:color="auto"/>
        <w:bottom w:val="none" w:sz="0" w:space="0" w:color="auto"/>
        <w:right w:val="none" w:sz="0" w:space="0" w:color="auto"/>
      </w:divBdr>
    </w:div>
    <w:div w:id="1990209383">
      <w:bodyDiv w:val="1"/>
      <w:marLeft w:val="0"/>
      <w:marRight w:val="0"/>
      <w:marTop w:val="0"/>
      <w:marBottom w:val="0"/>
      <w:divBdr>
        <w:top w:val="none" w:sz="0" w:space="0" w:color="auto"/>
        <w:left w:val="none" w:sz="0" w:space="0" w:color="auto"/>
        <w:bottom w:val="none" w:sz="0" w:space="0" w:color="auto"/>
        <w:right w:val="none" w:sz="0" w:space="0" w:color="auto"/>
      </w:divBdr>
    </w:div>
    <w:div w:id="1995060430">
      <w:bodyDiv w:val="1"/>
      <w:marLeft w:val="0"/>
      <w:marRight w:val="0"/>
      <w:marTop w:val="0"/>
      <w:marBottom w:val="0"/>
      <w:divBdr>
        <w:top w:val="none" w:sz="0" w:space="0" w:color="auto"/>
        <w:left w:val="none" w:sz="0" w:space="0" w:color="auto"/>
        <w:bottom w:val="none" w:sz="0" w:space="0" w:color="auto"/>
        <w:right w:val="none" w:sz="0" w:space="0" w:color="auto"/>
      </w:divBdr>
    </w:div>
    <w:div w:id="2015766841">
      <w:bodyDiv w:val="1"/>
      <w:marLeft w:val="0"/>
      <w:marRight w:val="0"/>
      <w:marTop w:val="0"/>
      <w:marBottom w:val="0"/>
      <w:divBdr>
        <w:top w:val="none" w:sz="0" w:space="0" w:color="auto"/>
        <w:left w:val="none" w:sz="0" w:space="0" w:color="auto"/>
        <w:bottom w:val="none" w:sz="0" w:space="0" w:color="auto"/>
        <w:right w:val="none" w:sz="0" w:space="0" w:color="auto"/>
      </w:divBdr>
    </w:div>
    <w:div w:id="2023240031">
      <w:bodyDiv w:val="1"/>
      <w:marLeft w:val="0"/>
      <w:marRight w:val="0"/>
      <w:marTop w:val="0"/>
      <w:marBottom w:val="0"/>
      <w:divBdr>
        <w:top w:val="none" w:sz="0" w:space="0" w:color="auto"/>
        <w:left w:val="none" w:sz="0" w:space="0" w:color="auto"/>
        <w:bottom w:val="none" w:sz="0" w:space="0" w:color="auto"/>
        <w:right w:val="none" w:sz="0" w:space="0" w:color="auto"/>
      </w:divBdr>
    </w:div>
    <w:div w:id="2030334915">
      <w:bodyDiv w:val="1"/>
      <w:marLeft w:val="0"/>
      <w:marRight w:val="0"/>
      <w:marTop w:val="0"/>
      <w:marBottom w:val="0"/>
      <w:divBdr>
        <w:top w:val="none" w:sz="0" w:space="0" w:color="auto"/>
        <w:left w:val="none" w:sz="0" w:space="0" w:color="auto"/>
        <w:bottom w:val="none" w:sz="0" w:space="0" w:color="auto"/>
        <w:right w:val="none" w:sz="0" w:space="0" w:color="auto"/>
      </w:divBdr>
    </w:div>
    <w:div w:id="2036610004">
      <w:bodyDiv w:val="1"/>
      <w:marLeft w:val="0"/>
      <w:marRight w:val="0"/>
      <w:marTop w:val="0"/>
      <w:marBottom w:val="0"/>
      <w:divBdr>
        <w:top w:val="none" w:sz="0" w:space="0" w:color="auto"/>
        <w:left w:val="none" w:sz="0" w:space="0" w:color="auto"/>
        <w:bottom w:val="none" w:sz="0" w:space="0" w:color="auto"/>
        <w:right w:val="none" w:sz="0" w:space="0" w:color="auto"/>
      </w:divBdr>
    </w:div>
    <w:div w:id="2049721295">
      <w:bodyDiv w:val="1"/>
      <w:marLeft w:val="0"/>
      <w:marRight w:val="0"/>
      <w:marTop w:val="0"/>
      <w:marBottom w:val="0"/>
      <w:divBdr>
        <w:top w:val="none" w:sz="0" w:space="0" w:color="auto"/>
        <w:left w:val="none" w:sz="0" w:space="0" w:color="auto"/>
        <w:bottom w:val="none" w:sz="0" w:space="0" w:color="auto"/>
        <w:right w:val="none" w:sz="0" w:space="0" w:color="auto"/>
      </w:divBdr>
    </w:div>
    <w:div w:id="2061705028">
      <w:bodyDiv w:val="1"/>
      <w:marLeft w:val="0"/>
      <w:marRight w:val="0"/>
      <w:marTop w:val="0"/>
      <w:marBottom w:val="0"/>
      <w:divBdr>
        <w:top w:val="none" w:sz="0" w:space="0" w:color="auto"/>
        <w:left w:val="none" w:sz="0" w:space="0" w:color="auto"/>
        <w:bottom w:val="none" w:sz="0" w:space="0" w:color="auto"/>
        <w:right w:val="none" w:sz="0" w:space="0" w:color="auto"/>
      </w:divBdr>
    </w:div>
    <w:div w:id="2070106616">
      <w:bodyDiv w:val="1"/>
      <w:marLeft w:val="0"/>
      <w:marRight w:val="0"/>
      <w:marTop w:val="0"/>
      <w:marBottom w:val="0"/>
      <w:divBdr>
        <w:top w:val="none" w:sz="0" w:space="0" w:color="auto"/>
        <w:left w:val="none" w:sz="0" w:space="0" w:color="auto"/>
        <w:bottom w:val="none" w:sz="0" w:space="0" w:color="auto"/>
        <w:right w:val="none" w:sz="0" w:space="0" w:color="auto"/>
      </w:divBdr>
    </w:div>
    <w:div w:id="2110351620">
      <w:bodyDiv w:val="1"/>
      <w:marLeft w:val="0"/>
      <w:marRight w:val="0"/>
      <w:marTop w:val="0"/>
      <w:marBottom w:val="0"/>
      <w:divBdr>
        <w:top w:val="none" w:sz="0" w:space="0" w:color="auto"/>
        <w:left w:val="none" w:sz="0" w:space="0" w:color="auto"/>
        <w:bottom w:val="none" w:sz="0" w:space="0" w:color="auto"/>
        <w:right w:val="none" w:sz="0" w:space="0" w:color="auto"/>
      </w:divBdr>
    </w:div>
    <w:div w:id="2143036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ndhara\Downloads\fire_forest_edi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ndhara\Downloads\fire_forest_edi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ndhara\Downloads\fire_forest_edi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ndhara\Downloads\fire_forest_edi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ndhara\Downloads\fire_forest_editabl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mandhara\Downloads\fire_forest_edi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surface3DChart>
        <c:wireframe val="0"/>
        <c:ser>
          <c:idx val="0"/>
          <c:order val="0"/>
          <c:tx>
            <c:strRef>
              <c:f>All!$A$49</c:f>
              <c:strCache>
                <c:ptCount val="1"/>
                <c:pt idx="0">
                  <c:v>Jan</c:v>
                </c:pt>
              </c:strCache>
            </c:strRef>
          </c:tx>
          <c:spPr>
            <a:solidFill>
              <a:schemeClr val="accent1"/>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All!$B$49:$U$49</c:f>
              <c:numCache>
                <c:formatCode>General</c:formatCode>
                <c:ptCount val="20"/>
                <c:pt idx="0">
                  <c:v>2</c:v>
                </c:pt>
                <c:pt idx="1">
                  <c:v>2</c:v>
                </c:pt>
                <c:pt idx="2">
                  <c:v>15</c:v>
                </c:pt>
                <c:pt idx="3">
                  <c:v>11</c:v>
                </c:pt>
                <c:pt idx="4">
                  <c:v>59</c:v>
                </c:pt>
                <c:pt idx="5">
                  <c:v>84</c:v>
                </c:pt>
                <c:pt idx="6">
                  <c:v>22</c:v>
                </c:pt>
                <c:pt idx="7">
                  <c:v>129</c:v>
                </c:pt>
                <c:pt idx="8">
                  <c:v>7</c:v>
                </c:pt>
                <c:pt idx="9">
                  <c:v>17</c:v>
                </c:pt>
                <c:pt idx="10">
                  <c:v>23</c:v>
                </c:pt>
                <c:pt idx="11">
                  <c:v>15</c:v>
                </c:pt>
                <c:pt idx="12">
                  <c:v>53</c:v>
                </c:pt>
                <c:pt idx="13">
                  <c:v>163</c:v>
                </c:pt>
                <c:pt idx="14">
                  <c:v>13</c:v>
                </c:pt>
                <c:pt idx="15">
                  <c:v>168</c:v>
                </c:pt>
                <c:pt idx="16">
                  <c:v>7</c:v>
                </c:pt>
                <c:pt idx="17">
                  <c:v>8</c:v>
                </c:pt>
                <c:pt idx="18">
                  <c:v>6</c:v>
                </c:pt>
                <c:pt idx="19">
                  <c:v>4</c:v>
                </c:pt>
              </c:numCache>
            </c:numRef>
          </c:val>
          <c:extLst>
            <c:ext xmlns:c16="http://schemas.microsoft.com/office/drawing/2014/chart" uri="{C3380CC4-5D6E-409C-BE32-E72D297353CC}">
              <c16:uniqueId val="{00000000-EDF1-F349-A1D7-E620C7CF1BB8}"/>
            </c:ext>
          </c:extLst>
        </c:ser>
        <c:ser>
          <c:idx val="1"/>
          <c:order val="1"/>
          <c:tx>
            <c:strRef>
              <c:f>All!$A$50</c:f>
              <c:strCache>
                <c:ptCount val="1"/>
                <c:pt idx="0">
                  <c:v>Feb</c:v>
                </c:pt>
              </c:strCache>
            </c:strRef>
          </c:tx>
          <c:spPr>
            <a:solidFill>
              <a:schemeClr val="accent2"/>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All!$B$50:$U$50</c:f>
              <c:numCache>
                <c:formatCode>General</c:formatCode>
                <c:ptCount val="20"/>
                <c:pt idx="0">
                  <c:v>5</c:v>
                </c:pt>
                <c:pt idx="1">
                  <c:v>4</c:v>
                </c:pt>
                <c:pt idx="2">
                  <c:v>8</c:v>
                </c:pt>
                <c:pt idx="3">
                  <c:v>9</c:v>
                </c:pt>
                <c:pt idx="4">
                  <c:v>110</c:v>
                </c:pt>
                <c:pt idx="5">
                  <c:v>21</c:v>
                </c:pt>
                <c:pt idx="6">
                  <c:v>99</c:v>
                </c:pt>
                <c:pt idx="7">
                  <c:v>42</c:v>
                </c:pt>
                <c:pt idx="8">
                  <c:v>43</c:v>
                </c:pt>
                <c:pt idx="9">
                  <c:v>112</c:v>
                </c:pt>
                <c:pt idx="10">
                  <c:v>34</c:v>
                </c:pt>
                <c:pt idx="11">
                  <c:v>1</c:v>
                </c:pt>
                <c:pt idx="12">
                  <c:v>6</c:v>
                </c:pt>
                <c:pt idx="13">
                  <c:v>687</c:v>
                </c:pt>
                <c:pt idx="14">
                  <c:v>15</c:v>
                </c:pt>
                <c:pt idx="15">
                  <c:v>69</c:v>
                </c:pt>
                <c:pt idx="16">
                  <c:v>21</c:v>
                </c:pt>
                <c:pt idx="17">
                  <c:v>62</c:v>
                </c:pt>
                <c:pt idx="18">
                  <c:v>26</c:v>
                </c:pt>
                <c:pt idx="19">
                  <c:v>6</c:v>
                </c:pt>
              </c:numCache>
            </c:numRef>
          </c:val>
          <c:extLst>
            <c:ext xmlns:c16="http://schemas.microsoft.com/office/drawing/2014/chart" uri="{C3380CC4-5D6E-409C-BE32-E72D297353CC}">
              <c16:uniqueId val="{00000001-EDF1-F349-A1D7-E620C7CF1BB8}"/>
            </c:ext>
          </c:extLst>
        </c:ser>
        <c:ser>
          <c:idx val="2"/>
          <c:order val="2"/>
          <c:tx>
            <c:strRef>
              <c:f>All!$A$51</c:f>
              <c:strCache>
                <c:ptCount val="1"/>
                <c:pt idx="0">
                  <c:v>Mar</c:v>
                </c:pt>
              </c:strCache>
            </c:strRef>
          </c:tx>
          <c:spPr>
            <a:solidFill>
              <a:schemeClr val="accent3"/>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All!$B$51:$U$51</c:f>
              <c:numCache>
                <c:formatCode>General</c:formatCode>
                <c:ptCount val="20"/>
                <c:pt idx="0">
                  <c:v>4</c:v>
                </c:pt>
                <c:pt idx="1">
                  <c:v>4</c:v>
                </c:pt>
                <c:pt idx="2">
                  <c:v>38</c:v>
                </c:pt>
                <c:pt idx="3">
                  <c:v>53</c:v>
                </c:pt>
                <c:pt idx="4">
                  <c:v>176</c:v>
                </c:pt>
                <c:pt idx="5">
                  <c:v>110</c:v>
                </c:pt>
                <c:pt idx="6">
                  <c:v>97</c:v>
                </c:pt>
                <c:pt idx="7">
                  <c:v>3</c:v>
                </c:pt>
                <c:pt idx="8">
                  <c:v>28</c:v>
                </c:pt>
                <c:pt idx="9">
                  <c:v>95</c:v>
                </c:pt>
                <c:pt idx="10">
                  <c:v>25</c:v>
                </c:pt>
                <c:pt idx="11">
                  <c:v>42</c:v>
                </c:pt>
                <c:pt idx="12">
                  <c:v>87</c:v>
                </c:pt>
                <c:pt idx="13">
                  <c:v>193</c:v>
                </c:pt>
                <c:pt idx="14">
                  <c:v>27</c:v>
                </c:pt>
                <c:pt idx="15">
                  <c:v>113</c:v>
                </c:pt>
                <c:pt idx="16">
                  <c:v>2</c:v>
                </c:pt>
                <c:pt idx="17">
                  <c:v>15</c:v>
                </c:pt>
                <c:pt idx="18">
                  <c:v>51</c:v>
                </c:pt>
                <c:pt idx="19">
                  <c:v>15</c:v>
                </c:pt>
              </c:numCache>
            </c:numRef>
          </c:val>
          <c:extLst>
            <c:ext xmlns:c16="http://schemas.microsoft.com/office/drawing/2014/chart" uri="{C3380CC4-5D6E-409C-BE32-E72D297353CC}">
              <c16:uniqueId val="{00000002-EDF1-F349-A1D7-E620C7CF1BB8}"/>
            </c:ext>
          </c:extLst>
        </c:ser>
        <c:ser>
          <c:idx val="3"/>
          <c:order val="3"/>
          <c:tx>
            <c:strRef>
              <c:f>All!$A$52</c:f>
              <c:strCache>
                <c:ptCount val="1"/>
                <c:pt idx="0">
                  <c:v>Apr</c:v>
                </c:pt>
              </c:strCache>
            </c:strRef>
          </c:tx>
          <c:spPr>
            <a:solidFill>
              <a:schemeClr val="accent4"/>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All!$B$52:$U$52</c:f>
              <c:numCache>
                <c:formatCode>General</c:formatCode>
                <c:ptCount val="20"/>
                <c:pt idx="0">
                  <c:v>1</c:v>
                </c:pt>
                <c:pt idx="1">
                  <c:v>3</c:v>
                </c:pt>
                <c:pt idx="2">
                  <c:v>20</c:v>
                </c:pt>
                <c:pt idx="3">
                  <c:v>32</c:v>
                </c:pt>
                <c:pt idx="4">
                  <c:v>29</c:v>
                </c:pt>
                <c:pt idx="5">
                  <c:v>14</c:v>
                </c:pt>
                <c:pt idx="6">
                  <c:v>24</c:v>
                </c:pt>
                <c:pt idx="7">
                  <c:v>7</c:v>
                </c:pt>
                <c:pt idx="8">
                  <c:v>43</c:v>
                </c:pt>
                <c:pt idx="9">
                  <c:v>13</c:v>
                </c:pt>
                <c:pt idx="10">
                  <c:v>83</c:v>
                </c:pt>
                <c:pt idx="11">
                  <c:v>17</c:v>
                </c:pt>
                <c:pt idx="12">
                  <c:v>18</c:v>
                </c:pt>
                <c:pt idx="13">
                  <c:v>19</c:v>
                </c:pt>
                <c:pt idx="14">
                  <c:v>11</c:v>
                </c:pt>
                <c:pt idx="15">
                  <c:v>70</c:v>
                </c:pt>
                <c:pt idx="16">
                  <c:v>1</c:v>
                </c:pt>
                <c:pt idx="17">
                  <c:v>5</c:v>
                </c:pt>
                <c:pt idx="18">
                  <c:v>16</c:v>
                </c:pt>
                <c:pt idx="19">
                  <c:v>8</c:v>
                </c:pt>
              </c:numCache>
            </c:numRef>
          </c:val>
          <c:extLst>
            <c:ext xmlns:c16="http://schemas.microsoft.com/office/drawing/2014/chart" uri="{C3380CC4-5D6E-409C-BE32-E72D297353CC}">
              <c16:uniqueId val="{00000003-EDF1-F349-A1D7-E620C7CF1BB8}"/>
            </c:ext>
          </c:extLst>
        </c:ser>
        <c:ser>
          <c:idx val="4"/>
          <c:order val="4"/>
          <c:tx>
            <c:strRef>
              <c:f>All!$A$53</c:f>
              <c:strCache>
                <c:ptCount val="1"/>
                <c:pt idx="0">
                  <c:v>May</c:v>
                </c:pt>
              </c:strCache>
            </c:strRef>
          </c:tx>
          <c:spPr>
            <a:solidFill>
              <a:schemeClr val="accent5"/>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All!$B$53:$U$53</c:f>
              <c:numCache>
                <c:formatCode>General</c:formatCode>
                <c:ptCount val="20"/>
                <c:pt idx="0">
                  <c:v>5</c:v>
                </c:pt>
                <c:pt idx="1">
                  <c:v>7</c:v>
                </c:pt>
                <c:pt idx="2">
                  <c:v>78</c:v>
                </c:pt>
                <c:pt idx="3">
                  <c:v>43</c:v>
                </c:pt>
                <c:pt idx="4">
                  <c:v>22</c:v>
                </c:pt>
                <c:pt idx="5">
                  <c:v>25</c:v>
                </c:pt>
                <c:pt idx="6">
                  <c:v>27</c:v>
                </c:pt>
                <c:pt idx="7">
                  <c:v>278</c:v>
                </c:pt>
                <c:pt idx="8">
                  <c:v>81</c:v>
                </c:pt>
                <c:pt idx="9">
                  <c:v>14</c:v>
                </c:pt>
                <c:pt idx="10">
                  <c:v>29</c:v>
                </c:pt>
                <c:pt idx="11">
                  <c:v>108</c:v>
                </c:pt>
                <c:pt idx="12">
                  <c:v>8</c:v>
                </c:pt>
                <c:pt idx="13">
                  <c:v>49</c:v>
                </c:pt>
                <c:pt idx="14">
                  <c:v>16</c:v>
                </c:pt>
                <c:pt idx="15">
                  <c:v>9</c:v>
                </c:pt>
                <c:pt idx="16">
                  <c:v>3</c:v>
                </c:pt>
                <c:pt idx="17">
                  <c:v>2</c:v>
                </c:pt>
                <c:pt idx="18">
                  <c:v>36</c:v>
                </c:pt>
                <c:pt idx="19">
                  <c:v>2</c:v>
                </c:pt>
              </c:numCache>
            </c:numRef>
          </c:val>
          <c:extLst>
            <c:ext xmlns:c16="http://schemas.microsoft.com/office/drawing/2014/chart" uri="{C3380CC4-5D6E-409C-BE32-E72D297353CC}">
              <c16:uniqueId val="{00000004-EDF1-F349-A1D7-E620C7CF1BB8}"/>
            </c:ext>
          </c:extLst>
        </c:ser>
        <c:ser>
          <c:idx val="5"/>
          <c:order val="5"/>
          <c:tx>
            <c:strRef>
              <c:f>All!$A$54</c:f>
              <c:strCache>
                <c:ptCount val="1"/>
                <c:pt idx="0">
                  <c:v>Jun</c:v>
                </c:pt>
              </c:strCache>
            </c:strRef>
          </c:tx>
          <c:spPr>
            <a:solidFill>
              <a:schemeClr val="accent6"/>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All!$B$54:$U$54</c:f>
              <c:numCache>
                <c:formatCode>General</c:formatCode>
                <c:ptCount val="20"/>
                <c:pt idx="0">
                  <c:v>0</c:v>
                </c:pt>
                <c:pt idx="1">
                  <c:v>7</c:v>
                </c:pt>
                <c:pt idx="2">
                  <c:v>397</c:v>
                </c:pt>
                <c:pt idx="3">
                  <c:v>289</c:v>
                </c:pt>
                <c:pt idx="4">
                  <c:v>51</c:v>
                </c:pt>
                <c:pt idx="5">
                  <c:v>32</c:v>
                </c:pt>
                <c:pt idx="6">
                  <c:v>16</c:v>
                </c:pt>
                <c:pt idx="7">
                  <c:v>102</c:v>
                </c:pt>
                <c:pt idx="8">
                  <c:v>269</c:v>
                </c:pt>
                <c:pt idx="9">
                  <c:v>26</c:v>
                </c:pt>
                <c:pt idx="10">
                  <c:v>186</c:v>
                </c:pt>
                <c:pt idx="11">
                  <c:v>230</c:v>
                </c:pt>
                <c:pt idx="12">
                  <c:v>145</c:v>
                </c:pt>
                <c:pt idx="13">
                  <c:v>92</c:v>
                </c:pt>
                <c:pt idx="14">
                  <c:v>26</c:v>
                </c:pt>
                <c:pt idx="15">
                  <c:v>8</c:v>
                </c:pt>
                <c:pt idx="16">
                  <c:v>2</c:v>
                </c:pt>
                <c:pt idx="17">
                  <c:v>10</c:v>
                </c:pt>
                <c:pt idx="18">
                  <c:v>34</c:v>
                </c:pt>
                <c:pt idx="19">
                  <c:v>2</c:v>
                </c:pt>
              </c:numCache>
            </c:numRef>
          </c:val>
          <c:extLst>
            <c:ext xmlns:c16="http://schemas.microsoft.com/office/drawing/2014/chart" uri="{C3380CC4-5D6E-409C-BE32-E72D297353CC}">
              <c16:uniqueId val="{00000005-EDF1-F349-A1D7-E620C7CF1BB8}"/>
            </c:ext>
          </c:extLst>
        </c:ser>
        <c:ser>
          <c:idx val="6"/>
          <c:order val="6"/>
          <c:tx>
            <c:strRef>
              <c:f>All!$A$55</c:f>
              <c:strCache>
                <c:ptCount val="1"/>
                <c:pt idx="0">
                  <c:v>Jul</c:v>
                </c:pt>
              </c:strCache>
            </c:strRef>
          </c:tx>
          <c:spPr>
            <a:solidFill>
              <a:schemeClr val="accent1">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All!$B$55:$U$55</c:f>
              <c:numCache>
                <c:formatCode>General</c:formatCode>
                <c:ptCount val="20"/>
                <c:pt idx="0">
                  <c:v>65</c:v>
                </c:pt>
                <c:pt idx="1">
                  <c:v>546</c:v>
                </c:pt>
                <c:pt idx="2">
                  <c:v>254</c:v>
                </c:pt>
                <c:pt idx="3">
                  <c:v>49</c:v>
                </c:pt>
                <c:pt idx="4">
                  <c:v>216</c:v>
                </c:pt>
                <c:pt idx="5">
                  <c:v>793</c:v>
                </c:pt>
                <c:pt idx="6">
                  <c:v>31</c:v>
                </c:pt>
                <c:pt idx="7">
                  <c:v>32</c:v>
                </c:pt>
                <c:pt idx="8">
                  <c:v>1085</c:v>
                </c:pt>
                <c:pt idx="9">
                  <c:v>10</c:v>
                </c:pt>
                <c:pt idx="10">
                  <c:v>588</c:v>
                </c:pt>
                <c:pt idx="11">
                  <c:v>214</c:v>
                </c:pt>
                <c:pt idx="12">
                  <c:v>60</c:v>
                </c:pt>
                <c:pt idx="13">
                  <c:v>1437</c:v>
                </c:pt>
                <c:pt idx="14">
                  <c:v>710</c:v>
                </c:pt>
                <c:pt idx="15">
                  <c:v>22</c:v>
                </c:pt>
                <c:pt idx="16">
                  <c:v>127</c:v>
                </c:pt>
                <c:pt idx="17">
                  <c:v>262</c:v>
                </c:pt>
                <c:pt idx="18">
                  <c:v>193</c:v>
                </c:pt>
                <c:pt idx="19">
                  <c:v>3</c:v>
                </c:pt>
              </c:numCache>
            </c:numRef>
          </c:val>
          <c:extLst>
            <c:ext xmlns:c16="http://schemas.microsoft.com/office/drawing/2014/chart" uri="{C3380CC4-5D6E-409C-BE32-E72D297353CC}">
              <c16:uniqueId val="{00000006-EDF1-F349-A1D7-E620C7CF1BB8}"/>
            </c:ext>
          </c:extLst>
        </c:ser>
        <c:ser>
          <c:idx val="7"/>
          <c:order val="7"/>
          <c:tx>
            <c:strRef>
              <c:f>All!$A$56</c:f>
              <c:strCache>
                <c:ptCount val="1"/>
                <c:pt idx="0">
                  <c:v>Aug</c:v>
                </c:pt>
              </c:strCache>
            </c:strRef>
          </c:tx>
          <c:spPr>
            <a:solidFill>
              <a:schemeClr val="accent2">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All!$B$56:$U$56</c:f>
              <c:numCache>
                <c:formatCode>General</c:formatCode>
                <c:ptCount val="20"/>
                <c:pt idx="0">
                  <c:v>1002</c:v>
                </c:pt>
                <c:pt idx="1">
                  <c:v>10512</c:v>
                </c:pt>
                <c:pt idx="2">
                  <c:v>2926</c:v>
                </c:pt>
                <c:pt idx="3">
                  <c:v>7194</c:v>
                </c:pt>
                <c:pt idx="4">
                  <c:v>2129</c:v>
                </c:pt>
                <c:pt idx="5">
                  <c:v>6070</c:v>
                </c:pt>
                <c:pt idx="6">
                  <c:v>1135</c:v>
                </c:pt>
                <c:pt idx="7">
                  <c:v>474</c:v>
                </c:pt>
                <c:pt idx="8">
                  <c:v>5098</c:v>
                </c:pt>
                <c:pt idx="9">
                  <c:v>320</c:v>
                </c:pt>
                <c:pt idx="10">
                  <c:v>2864</c:v>
                </c:pt>
                <c:pt idx="11">
                  <c:v>1995</c:v>
                </c:pt>
                <c:pt idx="12">
                  <c:v>1001</c:v>
                </c:pt>
                <c:pt idx="13">
                  <c:v>1309</c:v>
                </c:pt>
                <c:pt idx="14">
                  <c:v>4782</c:v>
                </c:pt>
                <c:pt idx="15">
                  <c:v>759</c:v>
                </c:pt>
                <c:pt idx="16">
                  <c:v>126</c:v>
                </c:pt>
                <c:pt idx="17">
                  <c:v>2265</c:v>
                </c:pt>
                <c:pt idx="18">
                  <c:v>2041</c:v>
                </c:pt>
                <c:pt idx="19">
                  <c:v>151</c:v>
                </c:pt>
              </c:numCache>
            </c:numRef>
          </c:val>
          <c:extLst>
            <c:ext xmlns:c16="http://schemas.microsoft.com/office/drawing/2014/chart" uri="{C3380CC4-5D6E-409C-BE32-E72D297353CC}">
              <c16:uniqueId val="{00000007-EDF1-F349-A1D7-E620C7CF1BB8}"/>
            </c:ext>
          </c:extLst>
        </c:ser>
        <c:ser>
          <c:idx val="8"/>
          <c:order val="8"/>
          <c:tx>
            <c:strRef>
              <c:f>All!$A$57</c:f>
              <c:strCache>
                <c:ptCount val="1"/>
                <c:pt idx="0">
                  <c:v>Sep</c:v>
                </c:pt>
              </c:strCache>
            </c:strRef>
          </c:tx>
          <c:spPr>
            <a:solidFill>
              <a:schemeClr val="accent3">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All!$B$57:$U$57</c:f>
              <c:numCache>
                <c:formatCode>General</c:formatCode>
                <c:ptCount val="20"/>
                <c:pt idx="0">
                  <c:v>329</c:v>
                </c:pt>
                <c:pt idx="1">
                  <c:v>5566</c:v>
                </c:pt>
                <c:pt idx="2">
                  <c:v>3200</c:v>
                </c:pt>
                <c:pt idx="3">
                  <c:v>3155</c:v>
                </c:pt>
                <c:pt idx="4">
                  <c:v>2394</c:v>
                </c:pt>
                <c:pt idx="5">
                  <c:v>6491</c:v>
                </c:pt>
                <c:pt idx="6">
                  <c:v>1501</c:v>
                </c:pt>
                <c:pt idx="7">
                  <c:v>1305</c:v>
                </c:pt>
                <c:pt idx="8">
                  <c:v>8938</c:v>
                </c:pt>
                <c:pt idx="9">
                  <c:v>293</c:v>
                </c:pt>
                <c:pt idx="10">
                  <c:v>1585</c:v>
                </c:pt>
                <c:pt idx="11">
                  <c:v>2980</c:v>
                </c:pt>
                <c:pt idx="12">
                  <c:v>1354</c:v>
                </c:pt>
                <c:pt idx="13">
                  <c:v>3981</c:v>
                </c:pt>
                <c:pt idx="14">
                  <c:v>10090</c:v>
                </c:pt>
                <c:pt idx="15">
                  <c:v>472</c:v>
                </c:pt>
                <c:pt idx="16">
                  <c:v>327</c:v>
                </c:pt>
                <c:pt idx="17">
                  <c:v>1210</c:v>
                </c:pt>
                <c:pt idx="18">
                  <c:v>9670</c:v>
                </c:pt>
                <c:pt idx="19">
                  <c:v>214</c:v>
                </c:pt>
              </c:numCache>
            </c:numRef>
          </c:val>
          <c:extLst>
            <c:ext xmlns:c16="http://schemas.microsoft.com/office/drawing/2014/chart" uri="{C3380CC4-5D6E-409C-BE32-E72D297353CC}">
              <c16:uniqueId val="{00000008-EDF1-F349-A1D7-E620C7CF1BB8}"/>
            </c:ext>
          </c:extLst>
        </c:ser>
        <c:ser>
          <c:idx val="9"/>
          <c:order val="9"/>
          <c:tx>
            <c:strRef>
              <c:f>All!$A$58</c:f>
              <c:strCache>
                <c:ptCount val="1"/>
                <c:pt idx="0">
                  <c:v>Oct</c:v>
                </c:pt>
              </c:strCache>
            </c:strRef>
          </c:tx>
          <c:spPr>
            <a:solidFill>
              <a:schemeClr val="accent4">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All!$B$58:$U$58</c:f>
              <c:numCache>
                <c:formatCode>General</c:formatCode>
                <c:ptCount val="20"/>
                <c:pt idx="0">
                  <c:v>9</c:v>
                </c:pt>
                <c:pt idx="1">
                  <c:v>4121</c:v>
                </c:pt>
                <c:pt idx="2">
                  <c:v>393</c:v>
                </c:pt>
                <c:pt idx="3">
                  <c:v>3600</c:v>
                </c:pt>
                <c:pt idx="4">
                  <c:v>630</c:v>
                </c:pt>
                <c:pt idx="5">
                  <c:v>8709</c:v>
                </c:pt>
                <c:pt idx="6">
                  <c:v>764</c:v>
                </c:pt>
                <c:pt idx="7">
                  <c:v>264</c:v>
                </c:pt>
                <c:pt idx="8">
                  <c:v>499</c:v>
                </c:pt>
                <c:pt idx="9">
                  <c:v>264</c:v>
                </c:pt>
                <c:pt idx="10">
                  <c:v>334</c:v>
                </c:pt>
                <c:pt idx="11">
                  <c:v>942</c:v>
                </c:pt>
                <c:pt idx="12">
                  <c:v>1290</c:v>
                </c:pt>
                <c:pt idx="13">
                  <c:v>3072</c:v>
                </c:pt>
                <c:pt idx="14">
                  <c:v>8128</c:v>
                </c:pt>
                <c:pt idx="15">
                  <c:v>62</c:v>
                </c:pt>
                <c:pt idx="16">
                  <c:v>79</c:v>
                </c:pt>
                <c:pt idx="17">
                  <c:v>414</c:v>
                </c:pt>
                <c:pt idx="18">
                  <c:v>638</c:v>
                </c:pt>
                <c:pt idx="19">
                  <c:v>0</c:v>
                </c:pt>
              </c:numCache>
            </c:numRef>
          </c:val>
          <c:extLst>
            <c:ext xmlns:c16="http://schemas.microsoft.com/office/drawing/2014/chart" uri="{C3380CC4-5D6E-409C-BE32-E72D297353CC}">
              <c16:uniqueId val="{00000009-EDF1-F349-A1D7-E620C7CF1BB8}"/>
            </c:ext>
          </c:extLst>
        </c:ser>
        <c:ser>
          <c:idx val="10"/>
          <c:order val="10"/>
          <c:tx>
            <c:strRef>
              <c:f>All!$A$59</c:f>
              <c:strCache>
                <c:ptCount val="1"/>
                <c:pt idx="0">
                  <c:v>Nov</c:v>
                </c:pt>
              </c:strCache>
            </c:strRef>
          </c:tx>
          <c:spPr>
            <a:solidFill>
              <a:schemeClr val="accent5">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All!$B$59:$U$59</c:f>
              <c:numCache>
                <c:formatCode>General</c:formatCode>
                <c:ptCount val="20"/>
                <c:pt idx="0">
                  <c:v>2</c:v>
                </c:pt>
                <c:pt idx="1">
                  <c:v>85</c:v>
                </c:pt>
                <c:pt idx="2">
                  <c:v>28</c:v>
                </c:pt>
                <c:pt idx="3">
                  <c:v>127</c:v>
                </c:pt>
                <c:pt idx="4">
                  <c:v>27</c:v>
                </c:pt>
                <c:pt idx="5">
                  <c:v>1557</c:v>
                </c:pt>
                <c:pt idx="6">
                  <c:v>36</c:v>
                </c:pt>
                <c:pt idx="7">
                  <c:v>43</c:v>
                </c:pt>
                <c:pt idx="8">
                  <c:v>115</c:v>
                </c:pt>
                <c:pt idx="9">
                  <c:v>9</c:v>
                </c:pt>
                <c:pt idx="10">
                  <c:v>25</c:v>
                </c:pt>
                <c:pt idx="11">
                  <c:v>23</c:v>
                </c:pt>
                <c:pt idx="12">
                  <c:v>20</c:v>
                </c:pt>
                <c:pt idx="13">
                  <c:v>1183</c:v>
                </c:pt>
                <c:pt idx="14">
                  <c:v>512</c:v>
                </c:pt>
                <c:pt idx="15">
                  <c:v>21</c:v>
                </c:pt>
                <c:pt idx="16">
                  <c:v>2</c:v>
                </c:pt>
                <c:pt idx="17">
                  <c:v>13</c:v>
                </c:pt>
                <c:pt idx="18">
                  <c:v>738</c:v>
                </c:pt>
                <c:pt idx="19">
                  <c:v>0</c:v>
                </c:pt>
              </c:numCache>
            </c:numRef>
          </c:val>
          <c:extLst>
            <c:ext xmlns:c16="http://schemas.microsoft.com/office/drawing/2014/chart" uri="{C3380CC4-5D6E-409C-BE32-E72D297353CC}">
              <c16:uniqueId val="{0000000A-EDF1-F349-A1D7-E620C7CF1BB8}"/>
            </c:ext>
          </c:extLst>
        </c:ser>
        <c:ser>
          <c:idx val="11"/>
          <c:order val="11"/>
          <c:tx>
            <c:strRef>
              <c:f>All!$A$60</c:f>
              <c:strCache>
                <c:ptCount val="1"/>
                <c:pt idx="0">
                  <c:v>Des</c:v>
                </c:pt>
              </c:strCache>
            </c:strRef>
          </c:tx>
          <c:spPr>
            <a:solidFill>
              <a:schemeClr val="accent6">
                <a:lumMod val="60000"/>
              </a:schemeClr>
            </a:solidFill>
            <a:ln/>
            <a:effectLst/>
            <a:sp3d/>
          </c:spPr>
          <c:cat>
            <c:numRef>
              <c:f>All!$B$48:$U$48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All!$B$60:$U$60</c:f>
              <c:numCache>
                <c:formatCode>General</c:formatCode>
                <c:ptCount val="20"/>
                <c:pt idx="0">
                  <c:v>1</c:v>
                </c:pt>
                <c:pt idx="1">
                  <c:v>34</c:v>
                </c:pt>
                <c:pt idx="2">
                  <c:v>0</c:v>
                </c:pt>
                <c:pt idx="3">
                  <c:v>5</c:v>
                </c:pt>
                <c:pt idx="4">
                  <c:v>9</c:v>
                </c:pt>
                <c:pt idx="5">
                  <c:v>42</c:v>
                </c:pt>
                <c:pt idx="6">
                  <c:v>9</c:v>
                </c:pt>
                <c:pt idx="7">
                  <c:v>1</c:v>
                </c:pt>
                <c:pt idx="8">
                  <c:v>11</c:v>
                </c:pt>
                <c:pt idx="9">
                  <c:v>9</c:v>
                </c:pt>
                <c:pt idx="10">
                  <c:v>2</c:v>
                </c:pt>
                <c:pt idx="11">
                  <c:v>21</c:v>
                </c:pt>
                <c:pt idx="12">
                  <c:v>8</c:v>
                </c:pt>
                <c:pt idx="13">
                  <c:v>8</c:v>
                </c:pt>
                <c:pt idx="14">
                  <c:v>76</c:v>
                </c:pt>
                <c:pt idx="15">
                  <c:v>2</c:v>
                </c:pt>
                <c:pt idx="16">
                  <c:v>3</c:v>
                </c:pt>
                <c:pt idx="17">
                  <c:v>15</c:v>
                </c:pt>
                <c:pt idx="18">
                  <c:v>10</c:v>
                </c:pt>
                <c:pt idx="19">
                  <c:v>0</c:v>
                </c:pt>
              </c:numCache>
            </c:numRef>
          </c:val>
          <c:extLst>
            <c:ext xmlns:c16="http://schemas.microsoft.com/office/drawing/2014/chart" uri="{C3380CC4-5D6E-409C-BE32-E72D297353CC}">
              <c16:uniqueId val="{0000000B-EDF1-F349-A1D7-E620C7CF1BB8}"/>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150480768"/>
        <c:axId val="150482304"/>
        <c:axId val="151046784"/>
      </c:surface3DChart>
      <c:catAx>
        <c:axId val="150480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82304"/>
        <c:crosses val="autoZero"/>
        <c:auto val="1"/>
        <c:lblAlgn val="ctr"/>
        <c:lblOffset val="100"/>
        <c:noMultiLvlLbl val="0"/>
      </c:catAx>
      <c:valAx>
        <c:axId val="150482304"/>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400" b="0"/>
                  <a:t>Fire Count</a:t>
                </a:r>
              </a:p>
            </c:rich>
          </c:tx>
          <c:layout>
            <c:manualLayout>
              <c:xMode val="edge"/>
              <c:yMode val="edge"/>
              <c:x val="3.3661679208059084E-2"/>
              <c:y val="0.2301798495259412"/>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80768"/>
        <c:crosses val="autoZero"/>
        <c:crossBetween val="midCat"/>
      </c:valAx>
      <c:serAx>
        <c:axId val="15104678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82304"/>
        <c:crosses val="autoZero"/>
      </c:serAx>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91982746760969"/>
          <c:y val="8.7057737185836842E-2"/>
          <c:w val="0.76600658730608318"/>
          <c:h val="0.65885029296711051"/>
        </c:manualLayout>
      </c:layout>
      <c:surface3DChart>
        <c:wireframe val="0"/>
        <c:ser>
          <c:idx val="0"/>
          <c:order val="0"/>
          <c:tx>
            <c:strRef>
              <c:f>All!$A$34</c:f>
              <c:strCache>
                <c:ptCount val="1"/>
                <c:pt idx="0">
                  <c:v>Jan</c:v>
                </c:pt>
              </c:strCache>
            </c:strRef>
          </c:tx>
          <c:spPr>
            <a:solidFill>
              <a:schemeClr val="accent1"/>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All!$B$34:$U$34</c:f>
              <c:numCache>
                <c:formatCode>General</c:formatCode>
                <c:ptCount val="20"/>
                <c:pt idx="0">
                  <c:v>2</c:v>
                </c:pt>
                <c:pt idx="1">
                  <c:v>2</c:v>
                </c:pt>
                <c:pt idx="2">
                  <c:v>9</c:v>
                </c:pt>
                <c:pt idx="3">
                  <c:v>7</c:v>
                </c:pt>
                <c:pt idx="4">
                  <c:v>20</c:v>
                </c:pt>
                <c:pt idx="5">
                  <c:v>62</c:v>
                </c:pt>
                <c:pt idx="6">
                  <c:v>14</c:v>
                </c:pt>
                <c:pt idx="7">
                  <c:v>60</c:v>
                </c:pt>
                <c:pt idx="8">
                  <c:v>6</c:v>
                </c:pt>
                <c:pt idx="9">
                  <c:v>10</c:v>
                </c:pt>
                <c:pt idx="10">
                  <c:v>18</c:v>
                </c:pt>
                <c:pt idx="11">
                  <c:v>9</c:v>
                </c:pt>
                <c:pt idx="12">
                  <c:v>47</c:v>
                </c:pt>
                <c:pt idx="13">
                  <c:v>73</c:v>
                </c:pt>
                <c:pt idx="14">
                  <c:v>12</c:v>
                </c:pt>
                <c:pt idx="15">
                  <c:v>163</c:v>
                </c:pt>
                <c:pt idx="16">
                  <c:v>1</c:v>
                </c:pt>
                <c:pt idx="17">
                  <c:v>8</c:v>
                </c:pt>
                <c:pt idx="18">
                  <c:v>5</c:v>
                </c:pt>
                <c:pt idx="19">
                  <c:v>4</c:v>
                </c:pt>
              </c:numCache>
            </c:numRef>
          </c:val>
          <c:extLst>
            <c:ext xmlns:c16="http://schemas.microsoft.com/office/drawing/2014/chart" uri="{C3380CC4-5D6E-409C-BE32-E72D297353CC}">
              <c16:uniqueId val="{00000000-4041-0B44-AC96-641719722FD9}"/>
            </c:ext>
          </c:extLst>
        </c:ser>
        <c:ser>
          <c:idx val="1"/>
          <c:order val="1"/>
          <c:tx>
            <c:strRef>
              <c:f>All!$A$35</c:f>
              <c:strCache>
                <c:ptCount val="1"/>
                <c:pt idx="0">
                  <c:v>Feb</c:v>
                </c:pt>
              </c:strCache>
            </c:strRef>
          </c:tx>
          <c:spPr>
            <a:solidFill>
              <a:schemeClr val="accent2"/>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All!$B$35:$U$35</c:f>
              <c:numCache>
                <c:formatCode>General</c:formatCode>
                <c:ptCount val="20"/>
                <c:pt idx="0">
                  <c:v>5</c:v>
                </c:pt>
                <c:pt idx="1">
                  <c:v>4</c:v>
                </c:pt>
                <c:pt idx="2">
                  <c:v>4</c:v>
                </c:pt>
                <c:pt idx="3">
                  <c:v>7</c:v>
                </c:pt>
                <c:pt idx="4">
                  <c:v>31</c:v>
                </c:pt>
                <c:pt idx="5">
                  <c:v>20</c:v>
                </c:pt>
                <c:pt idx="6">
                  <c:v>27</c:v>
                </c:pt>
                <c:pt idx="7">
                  <c:v>16</c:v>
                </c:pt>
                <c:pt idx="8">
                  <c:v>27</c:v>
                </c:pt>
                <c:pt idx="9">
                  <c:v>90</c:v>
                </c:pt>
                <c:pt idx="10">
                  <c:v>24</c:v>
                </c:pt>
                <c:pt idx="11">
                  <c:v>1</c:v>
                </c:pt>
                <c:pt idx="12">
                  <c:v>6</c:v>
                </c:pt>
                <c:pt idx="13">
                  <c:v>408</c:v>
                </c:pt>
                <c:pt idx="14">
                  <c:v>10</c:v>
                </c:pt>
                <c:pt idx="15">
                  <c:v>67</c:v>
                </c:pt>
                <c:pt idx="16">
                  <c:v>8</c:v>
                </c:pt>
                <c:pt idx="17">
                  <c:v>36</c:v>
                </c:pt>
                <c:pt idx="18">
                  <c:v>21</c:v>
                </c:pt>
                <c:pt idx="19">
                  <c:v>4</c:v>
                </c:pt>
              </c:numCache>
            </c:numRef>
          </c:val>
          <c:extLst>
            <c:ext xmlns:c16="http://schemas.microsoft.com/office/drawing/2014/chart" uri="{C3380CC4-5D6E-409C-BE32-E72D297353CC}">
              <c16:uniqueId val="{00000001-4041-0B44-AC96-641719722FD9}"/>
            </c:ext>
          </c:extLst>
        </c:ser>
        <c:ser>
          <c:idx val="2"/>
          <c:order val="2"/>
          <c:tx>
            <c:strRef>
              <c:f>All!$A$36</c:f>
              <c:strCache>
                <c:ptCount val="1"/>
                <c:pt idx="0">
                  <c:v>Mar</c:v>
                </c:pt>
              </c:strCache>
            </c:strRef>
          </c:tx>
          <c:spPr>
            <a:solidFill>
              <a:schemeClr val="accent3"/>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All!$B$36:$U$36</c:f>
              <c:numCache>
                <c:formatCode>General</c:formatCode>
                <c:ptCount val="20"/>
                <c:pt idx="0">
                  <c:v>4</c:v>
                </c:pt>
                <c:pt idx="1">
                  <c:v>1</c:v>
                </c:pt>
                <c:pt idx="2">
                  <c:v>22</c:v>
                </c:pt>
                <c:pt idx="3">
                  <c:v>21</c:v>
                </c:pt>
                <c:pt idx="4">
                  <c:v>58</c:v>
                </c:pt>
                <c:pt idx="5">
                  <c:v>54</c:v>
                </c:pt>
                <c:pt idx="6">
                  <c:v>30</c:v>
                </c:pt>
                <c:pt idx="7">
                  <c:v>3</c:v>
                </c:pt>
                <c:pt idx="8">
                  <c:v>14</c:v>
                </c:pt>
                <c:pt idx="9">
                  <c:v>60</c:v>
                </c:pt>
                <c:pt idx="10">
                  <c:v>15</c:v>
                </c:pt>
                <c:pt idx="11">
                  <c:v>22</c:v>
                </c:pt>
                <c:pt idx="12">
                  <c:v>61</c:v>
                </c:pt>
                <c:pt idx="13">
                  <c:v>143</c:v>
                </c:pt>
                <c:pt idx="14">
                  <c:v>23</c:v>
                </c:pt>
                <c:pt idx="15">
                  <c:v>89</c:v>
                </c:pt>
                <c:pt idx="16">
                  <c:v>2</c:v>
                </c:pt>
                <c:pt idx="17">
                  <c:v>13</c:v>
                </c:pt>
                <c:pt idx="18">
                  <c:v>44</c:v>
                </c:pt>
                <c:pt idx="19">
                  <c:v>15</c:v>
                </c:pt>
              </c:numCache>
            </c:numRef>
          </c:val>
          <c:extLst>
            <c:ext xmlns:c16="http://schemas.microsoft.com/office/drawing/2014/chart" uri="{C3380CC4-5D6E-409C-BE32-E72D297353CC}">
              <c16:uniqueId val="{00000002-4041-0B44-AC96-641719722FD9}"/>
            </c:ext>
          </c:extLst>
        </c:ser>
        <c:ser>
          <c:idx val="3"/>
          <c:order val="3"/>
          <c:tx>
            <c:strRef>
              <c:f>All!$A$37</c:f>
              <c:strCache>
                <c:ptCount val="1"/>
                <c:pt idx="0">
                  <c:v>Apr</c:v>
                </c:pt>
              </c:strCache>
            </c:strRef>
          </c:tx>
          <c:spPr>
            <a:solidFill>
              <a:schemeClr val="accent4"/>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All!$B$37:$U$37</c:f>
              <c:numCache>
                <c:formatCode>General</c:formatCode>
                <c:ptCount val="20"/>
                <c:pt idx="0">
                  <c:v>1</c:v>
                </c:pt>
                <c:pt idx="1">
                  <c:v>2</c:v>
                </c:pt>
                <c:pt idx="2">
                  <c:v>5</c:v>
                </c:pt>
                <c:pt idx="3">
                  <c:v>7</c:v>
                </c:pt>
                <c:pt idx="4">
                  <c:v>8</c:v>
                </c:pt>
                <c:pt idx="5">
                  <c:v>9</c:v>
                </c:pt>
                <c:pt idx="6">
                  <c:v>8</c:v>
                </c:pt>
                <c:pt idx="7">
                  <c:v>6</c:v>
                </c:pt>
                <c:pt idx="8">
                  <c:v>12</c:v>
                </c:pt>
                <c:pt idx="9">
                  <c:v>7</c:v>
                </c:pt>
                <c:pt idx="10">
                  <c:v>56</c:v>
                </c:pt>
                <c:pt idx="11">
                  <c:v>11</c:v>
                </c:pt>
                <c:pt idx="12">
                  <c:v>10</c:v>
                </c:pt>
                <c:pt idx="13">
                  <c:v>15</c:v>
                </c:pt>
                <c:pt idx="14">
                  <c:v>5</c:v>
                </c:pt>
                <c:pt idx="15">
                  <c:v>47</c:v>
                </c:pt>
                <c:pt idx="16">
                  <c:v>1</c:v>
                </c:pt>
                <c:pt idx="17">
                  <c:v>3</c:v>
                </c:pt>
                <c:pt idx="18">
                  <c:v>7</c:v>
                </c:pt>
                <c:pt idx="19">
                  <c:v>8</c:v>
                </c:pt>
              </c:numCache>
            </c:numRef>
          </c:val>
          <c:extLst>
            <c:ext xmlns:c16="http://schemas.microsoft.com/office/drawing/2014/chart" uri="{C3380CC4-5D6E-409C-BE32-E72D297353CC}">
              <c16:uniqueId val="{00000003-4041-0B44-AC96-641719722FD9}"/>
            </c:ext>
          </c:extLst>
        </c:ser>
        <c:ser>
          <c:idx val="4"/>
          <c:order val="4"/>
          <c:tx>
            <c:strRef>
              <c:f>All!$A$38</c:f>
              <c:strCache>
                <c:ptCount val="1"/>
                <c:pt idx="0">
                  <c:v>May</c:v>
                </c:pt>
              </c:strCache>
            </c:strRef>
          </c:tx>
          <c:spPr>
            <a:solidFill>
              <a:schemeClr val="accent5"/>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All!$B$38:$U$38</c:f>
              <c:numCache>
                <c:formatCode>General</c:formatCode>
                <c:ptCount val="20"/>
                <c:pt idx="0">
                  <c:v>5</c:v>
                </c:pt>
                <c:pt idx="1">
                  <c:v>4</c:v>
                </c:pt>
                <c:pt idx="2">
                  <c:v>36</c:v>
                </c:pt>
                <c:pt idx="3">
                  <c:v>16</c:v>
                </c:pt>
                <c:pt idx="4">
                  <c:v>5</c:v>
                </c:pt>
                <c:pt idx="5">
                  <c:v>14</c:v>
                </c:pt>
                <c:pt idx="6">
                  <c:v>12</c:v>
                </c:pt>
                <c:pt idx="7">
                  <c:v>78</c:v>
                </c:pt>
                <c:pt idx="8">
                  <c:v>27</c:v>
                </c:pt>
                <c:pt idx="9">
                  <c:v>8</c:v>
                </c:pt>
                <c:pt idx="10">
                  <c:v>17</c:v>
                </c:pt>
                <c:pt idx="11">
                  <c:v>49</c:v>
                </c:pt>
                <c:pt idx="12">
                  <c:v>4</c:v>
                </c:pt>
                <c:pt idx="13">
                  <c:v>32</c:v>
                </c:pt>
                <c:pt idx="14">
                  <c:v>13</c:v>
                </c:pt>
                <c:pt idx="15">
                  <c:v>7</c:v>
                </c:pt>
                <c:pt idx="16">
                  <c:v>3</c:v>
                </c:pt>
                <c:pt idx="17">
                  <c:v>2</c:v>
                </c:pt>
                <c:pt idx="18">
                  <c:v>26</c:v>
                </c:pt>
                <c:pt idx="19">
                  <c:v>2</c:v>
                </c:pt>
              </c:numCache>
            </c:numRef>
          </c:val>
          <c:extLst>
            <c:ext xmlns:c16="http://schemas.microsoft.com/office/drawing/2014/chart" uri="{C3380CC4-5D6E-409C-BE32-E72D297353CC}">
              <c16:uniqueId val="{00000004-4041-0B44-AC96-641719722FD9}"/>
            </c:ext>
          </c:extLst>
        </c:ser>
        <c:ser>
          <c:idx val="5"/>
          <c:order val="5"/>
          <c:tx>
            <c:strRef>
              <c:f>All!$A$39</c:f>
              <c:strCache>
                <c:ptCount val="1"/>
                <c:pt idx="0">
                  <c:v>Jun</c:v>
                </c:pt>
              </c:strCache>
            </c:strRef>
          </c:tx>
          <c:spPr>
            <a:solidFill>
              <a:schemeClr val="accent6"/>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All!$B$39:$U$39</c:f>
              <c:numCache>
                <c:formatCode>General</c:formatCode>
                <c:ptCount val="20"/>
                <c:pt idx="1">
                  <c:v>4</c:v>
                </c:pt>
                <c:pt idx="2">
                  <c:v>178</c:v>
                </c:pt>
                <c:pt idx="3">
                  <c:v>127</c:v>
                </c:pt>
                <c:pt idx="4">
                  <c:v>30</c:v>
                </c:pt>
                <c:pt idx="5">
                  <c:v>15</c:v>
                </c:pt>
                <c:pt idx="6">
                  <c:v>10</c:v>
                </c:pt>
                <c:pt idx="7">
                  <c:v>49</c:v>
                </c:pt>
                <c:pt idx="8">
                  <c:v>89</c:v>
                </c:pt>
                <c:pt idx="9">
                  <c:v>10</c:v>
                </c:pt>
                <c:pt idx="10">
                  <c:v>104</c:v>
                </c:pt>
                <c:pt idx="11">
                  <c:v>128</c:v>
                </c:pt>
                <c:pt idx="12">
                  <c:v>76</c:v>
                </c:pt>
                <c:pt idx="13">
                  <c:v>47</c:v>
                </c:pt>
                <c:pt idx="14">
                  <c:v>17</c:v>
                </c:pt>
                <c:pt idx="15">
                  <c:v>5</c:v>
                </c:pt>
                <c:pt idx="16">
                  <c:v>2</c:v>
                </c:pt>
                <c:pt idx="17">
                  <c:v>7</c:v>
                </c:pt>
                <c:pt idx="18">
                  <c:v>33</c:v>
                </c:pt>
                <c:pt idx="19">
                  <c:v>1</c:v>
                </c:pt>
              </c:numCache>
            </c:numRef>
          </c:val>
          <c:extLst>
            <c:ext xmlns:c16="http://schemas.microsoft.com/office/drawing/2014/chart" uri="{C3380CC4-5D6E-409C-BE32-E72D297353CC}">
              <c16:uniqueId val="{00000005-4041-0B44-AC96-641719722FD9}"/>
            </c:ext>
          </c:extLst>
        </c:ser>
        <c:ser>
          <c:idx val="6"/>
          <c:order val="6"/>
          <c:tx>
            <c:strRef>
              <c:f>All!$A$40</c:f>
              <c:strCache>
                <c:ptCount val="1"/>
                <c:pt idx="0">
                  <c:v>Jul</c:v>
                </c:pt>
              </c:strCache>
            </c:strRef>
          </c:tx>
          <c:spPr>
            <a:solidFill>
              <a:schemeClr val="accent1">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All!$B$40:$U$40</c:f>
              <c:numCache>
                <c:formatCode>General</c:formatCode>
                <c:ptCount val="20"/>
                <c:pt idx="0">
                  <c:v>50</c:v>
                </c:pt>
                <c:pt idx="1">
                  <c:v>414</c:v>
                </c:pt>
                <c:pt idx="2">
                  <c:v>186</c:v>
                </c:pt>
                <c:pt idx="3">
                  <c:v>23</c:v>
                </c:pt>
                <c:pt idx="4">
                  <c:v>85</c:v>
                </c:pt>
                <c:pt idx="5">
                  <c:v>427</c:v>
                </c:pt>
                <c:pt idx="6">
                  <c:v>7</c:v>
                </c:pt>
                <c:pt idx="7">
                  <c:v>12</c:v>
                </c:pt>
                <c:pt idx="8">
                  <c:v>628</c:v>
                </c:pt>
                <c:pt idx="9">
                  <c:v>5</c:v>
                </c:pt>
                <c:pt idx="10">
                  <c:v>417</c:v>
                </c:pt>
                <c:pt idx="11">
                  <c:v>130</c:v>
                </c:pt>
                <c:pt idx="12">
                  <c:v>45</c:v>
                </c:pt>
                <c:pt idx="13">
                  <c:v>848</c:v>
                </c:pt>
                <c:pt idx="14">
                  <c:v>332</c:v>
                </c:pt>
                <c:pt idx="15">
                  <c:v>15</c:v>
                </c:pt>
                <c:pt idx="16">
                  <c:v>83</c:v>
                </c:pt>
                <c:pt idx="17">
                  <c:v>170</c:v>
                </c:pt>
                <c:pt idx="18">
                  <c:v>140</c:v>
                </c:pt>
                <c:pt idx="19">
                  <c:v>1</c:v>
                </c:pt>
              </c:numCache>
            </c:numRef>
          </c:val>
          <c:extLst>
            <c:ext xmlns:c16="http://schemas.microsoft.com/office/drawing/2014/chart" uri="{C3380CC4-5D6E-409C-BE32-E72D297353CC}">
              <c16:uniqueId val="{00000006-4041-0B44-AC96-641719722FD9}"/>
            </c:ext>
          </c:extLst>
        </c:ser>
        <c:ser>
          <c:idx val="7"/>
          <c:order val="7"/>
          <c:tx>
            <c:strRef>
              <c:f>All!$A$41</c:f>
              <c:strCache>
                <c:ptCount val="1"/>
                <c:pt idx="0">
                  <c:v>Aug</c:v>
                </c:pt>
              </c:strCache>
            </c:strRef>
          </c:tx>
          <c:spPr>
            <a:solidFill>
              <a:schemeClr val="accent2">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All!$B$41:$U$41</c:f>
              <c:numCache>
                <c:formatCode>General</c:formatCode>
                <c:ptCount val="20"/>
                <c:pt idx="0">
                  <c:v>862</c:v>
                </c:pt>
                <c:pt idx="1">
                  <c:v>8443</c:v>
                </c:pt>
                <c:pt idx="2">
                  <c:v>2051</c:v>
                </c:pt>
                <c:pt idx="3">
                  <c:v>4997</c:v>
                </c:pt>
                <c:pt idx="4">
                  <c:v>1434</c:v>
                </c:pt>
                <c:pt idx="5">
                  <c:v>4188</c:v>
                </c:pt>
                <c:pt idx="6">
                  <c:v>798</c:v>
                </c:pt>
                <c:pt idx="7">
                  <c:v>334</c:v>
                </c:pt>
                <c:pt idx="8">
                  <c:v>3142</c:v>
                </c:pt>
                <c:pt idx="9">
                  <c:v>238</c:v>
                </c:pt>
                <c:pt idx="10">
                  <c:v>2146</c:v>
                </c:pt>
                <c:pt idx="11">
                  <c:v>1338</c:v>
                </c:pt>
                <c:pt idx="12">
                  <c:v>769</c:v>
                </c:pt>
                <c:pt idx="13">
                  <c:v>833</c:v>
                </c:pt>
                <c:pt idx="14">
                  <c:v>3399</c:v>
                </c:pt>
                <c:pt idx="15">
                  <c:v>550</c:v>
                </c:pt>
                <c:pt idx="16">
                  <c:v>90</c:v>
                </c:pt>
                <c:pt idx="17">
                  <c:v>1568</c:v>
                </c:pt>
                <c:pt idx="18">
                  <c:v>1481</c:v>
                </c:pt>
                <c:pt idx="19">
                  <c:v>120</c:v>
                </c:pt>
              </c:numCache>
            </c:numRef>
          </c:val>
          <c:extLst>
            <c:ext xmlns:c16="http://schemas.microsoft.com/office/drawing/2014/chart" uri="{C3380CC4-5D6E-409C-BE32-E72D297353CC}">
              <c16:uniqueId val="{00000007-4041-0B44-AC96-641719722FD9}"/>
            </c:ext>
          </c:extLst>
        </c:ser>
        <c:ser>
          <c:idx val="8"/>
          <c:order val="8"/>
          <c:tx>
            <c:strRef>
              <c:f>All!$A$42</c:f>
              <c:strCache>
                <c:ptCount val="1"/>
                <c:pt idx="0">
                  <c:v>Sep</c:v>
                </c:pt>
              </c:strCache>
            </c:strRef>
          </c:tx>
          <c:spPr>
            <a:solidFill>
              <a:schemeClr val="accent3">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All!$B$42:$U$42</c:f>
              <c:numCache>
                <c:formatCode>General</c:formatCode>
                <c:ptCount val="20"/>
                <c:pt idx="0">
                  <c:v>299</c:v>
                </c:pt>
                <c:pt idx="1">
                  <c:v>4446</c:v>
                </c:pt>
                <c:pt idx="2">
                  <c:v>2322</c:v>
                </c:pt>
                <c:pt idx="3">
                  <c:v>2435</c:v>
                </c:pt>
                <c:pt idx="4">
                  <c:v>1625</c:v>
                </c:pt>
                <c:pt idx="5">
                  <c:v>4732</c:v>
                </c:pt>
                <c:pt idx="6">
                  <c:v>944</c:v>
                </c:pt>
                <c:pt idx="7">
                  <c:v>920</c:v>
                </c:pt>
                <c:pt idx="8">
                  <c:v>5497</c:v>
                </c:pt>
                <c:pt idx="9">
                  <c:v>235</c:v>
                </c:pt>
                <c:pt idx="10">
                  <c:v>1194</c:v>
                </c:pt>
                <c:pt idx="11">
                  <c:v>2085</c:v>
                </c:pt>
                <c:pt idx="12">
                  <c:v>899</c:v>
                </c:pt>
                <c:pt idx="13">
                  <c:v>2897</c:v>
                </c:pt>
                <c:pt idx="14">
                  <c:v>7238</c:v>
                </c:pt>
                <c:pt idx="15">
                  <c:v>336</c:v>
                </c:pt>
                <c:pt idx="16">
                  <c:v>270</c:v>
                </c:pt>
                <c:pt idx="17">
                  <c:v>986</c:v>
                </c:pt>
                <c:pt idx="18">
                  <c:v>6717</c:v>
                </c:pt>
                <c:pt idx="19">
                  <c:v>150</c:v>
                </c:pt>
              </c:numCache>
            </c:numRef>
          </c:val>
          <c:extLst>
            <c:ext xmlns:c16="http://schemas.microsoft.com/office/drawing/2014/chart" uri="{C3380CC4-5D6E-409C-BE32-E72D297353CC}">
              <c16:uniqueId val="{00000008-4041-0B44-AC96-641719722FD9}"/>
            </c:ext>
          </c:extLst>
        </c:ser>
        <c:ser>
          <c:idx val="9"/>
          <c:order val="9"/>
          <c:tx>
            <c:strRef>
              <c:f>All!$A$43</c:f>
              <c:strCache>
                <c:ptCount val="1"/>
                <c:pt idx="0">
                  <c:v>Oct</c:v>
                </c:pt>
              </c:strCache>
            </c:strRef>
          </c:tx>
          <c:spPr>
            <a:solidFill>
              <a:schemeClr val="accent4">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All!$B$43:$U$43</c:f>
              <c:numCache>
                <c:formatCode>General</c:formatCode>
                <c:ptCount val="20"/>
                <c:pt idx="0">
                  <c:v>8</c:v>
                </c:pt>
                <c:pt idx="1">
                  <c:v>3198</c:v>
                </c:pt>
                <c:pt idx="2">
                  <c:v>269</c:v>
                </c:pt>
                <c:pt idx="3">
                  <c:v>2881</c:v>
                </c:pt>
                <c:pt idx="4">
                  <c:v>477</c:v>
                </c:pt>
                <c:pt idx="5">
                  <c:v>6118</c:v>
                </c:pt>
                <c:pt idx="6">
                  <c:v>443</c:v>
                </c:pt>
                <c:pt idx="7">
                  <c:v>159</c:v>
                </c:pt>
                <c:pt idx="8">
                  <c:v>321</c:v>
                </c:pt>
                <c:pt idx="9">
                  <c:v>170</c:v>
                </c:pt>
                <c:pt idx="10">
                  <c:v>260</c:v>
                </c:pt>
                <c:pt idx="11">
                  <c:v>701</c:v>
                </c:pt>
                <c:pt idx="12">
                  <c:v>840</c:v>
                </c:pt>
                <c:pt idx="13">
                  <c:v>2502</c:v>
                </c:pt>
                <c:pt idx="14">
                  <c:v>5132</c:v>
                </c:pt>
                <c:pt idx="15">
                  <c:v>42</c:v>
                </c:pt>
                <c:pt idx="16">
                  <c:v>57</c:v>
                </c:pt>
                <c:pt idx="17">
                  <c:v>357</c:v>
                </c:pt>
                <c:pt idx="18">
                  <c:v>517</c:v>
                </c:pt>
              </c:numCache>
            </c:numRef>
          </c:val>
          <c:extLst>
            <c:ext xmlns:c16="http://schemas.microsoft.com/office/drawing/2014/chart" uri="{C3380CC4-5D6E-409C-BE32-E72D297353CC}">
              <c16:uniqueId val="{00000009-4041-0B44-AC96-641719722FD9}"/>
            </c:ext>
          </c:extLst>
        </c:ser>
        <c:ser>
          <c:idx val="10"/>
          <c:order val="10"/>
          <c:tx>
            <c:strRef>
              <c:f>All!$A$44</c:f>
              <c:strCache>
                <c:ptCount val="1"/>
                <c:pt idx="0">
                  <c:v>Nov</c:v>
                </c:pt>
              </c:strCache>
            </c:strRef>
          </c:tx>
          <c:spPr>
            <a:solidFill>
              <a:schemeClr val="accent5">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All!$B$44:$U$44</c:f>
              <c:numCache>
                <c:formatCode>General</c:formatCode>
                <c:ptCount val="20"/>
                <c:pt idx="0">
                  <c:v>2</c:v>
                </c:pt>
                <c:pt idx="1">
                  <c:v>52</c:v>
                </c:pt>
                <c:pt idx="2">
                  <c:v>8</c:v>
                </c:pt>
                <c:pt idx="3">
                  <c:v>99</c:v>
                </c:pt>
                <c:pt idx="4">
                  <c:v>17</c:v>
                </c:pt>
                <c:pt idx="5">
                  <c:v>915</c:v>
                </c:pt>
                <c:pt idx="6">
                  <c:v>27</c:v>
                </c:pt>
                <c:pt idx="7">
                  <c:v>24</c:v>
                </c:pt>
                <c:pt idx="8">
                  <c:v>84</c:v>
                </c:pt>
                <c:pt idx="9">
                  <c:v>3</c:v>
                </c:pt>
                <c:pt idx="10">
                  <c:v>21</c:v>
                </c:pt>
                <c:pt idx="11">
                  <c:v>15</c:v>
                </c:pt>
                <c:pt idx="12">
                  <c:v>16</c:v>
                </c:pt>
                <c:pt idx="13">
                  <c:v>1025</c:v>
                </c:pt>
                <c:pt idx="14">
                  <c:v>444</c:v>
                </c:pt>
                <c:pt idx="15">
                  <c:v>12</c:v>
                </c:pt>
                <c:pt idx="16">
                  <c:v>2</c:v>
                </c:pt>
                <c:pt idx="17">
                  <c:v>12</c:v>
                </c:pt>
                <c:pt idx="18">
                  <c:v>660</c:v>
                </c:pt>
              </c:numCache>
            </c:numRef>
          </c:val>
          <c:extLst>
            <c:ext xmlns:c16="http://schemas.microsoft.com/office/drawing/2014/chart" uri="{C3380CC4-5D6E-409C-BE32-E72D297353CC}">
              <c16:uniqueId val="{0000000A-4041-0B44-AC96-641719722FD9}"/>
            </c:ext>
          </c:extLst>
        </c:ser>
        <c:ser>
          <c:idx val="11"/>
          <c:order val="11"/>
          <c:tx>
            <c:strRef>
              <c:f>All!$A$45</c:f>
              <c:strCache>
                <c:ptCount val="1"/>
                <c:pt idx="0">
                  <c:v>Des</c:v>
                </c:pt>
              </c:strCache>
            </c:strRef>
          </c:tx>
          <c:spPr>
            <a:solidFill>
              <a:schemeClr val="accent6">
                <a:lumMod val="60000"/>
              </a:schemeClr>
            </a:solidFill>
            <a:ln/>
            <a:effectLst/>
            <a:sp3d/>
          </c:spPr>
          <c:cat>
            <c:numRef>
              <c:f>All!$B$33:$U$33</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All!$B$45:$U$45</c:f>
              <c:numCache>
                <c:formatCode>General</c:formatCode>
                <c:ptCount val="20"/>
                <c:pt idx="0">
                  <c:v>1</c:v>
                </c:pt>
                <c:pt idx="1">
                  <c:v>24</c:v>
                </c:pt>
                <c:pt idx="3">
                  <c:v>4</c:v>
                </c:pt>
                <c:pt idx="4">
                  <c:v>2</c:v>
                </c:pt>
                <c:pt idx="5">
                  <c:v>33</c:v>
                </c:pt>
                <c:pt idx="6">
                  <c:v>4</c:v>
                </c:pt>
                <c:pt idx="7">
                  <c:v>1</c:v>
                </c:pt>
                <c:pt idx="8">
                  <c:v>10</c:v>
                </c:pt>
                <c:pt idx="9">
                  <c:v>5</c:v>
                </c:pt>
                <c:pt idx="10">
                  <c:v>2</c:v>
                </c:pt>
                <c:pt idx="11">
                  <c:v>19</c:v>
                </c:pt>
                <c:pt idx="12">
                  <c:v>8</c:v>
                </c:pt>
                <c:pt idx="13">
                  <c:v>7</c:v>
                </c:pt>
                <c:pt idx="14">
                  <c:v>70</c:v>
                </c:pt>
                <c:pt idx="15">
                  <c:v>2</c:v>
                </c:pt>
                <c:pt idx="16">
                  <c:v>3</c:v>
                </c:pt>
                <c:pt idx="17">
                  <c:v>14</c:v>
                </c:pt>
                <c:pt idx="18">
                  <c:v>10</c:v>
                </c:pt>
              </c:numCache>
            </c:numRef>
          </c:val>
          <c:extLst>
            <c:ext xmlns:c16="http://schemas.microsoft.com/office/drawing/2014/chart" uri="{C3380CC4-5D6E-409C-BE32-E72D297353CC}">
              <c16:uniqueId val="{0000000B-4041-0B44-AC96-641719722FD9}"/>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150939520"/>
        <c:axId val="150941056"/>
        <c:axId val="150520704"/>
      </c:surface3DChart>
      <c:catAx>
        <c:axId val="150939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41056"/>
        <c:crosses val="autoZero"/>
        <c:auto val="1"/>
        <c:lblAlgn val="ctr"/>
        <c:lblOffset val="100"/>
        <c:noMultiLvlLbl val="0"/>
      </c:catAx>
      <c:valAx>
        <c:axId val="150941056"/>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US" sz="1400" b="0"/>
                  <a:t>Fire Count</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39520"/>
        <c:crosses val="autoZero"/>
        <c:crossBetween val="midCat"/>
      </c:valAx>
      <c:serAx>
        <c:axId val="15052070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41056"/>
        <c:crosses val="autoZero"/>
      </c:serAx>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2136747295077324"/>
          <c:y val="0.9000238403035441"/>
          <c:w val="0.77653535214573"/>
          <c:h val="7.0125413427799141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62327076522651"/>
          <c:y val="8.3424942849885705E-2"/>
          <c:w val="0.80307837351816613"/>
          <c:h val="0.66162865125730264"/>
        </c:manualLayout>
      </c:layout>
      <c:surface3DChart>
        <c:wireframe val="0"/>
        <c:ser>
          <c:idx val="0"/>
          <c:order val="0"/>
          <c:tx>
            <c:strRef>
              <c:f>All!$A$19</c:f>
              <c:strCache>
                <c:ptCount val="1"/>
                <c:pt idx="0">
                  <c:v>Jan</c:v>
                </c:pt>
              </c:strCache>
            </c:strRef>
          </c:tx>
          <c:spPr>
            <a:solidFill>
              <a:schemeClr val="accent1"/>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All!$B$19:$U$19</c:f>
              <c:numCache>
                <c:formatCode>General</c:formatCode>
                <c:ptCount val="20"/>
                <c:pt idx="2">
                  <c:v>6</c:v>
                </c:pt>
                <c:pt idx="3">
                  <c:v>4</c:v>
                </c:pt>
                <c:pt idx="4">
                  <c:v>39</c:v>
                </c:pt>
                <c:pt idx="5">
                  <c:v>22</c:v>
                </c:pt>
                <c:pt idx="6">
                  <c:v>8</c:v>
                </c:pt>
                <c:pt idx="7">
                  <c:v>69</c:v>
                </c:pt>
                <c:pt idx="8">
                  <c:v>1</c:v>
                </c:pt>
                <c:pt idx="9">
                  <c:v>7</c:v>
                </c:pt>
                <c:pt idx="10">
                  <c:v>5</c:v>
                </c:pt>
                <c:pt idx="11">
                  <c:v>6</c:v>
                </c:pt>
                <c:pt idx="12">
                  <c:v>6</c:v>
                </c:pt>
                <c:pt idx="13">
                  <c:v>90</c:v>
                </c:pt>
                <c:pt idx="14">
                  <c:v>1</c:v>
                </c:pt>
                <c:pt idx="15">
                  <c:v>5</c:v>
                </c:pt>
                <c:pt idx="16">
                  <c:v>6</c:v>
                </c:pt>
                <c:pt idx="18">
                  <c:v>1</c:v>
                </c:pt>
              </c:numCache>
            </c:numRef>
          </c:val>
          <c:extLst>
            <c:ext xmlns:c16="http://schemas.microsoft.com/office/drawing/2014/chart" uri="{C3380CC4-5D6E-409C-BE32-E72D297353CC}">
              <c16:uniqueId val="{00000000-A37F-2543-AF64-02AE30A49437}"/>
            </c:ext>
          </c:extLst>
        </c:ser>
        <c:ser>
          <c:idx val="1"/>
          <c:order val="1"/>
          <c:tx>
            <c:strRef>
              <c:f>All!$A$20</c:f>
              <c:strCache>
                <c:ptCount val="1"/>
                <c:pt idx="0">
                  <c:v>Feb</c:v>
                </c:pt>
              </c:strCache>
            </c:strRef>
          </c:tx>
          <c:spPr>
            <a:solidFill>
              <a:schemeClr val="accent2"/>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All!$B$20:$U$20</c:f>
              <c:numCache>
                <c:formatCode>General</c:formatCode>
                <c:ptCount val="20"/>
                <c:pt idx="2">
                  <c:v>4</c:v>
                </c:pt>
                <c:pt idx="3">
                  <c:v>2</c:v>
                </c:pt>
                <c:pt idx="4">
                  <c:v>79</c:v>
                </c:pt>
                <c:pt idx="5">
                  <c:v>1</c:v>
                </c:pt>
                <c:pt idx="6">
                  <c:v>72</c:v>
                </c:pt>
                <c:pt idx="7">
                  <c:v>26</c:v>
                </c:pt>
                <c:pt idx="8">
                  <c:v>16</c:v>
                </c:pt>
                <c:pt idx="9">
                  <c:v>22</c:v>
                </c:pt>
                <c:pt idx="10">
                  <c:v>10</c:v>
                </c:pt>
                <c:pt idx="13">
                  <c:v>279</c:v>
                </c:pt>
                <c:pt idx="14">
                  <c:v>5</c:v>
                </c:pt>
                <c:pt idx="15">
                  <c:v>2</c:v>
                </c:pt>
                <c:pt idx="16">
                  <c:v>13</c:v>
                </c:pt>
                <c:pt idx="17">
                  <c:v>26</c:v>
                </c:pt>
                <c:pt idx="18">
                  <c:v>5</c:v>
                </c:pt>
                <c:pt idx="19">
                  <c:v>2</c:v>
                </c:pt>
              </c:numCache>
            </c:numRef>
          </c:val>
          <c:extLst>
            <c:ext xmlns:c16="http://schemas.microsoft.com/office/drawing/2014/chart" uri="{C3380CC4-5D6E-409C-BE32-E72D297353CC}">
              <c16:uniqueId val="{00000001-A37F-2543-AF64-02AE30A49437}"/>
            </c:ext>
          </c:extLst>
        </c:ser>
        <c:ser>
          <c:idx val="2"/>
          <c:order val="2"/>
          <c:tx>
            <c:strRef>
              <c:f>All!$A$21</c:f>
              <c:strCache>
                <c:ptCount val="1"/>
                <c:pt idx="0">
                  <c:v>Mar</c:v>
                </c:pt>
              </c:strCache>
            </c:strRef>
          </c:tx>
          <c:spPr>
            <a:solidFill>
              <a:schemeClr val="accent3"/>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All!$B$21:$U$21</c:f>
              <c:numCache>
                <c:formatCode>General</c:formatCode>
                <c:ptCount val="20"/>
                <c:pt idx="1">
                  <c:v>3</c:v>
                </c:pt>
                <c:pt idx="2">
                  <c:v>16</c:v>
                </c:pt>
                <c:pt idx="3">
                  <c:v>32</c:v>
                </c:pt>
                <c:pt idx="4">
                  <c:v>118</c:v>
                </c:pt>
                <c:pt idx="5">
                  <c:v>56</c:v>
                </c:pt>
                <c:pt idx="6">
                  <c:v>67</c:v>
                </c:pt>
                <c:pt idx="8">
                  <c:v>14</c:v>
                </c:pt>
                <c:pt idx="9">
                  <c:v>35</c:v>
                </c:pt>
                <c:pt idx="10">
                  <c:v>10</c:v>
                </c:pt>
                <c:pt idx="11">
                  <c:v>20</c:v>
                </c:pt>
                <c:pt idx="12">
                  <c:v>26</c:v>
                </c:pt>
                <c:pt idx="13">
                  <c:v>50</c:v>
                </c:pt>
                <c:pt idx="14">
                  <c:v>4</c:v>
                </c:pt>
                <c:pt idx="15">
                  <c:v>24</c:v>
                </c:pt>
                <c:pt idx="17">
                  <c:v>2</c:v>
                </c:pt>
                <c:pt idx="18">
                  <c:v>7</c:v>
                </c:pt>
              </c:numCache>
            </c:numRef>
          </c:val>
          <c:extLst>
            <c:ext xmlns:c16="http://schemas.microsoft.com/office/drawing/2014/chart" uri="{C3380CC4-5D6E-409C-BE32-E72D297353CC}">
              <c16:uniqueId val="{00000002-A37F-2543-AF64-02AE30A49437}"/>
            </c:ext>
          </c:extLst>
        </c:ser>
        <c:ser>
          <c:idx val="3"/>
          <c:order val="3"/>
          <c:tx>
            <c:strRef>
              <c:f>All!$A$22</c:f>
              <c:strCache>
                <c:ptCount val="1"/>
                <c:pt idx="0">
                  <c:v>Apr</c:v>
                </c:pt>
              </c:strCache>
            </c:strRef>
          </c:tx>
          <c:spPr>
            <a:solidFill>
              <a:schemeClr val="accent4"/>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All!$B$22:$U$22</c:f>
              <c:numCache>
                <c:formatCode>General</c:formatCode>
                <c:ptCount val="20"/>
                <c:pt idx="1">
                  <c:v>1</c:v>
                </c:pt>
                <c:pt idx="2">
                  <c:v>15</c:v>
                </c:pt>
                <c:pt idx="3">
                  <c:v>25</c:v>
                </c:pt>
                <c:pt idx="4">
                  <c:v>21</c:v>
                </c:pt>
                <c:pt idx="5">
                  <c:v>5</c:v>
                </c:pt>
                <c:pt idx="6">
                  <c:v>16</c:v>
                </c:pt>
                <c:pt idx="7">
                  <c:v>1</c:v>
                </c:pt>
                <c:pt idx="8">
                  <c:v>31</c:v>
                </c:pt>
                <c:pt idx="9">
                  <c:v>6</c:v>
                </c:pt>
                <c:pt idx="10">
                  <c:v>27</c:v>
                </c:pt>
                <c:pt idx="11">
                  <c:v>6</c:v>
                </c:pt>
                <c:pt idx="12">
                  <c:v>8</c:v>
                </c:pt>
                <c:pt idx="13">
                  <c:v>4</c:v>
                </c:pt>
                <c:pt idx="14">
                  <c:v>6</c:v>
                </c:pt>
                <c:pt idx="15">
                  <c:v>23</c:v>
                </c:pt>
                <c:pt idx="17">
                  <c:v>2</c:v>
                </c:pt>
                <c:pt idx="18">
                  <c:v>9</c:v>
                </c:pt>
              </c:numCache>
            </c:numRef>
          </c:val>
          <c:extLst>
            <c:ext xmlns:c16="http://schemas.microsoft.com/office/drawing/2014/chart" uri="{C3380CC4-5D6E-409C-BE32-E72D297353CC}">
              <c16:uniqueId val="{00000003-A37F-2543-AF64-02AE30A49437}"/>
            </c:ext>
          </c:extLst>
        </c:ser>
        <c:ser>
          <c:idx val="4"/>
          <c:order val="4"/>
          <c:tx>
            <c:strRef>
              <c:f>All!$A$23</c:f>
              <c:strCache>
                <c:ptCount val="1"/>
                <c:pt idx="0">
                  <c:v>May</c:v>
                </c:pt>
              </c:strCache>
            </c:strRef>
          </c:tx>
          <c:spPr>
            <a:solidFill>
              <a:schemeClr val="accent5"/>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All!$B$23:$U$23</c:f>
              <c:numCache>
                <c:formatCode>General</c:formatCode>
                <c:ptCount val="20"/>
                <c:pt idx="1">
                  <c:v>3</c:v>
                </c:pt>
                <c:pt idx="2">
                  <c:v>42</c:v>
                </c:pt>
                <c:pt idx="3">
                  <c:v>27</c:v>
                </c:pt>
                <c:pt idx="4">
                  <c:v>17</c:v>
                </c:pt>
                <c:pt idx="5">
                  <c:v>11</c:v>
                </c:pt>
                <c:pt idx="6">
                  <c:v>15</c:v>
                </c:pt>
                <c:pt idx="7">
                  <c:v>200</c:v>
                </c:pt>
                <c:pt idx="8">
                  <c:v>54</c:v>
                </c:pt>
                <c:pt idx="9">
                  <c:v>6</c:v>
                </c:pt>
                <c:pt idx="10">
                  <c:v>12</c:v>
                </c:pt>
                <c:pt idx="11">
                  <c:v>59</c:v>
                </c:pt>
                <c:pt idx="12">
                  <c:v>4</c:v>
                </c:pt>
                <c:pt idx="13">
                  <c:v>17</c:v>
                </c:pt>
                <c:pt idx="14">
                  <c:v>3</c:v>
                </c:pt>
                <c:pt idx="15">
                  <c:v>2</c:v>
                </c:pt>
                <c:pt idx="18">
                  <c:v>10</c:v>
                </c:pt>
              </c:numCache>
            </c:numRef>
          </c:val>
          <c:extLst>
            <c:ext xmlns:c16="http://schemas.microsoft.com/office/drawing/2014/chart" uri="{C3380CC4-5D6E-409C-BE32-E72D297353CC}">
              <c16:uniqueId val="{00000004-A37F-2543-AF64-02AE30A49437}"/>
            </c:ext>
          </c:extLst>
        </c:ser>
        <c:ser>
          <c:idx val="5"/>
          <c:order val="5"/>
          <c:tx>
            <c:strRef>
              <c:f>All!$A$24</c:f>
              <c:strCache>
                <c:ptCount val="1"/>
                <c:pt idx="0">
                  <c:v>Jun</c:v>
                </c:pt>
              </c:strCache>
            </c:strRef>
          </c:tx>
          <c:spPr>
            <a:solidFill>
              <a:schemeClr val="accent6"/>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All!$B$24:$U$24</c:f>
              <c:numCache>
                <c:formatCode>General</c:formatCode>
                <c:ptCount val="20"/>
                <c:pt idx="1">
                  <c:v>3</c:v>
                </c:pt>
                <c:pt idx="2">
                  <c:v>219</c:v>
                </c:pt>
                <c:pt idx="3">
                  <c:v>162</c:v>
                </c:pt>
                <c:pt idx="4">
                  <c:v>21</c:v>
                </c:pt>
                <c:pt idx="5">
                  <c:v>17</c:v>
                </c:pt>
                <c:pt idx="6">
                  <c:v>6</c:v>
                </c:pt>
                <c:pt idx="7">
                  <c:v>53</c:v>
                </c:pt>
                <c:pt idx="8">
                  <c:v>180</c:v>
                </c:pt>
                <c:pt idx="9">
                  <c:v>16</c:v>
                </c:pt>
                <c:pt idx="10">
                  <c:v>82</c:v>
                </c:pt>
                <c:pt idx="11">
                  <c:v>101</c:v>
                </c:pt>
                <c:pt idx="12">
                  <c:v>69</c:v>
                </c:pt>
                <c:pt idx="13">
                  <c:v>40</c:v>
                </c:pt>
                <c:pt idx="14">
                  <c:v>9</c:v>
                </c:pt>
                <c:pt idx="15">
                  <c:v>3</c:v>
                </c:pt>
                <c:pt idx="17">
                  <c:v>3</c:v>
                </c:pt>
                <c:pt idx="18">
                  <c:v>1</c:v>
                </c:pt>
                <c:pt idx="19">
                  <c:v>1</c:v>
                </c:pt>
              </c:numCache>
            </c:numRef>
          </c:val>
          <c:extLst>
            <c:ext xmlns:c16="http://schemas.microsoft.com/office/drawing/2014/chart" uri="{C3380CC4-5D6E-409C-BE32-E72D297353CC}">
              <c16:uniqueId val="{00000005-A37F-2543-AF64-02AE30A49437}"/>
            </c:ext>
          </c:extLst>
        </c:ser>
        <c:ser>
          <c:idx val="6"/>
          <c:order val="6"/>
          <c:tx>
            <c:strRef>
              <c:f>All!$A$25</c:f>
              <c:strCache>
                <c:ptCount val="1"/>
                <c:pt idx="0">
                  <c:v>Jul</c:v>
                </c:pt>
              </c:strCache>
            </c:strRef>
          </c:tx>
          <c:spPr>
            <a:solidFill>
              <a:schemeClr val="accent1">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All!$B$25:$U$25</c:f>
              <c:numCache>
                <c:formatCode>General</c:formatCode>
                <c:ptCount val="20"/>
                <c:pt idx="0">
                  <c:v>15</c:v>
                </c:pt>
                <c:pt idx="1">
                  <c:v>132</c:v>
                </c:pt>
                <c:pt idx="2">
                  <c:v>64</c:v>
                </c:pt>
                <c:pt idx="3">
                  <c:v>26</c:v>
                </c:pt>
                <c:pt idx="4">
                  <c:v>131</c:v>
                </c:pt>
                <c:pt idx="5">
                  <c:v>366</c:v>
                </c:pt>
                <c:pt idx="6">
                  <c:v>24</c:v>
                </c:pt>
                <c:pt idx="7">
                  <c:v>20</c:v>
                </c:pt>
                <c:pt idx="8">
                  <c:v>457</c:v>
                </c:pt>
                <c:pt idx="9">
                  <c:v>5</c:v>
                </c:pt>
                <c:pt idx="10">
                  <c:v>171</c:v>
                </c:pt>
                <c:pt idx="11">
                  <c:v>84</c:v>
                </c:pt>
                <c:pt idx="12">
                  <c:v>14</c:v>
                </c:pt>
                <c:pt idx="13">
                  <c:v>578</c:v>
                </c:pt>
                <c:pt idx="14">
                  <c:v>372</c:v>
                </c:pt>
                <c:pt idx="15">
                  <c:v>7</c:v>
                </c:pt>
                <c:pt idx="16">
                  <c:v>43</c:v>
                </c:pt>
                <c:pt idx="17">
                  <c:v>91</c:v>
                </c:pt>
                <c:pt idx="18">
                  <c:v>53</c:v>
                </c:pt>
                <c:pt idx="19">
                  <c:v>1</c:v>
                </c:pt>
              </c:numCache>
            </c:numRef>
          </c:val>
          <c:extLst>
            <c:ext xmlns:c16="http://schemas.microsoft.com/office/drawing/2014/chart" uri="{C3380CC4-5D6E-409C-BE32-E72D297353CC}">
              <c16:uniqueId val="{00000006-A37F-2543-AF64-02AE30A49437}"/>
            </c:ext>
          </c:extLst>
        </c:ser>
        <c:ser>
          <c:idx val="7"/>
          <c:order val="7"/>
          <c:tx>
            <c:strRef>
              <c:f>All!$A$26</c:f>
              <c:strCache>
                <c:ptCount val="1"/>
                <c:pt idx="0">
                  <c:v>Aug</c:v>
                </c:pt>
              </c:strCache>
            </c:strRef>
          </c:tx>
          <c:spPr>
            <a:solidFill>
              <a:schemeClr val="accent2">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All!$B$26:$U$26</c:f>
              <c:numCache>
                <c:formatCode>General</c:formatCode>
                <c:ptCount val="20"/>
                <c:pt idx="0">
                  <c:v>140</c:v>
                </c:pt>
                <c:pt idx="1">
                  <c:v>2044</c:v>
                </c:pt>
                <c:pt idx="2">
                  <c:v>862</c:v>
                </c:pt>
                <c:pt idx="3">
                  <c:v>2158</c:v>
                </c:pt>
                <c:pt idx="4">
                  <c:v>683</c:v>
                </c:pt>
                <c:pt idx="5">
                  <c:v>1869</c:v>
                </c:pt>
                <c:pt idx="6">
                  <c:v>336</c:v>
                </c:pt>
                <c:pt idx="7">
                  <c:v>136</c:v>
                </c:pt>
                <c:pt idx="8">
                  <c:v>1928</c:v>
                </c:pt>
                <c:pt idx="9">
                  <c:v>82</c:v>
                </c:pt>
                <c:pt idx="10">
                  <c:v>706</c:v>
                </c:pt>
                <c:pt idx="11">
                  <c:v>649</c:v>
                </c:pt>
                <c:pt idx="12">
                  <c:v>228</c:v>
                </c:pt>
                <c:pt idx="13">
                  <c:v>469</c:v>
                </c:pt>
                <c:pt idx="14">
                  <c:v>1363</c:v>
                </c:pt>
                <c:pt idx="15">
                  <c:v>204</c:v>
                </c:pt>
                <c:pt idx="16">
                  <c:v>36</c:v>
                </c:pt>
                <c:pt idx="17">
                  <c:v>691</c:v>
                </c:pt>
                <c:pt idx="18">
                  <c:v>550</c:v>
                </c:pt>
                <c:pt idx="19">
                  <c:v>30</c:v>
                </c:pt>
              </c:numCache>
            </c:numRef>
          </c:val>
          <c:extLst>
            <c:ext xmlns:c16="http://schemas.microsoft.com/office/drawing/2014/chart" uri="{C3380CC4-5D6E-409C-BE32-E72D297353CC}">
              <c16:uniqueId val="{00000007-A37F-2543-AF64-02AE30A49437}"/>
            </c:ext>
          </c:extLst>
        </c:ser>
        <c:ser>
          <c:idx val="8"/>
          <c:order val="8"/>
          <c:tx>
            <c:strRef>
              <c:f>All!$A$27</c:f>
              <c:strCache>
                <c:ptCount val="1"/>
                <c:pt idx="0">
                  <c:v>Sep</c:v>
                </c:pt>
              </c:strCache>
            </c:strRef>
          </c:tx>
          <c:spPr>
            <a:solidFill>
              <a:schemeClr val="accent3">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All!$B$27:$U$27</c:f>
              <c:numCache>
                <c:formatCode>General</c:formatCode>
                <c:ptCount val="20"/>
                <c:pt idx="0">
                  <c:v>30</c:v>
                </c:pt>
                <c:pt idx="1">
                  <c:v>1120</c:v>
                </c:pt>
                <c:pt idx="2">
                  <c:v>870</c:v>
                </c:pt>
                <c:pt idx="3">
                  <c:v>718</c:v>
                </c:pt>
                <c:pt idx="4">
                  <c:v>766</c:v>
                </c:pt>
                <c:pt idx="5">
                  <c:v>1756</c:v>
                </c:pt>
                <c:pt idx="6">
                  <c:v>556</c:v>
                </c:pt>
                <c:pt idx="7">
                  <c:v>383</c:v>
                </c:pt>
                <c:pt idx="8">
                  <c:v>3430</c:v>
                </c:pt>
                <c:pt idx="9">
                  <c:v>57</c:v>
                </c:pt>
                <c:pt idx="10">
                  <c:v>391</c:v>
                </c:pt>
                <c:pt idx="11">
                  <c:v>891</c:v>
                </c:pt>
                <c:pt idx="12">
                  <c:v>454</c:v>
                </c:pt>
                <c:pt idx="13">
                  <c:v>1080</c:v>
                </c:pt>
                <c:pt idx="14">
                  <c:v>2849</c:v>
                </c:pt>
                <c:pt idx="15">
                  <c:v>134</c:v>
                </c:pt>
                <c:pt idx="16">
                  <c:v>56</c:v>
                </c:pt>
                <c:pt idx="17">
                  <c:v>222</c:v>
                </c:pt>
                <c:pt idx="18">
                  <c:v>2945</c:v>
                </c:pt>
                <c:pt idx="19">
                  <c:v>64</c:v>
                </c:pt>
              </c:numCache>
            </c:numRef>
          </c:val>
          <c:extLst>
            <c:ext xmlns:c16="http://schemas.microsoft.com/office/drawing/2014/chart" uri="{C3380CC4-5D6E-409C-BE32-E72D297353CC}">
              <c16:uniqueId val="{00000008-A37F-2543-AF64-02AE30A49437}"/>
            </c:ext>
          </c:extLst>
        </c:ser>
        <c:ser>
          <c:idx val="9"/>
          <c:order val="9"/>
          <c:tx>
            <c:strRef>
              <c:f>All!$A$28</c:f>
              <c:strCache>
                <c:ptCount val="1"/>
                <c:pt idx="0">
                  <c:v>Oct</c:v>
                </c:pt>
              </c:strCache>
            </c:strRef>
          </c:tx>
          <c:spPr>
            <a:solidFill>
              <a:schemeClr val="accent4">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All!$B$28:$U$28</c:f>
              <c:numCache>
                <c:formatCode>General</c:formatCode>
                <c:ptCount val="20"/>
                <c:pt idx="0">
                  <c:v>1</c:v>
                </c:pt>
                <c:pt idx="1">
                  <c:v>923</c:v>
                </c:pt>
                <c:pt idx="2">
                  <c:v>124</c:v>
                </c:pt>
                <c:pt idx="3">
                  <c:v>718</c:v>
                </c:pt>
                <c:pt idx="4">
                  <c:v>153</c:v>
                </c:pt>
                <c:pt idx="5">
                  <c:v>2587</c:v>
                </c:pt>
                <c:pt idx="6">
                  <c:v>321</c:v>
                </c:pt>
                <c:pt idx="7">
                  <c:v>105</c:v>
                </c:pt>
                <c:pt idx="8">
                  <c:v>178</c:v>
                </c:pt>
                <c:pt idx="9">
                  <c:v>94</c:v>
                </c:pt>
                <c:pt idx="10">
                  <c:v>74</c:v>
                </c:pt>
                <c:pt idx="11">
                  <c:v>241</c:v>
                </c:pt>
                <c:pt idx="12">
                  <c:v>450</c:v>
                </c:pt>
                <c:pt idx="13">
                  <c:v>568</c:v>
                </c:pt>
                <c:pt idx="14">
                  <c:v>2995</c:v>
                </c:pt>
                <c:pt idx="15">
                  <c:v>20</c:v>
                </c:pt>
                <c:pt idx="16">
                  <c:v>22</c:v>
                </c:pt>
                <c:pt idx="17">
                  <c:v>57</c:v>
                </c:pt>
                <c:pt idx="18">
                  <c:v>121</c:v>
                </c:pt>
              </c:numCache>
            </c:numRef>
          </c:val>
          <c:extLst>
            <c:ext xmlns:c16="http://schemas.microsoft.com/office/drawing/2014/chart" uri="{C3380CC4-5D6E-409C-BE32-E72D297353CC}">
              <c16:uniqueId val="{00000009-A37F-2543-AF64-02AE30A49437}"/>
            </c:ext>
          </c:extLst>
        </c:ser>
        <c:ser>
          <c:idx val="10"/>
          <c:order val="10"/>
          <c:tx>
            <c:strRef>
              <c:f>All!$A$29</c:f>
              <c:strCache>
                <c:ptCount val="1"/>
                <c:pt idx="0">
                  <c:v>Nov</c:v>
                </c:pt>
              </c:strCache>
            </c:strRef>
          </c:tx>
          <c:spPr>
            <a:solidFill>
              <a:schemeClr val="accent5">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All!$B$29:$U$29</c:f>
              <c:numCache>
                <c:formatCode>General</c:formatCode>
                <c:ptCount val="20"/>
                <c:pt idx="1">
                  <c:v>33</c:v>
                </c:pt>
                <c:pt idx="2">
                  <c:v>20</c:v>
                </c:pt>
                <c:pt idx="3">
                  <c:v>28</c:v>
                </c:pt>
                <c:pt idx="4">
                  <c:v>10</c:v>
                </c:pt>
                <c:pt idx="5">
                  <c:v>642</c:v>
                </c:pt>
                <c:pt idx="6">
                  <c:v>9</c:v>
                </c:pt>
                <c:pt idx="7">
                  <c:v>19</c:v>
                </c:pt>
                <c:pt idx="8">
                  <c:v>31</c:v>
                </c:pt>
                <c:pt idx="9">
                  <c:v>6</c:v>
                </c:pt>
                <c:pt idx="10">
                  <c:v>4</c:v>
                </c:pt>
                <c:pt idx="11">
                  <c:v>8</c:v>
                </c:pt>
                <c:pt idx="12">
                  <c:v>4</c:v>
                </c:pt>
                <c:pt idx="13">
                  <c:v>158</c:v>
                </c:pt>
                <c:pt idx="14">
                  <c:v>68</c:v>
                </c:pt>
                <c:pt idx="15">
                  <c:v>9</c:v>
                </c:pt>
                <c:pt idx="17">
                  <c:v>1</c:v>
                </c:pt>
                <c:pt idx="18">
                  <c:v>78</c:v>
                </c:pt>
              </c:numCache>
            </c:numRef>
          </c:val>
          <c:extLst>
            <c:ext xmlns:c16="http://schemas.microsoft.com/office/drawing/2014/chart" uri="{C3380CC4-5D6E-409C-BE32-E72D297353CC}">
              <c16:uniqueId val="{0000000A-A37F-2543-AF64-02AE30A49437}"/>
            </c:ext>
          </c:extLst>
        </c:ser>
        <c:ser>
          <c:idx val="11"/>
          <c:order val="11"/>
          <c:tx>
            <c:strRef>
              <c:f>All!$A$30</c:f>
              <c:strCache>
                <c:ptCount val="1"/>
                <c:pt idx="0">
                  <c:v>Des</c:v>
                </c:pt>
              </c:strCache>
            </c:strRef>
          </c:tx>
          <c:spPr>
            <a:solidFill>
              <a:schemeClr val="accent6">
                <a:lumMod val="60000"/>
              </a:schemeClr>
            </a:solidFill>
            <a:ln/>
            <a:effectLst/>
            <a:sp3d/>
          </c:spPr>
          <c:cat>
            <c:numRef>
              <c:f>All!$B$18:$U$18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All!$B$30:$U$30</c:f>
              <c:numCache>
                <c:formatCode>General</c:formatCode>
                <c:ptCount val="20"/>
                <c:pt idx="1">
                  <c:v>10</c:v>
                </c:pt>
                <c:pt idx="3">
                  <c:v>1</c:v>
                </c:pt>
                <c:pt idx="4">
                  <c:v>7</c:v>
                </c:pt>
                <c:pt idx="5">
                  <c:v>9</c:v>
                </c:pt>
                <c:pt idx="6">
                  <c:v>5</c:v>
                </c:pt>
                <c:pt idx="8">
                  <c:v>1</c:v>
                </c:pt>
                <c:pt idx="9">
                  <c:v>4</c:v>
                </c:pt>
                <c:pt idx="11">
                  <c:v>2</c:v>
                </c:pt>
                <c:pt idx="13">
                  <c:v>1</c:v>
                </c:pt>
                <c:pt idx="14">
                  <c:v>6</c:v>
                </c:pt>
                <c:pt idx="17">
                  <c:v>1</c:v>
                </c:pt>
              </c:numCache>
            </c:numRef>
          </c:val>
          <c:extLst>
            <c:ext xmlns:c16="http://schemas.microsoft.com/office/drawing/2014/chart" uri="{C3380CC4-5D6E-409C-BE32-E72D297353CC}">
              <c16:uniqueId val="{0000000B-A37F-2543-AF64-02AE30A49437}"/>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151140992"/>
        <c:axId val="151142784"/>
        <c:axId val="150989888"/>
      </c:surface3DChart>
      <c:catAx>
        <c:axId val="151140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42784"/>
        <c:crosses val="autoZero"/>
        <c:auto val="1"/>
        <c:lblAlgn val="ctr"/>
        <c:lblOffset val="100"/>
        <c:noMultiLvlLbl val="0"/>
      </c:catAx>
      <c:valAx>
        <c:axId val="151142784"/>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US" sz="1400" b="0"/>
                  <a:t>Fire Count</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40992"/>
        <c:crosses val="autoZero"/>
        <c:crossBetween val="midCat"/>
      </c:valAx>
      <c:serAx>
        <c:axId val="15098988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42784"/>
        <c:crosses val="autoZero"/>
      </c:serAx>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74345828475296E-2"/>
          <c:y val="5.8856984982140405E-2"/>
          <c:w val="0.85281925966150784"/>
          <c:h val="0.7683354054427407"/>
        </c:manualLayout>
      </c:layout>
      <c:surface3DChart>
        <c:wireframe val="0"/>
        <c:ser>
          <c:idx val="0"/>
          <c:order val="0"/>
          <c:tx>
            <c:strRef>
              <c:f>All!$A$3</c:f>
              <c:strCache>
                <c:ptCount val="1"/>
                <c:pt idx="0">
                  <c:v>Jan</c:v>
                </c:pt>
              </c:strCache>
            </c:strRef>
          </c:tx>
          <c:spPr>
            <a:solidFill>
              <a:schemeClr val="accent1"/>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All!$B$3:$U$3</c:f>
              <c:numCache>
                <c:formatCode>General</c:formatCode>
                <c:ptCount val="20"/>
              </c:numCache>
            </c:numRef>
          </c:val>
          <c:extLst>
            <c:ext xmlns:c16="http://schemas.microsoft.com/office/drawing/2014/chart" uri="{C3380CC4-5D6E-409C-BE32-E72D297353CC}">
              <c16:uniqueId val="{00000000-CB90-C74A-A30C-9B8DF7586D2A}"/>
            </c:ext>
          </c:extLst>
        </c:ser>
        <c:ser>
          <c:idx val="1"/>
          <c:order val="1"/>
          <c:tx>
            <c:strRef>
              <c:f>All!$A$4</c:f>
              <c:strCache>
                <c:ptCount val="1"/>
                <c:pt idx="0">
                  <c:v>Feb</c:v>
                </c:pt>
              </c:strCache>
            </c:strRef>
          </c:tx>
          <c:spPr>
            <a:solidFill>
              <a:schemeClr val="accent2"/>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All!$B$4:$U$4</c:f>
              <c:numCache>
                <c:formatCode>General</c:formatCode>
                <c:ptCount val="20"/>
              </c:numCache>
            </c:numRef>
          </c:val>
          <c:extLst>
            <c:ext xmlns:c16="http://schemas.microsoft.com/office/drawing/2014/chart" uri="{C3380CC4-5D6E-409C-BE32-E72D297353CC}">
              <c16:uniqueId val="{00000001-CB90-C74A-A30C-9B8DF7586D2A}"/>
            </c:ext>
          </c:extLst>
        </c:ser>
        <c:ser>
          <c:idx val="2"/>
          <c:order val="2"/>
          <c:tx>
            <c:strRef>
              <c:f>All!$A$5</c:f>
              <c:strCache>
                <c:ptCount val="1"/>
                <c:pt idx="0">
                  <c:v>Mar</c:v>
                </c:pt>
              </c:strCache>
            </c:strRef>
          </c:tx>
          <c:spPr>
            <a:solidFill>
              <a:schemeClr val="accent3"/>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All!$B$5:$U$5</c:f>
              <c:numCache>
                <c:formatCode>General</c:formatCode>
                <c:ptCount val="20"/>
              </c:numCache>
            </c:numRef>
          </c:val>
          <c:extLst>
            <c:ext xmlns:c16="http://schemas.microsoft.com/office/drawing/2014/chart" uri="{C3380CC4-5D6E-409C-BE32-E72D297353CC}">
              <c16:uniqueId val="{00000002-CB90-C74A-A30C-9B8DF7586D2A}"/>
            </c:ext>
          </c:extLst>
        </c:ser>
        <c:ser>
          <c:idx val="3"/>
          <c:order val="3"/>
          <c:tx>
            <c:strRef>
              <c:f>All!$A$6</c:f>
              <c:strCache>
                <c:ptCount val="1"/>
                <c:pt idx="0">
                  <c:v>Apr</c:v>
                </c:pt>
              </c:strCache>
            </c:strRef>
          </c:tx>
          <c:spPr>
            <a:solidFill>
              <a:schemeClr val="accent4"/>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All!$B$6:$U$6</c:f>
              <c:numCache>
                <c:formatCode>General</c:formatCode>
                <c:ptCount val="20"/>
              </c:numCache>
            </c:numRef>
          </c:val>
          <c:extLst>
            <c:ext xmlns:c16="http://schemas.microsoft.com/office/drawing/2014/chart" uri="{C3380CC4-5D6E-409C-BE32-E72D297353CC}">
              <c16:uniqueId val="{00000003-CB90-C74A-A30C-9B8DF7586D2A}"/>
            </c:ext>
          </c:extLst>
        </c:ser>
        <c:ser>
          <c:idx val="4"/>
          <c:order val="4"/>
          <c:tx>
            <c:strRef>
              <c:f>All!$A$7</c:f>
              <c:strCache>
                <c:ptCount val="1"/>
                <c:pt idx="0">
                  <c:v>May</c:v>
                </c:pt>
              </c:strCache>
            </c:strRef>
          </c:tx>
          <c:spPr>
            <a:solidFill>
              <a:schemeClr val="accent5"/>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All!$B$7:$U$7</c:f>
              <c:numCache>
                <c:formatCode>General</c:formatCode>
                <c:ptCount val="20"/>
              </c:numCache>
            </c:numRef>
          </c:val>
          <c:extLst>
            <c:ext xmlns:c16="http://schemas.microsoft.com/office/drawing/2014/chart" uri="{C3380CC4-5D6E-409C-BE32-E72D297353CC}">
              <c16:uniqueId val="{00000004-CB90-C74A-A30C-9B8DF7586D2A}"/>
            </c:ext>
          </c:extLst>
        </c:ser>
        <c:ser>
          <c:idx val="5"/>
          <c:order val="5"/>
          <c:tx>
            <c:strRef>
              <c:f>All!$A$8</c:f>
              <c:strCache>
                <c:ptCount val="1"/>
                <c:pt idx="0">
                  <c:v>Jun</c:v>
                </c:pt>
              </c:strCache>
            </c:strRef>
          </c:tx>
          <c:spPr>
            <a:solidFill>
              <a:schemeClr val="accent6"/>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All!$B$8:$U$8</c:f>
              <c:numCache>
                <c:formatCode>General</c:formatCode>
                <c:ptCount val="20"/>
                <c:pt idx="11">
                  <c:v>1</c:v>
                </c:pt>
                <c:pt idx="13">
                  <c:v>5</c:v>
                </c:pt>
              </c:numCache>
            </c:numRef>
          </c:val>
          <c:extLst>
            <c:ext xmlns:c16="http://schemas.microsoft.com/office/drawing/2014/chart" uri="{C3380CC4-5D6E-409C-BE32-E72D297353CC}">
              <c16:uniqueId val="{00000005-CB90-C74A-A30C-9B8DF7586D2A}"/>
            </c:ext>
          </c:extLst>
        </c:ser>
        <c:ser>
          <c:idx val="6"/>
          <c:order val="6"/>
          <c:tx>
            <c:strRef>
              <c:f>All!$A$9</c:f>
              <c:strCache>
                <c:ptCount val="1"/>
                <c:pt idx="0">
                  <c:v>Jul</c:v>
                </c:pt>
              </c:strCache>
            </c:strRef>
          </c:tx>
          <c:spPr>
            <a:solidFill>
              <a:schemeClr val="accent1">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All!$B$9:$U$9</c:f>
              <c:numCache>
                <c:formatCode>General</c:formatCode>
                <c:ptCount val="20"/>
                <c:pt idx="2">
                  <c:v>4</c:v>
                </c:pt>
                <c:pt idx="12">
                  <c:v>1</c:v>
                </c:pt>
                <c:pt idx="13">
                  <c:v>11</c:v>
                </c:pt>
                <c:pt idx="14">
                  <c:v>6</c:v>
                </c:pt>
                <c:pt idx="16">
                  <c:v>1</c:v>
                </c:pt>
                <c:pt idx="17">
                  <c:v>1</c:v>
                </c:pt>
                <c:pt idx="19">
                  <c:v>1</c:v>
                </c:pt>
              </c:numCache>
            </c:numRef>
          </c:val>
          <c:extLst>
            <c:ext xmlns:c16="http://schemas.microsoft.com/office/drawing/2014/chart" uri="{C3380CC4-5D6E-409C-BE32-E72D297353CC}">
              <c16:uniqueId val="{00000006-CB90-C74A-A30C-9B8DF7586D2A}"/>
            </c:ext>
          </c:extLst>
        </c:ser>
        <c:ser>
          <c:idx val="7"/>
          <c:order val="7"/>
          <c:tx>
            <c:strRef>
              <c:f>All!$A$10</c:f>
              <c:strCache>
                <c:ptCount val="1"/>
                <c:pt idx="0">
                  <c:v>Aug</c:v>
                </c:pt>
              </c:strCache>
            </c:strRef>
          </c:tx>
          <c:spPr>
            <a:solidFill>
              <a:schemeClr val="accent2">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All!$B$10:$U$10</c:f>
              <c:numCache>
                <c:formatCode>General</c:formatCode>
                <c:ptCount val="20"/>
                <c:pt idx="1">
                  <c:v>25</c:v>
                </c:pt>
                <c:pt idx="2">
                  <c:v>13</c:v>
                </c:pt>
                <c:pt idx="3">
                  <c:v>39</c:v>
                </c:pt>
                <c:pt idx="4">
                  <c:v>12</c:v>
                </c:pt>
                <c:pt idx="5">
                  <c:v>13</c:v>
                </c:pt>
                <c:pt idx="6">
                  <c:v>1</c:v>
                </c:pt>
                <c:pt idx="7">
                  <c:v>4</c:v>
                </c:pt>
                <c:pt idx="8">
                  <c:v>28</c:v>
                </c:pt>
                <c:pt idx="10">
                  <c:v>12</c:v>
                </c:pt>
                <c:pt idx="11">
                  <c:v>8</c:v>
                </c:pt>
                <c:pt idx="12">
                  <c:v>4</c:v>
                </c:pt>
                <c:pt idx="13">
                  <c:v>7</c:v>
                </c:pt>
                <c:pt idx="14">
                  <c:v>20</c:v>
                </c:pt>
                <c:pt idx="15">
                  <c:v>5</c:v>
                </c:pt>
                <c:pt idx="17">
                  <c:v>6</c:v>
                </c:pt>
                <c:pt idx="18">
                  <c:v>10</c:v>
                </c:pt>
                <c:pt idx="19">
                  <c:v>1</c:v>
                </c:pt>
              </c:numCache>
            </c:numRef>
          </c:val>
          <c:extLst>
            <c:ext xmlns:c16="http://schemas.microsoft.com/office/drawing/2014/chart" uri="{C3380CC4-5D6E-409C-BE32-E72D297353CC}">
              <c16:uniqueId val="{00000007-CB90-C74A-A30C-9B8DF7586D2A}"/>
            </c:ext>
          </c:extLst>
        </c:ser>
        <c:ser>
          <c:idx val="8"/>
          <c:order val="8"/>
          <c:tx>
            <c:strRef>
              <c:f>All!$A$11</c:f>
              <c:strCache>
                <c:ptCount val="1"/>
                <c:pt idx="0">
                  <c:v>Sep</c:v>
                </c:pt>
              </c:strCache>
            </c:strRef>
          </c:tx>
          <c:spPr>
            <a:solidFill>
              <a:schemeClr val="accent3">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All!$B$11:$U$11</c:f>
              <c:numCache>
                <c:formatCode>General</c:formatCode>
                <c:ptCount val="20"/>
                <c:pt idx="2">
                  <c:v>8</c:v>
                </c:pt>
                <c:pt idx="3">
                  <c:v>2</c:v>
                </c:pt>
                <c:pt idx="4">
                  <c:v>3</c:v>
                </c:pt>
                <c:pt idx="5">
                  <c:v>3</c:v>
                </c:pt>
                <c:pt idx="6">
                  <c:v>1</c:v>
                </c:pt>
                <c:pt idx="7">
                  <c:v>2</c:v>
                </c:pt>
                <c:pt idx="8">
                  <c:v>11</c:v>
                </c:pt>
                <c:pt idx="9">
                  <c:v>1</c:v>
                </c:pt>
                <c:pt idx="11">
                  <c:v>4</c:v>
                </c:pt>
                <c:pt idx="12">
                  <c:v>1</c:v>
                </c:pt>
                <c:pt idx="13">
                  <c:v>4</c:v>
                </c:pt>
                <c:pt idx="14">
                  <c:v>3</c:v>
                </c:pt>
                <c:pt idx="15">
                  <c:v>2</c:v>
                </c:pt>
                <c:pt idx="16">
                  <c:v>1</c:v>
                </c:pt>
                <c:pt idx="17">
                  <c:v>2</c:v>
                </c:pt>
                <c:pt idx="18">
                  <c:v>8</c:v>
                </c:pt>
              </c:numCache>
            </c:numRef>
          </c:val>
          <c:extLst>
            <c:ext xmlns:c16="http://schemas.microsoft.com/office/drawing/2014/chart" uri="{C3380CC4-5D6E-409C-BE32-E72D297353CC}">
              <c16:uniqueId val="{00000008-CB90-C74A-A30C-9B8DF7586D2A}"/>
            </c:ext>
          </c:extLst>
        </c:ser>
        <c:ser>
          <c:idx val="9"/>
          <c:order val="9"/>
          <c:tx>
            <c:strRef>
              <c:f>All!$A$12</c:f>
              <c:strCache>
                <c:ptCount val="1"/>
                <c:pt idx="0">
                  <c:v>Oct</c:v>
                </c:pt>
              </c:strCache>
            </c:strRef>
          </c:tx>
          <c:spPr>
            <a:solidFill>
              <a:schemeClr val="accent4">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All!$B$12:$U$12</c:f>
              <c:numCache>
                <c:formatCode>General</c:formatCode>
                <c:ptCount val="20"/>
                <c:pt idx="3">
                  <c:v>1</c:v>
                </c:pt>
                <c:pt idx="5">
                  <c:v>4</c:v>
                </c:pt>
                <c:pt idx="13">
                  <c:v>2</c:v>
                </c:pt>
                <c:pt idx="14">
                  <c:v>1</c:v>
                </c:pt>
              </c:numCache>
            </c:numRef>
          </c:val>
          <c:extLst>
            <c:ext xmlns:c16="http://schemas.microsoft.com/office/drawing/2014/chart" uri="{C3380CC4-5D6E-409C-BE32-E72D297353CC}">
              <c16:uniqueId val="{00000009-CB90-C74A-A30C-9B8DF7586D2A}"/>
            </c:ext>
          </c:extLst>
        </c:ser>
        <c:ser>
          <c:idx val="10"/>
          <c:order val="10"/>
          <c:tx>
            <c:strRef>
              <c:f>All!$A$13</c:f>
              <c:strCache>
                <c:ptCount val="1"/>
                <c:pt idx="0">
                  <c:v>Nov</c:v>
                </c:pt>
              </c:strCache>
            </c:strRef>
          </c:tx>
          <c:spPr>
            <a:solidFill>
              <a:schemeClr val="accent5">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All!$B$13:$U$13</c:f>
              <c:numCache>
                <c:formatCode>General</c:formatCode>
                <c:ptCount val="20"/>
              </c:numCache>
            </c:numRef>
          </c:val>
          <c:extLst>
            <c:ext xmlns:c16="http://schemas.microsoft.com/office/drawing/2014/chart" uri="{C3380CC4-5D6E-409C-BE32-E72D297353CC}">
              <c16:uniqueId val="{0000000A-CB90-C74A-A30C-9B8DF7586D2A}"/>
            </c:ext>
          </c:extLst>
        </c:ser>
        <c:ser>
          <c:idx val="11"/>
          <c:order val="11"/>
          <c:tx>
            <c:strRef>
              <c:f>All!$A$14</c:f>
              <c:strCache>
                <c:ptCount val="1"/>
                <c:pt idx="0">
                  <c:v>Des</c:v>
                </c:pt>
              </c:strCache>
            </c:strRef>
          </c:tx>
          <c:spPr>
            <a:solidFill>
              <a:schemeClr val="accent6">
                <a:lumMod val="60000"/>
              </a:schemeClr>
            </a:solidFill>
            <a:ln/>
            <a:effectLst/>
            <a:sp3d/>
          </c:spPr>
          <c:cat>
            <c:numRef>
              <c:f>All!$B$2:$U$2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All!$B$14:$U$14</c:f>
              <c:numCache>
                <c:formatCode>General</c:formatCode>
                <c:ptCount val="20"/>
              </c:numCache>
            </c:numRef>
          </c:val>
          <c:extLst>
            <c:ext xmlns:c16="http://schemas.microsoft.com/office/drawing/2014/chart" uri="{C3380CC4-5D6E-409C-BE32-E72D297353CC}">
              <c16:uniqueId val="{0000000B-CB90-C74A-A30C-9B8DF7586D2A}"/>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151284736"/>
        <c:axId val="151294720"/>
        <c:axId val="151270720"/>
      </c:surface3DChart>
      <c:catAx>
        <c:axId val="151284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94720"/>
        <c:crosses val="autoZero"/>
        <c:auto val="1"/>
        <c:lblAlgn val="ctr"/>
        <c:lblOffset val="100"/>
        <c:noMultiLvlLbl val="0"/>
      </c:catAx>
      <c:valAx>
        <c:axId val="15129472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Fire Count</a:t>
                </a:r>
              </a:p>
            </c:rich>
          </c:tx>
          <c:layout>
            <c:manualLayout>
              <c:xMode val="edge"/>
              <c:yMode val="edge"/>
              <c:x val="1.507147306383862E-2"/>
              <c:y val="0.280259704379057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84736"/>
        <c:crosses val="autoZero"/>
        <c:crossBetween val="midCat"/>
      </c:valAx>
      <c:serAx>
        <c:axId val="15127072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94720"/>
        <c:crosses val="autoZero"/>
      </c:serAx>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31097709135242474"/>
          <c:y val="0.89511534742367727"/>
          <c:w val="0.3821023994718713"/>
          <c:h val="8.3686562080503291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manualLayout>
          <c:layoutTarget val="inner"/>
          <c:xMode val="edge"/>
          <c:yMode val="edge"/>
          <c:x val="0.15720555801668165"/>
          <c:y val="0.10467326632402459"/>
          <c:w val="0.78327831525596503"/>
          <c:h val="0.60291870268628001"/>
        </c:manualLayout>
      </c:layout>
      <c:barChart>
        <c:barDir val="col"/>
        <c:grouping val="clustered"/>
        <c:varyColors val="0"/>
        <c:ser>
          <c:idx val="0"/>
          <c:order val="0"/>
          <c:tx>
            <c:strRef>
              <c:f>All!$A$62</c:f>
              <c:strCache>
                <c:ptCount val="1"/>
                <c:pt idx="0">
                  <c:v>Combine</c:v>
                </c:pt>
              </c:strCache>
            </c:strRef>
          </c:tx>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73C9-724C-B407-1763FC9495F9}"/>
              </c:ext>
            </c:extLst>
          </c:dPt>
          <c:dPt>
            <c:idx val="3"/>
            <c:invertIfNegative val="0"/>
            <c:bubble3D val="0"/>
            <c:spPr>
              <a:solidFill>
                <a:srgbClr val="FF0000"/>
              </a:solidFill>
              <a:ln>
                <a:noFill/>
              </a:ln>
              <a:effectLst/>
            </c:spPr>
            <c:extLst>
              <c:ext xmlns:c16="http://schemas.microsoft.com/office/drawing/2014/chart" uri="{C3380CC4-5D6E-409C-BE32-E72D297353CC}">
                <c16:uniqueId val="{00000003-73C9-724C-B407-1763FC9495F9}"/>
              </c:ext>
            </c:extLst>
          </c:dPt>
          <c:dPt>
            <c:idx val="5"/>
            <c:invertIfNegative val="0"/>
            <c:bubble3D val="0"/>
            <c:spPr>
              <a:solidFill>
                <a:srgbClr val="FF0000"/>
              </a:solidFill>
              <a:ln>
                <a:noFill/>
              </a:ln>
              <a:effectLst/>
            </c:spPr>
            <c:extLst>
              <c:ext xmlns:c16="http://schemas.microsoft.com/office/drawing/2014/chart" uri="{C3380CC4-5D6E-409C-BE32-E72D297353CC}">
                <c16:uniqueId val="{00000005-73C9-724C-B407-1763FC9495F9}"/>
              </c:ext>
            </c:extLst>
          </c:dPt>
          <c:dPt>
            <c:idx val="8"/>
            <c:invertIfNegative val="0"/>
            <c:bubble3D val="0"/>
            <c:spPr>
              <a:solidFill>
                <a:srgbClr val="FF0000"/>
              </a:solidFill>
              <a:ln>
                <a:noFill/>
              </a:ln>
              <a:effectLst/>
            </c:spPr>
            <c:extLst>
              <c:ext xmlns:c16="http://schemas.microsoft.com/office/drawing/2014/chart" uri="{C3380CC4-5D6E-409C-BE32-E72D297353CC}">
                <c16:uniqueId val="{00000007-73C9-724C-B407-1763FC9495F9}"/>
              </c:ext>
            </c:extLst>
          </c:dPt>
          <c:dPt>
            <c:idx val="14"/>
            <c:invertIfNegative val="0"/>
            <c:bubble3D val="0"/>
            <c:spPr>
              <a:solidFill>
                <a:srgbClr val="FF0000"/>
              </a:solidFill>
              <a:ln>
                <a:noFill/>
              </a:ln>
              <a:effectLst/>
            </c:spPr>
            <c:extLst>
              <c:ext xmlns:c16="http://schemas.microsoft.com/office/drawing/2014/chart" uri="{C3380CC4-5D6E-409C-BE32-E72D297353CC}">
                <c16:uniqueId val="{00000009-73C9-724C-B407-1763FC9495F9}"/>
              </c:ext>
            </c:extLst>
          </c:dPt>
          <c:dPt>
            <c:idx val="18"/>
            <c:invertIfNegative val="0"/>
            <c:bubble3D val="0"/>
            <c:spPr>
              <a:solidFill>
                <a:srgbClr val="FF0000"/>
              </a:solidFill>
              <a:ln>
                <a:noFill/>
              </a:ln>
              <a:effectLst/>
            </c:spPr>
            <c:extLst>
              <c:ext xmlns:c16="http://schemas.microsoft.com/office/drawing/2014/chart" uri="{C3380CC4-5D6E-409C-BE32-E72D297353CC}">
                <c16:uniqueId val="{0000000B-73C9-724C-B407-1763FC9495F9}"/>
              </c:ext>
            </c:extLst>
          </c:dPt>
          <c:cat>
            <c:numRef>
              <c:f>All!$B$61:$U$61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All!$B$62:$U$62</c:f>
              <c:numCache>
                <c:formatCode>General</c:formatCode>
                <c:ptCount val="20"/>
                <c:pt idx="0">
                  <c:v>1425</c:v>
                </c:pt>
                <c:pt idx="1">
                  <c:v>20891</c:v>
                </c:pt>
                <c:pt idx="2">
                  <c:v>7357</c:v>
                </c:pt>
                <c:pt idx="3">
                  <c:v>14567</c:v>
                </c:pt>
                <c:pt idx="4">
                  <c:v>5852</c:v>
                </c:pt>
                <c:pt idx="5">
                  <c:v>23948</c:v>
                </c:pt>
                <c:pt idx="6">
                  <c:v>3761</c:v>
                </c:pt>
                <c:pt idx="7">
                  <c:v>2680</c:v>
                </c:pt>
                <c:pt idx="8">
                  <c:v>16217</c:v>
                </c:pt>
                <c:pt idx="9">
                  <c:v>1182</c:v>
                </c:pt>
                <c:pt idx="10">
                  <c:v>5778</c:v>
                </c:pt>
                <c:pt idx="11">
                  <c:v>6588</c:v>
                </c:pt>
                <c:pt idx="12">
                  <c:v>4050</c:v>
                </c:pt>
                <c:pt idx="13">
                  <c:v>12193</c:v>
                </c:pt>
                <c:pt idx="14">
                  <c:v>24406</c:v>
                </c:pt>
                <c:pt idx="15">
                  <c:v>1775</c:v>
                </c:pt>
                <c:pt idx="16">
                  <c:v>700</c:v>
                </c:pt>
                <c:pt idx="17">
                  <c:v>4281</c:v>
                </c:pt>
                <c:pt idx="18">
                  <c:v>13459</c:v>
                </c:pt>
                <c:pt idx="19">
                  <c:v>405</c:v>
                </c:pt>
              </c:numCache>
            </c:numRef>
          </c:val>
          <c:extLst>
            <c:ext xmlns:c16="http://schemas.microsoft.com/office/drawing/2014/chart" uri="{C3380CC4-5D6E-409C-BE32-E72D297353CC}">
              <c16:uniqueId val="{0000000C-73C9-724C-B407-1763FC9495F9}"/>
            </c:ext>
          </c:extLst>
        </c:ser>
        <c:dLbls>
          <c:showLegendKey val="0"/>
          <c:showVal val="0"/>
          <c:showCatName val="0"/>
          <c:showSerName val="0"/>
          <c:showPercent val="0"/>
          <c:showBubbleSize val="0"/>
        </c:dLbls>
        <c:gapWidth val="150"/>
        <c:axId val="151325696"/>
        <c:axId val="151339776"/>
      </c:barChart>
      <c:lineChart>
        <c:grouping val="standard"/>
        <c:varyColors val="0"/>
        <c:ser>
          <c:idx val="1"/>
          <c:order val="1"/>
          <c:tx>
            <c:strRef>
              <c:f>All!$A$63</c:f>
              <c:strCache>
                <c:ptCount val="1"/>
                <c:pt idx="0">
                  <c:v>Primary Forest</c:v>
                </c:pt>
              </c:strCache>
            </c:strRef>
          </c:tx>
          <c:spPr>
            <a:ln w="28575" cap="rnd">
              <a:solidFill>
                <a:schemeClr val="tx1"/>
              </a:solidFill>
              <a:round/>
            </a:ln>
            <a:effectLst/>
          </c:spPr>
          <c:marker>
            <c:symbol val="none"/>
          </c:marker>
          <c:cat>
            <c:numRef>
              <c:f>All!$B$61:$U$61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All!$B$63:$U$63</c:f>
              <c:numCache>
                <c:formatCode>General</c:formatCode>
                <c:ptCount val="20"/>
                <c:pt idx="0">
                  <c:v>0</c:v>
                </c:pt>
                <c:pt idx="1">
                  <c:v>25</c:v>
                </c:pt>
                <c:pt idx="2">
                  <c:v>25</c:v>
                </c:pt>
                <c:pt idx="3">
                  <c:v>42</c:v>
                </c:pt>
                <c:pt idx="4">
                  <c:v>15</c:v>
                </c:pt>
                <c:pt idx="5">
                  <c:v>20</c:v>
                </c:pt>
                <c:pt idx="6">
                  <c:v>2</c:v>
                </c:pt>
                <c:pt idx="7">
                  <c:v>6</c:v>
                </c:pt>
                <c:pt idx="8">
                  <c:v>39</c:v>
                </c:pt>
                <c:pt idx="9">
                  <c:v>1</c:v>
                </c:pt>
                <c:pt idx="10">
                  <c:v>12</c:v>
                </c:pt>
                <c:pt idx="11">
                  <c:v>13</c:v>
                </c:pt>
                <c:pt idx="12">
                  <c:v>6</c:v>
                </c:pt>
                <c:pt idx="13">
                  <c:v>29</c:v>
                </c:pt>
                <c:pt idx="14">
                  <c:v>30</c:v>
                </c:pt>
                <c:pt idx="15">
                  <c:v>7</c:v>
                </c:pt>
                <c:pt idx="16">
                  <c:v>2</c:v>
                </c:pt>
                <c:pt idx="17">
                  <c:v>9</c:v>
                </c:pt>
                <c:pt idx="18">
                  <c:v>18</c:v>
                </c:pt>
                <c:pt idx="19">
                  <c:v>2</c:v>
                </c:pt>
              </c:numCache>
            </c:numRef>
          </c:val>
          <c:smooth val="0"/>
          <c:extLst>
            <c:ext xmlns:c16="http://schemas.microsoft.com/office/drawing/2014/chart" uri="{C3380CC4-5D6E-409C-BE32-E72D297353CC}">
              <c16:uniqueId val="{0000000D-73C9-724C-B407-1763FC9495F9}"/>
            </c:ext>
          </c:extLst>
        </c:ser>
        <c:dLbls>
          <c:showLegendKey val="0"/>
          <c:showVal val="0"/>
          <c:showCatName val="0"/>
          <c:showSerName val="0"/>
          <c:showPercent val="0"/>
          <c:showBubbleSize val="0"/>
        </c:dLbls>
        <c:marker val="1"/>
        <c:smooth val="0"/>
        <c:axId val="151347584"/>
        <c:axId val="151341696"/>
      </c:lineChart>
      <c:catAx>
        <c:axId val="1513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39776"/>
        <c:crosses val="autoZero"/>
        <c:auto val="1"/>
        <c:lblAlgn val="ctr"/>
        <c:lblOffset val="100"/>
        <c:noMultiLvlLbl val="0"/>
      </c:catAx>
      <c:valAx>
        <c:axId val="15133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Fire 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25696"/>
        <c:crosses val="autoZero"/>
        <c:crossBetween val="between"/>
      </c:valAx>
      <c:valAx>
        <c:axId val="1513416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47584"/>
        <c:crosses val="max"/>
        <c:crossBetween val="between"/>
      </c:valAx>
      <c:catAx>
        <c:axId val="151347584"/>
        <c:scaling>
          <c:orientation val="minMax"/>
        </c:scaling>
        <c:delete val="1"/>
        <c:axPos val="b"/>
        <c:numFmt formatCode="General" sourceLinked="1"/>
        <c:majorTickMark val="none"/>
        <c:minorTickMark val="none"/>
        <c:tickLblPos val="nextTo"/>
        <c:crossAx val="151341696"/>
        <c:crosses val="autoZero"/>
        <c:auto val="1"/>
        <c:lblAlgn val="ctr"/>
        <c:lblOffset val="100"/>
        <c:noMultiLvlLbl val="0"/>
      </c:catAx>
      <c:spPr>
        <a:noFill/>
        <a:ln>
          <a:noFill/>
        </a:ln>
        <a:effectLst/>
      </c:spPr>
    </c:plotArea>
    <c:legend>
      <c:legendPos val="b"/>
      <c:layout>
        <c:manualLayout>
          <c:xMode val="edge"/>
          <c:yMode val="edge"/>
          <c:x val="0.30121668548237279"/>
          <c:y val="0.86519009882607123"/>
          <c:w val="0.40724599987614979"/>
          <c:h val="7.05012195019030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'Primary x El Nino'!$A$4</c:f>
              <c:strCache>
                <c:ptCount val="1"/>
                <c:pt idx="0">
                  <c:v>Primary Forest Fire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'Primary x El Nino'!$B$3:$IG$3</c:f>
              <c:numCache>
                <c:formatCode>mmm\-yy</c:formatCode>
                <c:ptCount val="240"/>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numCache>
            </c:numRef>
          </c:cat>
          <c:val>
            <c:numRef>
              <c:f>'Primary x El Nino'!$B$4:$IG$4</c:f>
              <c:numCache>
                <c:formatCode>General</c:formatCode>
                <c:ptCount val="2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25</c:v>
                </c:pt>
                <c:pt idx="20">
                  <c:v>0</c:v>
                </c:pt>
                <c:pt idx="21">
                  <c:v>0</c:v>
                </c:pt>
                <c:pt idx="22">
                  <c:v>0</c:v>
                </c:pt>
                <c:pt idx="23">
                  <c:v>0</c:v>
                </c:pt>
                <c:pt idx="24">
                  <c:v>0</c:v>
                </c:pt>
                <c:pt idx="25">
                  <c:v>0</c:v>
                </c:pt>
                <c:pt idx="26">
                  <c:v>0</c:v>
                </c:pt>
                <c:pt idx="27">
                  <c:v>0</c:v>
                </c:pt>
                <c:pt idx="28">
                  <c:v>0</c:v>
                </c:pt>
                <c:pt idx="29">
                  <c:v>0</c:v>
                </c:pt>
                <c:pt idx="30">
                  <c:v>4</c:v>
                </c:pt>
                <c:pt idx="31">
                  <c:v>13</c:v>
                </c:pt>
                <c:pt idx="32">
                  <c:v>8</c:v>
                </c:pt>
                <c:pt idx="33">
                  <c:v>0</c:v>
                </c:pt>
                <c:pt idx="34">
                  <c:v>0</c:v>
                </c:pt>
                <c:pt idx="35">
                  <c:v>0</c:v>
                </c:pt>
                <c:pt idx="36">
                  <c:v>0</c:v>
                </c:pt>
                <c:pt idx="37">
                  <c:v>0</c:v>
                </c:pt>
                <c:pt idx="38">
                  <c:v>0</c:v>
                </c:pt>
                <c:pt idx="39">
                  <c:v>0</c:v>
                </c:pt>
                <c:pt idx="40">
                  <c:v>0</c:v>
                </c:pt>
                <c:pt idx="41">
                  <c:v>0</c:v>
                </c:pt>
                <c:pt idx="42">
                  <c:v>0</c:v>
                </c:pt>
                <c:pt idx="43">
                  <c:v>39</c:v>
                </c:pt>
                <c:pt idx="44">
                  <c:v>2</c:v>
                </c:pt>
                <c:pt idx="45">
                  <c:v>1</c:v>
                </c:pt>
                <c:pt idx="46">
                  <c:v>0</c:v>
                </c:pt>
                <c:pt idx="47">
                  <c:v>0</c:v>
                </c:pt>
                <c:pt idx="48">
                  <c:v>0</c:v>
                </c:pt>
                <c:pt idx="49">
                  <c:v>0</c:v>
                </c:pt>
                <c:pt idx="50">
                  <c:v>0</c:v>
                </c:pt>
                <c:pt idx="51">
                  <c:v>0</c:v>
                </c:pt>
                <c:pt idx="52">
                  <c:v>0</c:v>
                </c:pt>
                <c:pt idx="53">
                  <c:v>0</c:v>
                </c:pt>
                <c:pt idx="54">
                  <c:v>0</c:v>
                </c:pt>
                <c:pt idx="55">
                  <c:v>12</c:v>
                </c:pt>
                <c:pt idx="56">
                  <c:v>3</c:v>
                </c:pt>
                <c:pt idx="57">
                  <c:v>0</c:v>
                </c:pt>
                <c:pt idx="58">
                  <c:v>0</c:v>
                </c:pt>
                <c:pt idx="59">
                  <c:v>0</c:v>
                </c:pt>
                <c:pt idx="60">
                  <c:v>0</c:v>
                </c:pt>
                <c:pt idx="61">
                  <c:v>0</c:v>
                </c:pt>
                <c:pt idx="62">
                  <c:v>0</c:v>
                </c:pt>
                <c:pt idx="63">
                  <c:v>0</c:v>
                </c:pt>
                <c:pt idx="64">
                  <c:v>0</c:v>
                </c:pt>
                <c:pt idx="65">
                  <c:v>0</c:v>
                </c:pt>
                <c:pt idx="66">
                  <c:v>0</c:v>
                </c:pt>
                <c:pt idx="67">
                  <c:v>13</c:v>
                </c:pt>
                <c:pt idx="68">
                  <c:v>3</c:v>
                </c:pt>
                <c:pt idx="69">
                  <c:v>4</c:v>
                </c:pt>
                <c:pt idx="70">
                  <c:v>0</c:v>
                </c:pt>
                <c:pt idx="71">
                  <c:v>0</c:v>
                </c:pt>
                <c:pt idx="72">
                  <c:v>0</c:v>
                </c:pt>
                <c:pt idx="73">
                  <c:v>0</c:v>
                </c:pt>
                <c:pt idx="74">
                  <c:v>0</c:v>
                </c:pt>
                <c:pt idx="75">
                  <c:v>0</c:v>
                </c:pt>
                <c:pt idx="76">
                  <c:v>0</c:v>
                </c:pt>
                <c:pt idx="77">
                  <c:v>0</c:v>
                </c:pt>
                <c:pt idx="78">
                  <c:v>0</c:v>
                </c:pt>
                <c:pt idx="79">
                  <c:v>1</c:v>
                </c:pt>
                <c:pt idx="80">
                  <c:v>1</c:v>
                </c:pt>
                <c:pt idx="81">
                  <c:v>0</c:v>
                </c:pt>
                <c:pt idx="82">
                  <c:v>0</c:v>
                </c:pt>
                <c:pt idx="83">
                  <c:v>0</c:v>
                </c:pt>
                <c:pt idx="84">
                  <c:v>0</c:v>
                </c:pt>
                <c:pt idx="85">
                  <c:v>0</c:v>
                </c:pt>
                <c:pt idx="86">
                  <c:v>0</c:v>
                </c:pt>
                <c:pt idx="87">
                  <c:v>0</c:v>
                </c:pt>
                <c:pt idx="88">
                  <c:v>0</c:v>
                </c:pt>
                <c:pt idx="89">
                  <c:v>0</c:v>
                </c:pt>
                <c:pt idx="90">
                  <c:v>0</c:v>
                </c:pt>
                <c:pt idx="91">
                  <c:v>4</c:v>
                </c:pt>
                <c:pt idx="92">
                  <c:v>2</c:v>
                </c:pt>
                <c:pt idx="93">
                  <c:v>0</c:v>
                </c:pt>
                <c:pt idx="94">
                  <c:v>0</c:v>
                </c:pt>
                <c:pt idx="95">
                  <c:v>0</c:v>
                </c:pt>
                <c:pt idx="96">
                  <c:v>0</c:v>
                </c:pt>
                <c:pt idx="97">
                  <c:v>0</c:v>
                </c:pt>
                <c:pt idx="98">
                  <c:v>0</c:v>
                </c:pt>
                <c:pt idx="99">
                  <c:v>0</c:v>
                </c:pt>
                <c:pt idx="100">
                  <c:v>0</c:v>
                </c:pt>
                <c:pt idx="101">
                  <c:v>0</c:v>
                </c:pt>
                <c:pt idx="102">
                  <c:v>0</c:v>
                </c:pt>
                <c:pt idx="103">
                  <c:v>28</c:v>
                </c:pt>
                <c:pt idx="104">
                  <c:v>11</c:v>
                </c:pt>
                <c:pt idx="105">
                  <c:v>0</c:v>
                </c:pt>
                <c:pt idx="106">
                  <c:v>0</c:v>
                </c:pt>
                <c:pt idx="107">
                  <c:v>0</c:v>
                </c:pt>
                <c:pt idx="108">
                  <c:v>0</c:v>
                </c:pt>
                <c:pt idx="109">
                  <c:v>0</c:v>
                </c:pt>
                <c:pt idx="110">
                  <c:v>0</c:v>
                </c:pt>
                <c:pt idx="111">
                  <c:v>0</c:v>
                </c:pt>
                <c:pt idx="112">
                  <c:v>0</c:v>
                </c:pt>
                <c:pt idx="113">
                  <c:v>0</c:v>
                </c:pt>
                <c:pt idx="114">
                  <c:v>0</c:v>
                </c:pt>
                <c:pt idx="115">
                  <c:v>0</c:v>
                </c:pt>
                <c:pt idx="116">
                  <c:v>1</c:v>
                </c:pt>
                <c:pt idx="117">
                  <c:v>0</c:v>
                </c:pt>
                <c:pt idx="118">
                  <c:v>0</c:v>
                </c:pt>
                <c:pt idx="119">
                  <c:v>0</c:v>
                </c:pt>
                <c:pt idx="120">
                  <c:v>0</c:v>
                </c:pt>
                <c:pt idx="121">
                  <c:v>0</c:v>
                </c:pt>
                <c:pt idx="122">
                  <c:v>0</c:v>
                </c:pt>
                <c:pt idx="123">
                  <c:v>0</c:v>
                </c:pt>
                <c:pt idx="124">
                  <c:v>0</c:v>
                </c:pt>
                <c:pt idx="125">
                  <c:v>0</c:v>
                </c:pt>
                <c:pt idx="126">
                  <c:v>0</c:v>
                </c:pt>
                <c:pt idx="127">
                  <c:v>12</c:v>
                </c:pt>
                <c:pt idx="128">
                  <c:v>0</c:v>
                </c:pt>
                <c:pt idx="129">
                  <c:v>0</c:v>
                </c:pt>
                <c:pt idx="130">
                  <c:v>0</c:v>
                </c:pt>
                <c:pt idx="131">
                  <c:v>0</c:v>
                </c:pt>
                <c:pt idx="132">
                  <c:v>0</c:v>
                </c:pt>
                <c:pt idx="133">
                  <c:v>0</c:v>
                </c:pt>
                <c:pt idx="134">
                  <c:v>0</c:v>
                </c:pt>
                <c:pt idx="135">
                  <c:v>0</c:v>
                </c:pt>
                <c:pt idx="136">
                  <c:v>0</c:v>
                </c:pt>
                <c:pt idx="137">
                  <c:v>1</c:v>
                </c:pt>
                <c:pt idx="138">
                  <c:v>0</c:v>
                </c:pt>
                <c:pt idx="139">
                  <c:v>8</c:v>
                </c:pt>
                <c:pt idx="140">
                  <c:v>4</c:v>
                </c:pt>
                <c:pt idx="141">
                  <c:v>0</c:v>
                </c:pt>
                <c:pt idx="142">
                  <c:v>0</c:v>
                </c:pt>
                <c:pt idx="143">
                  <c:v>0</c:v>
                </c:pt>
                <c:pt idx="144">
                  <c:v>0</c:v>
                </c:pt>
                <c:pt idx="145">
                  <c:v>0</c:v>
                </c:pt>
                <c:pt idx="146">
                  <c:v>0</c:v>
                </c:pt>
                <c:pt idx="147">
                  <c:v>0</c:v>
                </c:pt>
                <c:pt idx="148">
                  <c:v>0</c:v>
                </c:pt>
                <c:pt idx="149">
                  <c:v>0</c:v>
                </c:pt>
                <c:pt idx="150">
                  <c:v>1</c:v>
                </c:pt>
                <c:pt idx="151">
                  <c:v>4</c:v>
                </c:pt>
                <c:pt idx="152">
                  <c:v>1</c:v>
                </c:pt>
                <c:pt idx="153">
                  <c:v>0</c:v>
                </c:pt>
                <c:pt idx="154">
                  <c:v>0</c:v>
                </c:pt>
                <c:pt idx="155">
                  <c:v>0</c:v>
                </c:pt>
                <c:pt idx="156">
                  <c:v>0</c:v>
                </c:pt>
                <c:pt idx="157">
                  <c:v>0</c:v>
                </c:pt>
                <c:pt idx="158">
                  <c:v>0</c:v>
                </c:pt>
                <c:pt idx="159">
                  <c:v>0</c:v>
                </c:pt>
                <c:pt idx="160">
                  <c:v>0</c:v>
                </c:pt>
                <c:pt idx="161">
                  <c:v>5</c:v>
                </c:pt>
                <c:pt idx="162">
                  <c:v>11</c:v>
                </c:pt>
                <c:pt idx="163">
                  <c:v>7</c:v>
                </c:pt>
                <c:pt idx="164">
                  <c:v>4</c:v>
                </c:pt>
                <c:pt idx="165">
                  <c:v>2</c:v>
                </c:pt>
                <c:pt idx="166">
                  <c:v>0</c:v>
                </c:pt>
                <c:pt idx="167">
                  <c:v>0</c:v>
                </c:pt>
                <c:pt idx="168">
                  <c:v>0</c:v>
                </c:pt>
                <c:pt idx="169">
                  <c:v>0</c:v>
                </c:pt>
                <c:pt idx="170">
                  <c:v>0</c:v>
                </c:pt>
                <c:pt idx="171">
                  <c:v>0</c:v>
                </c:pt>
                <c:pt idx="172">
                  <c:v>0</c:v>
                </c:pt>
                <c:pt idx="173">
                  <c:v>0</c:v>
                </c:pt>
                <c:pt idx="174">
                  <c:v>6</c:v>
                </c:pt>
                <c:pt idx="175">
                  <c:v>20</c:v>
                </c:pt>
                <c:pt idx="176">
                  <c:v>3</c:v>
                </c:pt>
                <c:pt idx="177">
                  <c:v>1</c:v>
                </c:pt>
                <c:pt idx="178">
                  <c:v>0</c:v>
                </c:pt>
                <c:pt idx="179">
                  <c:v>0</c:v>
                </c:pt>
                <c:pt idx="180">
                  <c:v>0</c:v>
                </c:pt>
                <c:pt idx="181">
                  <c:v>0</c:v>
                </c:pt>
                <c:pt idx="182">
                  <c:v>0</c:v>
                </c:pt>
                <c:pt idx="183">
                  <c:v>0</c:v>
                </c:pt>
                <c:pt idx="184">
                  <c:v>0</c:v>
                </c:pt>
                <c:pt idx="185">
                  <c:v>0</c:v>
                </c:pt>
                <c:pt idx="186">
                  <c:v>0</c:v>
                </c:pt>
                <c:pt idx="187">
                  <c:v>5</c:v>
                </c:pt>
                <c:pt idx="188">
                  <c:v>2</c:v>
                </c:pt>
                <c:pt idx="189">
                  <c:v>0</c:v>
                </c:pt>
                <c:pt idx="190">
                  <c:v>0</c:v>
                </c:pt>
                <c:pt idx="191">
                  <c:v>0</c:v>
                </c:pt>
                <c:pt idx="192">
                  <c:v>0</c:v>
                </c:pt>
                <c:pt idx="193">
                  <c:v>0</c:v>
                </c:pt>
                <c:pt idx="194">
                  <c:v>0</c:v>
                </c:pt>
                <c:pt idx="195">
                  <c:v>0</c:v>
                </c:pt>
                <c:pt idx="196">
                  <c:v>0</c:v>
                </c:pt>
                <c:pt idx="197">
                  <c:v>0</c:v>
                </c:pt>
                <c:pt idx="198">
                  <c:v>1</c:v>
                </c:pt>
                <c:pt idx="199">
                  <c:v>0</c:v>
                </c:pt>
                <c:pt idx="200">
                  <c:v>1</c:v>
                </c:pt>
                <c:pt idx="201">
                  <c:v>0</c:v>
                </c:pt>
                <c:pt idx="202">
                  <c:v>0</c:v>
                </c:pt>
                <c:pt idx="203">
                  <c:v>0</c:v>
                </c:pt>
                <c:pt idx="204">
                  <c:v>0</c:v>
                </c:pt>
                <c:pt idx="205">
                  <c:v>0</c:v>
                </c:pt>
                <c:pt idx="206">
                  <c:v>0</c:v>
                </c:pt>
                <c:pt idx="207">
                  <c:v>0</c:v>
                </c:pt>
                <c:pt idx="208">
                  <c:v>0</c:v>
                </c:pt>
                <c:pt idx="209">
                  <c:v>0</c:v>
                </c:pt>
                <c:pt idx="210">
                  <c:v>1</c:v>
                </c:pt>
                <c:pt idx="211">
                  <c:v>6</c:v>
                </c:pt>
                <c:pt idx="212">
                  <c:v>2</c:v>
                </c:pt>
                <c:pt idx="213">
                  <c:v>0</c:v>
                </c:pt>
                <c:pt idx="214">
                  <c:v>0</c:v>
                </c:pt>
                <c:pt idx="215">
                  <c:v>0</c:v>
                </c:pt>
                <c:pt idx="216">
                  <c:v>0</c:v>
                </c:pt>
                <c:pt idx="217">
                  <c:v>0</c:v>
                </c:pt>
                <c:pt idx="218">
                  <c:v>0</c:v>
                </c:pt>
                <c:pt idx="219">
                  <c:v>0</c:v>
                </c:pt>
                <c:pt idx="220">
                  <c:v>0</c:v>
                </c:pt>
                <c:pt idx="221">
                  <c:v>0</c:v>
                </c:pt>
                <c:pt idx="222">
                  <c:v>0</c:v>
                </c:pt>
                <c:pt idx="223">
                  <c:v>10</c:v>
                </c:pt>
                <c:pt idx="224">
                  <c:v>8</c:v>
                </c:pt>
                <c:pt idx="225">
                  <c:v>0</c:v>
                </c:pt>
                <c:pt idx="226">
                  <c:v>0</c:v>
                </c:pt>
                <c:pt idx="227">
                  <c:v>0</c:v>
                </c:pt>
                <c:pt idx="228">
                  <c:v>0</c:v>
                </c:pt>
                <c:pt idx="229">
                  <c:v>0</c:v>
                </c:pt>
                <c:pt idx="230">
                  <c:v>0</c:v>
                </c:pt>
                <c:pt idx="231">
                  <c:v>0</c:v>
                </c:pt>
                <c:pt idx="232">
                  <c:v>0</c:v>
                </c:pt>
                <c:pt idx="233">
                  <c:v>0</c:v>
                </c:pt>
                <c:pt idx="234">
                  <c:v>1</c:v>
                </c:pt>
                <c:pt idx="235">
                  <c:v>1</c:v>
                </c:pt>
                <c:pt idx="236">
                  <c:v>0</c:v>
                </c:pt>
                <c:pt idx="237">
                  <c:v>0</c:v>
                </c:pt>
                <c:pt idx="238">
                  <c:v>0</c:v>
                </c:pt>
                <c:pt idx="239">
                  <c:v>0</c:v>
                </c:pt>
              </c:numCache>
            </c:numRef>
          </c:val>
          <c:extLst>
            <c:ext xmlns:c16="http://schemas.microsoft.com/office/drawing/2014/chart" uri="{C3380CC4-5D6E-409C-BE32-E72D297353CC}">
              <c16:uniqueId val="{00000000-FB76-E54D-80AA-E7A92B50FDFC}"/>
            </c:ext>
          </c:extLst>
        </c:ser>
        <c:dLbls>
          <c:showLegendKey val="0"/>
          <c:showVal val="0"/>
          <c:showCatName val="0"/>
          <c:showSerName val="0"/>
          <c:showPercent val="0"/>
          <c:showBubbleSize val="0"/>
        </c:dLbls>
        <c:gapWidth val="150"/>
        <c:axId val="151387520"/>
        <c:axId val="151200896"/>
      </c:barChart>
      <c:lineChart>
        <c:grouping val="standard"/>
        <c:varyColors val="0"/>
        <c:ser>
          <c:idx val="1"/>
          <c:order val="1"/>
          <c:tx>
            <c:strRef>
              <c:f>'Primary x El Nino'!$A$5</c:f>
              <c:strCache>
                <c:ptCount val="1"/>
                <c:pt idx="0">
                  <c:v>El Nino Index</c:v>
                </c:pt>
              </c:strCache>
            </c:strRef>
          </c:tx>
          <c:spPr>
            <a:ln w="15875" cap="rnd">
              <a:solidFill>
                <a:schemeClr val="accent2"/>
              </a:solidFill>
              <a:round/>
            </a:ln>
            <a:effectLst/>
          </c:spPr>
          <c:marker>
            <c:symbol val="none"/>
          </c:marker>
          <c:cat>
            <c:numRef>
              <c:f>'Primary x El Nino'!$B$3:$IG$3</c:f>
              <c:numCache>
                <c:formatCode>mmm\-yy</c:formatCode>
                <c:ptCount val="240"/>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numCache>
            </c:numRef>
          </c:cat>
          <c:val>
            <c:numRef>
              <c:f>'Primary x El Nino'!$B$5:$IG$5</c:f>
              <c:numCache>
                <c:formatCode>General</c:formatCode>
                <c:ptCount val="240"/>
                <c:pt idx="0">
                  <c:v>-0.7</c:v>
                </c:pt>
                <c:pt idx="1">
                  <c:v>-0.5</c:v>
                </c:pt>
                <c:pt idx="2">
                  <c:v>-0.4</c:v>
                </c:pt>
                <c:pt idx="3">
                  <c:v>-0.3</c:v>
                </c:pt>
                <c:pt idx="4">
                  <c:v>-0.3</c:v>
                </c:pt>
                <c:pt idx="5">
                  <c:v>-0.1</c:v>
                </c:pt>
                <c:pt idx="6">
                  <c:v>-0.1</c:v>
                </c:pt>
                <c:pt idx="7">
                  <c:v>-0.1</c:v>
                </c:pt>
                <c:pt idx="8">
                  <c:v>-0.2</c:v>
                </c:pt>
                <c:pt idx="9">
                  <c:v>-0.3</c:v>
                </c:pt>
                <c:pt idx="10">
                  <c:v>-0.3</c:v>
                </c:pt>
                <c:pt idx="11">
                  <c:v>-0.3</c:v>
                </c:pt>
                <c:pt idx="12">
                  <c:v>-0.1</c:v>
                </c:pt>
                <c:pt idx="13">
                  <c:v>0</c:v>
                </c:pt>
                <c:pt idx="14">
                  <c:v>0.1</c:v>
                </c:pt>
                <c:pt idx="15">
                  <c:v>0.2</c:v>
                </c:pt>
                <c:pt idx="16">
                  <c:v>0.4</c:v>
                </c:pt>
                <c:pt idx="17">
                  <c:v>0.7</c:v>
                </c:pt>
                <c:pt idx="18">
                  <c:v>0.8</c:v>
                </c:pt>
                <c:pt idx="19">
                  <c:v>0.9</c:v>
                </c:pt>
                <c:pt idx="20">
                  <c:v>1</c:v>
                </c:pt>
                <c:pt idx="21">
                  <c:v>1.2</c:v>
                </c:pt>
                <c:pt idx="22">
                  <c:v>1.3</c:v>
                </c:pt>
                <c:pt idx="23">
                  <c:v>1.1000000000000001</c:v>
                </c:pt>
                <c:pt idx="24">
                  <c:v>0.9</c:v>
                </c:pt>
                <c:pt idx="25">
                  <c:v>0.6</c:v>
                </c:pt>
                <c:pt idx="26">
                  <c:v>0.4</c:v>
                </c:pt>
                <c:pt idx="27">
                  <c:v>0</c:v>
                </c:pt>
                <c:pt idx="28">
                  <c:v>-0.3</c:v>
                </c:pt>
                <c:pt idx="29">
                  <c:v>-0.2</c:v>
                </c:pt>
                <c:pt idx="30">
                  <c:v>0.1</c:v>
                </c:pt>
                <c:pt idx="31">
                  <c:v>0.2</c:v>
                </c:pt>
                <c:pt idx="32">
                  <c:v>0.3</c:v>
                </c:pt>
                <c:pt idx="33">
                  <c:v>0.3</c:v>
                </c:pt>
                <c:pt idx="34">
                  <c:v>0.4</c:v>
                </c:pt>
                <c:pt idx="35">
                  <c:v>0.4</c:v>
                </c:pt>
                <c:pt idx="36">
                  <c:v>0.4</c:v>
                </c:pt>
                <c:pt idx="37">
                  <c:v>0.3</c:v>
                </c:pt>
                <c:pt idx="38">
                  <c:v>0.2</c:v>
                </c:pt>
                <c:pt idx="39">
                  <c:v>0.2</c:v>
                </c:pt>
                <c:pt idx="40">
                  <c:v>0.2</c:v>
                </c:pt>
                <c:pt idx="41">
                  <c:v>0.3</c:v>
                </c:pt>
                <c:pt idx="42">
                  <c:v>0.5</c:v>
                </c:pt>
                <c:pt idx="43">
                  <c:v>0.6</c:v>
                </c:pt>
                <c:pt idx="44">
                  <c:v>0.7</c:v>
                </c:pt>
                <c:pt idx="45">
                  <c:v>0.7</c:v>
                </c:pt>
                <c:pt idx="46">
                  <c:v>0.7</c:v>
                </c:pt>
                <c:pt idx="47">
                  <c:v>0.7</c:v>
                </c:pt>
                <c:pt idx="48">
                  <c:v>0.6</c:v>
                </c:pt>
                <c:pt idx="49">
                  <c:v>0.6</c:v>
                </c:pt>
                <c:pt idx="50">
                  <c:v>0.4</c:v>
                </c:pt>
                <c:pt idx="51">
                  <c:v>0.4</c:v>
                </c:pt>
                <c:pt idx="52">
                  <c:v>0.3</c:v>
                </c:pt>
                <c:pt idx="53">
                  <c:v>0.1</c:v>
                </c:pt>
                <c:pt idx="54">
                  <c:v>-0.1</c:v>
                </c:pt>
                <c:pt idx="55">
                  <c:v>-0.1</c:v>
                </c:pt>
                <c:pt idx="56">
                  <c:v>-0.1</c:v>
                </c:pt>
                <c:pt idx="57">
                  <c:v>-0.3</c:v>
                </c:pt>
                <c:pt idx="58">
                  <c:v>-0.6</c:v>
                </c:pt>
                <c:pt idx="59">
                  <c:v>-0.8</c:v>
                </c:pt>
                <c:pt idx="60">
                  <c:v>-0.8</c:v>
                </c:pt>
                <c:pt idx="61">
                  <c:v>-0.7</c:v>
                </c:pt>
                <c:pt idx="62">
                  <c:v>-0.5</c:v>
                </c:pt>
                <c:pt idx="63">
                  <c:v>-0.3</c:v>
                </c:pt>
                <c:pt idx="64">
                  <c:v>0</c:v>
                </c:pt>
                <c:pt idx="65">
                  <c:v>0</c:v>
                </c:pt>
                <c:pt idx="66">
                  <c:v>0.1</c:v>
                </c:pt>
                <c:pt idx="67">
                  <c:v>0.3</c:v>
                </c:pt>
                <c:pt idx="68">
                  <c:v>0.5</c:v>
                </c:pt>
                <c:pt idx="69">
                  <c:v>0.7</c:v>
                </c:pt>
                <c:pt idx="70">
                  <c:v>0.9</c:v>
                </c:pt>
                <c:pt idx="71">
                  <c:v>0.9</c:v>
                </c:pt>
                <c:pt idx="72">
                  <c:v>0.7</c:v>
                </c:pt>
                <c:pt idx="73">
                  <c:v>0.3</c:v>
                </c:pt>
                <c:pt idx="74">
                  <c:v>0</c:v>
                </c:pt>
                <c:pt idx="75">
                  <c:v>-0.2</c:v>
                </c:pt>
                <c:pt idx="76">
                  <c:v>-0.3</c:v>
                </c:pt>
                <c:pt idx="77">
                  <c:v>-0.4</c:v>
                </c:pt>
                <c:pt idx="78">
                  <c:v>-0.5</c:v>
                </c:pt>
                <c:pt idx="79">
                  <c:v>-0.8</c:v>
                </c:pt>
                <c:pt idx="80">
                  <c:v>-1.1000000000000001</c:v>
                </c:pt>
                <c:pt idx="81">
                  <c:v>-1.4</c:v>
                </c:pt>
                <c:pt idx="82">
                  <c:v>-1.5</c:v>
                </c:pt>
                <c:pt idx="83">
                  <c:v>-1.6</c:v>
                </c:pt>
                <c:pt idx="84">
                  <c:v>-1.6</c:v>
                </c:pt>
                <c:pt idx="85">
                  <c:v>-1.4</c:v>
                </c:pt>
                <c:pt idx="86">
                  <c:v>-1.2</c:v>
                </c:pt>
                <c:pt idx="87">
                  <c:v>-0.9</c:v>
                </c:pt>
                <c:pt idx="88">
                  <c:v>-0.8</c:v>
                </c:pt>
                <c:pt idx="89">
                  <c:v>-0.5</c:v>
                </c:pt>
                <c:pt idx="90">
                  <c:v>-0.4</c:v>
                </c:pt>
                <c:pt idx="91">
                  <c:v>-0.3</c:v>
                </c:pt>
                <c:pt idx="92">
                  <c:v>-0.3</c:v>
                </c:pt>
                <c:pt idx="93">
                  <c:v>-0.4</c:v>
                </c:pt>
                <c:pt idx="94">
                  <c:v>-0.6</c:v>
                </c:pt>
                <c:pt idx="95">
                  <c:v>-0.7</c:v>
                </c:pt>
                <c:pt idx="96">
                  <c:v>-0.8</c:v>
                </c:pt>
                <c:pt idx="97">
                  <c:v>-0.7</c:v>
                </c:pt>
                <c:pt idx="98">
                  <c:v>-0.5</c:v>
                </c:pt>
                <c:pt idx="99">
                  <c:v>-0.2</c:v>
                </c:pt>
                <c:pt idx="100">
                  <c:v>0.1</c:v>
                </c:pt>
                <c:pt idx="101">
                  <c:v>0.4</c:v>
                </c:pt>
                <c:pt idx="102">
                  <c:v>0.5</c:v>
                </c:pt>
                <c:pt idx="103">
                  <c:v>0.5</c:v>
                </c:pt>
                <c:pt idx="104">
                  <c:v>0.7</c:v>
                </c:pt>
                <c:pt idx="105">
                  <c:v>1</c:v>
                </c:pt>
                <c:pt idx="106">
                  <c:v>1.3</c:v>
                </c:pt>
                <c:pt idx="107">
                  <c:v>1.6</c:v>
                </c:pt>
                <c:pt idx="108">
                  <c:v>1.5</c:v>
                </c:pt>
                <c:pt idx="109">
                  <c:v>1.3</c:v>
                </c:pt>
                <c:pt idx="110">
                  <c:v>0.9</c:v>
                </c:pt>
                <c:pt idx="111">
                  <c:v>0.4</c:v>
                </c:pt>
                <c:pt idx="112">
                  <c:v>-0.1</c:v>
                </c:pt>
                <c:pt idx="113">
                  <c:v>-0.6</c:v>
                </c:pt>
                <c:pt idx="114">
                  <c:v>-1</c:v>
                </c:pt>
                <c:pt idx="115">
                  <c:v>-1.4</c:v>
                </c:pt>
                <c:pt idx="116">
                  <c:v>-1.6</c:v>
                </c:pt>
                <c:pt idx="117">
                  <c:v>-1.7</c:v>
                </c:pt>
                <c:pt idx="118">
                  <c:v>-1.7</c:v>
                </c:pt>
                <c:pt idx="119">
                  <c:v>-1.6</c:v>
                </c:pt>
                <c:pt idx="120">
                  <c:v>-1.4</c:v>
                </c:pt>
                <c:pt idx="121">
                  <c:v>-1.1000000000000001</c:v>
                </c:pt>
                <c:pt idx="122">
                  <c:v>-0.8</c:v>
                </c:pt>
                <c:pt idx="123">
                  <c:v>-0.6</c:v>
                </c:pt>
                <c:pt idx="124">
                  <c:v>-0.5</c:v>
                </c:pt>
                <c:pt idx="125">
                  <c:v>-0.4</c:v>
                </c:pt>
                <c:pt idx="126">
                  <c:v>-0.5</c:v>
                </c:pt>
                <c:pt idx="127">
                  <c:v>-0.7</c:v>
                </c:pt>
                <c:pt idx="128">
                  <c:v>-0.9</c:v>
                </c:pt>
                <c:pt idx="129">
                  <c:v>-1.1000000000000001</c:v>
                </c:pt>
                <c:pt idx="130">
                  <c:v>-1.1000000000000001</c:v>
                </c:pt>
                <c:pt idx="131">
                  <c:v>-1</c:v>
                </c:pt>
                <c:pt idx="132">
                  <c:v>-0.8</c:v>
                </c:pt>
                <c:pt idx="133">
                  <c:v>-0.6</c:v>
                </c:pt>
                <c:pt idx="134">
                  <c:v>-0.5</c:v>
                </c:pt>
                <c:pt idx="135">
                  <c:v>-0.4</c:v>
                </c:pt>
                <c:pt idx="136">
                  <c:v>-0.2</c:v>
                </c:pt>
                <c:pt idx="137">
                  <c:v>0.1</c:v>
                </c:pt>
                <c:pt idx="138">
                  <c:v>0.3</c:v>
                </c:pt>
                <c:pt idx="139">
                  <c:v>0.3</c:v>
                </c:pt>
                <c:pt idx="140">
                  <c:v>0.3</c:v>
                </c:pt>
                <c:pt idx="141">
                  <c:v>0.2</c:v>
                </c:pt>
                <c:pt idx="142">
                  <c:v>0</c:v>
                </c:pt>
                <c:pt idx="143">
                  <c:v>-0.2</c:v>
                </c:pt>
                <c:pt idx="144">
                  <c:v>-0.4</c:v>
                </c:pt>
                <c:pt idx="145">
                  <c:v>-0.3</c:v>
                </c:pt>
                <c:pt idx="146">
                  <c:v>-0.2</c:v>
                </c:pt>
                <c:pt idx="147">
                  <c:v>-0.2</c:v>
                </c:pt>
                <c:pt idx="148">
                  <c:v>-0.3</c:v>
                </c:pt>
                <c:pt idx="149">
                  <c:v>-0.3</c:v>
                </c:pt>
                <c:pt idx="150">
                  <c:v>-0.4</c:v>
                </c:pt>
                <c:pt idx="151">
                  <c:v>-0.4</c:v>
                </c:pt>
                <c:pt idx="152">
                  <c:v>-0.3</c:v>
                </c:pt>
                <c:pt idx="153">
                  <c:v>-0.2</c:v>
                </c:pt>
                <c:pt idx="154">
                  <c:v>-0.2</c:v>
                </c:pt>
                <c:pt idx="155">
                  <c:v>-0.3</c:v>
                </c:pt>
                <c:pt idx="156">
                  <c:v>-0.4</c:v>
                </c:pt>
                <c:pt idx="157">
                  <c:v>-0.4</c:v>
                </c:pt>
                <c:pt idx="158">
                  <c:v>-0.2</c:v>
                </c:pt>
                <c:pt idx="159">
                  <c:v>0.1</c:v>
                </c:pt>
                <c:pt idx="160">
                  <c:v>0.3</c:v>
                </c:pt>
                <c:pt idx="161">
                  <c:v>0.2</c:v>
                </c:pt>
                <c:pt idx="162">
                  <c:v>0.1</c:v>
                </c:pt>
                <c:pt idx="163">
                  <c:v>0</c:v>
                </c:pt>
                <c:pt idx="164">
                  <c:v>0.2</c:v>
                </c:pt>
                <c:pt idx="165">
                  <c:v>0.4</c:v>
                </c:pt>
                <c:pt idx="166">
                  <c:v>0.6</c:v>
                </c:pt>
                <c:pt idx="167">
                  <c:v>0.7</c:v>
                </c:pt>
                <c:pt idx="168">
                  <c:v>0.6</c:v>
                </c:pt>
                <c:pt idx="169">
                  <c:v>0.6</c:v>
                </c:pt>
                <c:pt idx="170">
                  <c:v>0.6</c:v>
                </c:pt>
                <c:pt idx="171">
                  <c:v>0.8</c:v>
                </c:pt>
                <c:pt idx="172">
                  <c:v>1</c:v>
                </c:pt>
                <c:pt idx="173">
                  <c:v>1.2</c:v>
                </c:pt>
                <c:pt idx="174">
                  <c:v>1.5</c:v>
                </c:pt>
                <c:pt idx="175">
                  <c:v>1.8</c:v>
                </c:pt>
                <c:pt idx="176">
                  <c:v>2.1</c:v>
                </c:pt>
                <c:pt idx="177">
                  <c:v>2.4</c:v>
                </c:pt>
                <c:pt idx="178">
                  <c:v>2.5</c:v>
                </c:pt>
                <c:pt idx="179">
                  <c:v>2.6</c:v>
                </c:pt>
                <c:pt idx="180">
                  <c:v>2.5</c:v>
                </c:pt>
                <c:pt idx="181">
                  <c:v>2.2000000000000002</c:v>
                </c:pt>
                <c:pt idx="182">
                  <c:v>1.7</c:v>
                </c:pt>
                <c:pt idx="183">
                  <c:v>1</c:v>
                </c:pt>
                <c:pt idx="184">
                  <c:v>0.5</c:v>
                </c:pt>
                <c:pt idx="185">
                  <c:v>0</c:v>
                </c:pt>
                <c:pt idx="186">
                  <c:v>-0.3</c:v>
                </c:pt>
                <c:pt idx="187">
                  <c:v>-0.6</c:v>
                </c:pt>
                <c:pt idx="188">
                  <c:v>-0.7</c:v>
                </c:pt>
                <c:pt idx="189">
                  <c:v>-0.7</c:v>
                </c:pt>
                <c:pt idx="190">
                  <c:v>-0.7</c:v>
                </c:pt>
                <c:pt idx="191">
                  <c:v>-0.6</c:v>
                </c:pt>
                <c:pt idx="192">
                  <c:v>-0.3</c:v>
                </c:pt>
                <c:pt idx="193">
                  <c:v>-0.1</c:v>
                </c:pt>
                <c:pt idx="194">
                  <c:v>0.1</c:v>
                </c:pt>
                <c:pt idx="195">
                  <c:v>0.3</c:v>
                </c:pt>
                <c:pt idx="196">
                  <c:v>0.4</c:v>
                </c:pt>
                <c:pt idx="197">
                  <c:v>0.4</c:v>
                </c:pt>
                <c:pt idx="198">
                  <c:v>0.2</c:v>
                </c:pt>
                <c:pt idx="199">
                  <c:v>-0.1</c:v>
                </c:pt>
                <c:pt idx="200">
                  <c:v>-0.4</c:v>
                </c:pt>
                <c:pt idx="201">
                  <c:v>-0.7</c:v>
                </c:pt>
                <c:pt idx="202">
                  <c:v>-0.9</c:v>
                </c:pt>
                <c:pt idx="203">
                  <c:v>-1</c:v>
                </c:pt>
                <c:pt idx="204">
                  <c:v>-0.9</c:v>
                </c:pt>
                <c:pt idx="205">
                  <c:v>-0.8</c:v>
                </c:pt>
                <c:pt idx="206">
                  <c:v>-0.6</c:v>
                </c:pt>
                <c:pt idx="207">
                  <c:v>-0.4</c:v>
                </c:pt>
                <c:pt idx="208">
                  <c:v>-0.1</c:v>
                </c:pt>
                <c:pt idx="209">
                  <c:v>0.1</c:v>
                </c:pt>
                <c:pt idx="210">
                  <c:v>0.1</c:v>
                </c:pt>
                <c:pt idx="211">
                  <c:v>0.2</c:v>
                </c:pt>
                <c:pt idx="212">
                  <c:v>0.4</c:v>
                </c:pt>
                <c:pt idx="213">
                  <c:v>0.7</c:v>
                </c:pt>
                <c:pt idx="214">
                  <c:v>0.9</c:v>
                </c:pt>
                <c:pt idx="215">
                  <c:v>0.8</c:v>
                </c:pt>
                <c:pt idx="216">
                  <c:v>0.8</c:v>
                </c:pt>
                <c:pt idx="217">
                  <c:v>0.8</c:v>
                </c:pt>
                <c:pt idx="218">
                  <c:v>0.8</c:v>
                </c:pt>
                <c:pt idx="219">
                  <c:v>0.7</c:v>
                </c:pt>
                <c:pt idx="220">
                  <c:v>0.6</c:v>
                </c:pt>
                <c:pt idx="221">
                  <c:v>0.5</c:v>
                </c:pt>
                <c:pt idx="222">
                  <c:v>0.3</c:v>
                </c:pt>
                <c:pt idx="223">
                  <c:v>0.1</c:v>
                </c:pt>
                <c:pt idx="224">
                  <c:v>0.1</c:v>
                </c:pt>
                <c:pt idx="225">
                  <c:v>0.3</c:v>
                </c:pt>
                <c:pt idx="226">
                  <c:v>0.5</c:v>
                </c:pt>
                <c:pt idx="227">
                  <c:v>0.5</c:v>
                </c:pt>
                <c:pt idx="228">
                  <c:v>0.5</c:v>
                </c:pt>
                <c:pt idx="229">
                  <c:v>0.6</c:v>
                </c:pt>
                <c:pt idx="230">
                  <c:v>0.5</c:v>
                </c:pt>
                <c:pt idx="231">
                  <c:v>0.3</c:v>
                </c:pt>
                <c:pt idx="232">
                  <c:v>0</c:v>
                </c:pt>
                <c:pt idx="233">
                  <c:v>-0.2</c:v>
                </c:pt>
                <c:pt idx="234">
                  <c:v>-0.4</c:v>
                </c:pt>
                <c:pt idx="235">
                  <c:v>-0.6</c:v>
                </c:pt>
                <c:pt idx="236">
                  <c:v>-0.9</c:v>
                </c:pt>
                <c:pt idx="237">
                  <c:v>-1.2</c:v>
                </c:pt>
                <c:pt idx="238">
                  <c:v>-1.3</c:v>
                </c:pt>
              </c:numCache>
            </c:numRef>
          </c:val>
          <c:smooth val="0"/>
          <c:extLst>
            <c:ext xmlns:c16="http://schemas.microsoft.com/office/drawing/2014/chart" uri="{C3380CC4-5D6E-409C-BE32-E72D297353CC}">
              <c16:uniqueId val="{00000001-FB76-E54D-80AA-E7A92B50FDFC}"/>
            </c:ext>
          </c:extLst>
        </c:ser>
        <c:dLbls>
          <c:showLegendKey val="0"/>
          <c:showVal val="0"/>
          <c:showCatName val="0"/>
          <c:showSerName val="0"/>
          <c:showPercent val="0"/>
          <c:showBubbleSize val="0"/>
        </c:dLbls>
        <c:marker val="1"/>
        <c:smooth val="0"/>
        <c:axId val="151209088"/>
        <c:axId val="151202816"/>
      </c:lineChart>
      <c:dateAx>
        <c:axId val="151387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1200896"/>
        <c:crosses val="autoZero"/>
        <c:auto val="1"/>
        <c:lblOffset val="100"/>
        <c:baseTimeUnit val="months"/>
      </c:dateAx>
      <c:valAx>
        <c:axId val="15120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sz="1200"/>
                  <a:t>Fire</a:t>
                </a:r>
              </a:p>
              <a:p>
                <a:pPr>
                  <a:defRPr sz="900" b="0" i="0" u="none" strike="noStrike" kern="1200" cap="all" baseline="0">
                    <a:solidFill>
                      <a:schemeClr val="tx1">
                        <a:lumMod val="50000"/>
                        <a:lumOff val="50000"/>
                      </a:schemeClr>
                    </a:solidFill>
                    <a:latin typeface="+mn-lt"/>
                    <a:ea typeface="+mn-ea"/>
                    <a:cs typeface="+mn-cs"/>
                  </a:defRPr>
                </a:pPr>
                <a:r>
                  <a:rPr lang="en-US" sz="1200"/>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1387520"/>
        <c:crosses val="autoZero"/>
        <c:crossBetween val="between"/>
      </c:valAx>
      <c:valAx>
        <c:axId val="151202816"/>
        <c:scaling>
          <c:orientation val="minMax"/>
        </c:scaling>
        <c:delete val="0"/>
        <c:axPos val="r"/>
        <c:title>
          <c:tx>
            <c:rich>
              <a:bodyPr rot="0" spcFirstLastPara="1" vertOverflow="ellipsis"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sz="1200"/>
                  <a:t>ONI</a:t>
                </a:r>
              </a:p>
              <a:p>
                <a:pPr>
                  <a:defRPr sz="900" b="0" i="0" u="none" strike="noStrike" kern="1200" cap="all" baseline="0">
                    <a:solidFill>
                      <a:schemeClr val="tx1">
                        <a:lumMod val="50000"/>
                        <a:lumOff val="50000"/>
                      </a:schemeClr>
                    </a:solidFill>
                    <a:latin typeface="+mn-lt"/>
                    <a:ea typeface="+mn-ea"/>
                    <a:cs typeface="+mn-cs"/>
                  </a:defRPr>
                </a:pPr>
                <a:r>
                  <a:rPr lang="en-US" sz="1200"/>
                  <a:t>Score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1209088"/>
        <c:crosses val="max"/>
        <c:crossBetween val="between"/>
      </c:valAx>
      <c:dateAx>
        <c:axId val="151209088"/>
        <c:scaling>
          <c:orientation val="minMax"/>
        </c:scaling>
        <c:delete val="1"/>
        <c:axPos val="b"/>
        <c:numFmt formatCode="mmm\-yy" sourceLinked="1"/>
        <c:majorTickMark val="out"/>
        <c:minorTickMark val="none"/>
        <c:tickLblPos val="nextTo"/>
        <c:crossAx val="15120281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0.17104</cdr:x>
      <cdr:y>0.51064</cdr:y>
    </cdr:from>
    <cdr:to>
      <cdr:x>0.83426</cdr:x>
      <cdr:y>0.51064</cdr:y>
    </cdr:to>
    <cdr:cxnSp macro="">
      <cdr:nvCxnSpPr>
        <cdr:cNvPr id="3" name="Straight Connector 2">
          <a:extLst xmlns:a="http://schemas.openxmlformats.org/drawingml/2006/main">
            <a:ext uri="{FF2B5EF4-FFF2-40B4-BE49-F238E27FC236}">
              <a16:creationId xmlns:a16="http://schemas.microsoft.com/office/drawing/2014/main" id="{97AABCEF-3BBE-E643-9570-230D37F227C6}"/>
            </a:ext>
          </a:extLst>
        </cdr:cNvPr>
        <cdr:cNvCxnSpPr/>
      </cdr:nvCxnSpPr>
      <cdr:spPr>
        <a:xfrm xmlns:a="http://schemas.openxmlformats.org/drawingml/2006/main" flipH="1">
          <a:off x="887240" y="1483810"/>
          <a:ext cx="3440316" cy="0"/>
        </a:xfrm>
        <a:prstGeom xmlns:a="http://schemas.openxmlformats.org/drawingml/2006/main" prst="line">
          <a:avLst/>
        </a:prstGeom>
        <a:ln xmlns:a="http://schemas.openxmlformats.org/drawingml/2006/main" w="1587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Ful062</b:Tag>
    <b:SourceType>JournalArticle</b:SourceType>
    <b:Guid>{76FCA2AE-24C0-FD43-9ECA-CA9F8DFC06F3}</b:Guid>
    <b:Title>The Enso-Fire Dynamic in Insular Southeast Asia </b:Title>
    <b:Year>2006</b:Year>
    <b:Author>
      <b:Author>
        <b:NameList>
          <b:Person>
            <b:Last>Fuller</b:Last>
            <b:First>D.O.</b:First>
          </b:Person>
          <b:Person>
            <b:Last>Murphy</b:Last>
            <b:First>K.</b:First>
          </b:Person>
        </b:NameList>
      </b:Author>
    </b:Author>
    <b:JournalName>Climatic Change</b:JournalName>
    <b:Pages>435-455</b:Pages>
    <b:RefOrder>1</b:RefOrder>
  </b:Source>
  <b:Source>
    <b:Tag>MJB971</b:Tag>
    <b:SourceType>JournalArticle</b:SourceType>
    <b:Guid>{F7CFC35E-5CE4-5A41-B268-DB16A75EE8F3}</b:Guid>
    <b:Author>
      <b:Author>
        <b:NameList>
          <b:Person>
            <b:Last>Bouma</b:Last>
            <b:First>MJ</b:First>
          </b:Person>
          <b:Person>
            <b:Last>Kovats</b:Last>
            <b:First>RS</b:First>
          </b:Person>
          <b:Person>
            <b:Last>Goubet</b:Last>
            <b:First>SA</b:First>
          </b:Person>
          <b:Person>
            <b:Last>Cox</b:Last>
            <b:First>J</b:First>
            <b:Middle>St H</b:Middle>
          </b:Person>
          <b:Person>
            <b:Last>Haines</b:Last>
            <b:First>A</b:First>
          </b:Person>
        </b:NameList>
      </b:Author>
    </b:Author>
    <b:Title>Global assesment of El Nino's disaster burden</b:Title>
    <b:JournalName>The Lancet</b:JournalName>
    <b:Year>1997</b:Year>
    <b:Pages>1435-1438</b:Pages>
    <b:RefOrder>2</b:RefOrder>
  </b:Source>
  <b:Source>
    <b:Tag>Yix091</b:Tag>
    <b:SourceType>JournalArticle</b:SourceType>
    <b:Guid>{841583B2-C095-E148-9FA3-EEB9323CD3A9}</b:Guid>
    <b:Author>
      <b:Author>
        <b:NameList>
          <b:Person>
            <b:Last>Yin</b:Last>
            <b:First>Yixing</b:First>
          </b:Person>
          <b:Person>
            <b:Last>Yu</b:Last>
            <b:First>Youpeng</b:First>
          </b:Person>
          <b:Person>
            <b:Last>Chen</b:Last>
            <b:First>Ying</b:First>
          </b:Person>
        </b:NameList>
      </b:Author>
    </b:Author>
    <b:Title>Relationship between flood/drought disasters and ENSO from 1857 to 2003 in the Taihu Lake Basin, China</b:Title>
    <b:JournalName>Quaternary International</b:JournalName>
    <b:Year>2009</b:Year>
    <b:Pages>93-101</b:Pages>
    <b:RefOrder>3</b:RefOrder>
  </b:Source>
  <b:Source>
    <b:Tag>Mic15</b:Tag>
    <b:SourceType>JournalArticle</b:SourceType>
    <b:Guid>{F27A86FE-2B76-9D4E-87EE-908059318F14}</b:Guid>
    <b:Author>
      <b:Author>
        <b:NameList>
          <b:Person>
            <b:Last>Gross</b:Last>
            <b:First>Michael</b:First>
          </b:Person>
        </b:NameList>
      </b:Author>
    </b:Author>
    <b:Title>A fire with global connections</b:Title>
    <b:JournalName>Current Biology</b:JournalName>
    <b:Year>2015</b:Year>
    <b:Pages>R1107-R1109</b:Pages>
    <b:RefOrder>4</b:RefOrder>
  </b:Source>
  <b:Source>
    <b:Tag>Bro04</b:Tag>
    <b:SourceType>JournalArticle</b:SourceType>
    <b:Guid>{AFEC1411-5AB7-5345-8175-CB1976F27639}</b:Guid>
    <b:Title>The impact of twenty-first century climate change on wildland fire danger in the western United States: An applications perspective</b:Title>
    <b:Year>2004</b:Year>
    <b:Author>
      <b:Author>
        <b:NameList>
          <b:Person>
            <b:Last>Brown</b:Last>
            <b:First>T.J.</b:First>
          </b:Person>
          <b:Person>
            <b:Last>Hall</b:Last>
            <b:First>B.L.</b:First>
          </b:Person>
          <b:Person>
            <b:Last>Westerling</b:Last>
            <b:First>A.L.</b:First>
          </b:Person>
        </b:NameList>
      </b:Author>
    </b:Author>
    <b:JournalName>Climate Change</b:JournalName>
    <b:Pages>365-388</b:Pages>
    <b:RefOrder>5</b:RefOrder>
  </b:Source>
  <b:Source>
    <b:Tag>Sus02</b:Tag>
    <b:SourceType>JournalArticle</b:SourceType>
    <b:Guid>{A84FB42E-676C-4040-A5AD-D08C8C854D91}</b:Guid>
    <b:Author>
      <b:Author>
        <b:NameList>
          <b:Person>
            <b:Last>Page</b:Last>
            <b:First>Susan</b:First>
            <b:Middle>E.</b:Middle>
          </b:Person>
          <b:Person>
            <b:Last>Siegert</b:Last>
            <b:First>Florian</b:First>
          </b:Person>
          <b:Person>
            <b:Last>Rieley</b:Last>
            <b:First>John</b:First>
            <b:Middle>O.</b:Middle>
          </b:Person>
          <b:Person>
            <b:Last>Boehm</b:Last>
            <b:First>Hans-Dieter</b:First>
            <b:Middle>V.</b:Middle>
          </b:Person>
          <b:Person>
            <b:Last>Jaya</b:Last>
            <b:First>Adi</b:First>
          </b:Person>
          <b:Person>
            <b:Last>Limin</b:Last>
            <b:First>Suwido</b:First>
          </b:Person>
        </b:NameList>
      </b:Author>
    </b:Author>
    <b:Title>The amount of carbon released from peat and forest fires in Indonesia during 1997</b:Title>
    <b:JournalName>Nature</b:JournalName>
    <b:Year>2002</b:Year>
    <b:Pages>61-65</b:Pages>
    <b:RefOrder>6</b:RefOrder>
  </b:Source>
  <b:Source>
    <b:Tag>FSi01</b:Tag>
    <b:SourceType>JournalArticle</b:SourceType>
    <b:Guid>{7B3EB1B9-AFED-6544-86CF-AA207E129E0D}</b:Guid>
    <b:Author>
      <b:Author>
        <b:NameList>
          <b:Person>
            <b:Last>Siegert</b:Last>
            <b:First>F.</b:First>
          </b:Person>
          <b:Person>
            <b:Last>Ruecker</b:Last>
            <b:First>G.</b:First>
          </b:Person>
          <b:Person>
            <b:Last>Hinrichs</b:Last>
            <b:First>A.</b:First>
          </b:Person>
          <b:Person>
            <b:Last>Hoffmann</b:Last>
            <b:First>A.A.</b:First>
          </b:Person>
        </b:NameList>
      </b:Author>
    </b:Author>
    <b:Title>Increased damage from fires in logged during droughts caused by El Nino</b:Title>
    <b:JournalName>nature</b:JournalName>
    <b:Year>2001</b:Year>
    <b:Pages>437-440</b:Pages>
    <b:RefOrder>7</b:RefOrder>
  </b:Source>
  <b:Source>
    <b:Tag>VHu16</b:Tag>
    <b:SourceType>JournalArticle</b:SourceType>
    <b:Guid>{434018DB-5A4B-F549-8E29-5D3B12A25C5F}</b:Guid>
    <b:Author>
      <b:Author>
        <b:NameList>
          <b:Person>
            <b:Last>Huijnen</b:Last>
            <b:First>V.</b:First>
          </b:Person>
          <b:Person>
            <b:Last>Wooster</b:Last>
            <b:First>M.J.</b:First>
          </b:Person>
          <b:Person>
            <b:Last>Kaiser</b:Last>
            <b:First>J.W.</b:First>
          </b:Person>
          <b:Person>
            <b:Last>Gaveau</b:Last>
            <b:First>D.L.A.</b:First>
          </b:Person>
          <b:Person>
            <b:Last>Flemming</b:Last>
            <b:First>J.</b:First>
          </b:Person>
          <b:Person>
            <b:Last>Parrington</b:Last>
            <b:First>M.</b:First>
          </b:Person>
          <b:Person>
            <b:Last>Inness</b:Last>
            <b:First>A.</b:First>
          </b:Person>
          <b:Person>
            <b:Last>Murdiyarso</b:Last>
            <b:First>D.</b:First>
          </b:Person>
          <b:Person>
            <b:Last>Main</b:Last>
            <b:First>B.</b:First>
          </b:Person>
          <b:Person>
            <b:Last>Weele</b:Last>
            <b:First>M.</b:First>
            <b:Middle>van</b:Middle>
          </b:Person>
        </b:NameList>
      </b:Author>
    </b:Author>
    <b:Title>Fire carbon emissions over maritime southeast Asia in 2015 largest since 1997</b:Title>
    <b:JournalName>Scientific Reports</b:JournalName>
    <b:Year>2016</b:Year>
    <b:Pages>26886</b:Pages>
    <b:RefOrder>8</b:RefOrder>
  </b:Source>
  <b:Source>
    <b:Tag>Edw20</b:Tag>
    <b:SourceType>JournalArticle</b:SourceType>
    <b:Guid>{CF2A9426-A895-A445-9CDA-B26B250395B3}</b:Guid>
    <b:Author>
      <b:Author>
        <b:NameList>
          <b:Person>
            <b:Last>Edwards</b:Last>
            <b:First>Ryan</b:First>
            <b:Middle>B.</b:Middle>
          </b:Person>
          <b:Person>
            <b:Last>Naylor</b:Last>
            <b:First>Rosamond</b:First>
            <b:Middle>L.</b:Middle>
          </b:Person>
          <b:Person>
            <b:Last>Higgins</b:Last>
            <b:First>Matthew</b:First>
            <b:Middle>M.</b:Middle>
          </b:Person>
          <b:Person>
            <b:Last>Falcon</b:Last>
            <b:First>Walter</b:First>
            <b:Middle>P.</b:Middle>
          </b:Person>
        </b:NameList>
      </b:Author>
    </b:Author>
    <b:Title>Causes of Indonesia's forest fire</b:Title>
    <b:JournalName>World Development</b:JournalName>
    <b:Year>2020</b:Year>
    <b:RefOrder>9</b:RefOrder>
  </b:Source>
  <b:Source>
    <b:Tag>Fie16</b:Tag>
    <b:SourceType>ConferenceProceedings</b:SourceType>
    <b:Guid>{2FDEB465-20DE-E945-895B-83AEB399AE1B}</b:Guid>
    <b:Title>Indonesian fire activity and smoke pollution in 2015 show persistent nonlinear sensitivity to El Nino-induce drought</b:Title>
    <b:Year>2016</b:Year>
    <b:Author>
      <b:Author>
        <b:NameList>
          <b:Person>
            <b:Last>Field</b:Last>
            <b:First>Robert</b:First>
            <b:Middle>D.</b:Middle>
          </b:Person>
          <b:Person>
            <b:Last>Werf</b:Last>
            <b:First>Guido</b:First>
            <b:Middle>R. van der</b:Middle>
          </b:Person>
          <b:Person>
            <b:Last>Fanin</b:Last>
            <b:First>Thierry</b:First>
          </b:Person>
          <b:Person>
            <b:Last>Fetzer</b:Last>
            <b:First>Eric</b:First>
            <b:Middle>J.</b:Middle>
          </b:Person>
          <b:Person>
            <b:Last>Fuller</b:Last>
            <b:First>Ryan</b:First>
          </b:Person>
          <b:Person>
            <b:Last>Jethva</b:Last>
            <b:First>Hiren</b:First>
          </b:Person>
          <b:Person>
            <b:Last>Levy</b:Last>
            <b:First>Robert</b:First>
          </b:Person>
          <b:Person>
            <b:Last>Livesey</b:Last>
            <b:First>Nathaniel</b:First>
            <b:Middle>J.</b:Middle>
          </b:Person>
          <b:Person>
            <b:Last>Luo</b:Last>
            <b:First>Ming</b:First>
          </b:Person>
          <b:Person>
            <b:Last>Torres</b:Last>
            <b:First>Omar</b:First>
          </b:Person>
          <b:Person>
            <b:Last>Worden</b:Last>
            <b:First>Helen</b:First>
            <b:Middle>M.</b:Middle>
          </b:Person>
        </b:NameList>
      </b:Author>
    </b:Author>
    <b:Pages>9204-9209</b:Pages>
    <b:ConferenceName>Proceeding of the National Academy of Sciences of the United States of America</b:ConferenceName>
    <b:Publisher>Woods Hole Research Center</b:Publisher>
    <b:City>Falmouth</b:City>
    <b:RefOrder>10</b:RefOrder>
  </b:Source>
  <b:Source>
    <b:Tag>Gor08</b:Tag>
    <b:SourceType>JournalArticle</b:SourceType>
    <b:Guid>{B0EFCE58-B4CA-0A4C-A8FA-76ADDCF55CB4}</b:Guid>
    <b:Author>
      <b:Author>
        <b:NameList>
          <b:Person>
            <b:Last>Bonan</b:Last>
            <b:First>Gordon</b:First>
            <b:Middle>B.</b:Middle>
          </b:Person>
        </b:NameList>
      </b:Author>
    </b:Author>
    <b:Title>Forests and Climate Change: Forcings, Feedbacks, and the Climate Benefits of Forests</b:Title>
    <b:JournalName>Science</b:JournalName>
    <b:Year>2008</b:Year>
    <b:Pages>1444-1449</b:Pages>
    <b:RefOrder>11</b:RefOrder>
  </b:Source>
  <b:Source>
    <b:Tag>Jes19</b:Tag>
    <b:SourceType>JournalArticle</b:SourceType>
    <b:Guid>{EE7F9E39-293B-CD40-9584-61214D3E6A95}</b:Guid>
    <b:Author>
      <b:Author>
        <b:NameList>
          <b:Person>
            <b:Last>Baker</b:Last>
            <b:First>Jessica</b:First>
            <b:Middle>C.A.</b:Middle>
          </b:Person>
          <b:Person>
            <b:Last>Spracklen</b:Last>
            <b:First>Dominick</b:First>
            <b:Middle>V.</b:Middle>
          </b:Person>
        </b:NameList>
      </b:Author>
    </b:Author>
    <b:Title>Climate Benefits of Intact Amazon Forests and the Biophysical Consequences of Disturbance</b:Title>
    <b:JournalName>Frontiers in Forests and Global Change</b:JournalName>
    <b:Year>2019</b:Year>
    <b:Pages>47</b:Pages>
    <b:RefOrder>12</b:RefOrder>
  </b:Source>
  <b:Source>
    <b:Tag>CUh88</b:Tag>
    <b:SourceType>JournalArticle</b:SourceType>
    <b:Guid>{0C66C169-6BFB-5E49-A584-43F43591A811}</b:Guid>
    <b:Author>
      <b:Author>
        <b:NameList>
          <b:Person>
            <b:Last>Uhl</b:Last>
            <b:First>C.</b:First>
          </b:Person>
          <b:Person>
            <b:Last>Kauffman</b:Last>
            <b:First>J.B.</b:First>
          </b:Person>
          <b:Person>
            <b:Last>Cummings</b:Last>
            <b:First>D.L.</b:First>
          </b:Person>
        </b:NameList>
      </b:Author>
    </b:Author>
    <b:Title>Fire in the Venezuelan Amazon 2: environmental conditions necessary for forest fires in the evergreen rainforest of Venezuela</b:Title>
    <b:JournalName>Oikos</b:JournalName>
    <b:Year>1988</b:Year>
    <b:Pages>176-184</b:Pages>
    <b:RefOrder>13</b:RefOrder>
  </b:Source>
  <b:Source>
    <b:Tag>Ari16</b:Tag>
    <b:SourceType>ConferenceProceedings</b:SourceType>
    <b:Guid>{E526D0BD-0B95-9744-910A-E2EB43DAD616}</b:Guid>
    <b:Title>A Spatio-temporal Analysis on The Forest Fire Occurence in Central Kalimantan, Indoneisa</b:Title>
    <b:Year>2016</b:Year>
    <b:Pages>90</b:Pages>
    <b:Author>
      <b:Author>
        <b:NameList>
          <b:Person>
            <b:Last>Lestari</b:Last>
            <b:First>Ariesta</b:First>
          </b:Person>
          <b:Person>
            <b:Last>Rumantir</b:Last>
            <b:First>Grace</b:First>
          </b:Person>
          <b:Person>
            <b:Last>Tapper</b:Last>
            <b:First>Nigel</b:First>
          </b:Person>
        </b:NameList>
      </b:Author>
    </b:Author>
    <b:ConferenceName>Pacific Asia Conference on Information System (PACIS) 2016</b:ConferenceName>
    <b:Publisher>AIS eLibrary</b:Publisher>
    <b:City>Melbourne</b:City>
    <b:RefOrder>14</b:RefOrder>
  </b:Source>
  <b:Source>
    <b:Tag>JGG90</b:Tag>
    <b:SourceType>BookSection</b:SourceType>
    <b:Guid>{C1F4AC58-B74E-1F43-826F-72BF6936C6A3}</b:Guid>
    <b:Title>The Impact of Drought and Forest Fires on Tropical Lowland Rain Forest of East Kalimantan</b:Title>
    <b:Year>1990</b:Year>
    <b:Author>
      <b:Author>
        <b:NameList>
          <b:Person>
            <b:Last>Goldammer</b:Last>
            <b:First>J.G.</b:First>
          </b:Person>
          <b:Person>
            <b:Last>Siegert</b:Last>
            <b:First>B.</b:First>
          </b:Person>
        </b:NameList>
      </b:Author>
      <b:BookAuthor>
        <b:NameList>
          <b:Person>
            <b:Last>J.G.</b:Last>
            <b:First>Goldamer</b:First>
          </b:Person>
        </b:NameList>
      </b:BookAuthor>
    </b:Author>
    <b:BookTitle>Fire in the Tropical Biota. Ecological Studies (Analysis and Synthesis)</b:BookTitle>
    <b:City>Berlin, Heidelberg</b:City>
    <b:Publisher>Springer</b:Publisher>
    <b:Pages>11-31</b:Pages>
    <b:RefOrder>15</b:RefOrder>
  </b:Source>
  <b:Source>
    <b:Tag>Mic20</b:Tag>
    <b:SourceType>JournalArticle</b:SourceType>
    <b:Guid>{ED340D3F-ED40-464D-976E-557E2347D053}</b:Guid>
    <b:Author>
      <b:Author>
        <b:NameList>
          <b:Person>
            <b:Last>Glantz</b:Last>
            <b:First>Michael</b:First>
            <b:Middle>H.</b:Middle>
          </b:Person>
          <b:Person>
            <b:Last>Ramirez</b:Last>
            <b:First>Ivan</b:First>
            <b:Middle>J.</b:Middle>
          </b:Person>
        </b:NameList>
      </b:Author>
    </b:Author>
    <b:Title>Reviewing the Oceanic Nino Index (ONI) to Enhance Societal Readiness for El Nino's Impacts</b:Title>
    <b:JournalName>Journal of Disaster Risk Science</b:JournalName>
    <b:Year>2020</b:Year>
    <b:Pages>394-403</b:Pages>
    <b:RefOrder>31</b:RefOrder>
  </b:Source>
  <b:Source>
    <b:Tag>Dah16</b:Tag>
    <b:SourceType>InternetSite</b:SourceType>
    <b:Guid>{3697402C-4DD9-DA48-8BCB-CA8F4FB3DFFE}</b:Guid>
    <b:Author>
      <b:Author>
        <b:NameList>
          <b:Person>
            <b:Last>Dahlman</b:Last>
            <b:First>LuAnn</b:First>
          </b:Person>
        </b:NameList>
      </b:Author>
    </b:Author>
    <b:Title>Climate Variability: Oceanic Nino Index</b:Title>
    <b:Year>2016</b:Year>
    <b:InternetSiteTitle>climate.gov</b:InternetSiteTitle>
    <b:URL>https://www.climate.gov/news-features/understanding-climate/climate-variability-oceanic-niño-index</b:URL>
    <b:Month>February</b:Month>
    <b:Day>11</b:Day>
    <b:RefOrder>32</b:RefOrder>
  </b:Source>
  <b:Source>
    <b:Tag>Kev01</b:Tag>
    <b:SourceType>JournalArticle</b:SourceType>
    <b:Guid>{E2D7B4C6-35C1-0E43-8958-193B6407F669}</b:Guid>
    <b:Author>
      <b:Author>
        <b:NameList>
          <b:Person>
            <b:Last>Trenberth</b:Last>
            <b:First>Kevin</b:First>
            <b:Middle>E.</b:Middle>
          </b:Person>
          <b:Person>
            <b:Last>Stepaniak</b:Last>
            <b:First>David</b:First>
            <b:Middle>P.</b:Middle>
          </b:Person>
        </b:NameList>
      </b:Author>
    </b:Author>
    <b:Title>Indices of El Nino evolution</b:Title>
    <b:JournalName>Journal of Climate</b:JournalName>
    <b:Year>2001</b:Year>
    <b:Pages>1697-1701</b:Pages>
    <b:RefOrder>33</b:RefOrder>
  </b:Source>
  <b:Source>
    <b:Tag>Eug82</b:Tag>
    <b:SourceType>JournalArticle</b:SourceType>
    <b:Guid>{5CDDACD3-607E-4640-A8E2-C223BE763EC4}</b:Guid>
    <b:Author>
      <b:Author>
        <b:NameList>
          <b:Person>
            <b:Last>Rasmusson</b:Last>
            <b:First>Eugene</b:First>
            <b:Middle>M.</b:Middle>
          </b:Person>
          <b:Person>
            <b:Last>Carpenter</b:Last>
            <b:First>Thomas</b:First>
            <b:Middle>H.</b:Middle>
          </b:Person>
        </b:NameList>
      </b:Author>
    </b:Author>
    <b:Title>Variations in Tropical Sea Surface Temperature and Surface Wind Fields Associated with the Southern Oscillation/ El Nino</b:Title>
    <b:JournalName>Monthly Weather Review</b:JournalName>
    <b:Year>1982</b:Year>
    <b:Pages>354-384</b:Pages>
    <b:RefOrder>34</b:RefOrder>
  </b:Source>
  <b:Source>
    <b:Tag>Tre971</b:Tag>
    <b:SourceType>JournalArticle</b:SourceType>
    <b:Guid>{44AE8661-C54C-724D-9C8E-49756DAFBF9B}</b:Guid>
    <b:Author>
      <b:Author>
        <b:NameList>
          <b:Person>
            <b:Last>Trenberth</b:Last>
            <b:First>Kevin</b:First>
            <b:Middle>E.</b:Middle>
          </b:Person>
        </b:NameList>
      </b:Author>
    </b:Author>
    <b:Title>The Definition of El Nino</b:Title>
    <b:Year>1997</b:Year>
    <b:JournalName>Bulletin American Meteorology Society</b:JournalName>
    <b:Pages>2772-2777</b:Pages>
    <b:RefOrder>35</b:RefOrder>
  </b:Source>
  <b:Source>
    <b:Tag>NAS21</b:Tag>
    <b:SourceType>InternetSite</b:SourceType>
    <b:Guid>{E598D8BE-D8D2-7048-A50F-6A142A7D7119}</b:Guid>
    <b:Title>earthdata.nasa.gov</b:Title>
    <b:Year>2021</b:Year>
    <b:Author>
      <b:Author>
        <b:NameList>
          <b:Person>
            <b:Last>FIRMS</b:Last>
            <b:First>NASA</b:First>
          </b:Person>
        </b:NameList>
      </b:Author>
    </b:Author>
    <b:InternetSiteTitle>earthdata.nasa.gov/firms</b:InternetSiteTitle>
    <b:URL>https://earthdata.nasa.gov/firms</b:URL>
    <b:Month>January</b:Month>
    <b:RefOrder>36</b:RefOrder>
  </b:Source>
  <b:Source>
    <b:Tag>Mar14</b:Tag>
    <b:SourceType>JournalArticle</b:SourceType>
    <b:Guid>{257C0F88-285F-044E-A03D-495B2A1C809B}</b:Guid>
    <b:Author>
      <b:Author>
        <b:NameList>
          <b:Person>
            <b:Last>Margono</b:Last>
            <b:First>Belinda</b:First>
            <b:Middle>Arunarwati</b:Middle>
          </b:Person>
          <b:Person>
            <b:Last>Potapov</b:Last>
            <b:First>Peter</b:First>
            <b:Middle>V.</b:Middle>
          </b:Person>
          <b:Person>
            <b:Last>Turubanova</b:Last>
            <b:First>Svetlana</b:First>
          </b:Person>
          <b:Person>
            <b:Last>Stolle</b:Last>
            <b:First>Fred</b:First>
          </b:Person>
          <b:Person>
            <b:Last>C</b:Last>
            <b:First>Matthew</b:First>
          </b:Person>
        </b:NameList>
      </b:Author>
    </b:Author>
    <b:Title>Primary Forest Cover Loss in Indonesia over 2000-2012</b:Title>
    <b:JournalName>Nature Climate Change</b:JournalName>
    <b:Year>2014</b:Year>
    <b:Pages>730-735</b:Pages>
    <b:RefOrder>37</b:RefOrder>
  </b:Source>
  <b:Source>
    <b:Tag>Pot08</b:Tag>
    <b:SourceType>JournalArticle</b:SourceType>
    <b:Guid>{06A8F8FB-3ADB-2C4C-B237-CDC355AB97AD}</b:Guid>
    <b:Author>
      <b:Author>
        <b:NameList>
          <b:Person>
            <b:Last>Potapov</b:Last>
            <b:First>Peter</b:First>
          </b:Person>
          <b:Person>
            <b:Last>Yaroshenko</b:Last>
            <b:First>Aleksey</b:First>
          </b:Person>
          <b:Person>
            <b:Last>Turubanova</b:Last>
            <b:First>Svetlana</b:First>
          </b:Person>
          <b:Person>
            <b:Last>Dubinin</b:Last>
            <b:First>Maxim</b:First>
          </b:Person>
          <b:Person>
            <b:Last>Laestadius</b:Last>
            <b:First>Lars</b:First>
          </b:Person>
          <b:Person>
            <b:Last>Thies</b:Last>
            <b:First>Christoph</b:First>
          </b:Person>
          <b:Person>
            <b:Last>Aksenov</b:Last>
            <b:First>Dmitry</b:First>
          </b:Person>
          <b:Person>
            <b:Last>Egorov</b:Last>
            <b:First>Aleksey</b:First>
          </b:Person>
          <b:Person>
            <b:Last>Yesipova</b:Last>
            <b:First>Yelena</b:First>
          </b:Person>
          <b:Person>
            <b:Last>Glushkov</b:Last>
            <b:First>Igor</b:First>
          </b:Person>
          <b:Person>
            <b:Last>Karpachevskiy</b:Last>
            <b:First>Mikhail</b:First>
          </b:Person>
          <b:Person>
            <b:Last>Kostikova</b:Last>
            <b:First>Anna</b:First>
          </b:Person>
          <b:Person>
            <b:Last>Manisha</b:Last>
            <b:First>Alexander</b:First>
          </b:Person>
          <b:Person>
            <b:Last>Tsybikova</b:Last>
            <b:First>Ekat</b:First>
          </b:Person>
        </b:NameList>
      </b:Author>
    </b:Author>
    <b:Title>Mapping the World's Intact Forest Landscapes by Remote Sensing</b:Title>
    <b:JournalName>Ecology and Society</b:JournalName>
    <b:Year>2008</b:Year>
    <b:Pages>13-51</b:Pages>
    <b:RefOrder>38</b:RefOrder>
  </b:Source>
  <b:Source>
    <b:Tag>Mar12</b:Tag>
    <b:SourceType>JournalArticle</b:SourceType>
    <b:Guid>{40FE0EA4-F829-2242-B97E-93008DAE5199}</b:Guid>
    <b:Author>
      <b:Author>
        <b:NameList>
          <b:Person>
            <b:Last>Margono</b:Last>
            <b:First>Belinda</b:First>
            <b:Middle>Arunarwati</b:Middle>
          </b:Person>
          <b:Person>
            <b:Last>Turubanova</b:Last>
            <b:First>Svetlana</b:First>
          </b:Person>
          <b:Person>
            <b:Last>Zhuravleva</b:Last>
            <b:First>Ilona</b:First>
          </b:Person>
          <b:Person>
            <b:Last>Potapov</b:Last>
            <b:First>Peter</b:First>
          </b:Person>
          <b:Person>
            <b:Last>Tyukavina</b:Last>
            <b:First>Alexandra</b:First>
          </b:Person>
          <b:Person>
            <b:Last>Baccini</b:Last>
            <b:First>Alessandro</b:First>
          </b:Person>
          <b:Person>
            <b:Last>Goetz</b:Last>
            <b:First>Scott</b:First>
          </b:Person>
          <b:Person>
            <b:Last>Hansen</b:Last>
            <b:First>Matthew</b:First>
            <b:Middle>C</b:Middle>
          </b:Person>
        </b:NameList>
      </b:Author>
    </b:Author>
    <b:Title>Mapping and monitoring deforestation and forest degradation in Sumatra (Indonesia) using Landsat time series data sets from 1990 to 2010</b:Title>
    <b:JournalName>Environ. Res. Lett</b:JournalName>
    <b:Year>2012</b:Year>
    <b:RefOrder>39</b:RefOrder>
  </b:Source>
  <b:Source>
    <b:Tag>Nin13</b:Tag>
    <b:SourceType>JournalArticle</b:SourceType>
    <b:Guid>{C54E038E-4E28-1D49-83CC-696A56EE3FCF}</b:Guid>
    <b:Title>Recent Active Fires under El Nino Conditions in Kalimantan, Indonesia</b:Title>
    <b:Year>2013</b:Year>
    <b:Author>
      <b:Author>
        <b:NameList>
          <b:Person>
            <b:Last>Yulianti</b:Last>
            <b:First>Nina</b:First>
          </b:Person>
          <b:Person>
            <b:Last>Hayasaka</b:Last>
            <b:First>Hiroshi</b:First>
          </b:Person>
        </b:NameList>
      </b:Author>
    </b:Author>
    <b:JournalName>American Journal of Plant Sciences</b:JournalName>
    <b:Pages>685-696</b:Pages>
    <b:RefOrder>40</b:RefOrder>
  </b:Source>
  <b:Source>
    <b:Tag>Nat171</b:Tag>
    <b:SourceType>JournalArticle</b:SourceType>
    <b:Guid>{F1843AFA-DEC4-984F-878D-E40B2642BF86}</b:Guid>
    <b:Author>
      <b:Author>
        <b:NameList>
          <b:Person>
            <b:Last>Schultz</b:Last>
            <b:First>Natalie</b:First>
            <b:Middle>M.</b:Middle>
          </b:Person>
          <b:Person>
            <b:Last>Lawrence</b:Last>
            <b:First>Peter</b:First>
            <b:Middle>J.</b:Middle>
          </b:Person>
          <b:Person>
            <b:Last>Lee</b:Last>
            <b:First>Xuhui</b:First>
          </b:Person>
        </b:NameList>
      </b:Author>
    </b:Author>
    <b:Title>Global satelite data highlights the diurnal asymmetry of the surface temperature response to deforestation</b:Title>
    <b:JournalName>JGR Biogeosciences</b:JournalName>
    <b:Year>2017</b:Year>
    <b:RefOrder>41</b:RefOrder>
  </b:Source>
  <b:Source>
    <b:Tag>Cli18</b:Tag>
    <b:SourceType>JournalArticle</b:SourceType>
    <b:Guid>{13ABAE9A-4755-9440-8718-5B99EDABFB50}</b:Guid>
    <b:Author>
      <b:Author>
        <b:NameList>
          <b:Person>
            <b:Last>McAlpine</b:Last>
            <b:First>Clive</b:First>
            <b:Middle>A</b:Middle>
          </b:Person>
          <b:Person>
            <b:Last>Johnson</b:Last>
            <b:First>Alex</b:First>
          </b:Person>
          <b:Person>
            <b:Last>Salazar</b:Last>
            <b:First>Alvaro</b:First>
          </b:Person>
          <b:Person>
            <b:Last>Syktus</b:Last>
            <b:First>Josef</b:First>
          </b:Person>
          <b:Person>
            <b:Last>Wilson</b:Last>
            <b:First>Kerrie</b:First>
          </b:Person>
          <b:Person>
            <b:Last>Seabrook</b:Last>
            <b:First>Leonie</b:First>
          </b:Person>
          <b:Person>
            <b:Last>Dargusch</b:Last>
            <b:First>Paul</b:First>
          </b:Person>
          <b:Person>
            <b:Last>Nordin</b:Last>
            <b:First>Haziq</b:First>
          </b:Person>
          <b:Person>
            <b:Last>Sheil</b:Last>
            <b:First>Douglas</b:First>
          </b:Person>
        </b:NameList>
      </b:Author>
    </b:Author>
    <b:Title>Forest loss and Borneo's climate</b:Title>
    <b:JournalName>Environmental Research Letters</b:JournalName>
    <b:Year>2018</b:Year>
    <b:Pages>13</b:Pages>
    <b:RefOrder>42</b:RefOrder>
  </b:Source>
  <b:Source>
    <b:Tag>Mar03</b:Tag>
    <b:SourceType>JournalArticle</b:SourceType>
    <b:Guid>{D1F3D102-9907-424E-A971-5434E0675A2E}</b:Guid>
    <b:Author>
      <b:Author>
        <b:NameList>
          <b:Person>
            <b:Last>Cochrane</b:Last>
            <b:First>Mark</b:First>
            <b:Middle>A.</b:Middle>
          </b:Person>
        </b:NameList>
      </b:Author>
    </b:Author>
    <b:Title>Fire science for rainforests</b:Title>
    <b:JournalName>Nature</b:JournalName>
    <b:Year>2003</b:Year>
    <b:Pages>913-919</b:Pages>
    <b:RefOrder>43</b:RefOrder>
  </b:Source>
  <b:Source>
    <b:Tag>Joh07</b:Tag>
    <b:SourceType>JournalArticle</b:SourceType>
    <b:Guid>{88C389C9-F05A-834C-BC35-286192A18DA4}</b:Guid>
    <b:Author>
      <b:Author>
        <b:NameList>
          <b:Person>
            <b:Last>Goldammer</b:Last>
            <b:First>Johann</b:First>
            <b:Middle>G.</b:Middle>
          </b:Person>
        </b:NameList>
      </b:Author>
    </b:Author>
    <b:Title>History of equatorial vegetation fires and fire research in Southeast Asia before the 1997-98 episode: A reconstruction of creeping environmental changes</b:Title>
    <b:JournalName>Mitigation and Adaptation Strategies for Global Change</b:JournalName>
    <b:Year>2007</b:Year>
    <b:Pages>13-32</b:Pages>
    <b:RefOrder>44</b:RefOrder>
  </b:Source>
  <b:Source>
    <b:Tag>Tad20</b:Tag>
    <b:SourceType>JournalArticle</b:SourceType>
    <b:Guid>{5AA1DFA5-99E9-0945-9EA9-93E757B6CDC4}</b:Guid>
    <b:Title>Near-complete loss of fire-resistant primary tropical forest cover in Sumatra and Kalimantan</b:Title>
    <b:Year>2020</b:Year>
    <b:Pages>1</b:Pages>
    <b:Author>
      <b:Author>
        <b:NameList>
          <b:Person>
            <b:Last>Nikonovas</b:Last>
            <b:First>Tadas</b:First>
          </b:Person>
          <b:Person>
            <b:Last>Spessa</b:Last>
            <b:First>Allan</b:First>
          </b:Person>
          <b:Person>
            <b:Last>Doerr</b:Last>
            <b:First>Stefan</b:First>
            <b:Middle>H.</b:Middle>
          </b:Person>
          <b:Person>
            <b:Last>Clay</b:Last>
            <b:First>Gareth</b:First>
            <b:Middle>D.</b:Middle>
          </b:Person>
          <b:Person>
            <b:Last>Mezbahuddin</b:Last>
            <b:First>Symon</b:First>
          </b:Person>
        </b:NameList>
      </b:Author>
    </b:Author>
    <b:JournalName>Communications Earth &amp; Environment</b:JournalName>
    <b:RefOrder>45</b:RefOrder>
  </b:Source>
  <b:Source>
    <b:Tag>Dav14</b:Tag>
    <b:SourceType>JournalArticle</b:SourceType>
    <b:Guid>{1CBF04C8-B938-334B-A86A-9EDED2C2B851}</b:Guid>
    <b:Author>
      <b:Author>
        <b:NameList>
          <b:Person>
            <b:Last>Gaveau</b:Last>
            <b:First>David</b:First>
            <b:Middle>L.A.</b:Middle>
          </b:Person>
          <b:Person>
            <b:Last>Sloan</b:Last>
            <b:First>Sean</b:First>
          </b:Person>
          <b:Person>
            <b:Last>Molidena</b:Last>
            <b:First>Elis</b:First>
          </b:Person>
          <b:Person>
            <b:Last>Yaen</b:Last>
            <b:First>Husna</b:First>
          </b:Person>
          <b:Person>
            <b:Last>Sheil</b:Last>
            <b:First>Doug</b:First>
          </b:Person>
          <b:Person>
            <b:Last>Abram</b:Last>
            <b:First>Nicola</b:First>
            <b:Middle>K.</b:Middle>
          </b:Person>
          <b:Person>
            <b:Last>Acrenaz</b:Last>
            <b:First>Marc</b:First>
          </b:Person>
          <b:Person>
            <b:Last>Nasi</b:Last>
            <b:First>Robert</b:First>
          </b:Person>
          <b:Person>
            <b:Last>Quinones</b:Last>
            <b:First>Marcela</b:First>
          </b:Person>
          <b:Person>
            <b:Last>Wielaard</b:Last>
            <b:First>Niels</b:First>
          </b:Person>
          <b:Person>
            <b:Last>Meijaard</b:Last>
            <b:First>Erik</b:First>
          </b:Person>
        </b:NameList>
      </b:Author>
    </b:Author>
    <b:Title>Four Decades of Forest Persistence, Clearance and Logging on Borneo</b:Title>
    <b:JournalName>PLOS One</b:JournalName>
    <b:Year>2014</b:Year>
    <b:RefOrder>46</b:RefOrder>
  </b:Source>
  <b:Source>
    <b:Tag>HBr90</b:Tag>
    <b:SourceType>JournalArticle</b:SourceType>
    <b:Guid>{69D3737B-EFCD-ED43-B6F2-DC7B49D89013}</b:Guid>
    <b:Author>
      <b:Author>
        <b:NameList>
          <b:Person>
            <b:Last>Brookfield</b:Last>
            <b:First>H.</b:First>
          </b:Person>
          <b:Person>
            <b:Last>Byron</b:Last>
            <b:First>Y.</b:First>
          </b:Person>
        </b:NameList>
      </b:Author>
    </b:Author>
    <b:Title>Deforestation and timber extraction in Borneo and the Malay Peninsula: the record since 1965</b:Title>
    <b:JournalName>Global Environmental Change</b:JournalName>
    <b:Year>1990</b:Year>
    <b:Pages>42-56</b:Pages>
    <b:RefOrder>47</b:RefOrder>
  </b:Source>
  <b:Source>
    <b:Tag>Tre97</b:Tag>
    <b:SourceType>JournalArticle</b:SourceType>
    <b:Guid>{BAE6A276-1192-6047-A59F-9A8225983B65}</b:Guid>
    <b:Author>
      <b:Author>
        <b:NameList>
          <b:Person>
            <b:Last>Trenberth</b:Last>
            <b:First>Kevin</b:First>
            <b:Middle>E.</b:Middle>
          </b:Person>
        </b:NameList>
      </b:Author>
    </b:Author>
    <b:Title>The Definition of El Nino</b:Title>
    <b:JournalName>Bulletin of the American Meteorological Society</b:JournalName>
    <b:Year>1997</b:Year>
    <b:Month>December</b:Month>
    <b:Day>12</b:Day>
    <b:Volume>78</b:Volume>
    <b:Pages>2771-2777</b:Pages>
    <b:RefOrder>17</b:RefOrder>
  </b:Source>
  <b:Source>
    <b:Tag>Bur17</b:Tag>
    <b:SourceType>InternetSite</b:SourceType>
    <b:Guid>{360F8B6E-7DC8-3446-9E6A-7A0D8BF19651}</b:Guid>
    <b:Title>bom.gov.au</b:Title>
    <b:Year>2017</b:Year>
    <b:Author>
      <b:Author>
        <b:Corporate>Bureau of Meteorology</b:Corporate>
      </b:Author>
    </b:Author>
    <b:URL>http://www.bom.gov.au/climate/ahead/about-ENSO-outlooks.shtml</b:URL>
    <b:YearAccessed>2017</b:YearAccessed>
    <b:MonthAccessed>08</b:MonthAccessed>
    <b:DayAccessed>02</b:DayAccessed>
    <b:RefOrder>18</b:RefOrder>
  </b:Source>
  <b:Source>
    <b:Tag>Nat17</b:Tag>
    <b:SourceType>InternetSite</b:SourceType>
    <b:Guid>{FCC74975-C669-1145-8764-17CDFFE7B800}</b:Guid>
    <b:Author>
      <b:Author>
        <b:Corporate>National Oceanic and Atmospheric Administration</b:Corporate>
      </b:Author>
    </b:Author>
    <b:Title>www.climate.gov</b:Title>
    <b:URL>https://www.climate.gov/enso</b:URL>
    <b:Year>2017</b:Year>
    <b:YearAccessed>2017</b:YearAccessed>
    <b:MonthAccessed>08</b:MonthAccessed>
    <b:DayAccessed>03</b:DayAccessed>
    <b:RefOrder>19</b:RefOrder>
  </b:Source>
  <b:Source>
    <b:Tag>Woo12</b:Tag>
    <b:SourceType>JournalArticle</b:SourceType>
    <b:Guid>{EDFE431C-46B7-6D41-B6B2-709251F97141}</b:Guid>
    <b:Author>
      <b:Author>
        <b:NameList>
          <b:Person>
            <b:Last>Wooster</b:Last>
            <b:First>M.J.</b:First>
          </b:Person>
          <b:Person>
            <b:Last>Perry</b:Last>
            <b:First>G.L.W.</b:First>
          </b:Person>
          <b:Person>
            <b:Last>Zoumas</b:Last>
            <b:First>A.</b:First>
          </b:Person>
        </b:NameList>
      </b:Author>
    </b:Author>
    <b:Title>Fire, drought and El Nino relationships on Borneo (Southeast Asia) in the pre-MODIS era (1980-2000)</b:Title>
    <b:Year>2012</b:Year>
    <b:Pages>317-340</b:Pages>
    <b:JournalName>Biogeosciences</b:JournalName>
    <b:Volume>9</b:Volume>
    <b:RefOrder>20</b:RefOrder>
  </b:Source>
  <b:Source>
    <b:Tag>Guh00</b:Tag>
    <b:SourceType>Book</b:SourceType>
    <b:Guid>{192E6E4B-AC40-0142-B34D-927A12B05B6B}</b:Guid>
    <b:Title>Rainforest Ecosystem of East Kalimantan, El Nino, Drought, Fire and Human Impacts</b:Title>
    <b:Publisher>Springer</b:Publisher>
    <b:City>New York</b:City>
    <b:Year>2000</b:Year>
    <b:Author>
      <b:Author>
        <b:NameList>
          <b:Person>
            <b:Last>Guhardja</b:Last>
            <b:First>E.</b:First>
          </b:Person>
          <b:Person>
            <b:Last>Fatawi</b:Last>
            <b:First>M.</b:First>
          </b:Person>
          <b:Person>
            <b:Last>Sutisna</b:Last>
            <b:First>M.</b:First>
          </b:Person>
          <b:Person>
            <b:Last>Mori</b:Last>
            <b:First>T.</b:First>
          </b:Person>
          <b:Person>
            <b:Last>Ohta</b:Last>
            <b:First>S.</b:First>
          </b:Person>
        </b:NameList>
      </b:Author>
    </b:Author>
    <b:RefOrder>21</b:RefOrder>
  </b:Source>
  <b:Source>
    <b:Tag>Sie01</b:Tag>
    <b:SourceType>JournalArticle</b:SourceType>
    <b:Guid>{B56F9C71-C938-6A4C-B78D-F73771ABABFB}</b:Guid>
    <b:Author>
      <b:Author>
        <b:NameList>
          <b:Person>
            <b:Last>Siegert</b:Last>
            <b:First>F.</b:First>
          </b:Person>
          <b:Person>
            <b:Last>Ruecker</b:Last>
            <b:First>G.</b:First>
          </b:Person>
          <b:Person>
            <b:Last>Hinrichs</b:Last>
            <b:First>A.</b:First>
          </b:Person>
          <b:Person>
            <b:Last>Hoffmann</b:Last>
            <b:First>AA.</b:First>
          </b:Person>
        </b:NameList>
      </b:Author>
    </b:Author>
    <b:Title>Increased damage from fires in logged forests during droughts caused by El Nino</b:Title>
    <b:Year>2001</b:Year>
    <b:Pages>437-440</b:Pages>
    <b:JournalName>Nature</b:JournalName>
    <b:Volume>412</b:Volume>
    <b:RefOrder>22</b:RefOrder>
  </b:Source>
  <b:Source>
    <b:Tag>Coc03</b:Tag>
    <b:SourceType>JournalArticle</b:SourceType>
    <b:Guid>{8005D621-61A2-D845-885A-9783C1995822}</b:Guid>
    <b:Author>
      <b:Author>
        <b:NameList>
          <b:Person>
            <b:Last>Cochrane</b:Last>
            <b:First>MA</b:First>
          </b:Person>
        </b:NameList>
      </b:Author>
    </b:Author>
    <b:Title>Fire Science for Rainforests</b:Title>
    <b:JournalName>Nature</b:JournalName>
    <b:Year>2003</b:Year>
    <b:Volume>421</b:Volume>
    <b:Pages>913-919</b:Pages>
    <b:RefOrder>23</b:RefOrder>
  </b:Source>
  <b:Source>
    <b:Tag>Gol07</b:Tag>
    <b:SourceType>JournalArticle</b:SourceType>
    <b:Guid>{C777E0B6-44BB-2445-9D3A-9D6134553653}</b:Guid>
    <b:Author>
      <b:Author>
        <b:NameList>
          <b:Person>
            <b:Last>Goldammer</b:Last>
            <b:First>J.</b:First>
          </b:Person>
        </b:NameList>
      </b:Author>
    </b:Author>
    <b:Title>History of equatorial vegetation fires and fire research in Southeast Asia before the 1997-1998 episode: a reconstruction of creeping environmental changes</b:Title>
    <b:Year>2007</b:Year>
    <b:Volume>12</b:Volume>
    <b:Pages>13-32</b:Pages>
    <b:JournalName>Mitigation and Adaptation Strategies for Global CHange</b:JournalName>
    <b:Issue>1</b:Issue>
    <b:RefOrder>24</b:RefOrder>
  </b:Source>
  <b:Source>
    <b:Tag>Ass15</b:Tag>
    <b:SourceType>JournalArticle</b:SourceType>
    <b:Guid>{7882F206-4486-1747-AD06-9ABD894A4C9E}</b:Guid>
    <b:Title>Assesment of Above-Ground Biomass of Borneo Forests through a New Data-Fusion Approach Combining Two Pan-Tropical Biomass Maps</b:Title>
    <b:JournalName>Land</b:JournalName>
    <b:Year>2015</b:Year>
    <b:Volume>4</b:Volume>
    <b:Issue>3</b:Issue>
    <b:Pages>656-669</b:Pages>
    <b:Author>
      <b:Author>
        <b:NameList>
          <b:Person>
            <b:Last>Langner</b:Last>
            <b:First>A.</b:First>
          </b:Person>
          <b:Person>
            <b:Last>Achard</b:Last>
            <b:First>F.</b:First>
          </b:Person>
          <b:Person>
            <b:Last>Vancutsem</b:Last>
            <b:First>C.</b:First>
          </b:Person>
          <b:Person>
            <b:Last>Pekel</b:Last>
            <b:First>J-F</b:First>
          </b:Person>
          <b:Person>
            <b:Last>Simonetti</b:Last>
            <b:First>D.</b:First>
          </b:Person>
          <b:Person>
            <b:Last>Grassi</b:Last>
            <b:First>G.</b:First>
          </b:Person>
          <b:Person>
            <b:Last>Kitayama</b:Last>
            <b:First>K.</b:First>
          </b:Person>
          <b:Person>
            <b:Last>Nakayama</b:Last>
            <b:First>M.</b:First>
          </b:Person>
        </b:NameList>
      </b:Author>
    </b:Author>
    <b:RefOrder>25</b:RefOrder>
  </b:Source>
  <b:Source>
    <b:Tag>Ham02</b:Tag>
    <b:SourceType>JournalArticle</b:SourceType>
    <b:Guid>{C157D57C-A3E4-124B-B25A-567DB37066FE}</b:Guid>
    <b:Author>
      <b:Author>
        <b:NameList>
          <b:Person>
            <b:Last>Hamada</b:Last>
            <b:First>J.</b:First>
          </b:Person>
          <b:Person>
            <b:Last>Yamanaka</b:Last>
            <b:First>M.D.</b:First>
          </b:Person>
          <b:Person>
            <b:Last>Matsumoto</b:Last>
            <b:First>J.</b:First>
          </b:Person>
          <b:Person>
            <b:Last>Fukao</b:Last>
            <b:First>S.</b:First>
          </b:Person>
          <b:Person>
            <b:Last>Winarso</b:Last>
            <b:First>P.A.</b:First>
          </b:Person>
          <b:Person>
            <b:Last>Sribimawati</b:Last>
            <b:First>T.</b:First>
          </b:Person>
        </b:NameList>
      </b:Author>
    </b:Author>
    <b:Title>Spatial and Temporal variations of the rainy season over Indonesia and their link to ENSO</b:Title>
    <b:JournalName>Japan Meteorological Society</b:JournalName>
    <b:Year>2002</b:Year>
    <b:Volume>80</b:Volume>
    <b:Pages>285-310</b:Pages>
    <b:RefOrder>26</b:RefOrder>
  </b:Source>
  <b:Source>
    <b:Tag>Kir99</b:Tag>
    <b:SourceType>JournalArticle</b:SourceType>
    <b:Guid>{A2ACB800-B55E-6041-BDEA-9668C5CE35EB}</b:Guid>
    <b:Author>
      <b:Author>
        <b:NameList>
          <b:Person>
            <b:Last>Kirono</b:Last>
            <b:First>D.G.C.</b:First>
          </b:Person>
          <b:Person>
            <b:Last>Tapper</b:Last>
            <b:First>N.J.</b:First>
          </b:Person>
          <b:Person>
            <b:Last>McBride</b:Last>
            <b:First>J.L.</b:First>
          </b:Person>
        </b:NameList>
      </b:Author>
    </b:Author>
    <b:Title>Documenting Indonesian rainfall in the 1997/1998 El Nino event</b:Title>
    <b:JournalName>Physical Geography</b:JournalName>
    <b:Year>1999</b:Year>
    <b:Volume>20</b:Volume>
    <b:Pages>422-435</b:Pages>
    <b:RefOrder>27</b:RefOrder>
  </b:Source>
  <b:Source>
    <b:Tag>Lan07</b:Tag>
    <b:SourceType>JournalArticle</b:SourceType>
    <b:Guid>{58499DF7-CD48-8743-9002-7ACEA6994E48}</b:Guid>
    <b:Title>Land cover change 2002-2005 in Borneo and the role of fire derived from MODIS imagery</b:Title>
    <b:Publisher>Blackwell Publishing Ltd</b:Publisher>
    <b:Year>2007</b:Year>
    <b:Volume>13</b:Volume>
    <b:Pages>2329-2340</b:Pages>
    <b:Author>
      <b:Author>
        <b:NameList>
          <b:Person>
            <b:Last>Langner</b:Last>
            <b:First>Andreas</b:First>
          </b:Person>
          <b:Person>
            <b:Last>Miettinen</b:Last>
            <b:First>Jukka</b:First>
          </b:Person>
          <b:Person>
            <b:Last>Siegert</b:Last>
            <b:First>Florian</b:First>
          </b:Person>
        </b:NameList>
      </b:Author>
    </b:Author>
    <b:JournalName>Global Change Biology</b:JournalName>
    <b:RefOrder>28</b:RefOrder>
  </b:Source>
  <b:Source>
    <b:Tag>Har15</b:Tag>
    <b:SourceType>InternetSite</b:SourceType>
    <b:Guid>{85A6E082-C515-F145-90B8-0C0EEB21C23F}</b:Guid>
    <b:Title>wri.org</b:Title>
    <b:Year>2015</b:Year>
    <b:Month>October</b:Month>
    <b:Day>16</b:Day>
    <b:Author>
      <b:Author>
        <b:NameList>
          <b:Person>
            <b:Last>Harris</b:Last>
            <b:First>N.</b:First>
          </b:Person>
          <b:Person>
            <b:Last>Minnemeyer</b:Last>
            <b:First>S.</b:First>
          </b:Person>
          <b:Person>
            <b:Last>Stolle</b:Last>
            <b:First>F.</b:First>
          </b:Person>
          <b:Person>
            <b:Last>Payne</b:Last>
            <b:First>O.</b:First>
          </b:Person>
        </b:NameList>
      </b:Author>
    </b:Author>
    <b:URL>http://www.wri.org/blog/2015/10/indonesia’s-fire-outbreaks-producing-more-daily-emissions-entire-us-economy</b:URL>
    <b:YearAccessed>2017</b:YearAccessed>
    <b:MonthAccessed>08</b:MonthAccessed>
    <b:DayAccessed>04</b:DayAccessed>
    <b:RefOrder>29</b:RefOrder>
  </b:Source>
  <b:Source>
    <b:Tag>Adr16</b:Tag>
    <b:SourceType>Report</b:SourceType>
    <b:Guid>{817F436A-779A-CF45-A9C1-0CFE8DE44F1F}</b:Guid>
    <b:Author>
      <b:Author>
        <b:NameList>
          <b:Person>
            <b:Last>Adriani</b:Last>
            <b:First>Mangda</b:First>
          </b:Person>
          <b:Person>
            <b:Last>Moyer</b:Last>
            <b:First>Sarah</b:First>
          </b:Person>
          <b:Person>
            <b:Last>Kendrick</b:Last>
            <b:First>Anita</b:First>
          </b:Person>
          <b:Person>
            <b:Last>Henry</b:Last>
            <b:First>George</b:First>
          </b:Person>
          <b:Person>
            <b:Last>Wood</b:Last>
            <b:First>Stirrett</b:First>
          </b:Person>
        </b:NameList>
      </b:Author>
    </b:Author>
    <b:Title>The Cost of Fire: An Economic Analysis of Indonesia's 2015 Fire Crisis</b:Title>
    <b:Publisher>World Bank Group</b:Publisher>
    <b:City>Jakarta</b:City>
    <b:Year>2016</b:Year>
    <b:RefOrder>30</b:RefOrder>
  </b:Source>
  <b:Source>
    <b:Tag>WQu78</b:Tag>
    <b:SourceType>JournalArticle</b:SourceType>
    <b:Guid>{E0669A08-34AB-0349-AFB3-D238B38CADA9}</b:Guid>
    <b:Author>
      <b:Author>
        <b:NameList>
          <b:Person>
            <b:Last>Quinn</b:Last>
            <b:First>W.</b:First>
          </b:Person>
          <b:Person>
            <b:Last>Zopf</b:Last>
            <b:First>D.</b:First>
          </b:Person>
          <b:Person>
            <b:Last>Short</b:Last>
            <b:First>K.</b:First>
          </b:Person>
          <b:Person>
            <b:Last>Kuo</b:Last>
            <b:First>R.</b:First>
            <b:Middle>Y.</b:Middle>
          </b:Person>
        </b:NameList>
      </b:Author>
    </b:Author>
    <b:Title>Historical trends and statistics of the Southern Oscillation, El Nino and Indonesian drought</b:Title>
    <b:JournalName>Fish. Bull.</b:JournalName>
    <b:Year>1978</b:Year>
    <b:Pages>663-678</b:Pages>
    <b:RefOrder>16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F04BFE-D683-4BC1-BD8E-76AA682D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4798</Words>
  <Characters>27351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2021-11-30T09:24:00Z</dcterms:created>
  <dcterms:modified xsi:type="dcterms:W3CDTF">2021-11-30T09:29:00Z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