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4780A2" w14:textId="77777777" w:rsidR="00F03DD8" w:rsidRDefault="00522A2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b/>
          <w:noProof/>
          <w:color w:val="000000"/>
          <w:lang w:val="en-MY" w:eastAsia="en-MY"/>
        </w:rPr>
        <w:drawing>
          <wp:inline distT="0" distB="0" distL="114300" distR="114300" wp14:anchorId="5F9537E1" wp14:editId="7A8D8C80">
            <wp:extent cx="5969000" cy="495300"/>
            <wp:effectExtent l="0" t="0" r="0" b="0"/>
            <wp:docPr id="102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9"/>
                    <a:srcRect/>
                    <a:stretch>
                      <a:fillRect/>
                    </a:stretch>
                  </pic:blipFill>
                  <pic:spPr>
                    <a:xfrm>
                      <a:off x="0" y="0"/>
                      <a:ext cx="5969000" cy="495300"/>
                    </a:xfrm>
                    <a:prstGeom prst="rect">
                      <a:avLst/>
                    </a:prstGeom>
                    <a:ln/>
                  </pic:spPr>
                </pic:pic>
              </a:graphicData>
            </a:graphic>
          </wp:inline>
        </w:drawing>
      </w:r>
    </w:p>
    <w:p w14:paraId="241EB081" w14:textId="77777777" w:rsidR="00F03DD8" w:rsidRDefault="00F03DD8">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p>
    <w:p w14:paraId="4865FCD6" w14:textId="77777777" w:rsidR="0016468C" w:rsidRPr="0016468C" w:rsidRDefault="0016468C" w:rsidP="0016468C">
      <w:pPr>
        <w:pBdr>
          <w:top w:val="nil"/>
          <w:left w:val="nil"/>
          <w:bottom w:val="nil"/>
          <w:right w:val="nil"/>
          <w:between w:val="nil"/>
        </w:pBdr>
        <w:spacing w:after="0" w:line="240" w:lineRule="auto"/>
        <w:ind w:left="1" w:hanging="3"/>
        <w:jc w:val="center"/>
        <w:rPr>
          <w:rFonts w:ascii="Times New Roman" w:eastAsia="Times New Roman" w:hAnsi="Times New Roman" w:cs="Times New Roman"/>
          <w:b/>
          <w:color w:val="000000"/>
          <w:sz w:val="28"/>
          <w:szCs w:val="28"/>
        </w:rPr>
      </w:pPr>
      <w:r w:rsidRPr="0016468C">
        <w:rPr>
          <w:rFonts w:ascii="Times New Roman" w:eastAsia="Times New Roman" w:hAnsi="Times New Roman" w:cs="Times New Roman"/>
          <w:b/>
          <w:color w:val="000000"/>
          <w:sz w:val="28"/>
          <w:szCs w:val="28"/>
        </w:rPr>
        <w:t xml:space="preserve">Statistical significance of geomagnetic diurnal variation </w:t>
      </w:r>
      <w:r>
        <w:rPr>
          <w:rFonts w:ascii="Times New Roman" w:eastAsia="Times New Roman" w:hAnsi="Times New Roman" w:cs="Times New Roman"/>
          <w:b/>
          <w:color w:val="000000"/>
          <w:sz w:val="28"/>
          <w:szCs w:val="28"/>
        </w:rPr>
        <w:br/>
      </w:r>
      <w:r w:rsidRPr="0016468C">
        <w:rPr>
          <w:rFonts w:ascii="Times New Roman" w:eastAsia="Times New Roman" w:hAnsi="Times New Roman" w:cs="Times New Roman"/>
          <w:b/>
          <w:color w:val="000000"/>
          <w:sz w:val="28"/>
          <w:szCs w:val="28"/>
        </w:rPr>
        <w:t>anomalies prior to worldwide earthquakes</w:t>
      </w:r>
    </w:p>
    <w:p w14:paraId="0BA16B85" w14:textId="77777777" w:rsidR="00F03DD8" w:rsidRDefault="00F03DD8">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rPr>
      </w:pPr>
    </w:p>
    <w:p w14:paraId="4AA6959F" w14:textId="06683640" w:rsidR="00F03DD8" w:rsidRDefault="0016468C">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rPr>
      </w:pPr>
      <w:proofErr w:type="spellStart"/>
      <w:r w:rsidRPr="0016468C">
        <w:rPr>
          <w:rFonts w:ascii="Times New Roman" w:eastAsia="Times New Roman" w:hAnsi="Times New Roman" w:cs="Times New Roman"/>
          <w:color w:val="000000"/>
        </w:rPr>
        <w:t>Khairul</w:t>
      </w:r>
      <w:proofErr w:type="spellEnd"/>
      <w:r w:rsidRPr="0016468C">
        <w:rPr>
          <w:rFonts w:ascii="Times New Roman" w:eastAsia="Times New Roman" w:hAnsi="Times New Roman" w:cs="Times New Roman"/>
          <w:color w:val="000000"/>
        </w:rPr>
        <w:t xml:space="preserve"> </w:t>
      </w:r>
      <w:proofErr w:type="spellStart"/>
      <w:r w:rsidRPr="0016468C">
        <w:rPr>
          <w:rFonts w:ascii="Times New Roman" w:eastAsia="Times New Roman" w:hAnsi="Times New Roman" w:cs="Times New Roman"/>
          <w:color w:val="000000"/>
        </w:rPr>
        <w:t>Adib</w:t>
      </w:r>
      <w:proofErr w:type="spellEnd"/>
      <w:r w:rsidRPr="0016468C">
        <w:rPr>
          <w:rFonts w:ascii="Times New Roman" w:eastAsia="Times New Roman" w:hAnsi="Times New Roman" w:cs="Times New Roman"/>
          <w:color w:val="000000"/>
        </w:rPr>
        <w:t xml:space="preserve"> Yusof</w:t>
      </w:r>
      <w:r w:rsidRPr="0016468C">
        <w:rPr>
          <w:rFonts w:ascii="Times New Roman" w:eastAsia="Times New Roman" w:hAnsi="Times New Roman" w:cs="Times New Roman"/>
          <w:color w:val="000000"/>
          <w:vertAlign w:val="superscript"/>
        </w:rPr>
        <w:t>1</w:t>
      </w:r>
      <w:r w:rsidR="00054AE9">
        <w:rPr>
          <w:rFonts w:ascii="Times New Roman" w:eastAsia="Times New Roman" w:hAnsi="Times New Roman" w:cs="Times New Roman"/>
          <w:color w:val="000000"/>
          <w:vertAlign w:val="superscript"/>
        </w:rPr>
        <w:t>,2</w:t>
      </w:r>
      <w:r w:rsidRPr="0016468C">
        <w:rPr>
          <w:rFonts w:ascii="Times New Roman" w:eastAsia="Times New Roman" w:hAnsi="Times New Roman" w:cs="Times New Roman"/>
          <w:color w:val="000000"/>
        </w:rPr>
        <w:t xml:space="preserve">, </w:t>
      </w:r>
      <w:proofErr w:type="spellStart"/>
      <w:r w:rsidRPr="0016468C">
        <w:rPr>
          <w:rFonts w:ascii="Times New Roman" w:eastAsia="Times New Roman" w:hAnsi="Times New Roman" w:cs="Times New Roman"/>
          <w:color w:val="000000"/>
        </w:rPr>
        <w:t>Mardina</w:t>
      </w:r>
      <w:proofErr w:type="spellEnd"/>
      <w:r w:rsidRPr="0016468C">
        <w:rPr>
          <w:rFonts w:ascii="Times New Roman" w:eastAsia="Times New Roman" w:hAnsi="Times New Roman" w:cs="Times New Roman"/>
          <w:color w:val="000000"/>
        </w:rPr>
        <w:t xml:space="preserve"> Abdullah</w:t>
      </w:r>
      <w:r w:rsidRPr="0016468C">
        <w:rPr>
          <w:rFonts w:ascii="Times New Roman" w:eastAsia="Times New Roman" w:hAnsi="Times New Roman" w:cs="Times New Roman"/>
          <w:color w:val="000000"/>
          <w:vertAlign w:val="superscript"/>
        </w:rPr>
        <w:t>2,3</w:t>
      </w:r>
      <w:r w:rsidRPr="0016468C">
        <w:rPr>
          <w:rFonts w:ascii="Times New Roman" w:eastAsia="Times New Roman" w:hAnsi="Times New Roman" w:cs="Times New Roman"/>
          <w:color w:val="000000"/>
        </w:rPr>
        <w:t xml:space="preserve">, </w:t>
      </w:r>
      <w:proofErr w:type="spellStart"/>
      <w:r w:rsidRPr="0016468C">
        <w:rPr>
          <w:rFonts w:ascii="Times New Roman" w:eastAsia="Times New Roman" w:hAnsi="Times New Roman" w:cs="Times New Roman"/>
          <w:color w:val="000000"/>
        </w:rPr>
        <w:t>Nurul</w:t>
      </w:r>
      <w:proofErr w:type="spellEnd"/>
      <w:r w:rsidRPr="0016468C">
        <w:rPr>
          <w:rFonts w:ascii="Times New Roman" w:eastAsia="Times New Roman" w:hAnsi="Times New Roman" w:cs="Times New Roman"/>
          <w:color w:val="000000"/>
        </w:rPr>
        <w:t xml:space="preserve"> </w:t>
      </w:r>
      <w:proofErr w:type="spellStart"/>
      <w:r w:rsidRPr="0016468C">
        <w:rPr>
          <w:rFonts w:ascii="Times New Roman" w:eastAsia="Times New Roman" w:hAnsi="Times New Roman" w:cs="Times New Roman"/>
          <w:color w:val="000000"/>
        </w:rPr>
        <w:t>Shazana</w:t>
      </w:r>
      <w:proofErr w:type="spellEnd"/>
      <w:r w:rsidRPr="0016468C">
        <w:rPr>
          <w:rFonts w:ascii="Times New Roman" w:eastAsia="Times New Roman" w:hAnsi="Times New Roman" w:cs="Times New Roman"/>
          <w:color w:val="000000"/>
        </w:rPr>
        <w:t xml:space="preserve"> Abdul Hamid</w:t>
      </w:r>
      <w:r w:rsidRPr="0016468C">
        <w:rPr>
          <w:rFonts w:ascii="Times New Roman" w:eastAsia="Times New Roman" w:hAnsi="Times New Roman" w:cs="Times New Roman"/>
          <w:color w:val="000000"/>
          <w:vertAlign w:val="superscript"/>
        </w:rPr>
        <w:t>2,4</w:t>
      </w:r>
      <w:r w:rsidRPr="0016468C">
        <w:rPr>
          <w:rFonts w:ascii="Times New Roman" w:eastAsia="Times New Roman" w:hAnsi="Times New Roman" w:cs="Times New Roman"/>
          <w:color w:val="000000"/>
        </w:rPr>
        <w:t xml:space="preserve">, </w:t>
      </w:r>
      <w:r>
        <w:rPr>
          <w:rFonts w:ascii="Times New Roman" w:eastAsia="Times New Roman" w:hAnsi="Times New Roman" w:cs="Times New Roman"/>
          <w:color w:val="000000"/>
        </w:rPr>
        <w:br/>
      </w:r>
      <w:proofErr w:type="spellStart"/>
      <w:r w:rsidRPr="0016468C">
        <w:rPr>
          <w:rFonts w:ascii="Times New Roman" w:eastAsia="Times New Roman" w:hAnsi="Times New Roman" w:cs="Times New Roman"/>
          <w:color w:val="000000"/>
        </w:rPr>
        <w:t>Suaidi</w:t>
      </w:r>
      <w:proofErr w:type="spellEnd"/>
      <w:r w:rsidRPr="0016468C">
        <w:rPr>
          <w:rFonts w:ascii="Times New Roman" w:eastAsia="Times New Roman" w:hAnsi="Times New Roman" w:cs="Times New Roman"/>
          <w:color w:val="000000"/>
        </w:rPr>
        <w:t xml:space="preserve"> Ahadi</w:t>
      </w:r>
      <w:r w:rsidRPr="0016468C">
        <w:rPr>
          <w:rFonts w:ascii="Times New Roman" w:eastAsia="Times New Roman" w:hAnsi="Times New Roman" w:cs="Times New Roman"/>
          <w:color w:val="000000"/>
          <w:vertAlign w:val="superscript"/>
        </w:rPr>
        <w:t>5</w:t>
      </w:r>
      <w:r w:rsidRPr="0016468C">
        <w:rPr>
          <w:rFonts w:ascii="Times New Roman" w:eastAsia="Times New Roman" w:hAnsi="Times New Roman" w:cs="Times New Roman"/>
          <w:color w:val="000000"/>
        </w:rPr>
        <w:t xml:space="preserve">, and </w:t>
      </w:r>
      <w:proofErr w:type="spellStart"/>
      <w:r w:rsidRPr="0016468C">
        <w:rPr>
          <w:rFonts w:ascii="Times New Roman" w:eastAsia="Times New Roman" w:hAnsi="Times New Roman" w:cs="Times New Roman"/>
          <w:color w:val="000000"/>
        </w:rPr>
        <w:t>Essam</w:t>
      </w:r>
      <w:proofErr w:type="spellEnd"/>
      <w:r w:rsidRPr="0016468C">
        <w:rPr>
          <w:rFonts w:ascii="Times New Roman" w:eastAsia="Times New Roman" w:hAnsi="Times New Roman" w:cs="Times New Roman"/>
          <w:color w:val="000000"/>
        </w:rPr>
        <w:t xml:space="preserve"> Ghamry</w:t>
      </w:r>
      <w:r w:rsidRPr="0016468C">
        <w:rPr>
          <w:rFonts w:ascii="Times New Roman" w:eastAsia="Times New Roman" w:hAnsi="Times New Roman" w:cs="Times New Roman"/>
          <w:color w:val="000000"/>
          <w:vertAlign w:val="superscript"/>
        </w:rPr>
        <w:t>6,7</w:t>
      </w:r>
    </w:p>
    <w:p w14:paraId="73C6D976" w14:textId="77777777" w:rsidR="0016468C" w:rsidRDefault="0016468C">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rPr>
      </w:pPr>
    </w:p>
    <w:p w14:paraId="2E9188DE" w14:textId="77777777" w:rsidR="0016468C" w:rsidRPr="0016468C" w:rsidRDefault="0016468C" w:rsidP="0016468C">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rPr>
      </w:pPr>
      <w:r w:rsidRPr="0016468C">
        <w:rPr>
          <w:rFonts w:ascii="Times New Roman" w:eastAsia="Times New Roman" w:hAnsi="Times New Roman" w:cs="Times New Roman"/>
          <w:color w:val="000000"/>
          <w:vertAlign w:val="superscript"/>
        </w:rPr>
        <w:t xml:space="preserve">1 </w:t>
      </w:r>
      <w:r w:rsidRPr="0016468C">
        <w:rPr>
          <w:rFonts w:ascii="Times New Roman" w:eastAsia="Times New Roman" w:hAnsi="Times New Roman" w:cs="Times New Roman"/>
          <w:color w:val="000000"/>
        </w:rPr>
        <w:t xml:space="preserve">Department of Physics, Faculty of Science, </w:t>
      </w:r>
      <w:proofErr w:type="spellStart"/>
      <w:r w:rsidRPr="0016468C">
        <w:rPr>
          <w:rFonts w:ascii="Times New Roman" w:eastAsia="Times New Roman" w:hAnsi="Times New Roman" w:cs="Times New Roman"/>
          <w:color w:val="000000"/>
        </w:rPr>
        <w:t>Universiti</w:t>
      </w:r>
      <w:proofErr w:type="spellEnd"/>
      <w:r w:rsidRPr="0016468C">
        <w:rPr>
          <w:rFonts w:ascii="Times New Roman" w:eastAsia="Times New Roman" w:hAnsi="Times New Roman" w:cs="Times New Roman"/>
          <w:color w:val="000000"/>
        </w:rPr>
        <w:t xml:space="preserve"> Putra Malaysia, Malaysia</w:t>
      </w:r>
    </w:p>
    <w:p w14:paraId="203C7003" w14:textId="77777777" w:rsidR="0016468C" w:rsidRPr="0016468C" w:rsidRDefault="0016468C" w:rsidP="0016468C">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rPr>
      </w:pPr>
      <w:r w:rsidRPr="0016468C">
        <w:rPr>
          <w:rFonts w:ascii="Times New Roman" w:eastAsia="Times New Roman" w:hAnsi="Times New Roman" w:cs="Times New Roman"/>
          <w:color w:val="000000"/>
          <w:vertAlign w:val="superscript"/>
        </w:rPr>
        <w:t xml:space="preserve">2 </w:t>
      </w:r>
      <w:r w:rsidRPr="0016468C">
        <w:rPr>
          <w:rFonts w:ascii="Times New Roman" w:eastAsia="Times New Roman" w:hAnsi="Times New Roman" w:cs="Times New Roman"/>
          <w:color w:val="000000"/>
        </w:rPr>
        <w:t xml:space="preserve">Space Science Center, Institute of Climate Change, </w:t>
      </w:r>
      <w:proofErr w:type="spellStart"/>
      <w:r w:rsidRPr="0016468C">
        <w:rPr>
          <w:rFonts w:ascii="Times New Roman" w:eastAsia="Times New Roman" w:hAnsi="Times New Roman" w:cs="Times New Roman"/>
          <w:color w:val="000000"/>
        </w:rPr>
        <w:t>Universiti</w:t>
      </w:r>
      <w:proofErr w:type="spellEnd"/>
      <w:r w:rsidRPr="0016468C">
        <w:rPr>
          <w:rFonts w:ascii="Times New Roman" w:eastAsia="Times New Roman" w:hAnsi="Times New Roman" w:cs="Times New Roman"/>
          <w:color w:val="000000"/>
        </w:rPr>
        <w:t xml:space="preserve"> </w:t>
      </w:r>
      <w:proofErr w:type="spellStart"/>
      <w:r w:rsidRPr="0016468C">
        <w:rPr>
          <w:rFonts w:ascii="Times New Roman" w:eastAsia="Times New Roman" w:hAnsi="Times New Roman" w:cs="Times New Roman"/>
          <w:color w:val="000000"/>
        </w:rPr>
        <w:t>Kebangsaan</w:t>
      </w:r>
      <w:proofErr w:type="spellEnd"/>
      <w:r w:rsidRPr="0016468C">
        <w:rPr>
          <w:rFonts w:ascii="Times New Roman" w:eastAsia="Times New Roman" w:hAnsi="Times New Roman" w:cs="Times New Roman"/>
          <w:color w:val="000000"/>
        </w:rPr>
        <w:t xml:space="preserve"> Malaysia, Malaysia </w:t>
      </w:r>
    </w:p>
    <w:p w14:paraId="49A1E1E1" w14:textId="40F1A093" w:rsidR="0016468C" w:rsidRPr="0016468C" w:rsidRDefault="0016468C" w:rsidP="0016468C">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rPr>
      </w:pPr>
      <w:r w:rsidRPr="0016468C">
        <w:rPr>
          <w:rFonts w:ascii="Times New Roman" w:eastAsia="Times New Roman" w:hAnsi="Times New Roman" w:cs="Times New Roman"/>
          <w:color w:val="000000"/>
          <w:vertAlign w:val="superscript"/>
        </w:rPr>
        <w:t xml:space="preserve">3 </w:t>
      </w:r>
      <w:r w:rsidRPr="0016468C">
        <w:rPr>
          <w:rFonts w:ascii="Times New Roman" w:eastAsia="Times New Roman" w:hAnsi="Times New Roman" w:cs="Times New Roman"/>
          <w:color w:val="000000"/>
        </w:rPr>
        <w:t xml:space="preserve">Department of Electrical, Electronic and Systems Engineering, </w:t>
      </w:r>
      <w:r>
        <w:rPr>
          <w:rFonts w:ascii="Times New Roman" w:eastAsia="Times New Roman" w:hAnsi="Times New Roman" w:cs="Times New Roman"/>
          <w:color w:val="000000"/>
        </w:rPr>
        <w:br/>
      </w:r>
      <w:r w:rsidRPr="0016468C">
        <w:rPr>
          <w:rFonts w:ascii="Times New Roman" w:eastAsia="Times New Roman" w:hAnsi="Times New Roman" w:cs="Times New Roman"/>
          <w:color w:val="000000"/>
        </w:rPr>
        <w:t xml:space="preserve">Faculty of Engineering and Built Environment, </w:t>
      </w:r>
      <w:proofErr w:type="spellStart"/>
      <w:r w:rsidRPr="0016468C">
        <w:rPr>
          <w:rFonts w:ascii="Times New Roman" w:eastAsia="Times New Roman" w:hAnsi="Times New Roman" w:cs="Times New Roman"/>
          <w:color w:val="000000"/>
        </w:rPr>
        <w:t>Universiti</w:t>
      </w:r>
      <w:proofErr w:type="spellEnd"/>
      <w:r w:rsidRPr="0016468C">
        <w:rPr>
          <w:rFonts w:ascii="Times New Roman" w:eastAsia="Times New Roman" w:hAnsi="Times New Roman" w:cs="Times New Roman"/>
          <w:color w:val="000000"/>
        </w:rPr>
        <w:t xml:space="preserve"> </w:t>
      </w:r>
      <w:proofErr w:type="spellStart"/>
      <w:r w:rsidRPr="0016468C">
        <w:rPr>
          <w:rFonts w:ascii="Times New Roman" w:eastAsia="Times New Roman" w:hAnsi="Times New Roman" w:cs="Times New Roman"/>
          <w:color w:val="000000"/>
        </w:rPr>
        <w:t>Kebangsaan</w:t>
      </w:r>
      <w:proofErr w:type="spellEnd"/>
      <w:r w:rsidRPr="0016468C">
        <w:rPr>
          <w:rFonts w:ascii="Times New Roman" w:eastAsia="Times New Roman" w:hAnsi="Times New Roman" w:cs="Times New Roman"/>
          <w:color w:val="000000"/>
        </w:rPr>
        <w:t xml:space="preserve"> Malaysia</w:t>
      </w:r>
    </w:p>
    <w:p w14:paraId="626356D1" w14:textId="3DCDD2A0" w:rsidR="0016468C" w:rsidRPr="0016468C" w:rsidRDefault="0016468C" w:rsidP="0016468C">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rPr>
      </w:pPr>
      <w:r w:rsidRPr="0016468C">
        <w:rPr>
          <w:rFonts w:ascii="Times New Roman" w:eastAsia="Times New Roman" w:hAnsi="Times New Roman" w:cs="Times New Roman"/>
          <w:color w:val="000000"/>
          <w:vertAlign w:val="superscript"/>
        </w:rPr>
        <w:t xml:space="preserve">4 </w:t>
      </w:r>
      <w:r w:rsidRPr="0016468C">
        <w:rPr>
          <w:rFonts w:ascii="Times New Roman" w:eastAsia="Times New Roman" w:hAnsi="Times New Roman" w:cs="Times New Roman"/>
          <w:color w:val="000000"/>
        </w:rPr>
        <w:t xml:space="preserve">Department of Applied Physics, Faculty of Science and Technology, </w:t>
      </w:r>
      <w:r>
        <w:rPr>
          <w:rFonts w:ascii="Times New Roman" w:eastAsia="Times New Roman" w:hAnsi="Times New Roman" w:cs="Times New Roman"/>
          <w:color w:val="000000"/>
        </w:rPr>
        <w:br/>
      </w:r>
      <w:proofErr w:type="spellStart"/>
      <w:r w:rsidRPr="0016468C">
        <w:rPr>
          <w:rFonts w:ascii="Times New Roman" w:eastAsia="Times New Roman" w:hAnsi="Times New Roman" w:cs="Times New Roman"/>
          <w:color w:val="000000"/>
        </w:rPr>
        <w:t>Universiti</w:t>
      </w:r>
      <w:proofErr w:type="spellEnd"/>
      <w:r w:rsidRPr="0016468C">
        <w:rPr>
          <w:rFonts w:ascii="Times New Roman" w:eastAsia="Times New Roman" w:hAnsi="Times New Roman" w:cs="Times New Roman"/>
          <w:color w:val="000000"/>
        </w:rPr>
        <w:t xml:space="preserve"> </w:t>
      </w:r>
      <w:proofErr w:type="spellStart"/>
      <w:r w:rsidRPr="0016468C">
        <w:rPr>
          <w:rFonts w:ascii="Times New Roman" w:eastAsia="Times New Roman" w:hAnsi="Times New Roman" w:cs="Times New Roman"/>
          <w:color w:val="000000"/>
        </w:rPr>
        <w:t>Kebangsaan</w:t>
      </w:r>
      <w:proofErr w:type="spellEnd"/>
      <w:r w:rsidRPr="0016468C">
        <w:rPr>
          <w:rFonts w:ascii="Times New Roman" w:eastAsia="Times New Roman" w:hAnsi="Times New Roman" w:cs="Times New Roman"/>
          <w:color w:val="000000"/>
        </w:rPr>
        <w:t xml:space="preserve"> Malaysia</w:t>
      </w:r>
    </w:p>
    <w:p w14:paraId="18068737" w14:textId="77777777" w:rsidR="0016468C" w:rsidRPr="0016468C" w:rsidRDefault="0016468C" w:rsidP="0016468C">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rPr>
      </w:pPr>
      <w:r w:rsidRPr="0016468C">
        <w:rPr>
          <w:rFonts w:ascii="Times New Roman" w:eastAsia="Times New Roman" w:hAnsi="Times New Roman" w:cs="Times New Roman"/>
          <w:color w:val="000000"/>
          <w:vertAlign w:val="superscript"/>
        </w:rPr>
        <w:t xml:space="preserve">5 </w:t>
      </w:r>
      <w:r w:rsidRPr="0016468C">
        <w:rPr>
          <w:rFonts w:ascii="Times New Roman" w:eastAsia="Times New Roman" w:hAnsi="Times New Roman" w:cs="Times New Roman"/>
          <w:color w:val="000000"/>
        </w:rPr>
        <w:t xml:space="preserve">Department of Geophysics, Indonesian Agency for Meteorology, Climatology and Geophysics, </w:t>
      </w:r>
      <w:r>
        <w:rPr>
          <w:rFonts w:ascii="Times New Roman" w:eastAsia="Times New Roman" w:hAnsi="Times New Roman" w:cs="Times New Roman"/>
          <w:color w:val="000000"/>
        </w:rPr>
        <w:br/>
      </w:r>
      <w:r w:rsidRPr="0016468C">
        <w:rPr>
          <w:rFonts w:ascii="Times New Roman" w:eastAsia="Times New Roman" w:hAnsi="Times New Roman" w:cs="Times New Roman"/>
          <w:color w:val="000000"/>
        </w:rPr>
        <w:t>Jakarta, Indonesia</w:t>
      </w:r>
    </w:p>
    <w:p w14:paraId="4D7E030D" w14:textId="77777777" w:rsidR="0016468C" w:rsidRPr="0016468C" w:rsidRDefault="0016468C" w:rsidP="0016468C">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rPr>
      </w:pPr>
      <w:r w:rsidRPr="0016468C">
        <w:rPr>
          <w:rFonts w:ascii="Times New Roman" w:eastAsia="Times New Roman" w:hAnsi="Times New Roman" w:cs="Times New Roman"/>
          <w:color w:val="000000"/>
          <w:vertAlign w:val="superscript"/>
        </w:rPr>
        <w:t xml:space="preserve">6 </w:t>
      </w:r>
      <w:r w:rsidRPr="0016468C">
        <w:rPr>
          <w:rFonts w:ascii="Times New Roman" w:eastAsia="Times New Roman" w:hAnsi="Times New Roman" w:cs="Times New Roman"/>
          <w:color w:val="000000"/>
        </w:rPr>
        <w:t>National Research Institute of Astronomy and Geophysics, Helwan 11421, Cairo, Egypt</w:t>
      </w:r>
    </w:p>
    <w:p w14:paraId="7647DACB" w14:textId="66F5E6B3" w:rsidR="00F03DD8" w:rsidRDefault="0016468C" w:rsidP="0016468C">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rPr>
      </w:pPr>
      <w:r w:rsidRPr="0016468C">
        <w:rPr>
          <w:rFonts w:ascii="Times New Roman" w:eastAsia="Times New Roman" w:hAnsi="Times New Roman" w:cs="Times New Roman"/>
          <w:color w:val="000000"/>
          <w:vertAlign w:val="superscript"/>
        </w:rPr>
        <w:t xml:space="preserve">7 </w:t>
      </w:r>
      <w:r w:rsidRPr="0016468C">
        <w:rPr>
          <w:rFonts w:ascii="Times New Roman" w:eastAsia="Times New Roman" w:hAnsi="Times New Roman" w:cs="Times New Roman"/>
          <w:color w:val="000000"/>
        </w:rPr>
        <w:t xml:space="preserve">International Center for Space Weather Science and Education, </w:t>
      </w:r>
      <w:r>
        <w:rPr>
          <w:rFonts w:ascii="Times New Roman" w:eastAsia="Times New Roman" w:hAnsi="Times New Roman" w:cs="Times New Roman"/>
          <w:color w:val="000000"/>
        </w:rPr>
        <w:br/>
      </w:r>
      <w:r w:rsidRPr="0016468C">
        <w:rPr>
          <w:rFonts w:ascii="Times New Roman" w:eastAsia="Times New Roman" w:hAnsi="Times New Roman" w:cs="Times New Roman"/>
          <w:color w:val="000000"/>
        </w:rPr>
        <w:t>Kyushu University, Fukuoka 819-0395, Japan</w:t>
      </w:r>
    </w:p>
    <w:p w14:paraId="02A05CBD" w14:textId="77777777" w:rsidR="00B45CD5" w:rsidRPr="0016468C" w:rsidRDefault="00B45CD5" w:rsidP="0016468C">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rPr>
      </w:pPr>
    </w:p>
    <w:p w14:paraId="3DA18C1E" w14:textId="77777777" w:rsidR="00F03DD8" w:rsidRDefault="00522A2C">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Correspondence: </w:t>
      </w:r>
      <w:r w:rsidR="0016468C">
        <w:rPr>
          <w:rFonts w:ascii="Times New Roman" w:eastAsia="Times New Roman" w:hAnsi="Times New Roman" w:cs="Times New Roman"/>
          <w:color w:val="000000"/>
        </w:rPr>
        <w:t>Khairul Adib Yusof</w:t>
      </w:r>
      <w:r>
        <w:rPr>
          <w:rFonts w:ascii="Times New Roman" w:eastAsia="Times New Roman" w:hAnsi="Times New Roman" w:cs="Times New Roman"/>
          <w:color w:val="000000"/>
        </w:rPr>
        <w:t xml:space="preserve"> (email: </w:t>
      </w:r>
      <w:r w:rsidR="0016468C" w:rsidRPr="00246BBA">
        <w:rPr>
          <w:rFonts w:ascii="Times New Roman" w:eastAsia="Times New Roman" w:hAnsi="Times New Roman" w:cs="Times New Roman"/>
          <w:iCs/>
          <w:color w:val="000000"/>
        </w:rPr>
        <w:t>adib.yusof@upm.edu.my</w:t>
      </w:r>
      <w:r w:rsidRPr="00246BBA">
        <w:rPr>
          <w:rFonts w:ascii="Times New Roman" w:eastAsia="Times New Roman" w:hAnsi="Times New Roman" w:cs="Times New Roman"/>
          <w:iCs/>
          <w:color w:val="000000"/>
        </w:rPr>
        <w:t>)</w:t>
      </w:r>
    </w:p>
    <w:p w14:paraId="798923CD" w14:textId="5D126DDD" w:rsidR="00F03DD8" w:rsidRDefault="00F03DD8" w:rsidP="0016468C">
      <w:pPr>
        <w:pBdr>
          <w:top w:val="nil"/>
          <w:left w:val="nil"/>
          <w:bottom w:val="nil"/>
          <w:right w:val="nil"/>
          <w:between w:val="nil"/>
        </w:pBdr>
        <w:spacing w:after="0" w:line="240" w:lineRule="auto"/>
        <w:ind w:left="0" w:hanging="2"/>
        <w:rPr>
          <w:rFonts w:ascii="Times New Roman" w:eastAsia="Times New Roman" w:hAnsi="Times New Roman" w:cs="Times New Roman"/>
        </w:rPr>
      </w:pPr>
    </w:p>
    <w:p w14:paraId="270DA1C3" w14:textId="77777777" w:rsidR="00B45CD5" w:rsidRDefault="00B45CD5" w:rsidP="0016468C">
      <w:pPr>
        <w:pBdr>
          <w:top w:val="nil"/>
          <w:left w:val="nil"/>
          <w:bottom w:val="nil"/>
          <w:right w:val="nil"/>
          <w:between w:val="nil"/>
        </w:pBdr>
        <w:spacing w:after="0" w:line="240" w:lineRule="auto"/>
        <w:ind w:left="0" w:hanging="2"/>
        <w:rPr>
          <w:rFonts w:ascii="Times New Roman" w:eastAsia="Times New Roman" w:hAnsi="Times New Roman" w:cs="Times New Roman"/>
        </w:rPr>
      </w:pPr>
    </w:p>
    <w:p w14:paraId="5EC7E22D" w14:textId="0A4F9C92" w:rsidR="00F41A9B" w:rsidRDefault="00F41A9B" w:rsidP="00F41A9B">
      <w:pPr>
        <w:pBdr>
          <w:top w:val="nil"/>
          <w:left w:val="nil"/>
          <w:bottom w:val="nil"/>
          <w:right w:val="nil"/>
          <w:between w:val="nil"/>
        </w:pBdr>
        <w:spacing w:after="0" w:line="240" w:lineRule="auto"/>
        <w:ind w:left="0" w:hanging="2"/>
        <w:jc w:val="both"/>
        <w:rPr>
          <w:rFonts w:ascii="Times New Roman" w:hAnsi="Times New Roman" w:cs="Times New Roman"/>
          <w:color w:val="000000"/>
        </w:rPr>
      </w:pPr>
      <w:r w:rsidRPr="00E17895">
        <w:rPr>
          <w:rFonts w:ascii="Times New Roman" w:hAnsi="Times New Roman" w:cs="Times New Roman"/>
          <w:color w:val="000000"/>
        </w:rPr>
        <w:t>Received: </w:t>
      </w:r>
      <w:r>
        <w:rPr>
          <w:rFonts w:ascii="Times New Roman" w:hAnsi="Times New Roman"/>
          <w:color w:val="000000"/>
        </w:rPr>
        <w:t>1</w:t>
      </w:r>
      <w:r>
        <w:rPr>
          <w:rFonts w:ascii="Times New Roman" w:hAnsi="Times New Roman"/>
          <w:color w:val="000000"/>
        </w:rPr>
        <w:t>2 August</w:t>
      </w:r>
      <w:r w:rsidRPr="00E17895">
        <w:rPr>
          <w:rFonts w:ascii="Times New Roman" w:hAnsi="Times New Roman" w:cs="Times New Roman"/>
          <w:color w:val="000000"/>
        </w:rPr>
        <w:t xml:space="preserve"> 202</w:t>
      </w:r>
      <w:r>
        <w:rPr>
          <w:rFonts w:ascii="Times New Roman" w:hAnsi="Times New Roman"/>
          <w:color w:val="000000"/>
        </w:rPr>
        <w:t>1</w:t>
      </w:r>
      <w:r w:rsidRPr="00E17895">
        <w:rPr>
          <w:rFonts w:ascii="Times New Roman" w:hAnsi="Times New Roman" w:cs="Times New Roman"/>
          <w:color w:val="000000"/>
        </w:rPr>
        <w:t xml:space="preserve">; Accepted: </w:t>
      </w:r>
      <w:r>
        <w:rPr>
          <w:rFonts w:ascii="Times New Roman" w:hAnsi="Times New Roman" w:cs="Times New Roman"/>
          <w:color w:val="000000"/>
        </w:rPr>
        <w:t>0</w:t>
      </w:r>
      <w:r>
        <w:rPr>
          <w:rFonts w:ascii="Times New Roman" w:hAnsi="Times New Roman"/>
          <w:color w:val="000000"/>
        </w:rPr>
        <w:t>3</w:t>
      </w:r>
      <w:r w:rsidRPr="00E17895">
        <w:rPr>
          <w:rFonts w:ascii="Times New Roman" w:hAnsi="Times New Roman" w:cs="Times New Roman"/>
          <w:color w:val="000000"/>
        </w:rPr>
        <w:t xml:space="preserve"> </w:t>
      </w:r>
      <w:r>
        <w:rPr>
          <w:rFonts w:ascii="Times New Roman" w:hAnsi="Times New Roman"/>
          <w:color w:val="000000"/>
        </w:rPr>
        <w:t>November</w:t>
      </w:r>
      <w:r w:rsidRPr="00E17895">
        <w:rPr>
          <w:rFonts w:ascii="Times New Roman" w:hAnsi="Times New Roman" w:cs="Times New Roman"/>
          <w:color w:val="000000"/>
        </w:rPr>
        <w:t xml:space="preserve"> 202</w:t>
      </w:r>
      <w:r>
        <w:rPr>
          <w:rFonts w:ascii="Times New Roman" w:hAnsi="Times New Roman" w:cs="Times New Roman"/>
          <w:color w:val="000000"/>
        </w:rPr>
        <w:t>1</w:t>
      </w:r>
      <w:r w:rsidRPr="00E17895">
        <w:rPr>
          <w:rFonts w:ascii="Times New Roman" w:hAnsi="Times New Roman" w:cs="Times New Roman"/>
          <w:color w:val="000000"/>
        </w:rPr>
        <w:t>; Published: 30 November 2021</w:t>
      </w:r>
    </w:p>
    <w:p w14:paraId="3E5802FB" w14:textId="77777777" w:rsidR="00F03DD8" w:rsidRDefault="00F03DD8">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p>
    <w:p w14:paraId="51771D77" w14:textId="77777777" w:rsidR="00F03DD8" w:rsidRDefault="00522A2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 </w:t>
      </w:r>
    </w:p>
    <w:p w14:paraId="61B2469B" w14:textId="77777777" w:rsidR="00F03DD8" w:rsidRDefault="00522A2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Abstract</w:t>
      </w:r>
    </w:p>
    <w:p w14:paraId="0F4B8320" w14:textId="77777777" w:rsidR="00F03DD8" w:rsidRDefault="00522A2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w:t>
      </w:r>
    </w:p>
    <w:p w14:paraId="5EF21BCB" w14:textId="77777777" w:rsidR="002352F5" w:rsidRDefault="002352F5">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sidRPr="002352F5">
        <w:rPr>
          <w:rFonts w:ascii="Times New Roman" w:eastAsia="Times New Roman" w:hAnsi="Times New Roman" w:cs="Times New Roman"/>
          <w:color w:val="000000"/>
          <w:sz w:val="24"/>
          <w:szCs w:val="24"/>
        </w:rPr>
        <w:t xml:space="preserve">The anomalous behavior of geomagnetic diurnal variation was reported by prior studies several months before the great 2011 Tohoku earthquake. In order to be further developed for a reliable earthquake prediction system, the statistical significance of such anomalies needs to be verified through a multiple-events study. In this paper, 157 past earthquakes that happened from the year 2000 until 2019 around the world were studied by utilizing vast low-resolution (1-min sampling period) geomagnetic field data. The </w:t>
      </w:r>
      <w:r w:rsidR="00721482">
        <w:rPr>
          <w:rFonts w:ascii="Times New Roman" w:eastAsia="Times New Roman" w:hAnsi="Times New Roman" w:cs="Times New Roman"/>
          <w:color w:val="000000"/>
          <w:sz w:val="24"/>
          <w:szCs w:val="24"/>
        </w:rPr>
        <w:t>D</w:t>
      </w:r>
      <w:r w:rsidRPr="002352F5">
        <w:rPr>
          <w:rFonts w:ascii="Times New Roman" w:eastAsia="Times New Roman" w:hAnsi="Times New Roman" w:cs="Times New Roman"/>
          <w:color w:val="000000"/>
          <w:sz w:val="24"/>
          <w:szCs w:val="24"/>
        </w:rPr>
        <w:t xml:space="preserve">iurnal </w:t>
      </w:r>
      <w:r w:rsidR="00721482">
        <w:rPr>
          <w:rFonts w:ascii="Times New Roman" w:eastAsia="Times New Roman" w:hAnsi="Times New Roman" w:cs="Times New Roman"/>
          <w:color w:val="000000"/>
          <w:sz w:val="24"/>
          <w:szCs w:val="24"/>
        </w:rPr>
        <w:t>V</w:t>
      </w:r>
      <w:r w:rsidRPr="002352F5">
        <w:rPr>
          <w:rFonts w:ascii="Times New Roman" w:eastAsia="Times New Roman" w:hAnsi="Times New Roman" w:cs="Times New Roman"/>
          <w:color w:val="000000"/>
          <w:sz w:val="24"/>
          <w:szCs w:val="24"/>
        </w:rPr>
        <w:t xml:space="preserve">ariation </w:t>
      </w:r>
      <w:r w:rsidR="00721482">
        <w:rPr>
          <w:rFonts w:ascii="Times New Roman" w:eastAsia="Times New Roman" w:hAnsi="Times New Roman" w:cs="Times New Roman"/>
          <w:color w:val="000000"/>
          <w:sz w:val="24"/>
          <w:szCs w:val="24"/>
        </w:rPr>
        <w:t>R</w:t>
      </w:r>
      <w:r w:rsidRPr="002352F5">
        <w:rPr>
          <w:rFonts w:ascii="Times New Roman" w:eastAsia="Times New Roman" w:hAnsi="Times New Roman" w:cs="Times New Roman"/>
          <w:color w:val="000000"/>
          <w:sz w:val="24"/>
          <w:szCs w:val="24"/>
        </w:rPr>
        <w:t xml:space="preserve">ange </w:t>
      </w:r>
      <w:r w:rsidR="00946BFE">
        <w:rPr>
          <w:rFonts w:ascii="Times New Roman" w:eastAsia="Times New Roman" w:hAnsi="Times New Roman" w:cs="Times New Roman"/>
          <w:color w:val="000000"/>
          <w:sz w:val="24"/>
          <w:szCs w:val="24"/>
        </w:rPr>
        <w:t>R</w:t>
      </w:r>
      <w:r w:rsidRPr="002352F5">
        <w:rPr>
          <w:rFonts w:ascii="Times New Roman" w:eastAsia="Times New Roman" w:hAnsi="Times New Roman" w:cs="Times New Roman"/>
          <w:color w:val="000000"/>
          <w:sz w:val="24"/>
          <w:szCs w:val="24"/>
        </w:rPr>
        <w:t xml:space="preserve">atio (DVRR) method was employed to identify the disappearance of typical diurnal variation at magnetometer stations near epicenters, whereas superposed epoch analysis was the statistical tool used to reveal the periodicity of anomaly appearances. </w:t>
      </w:r>
      <w:r w:rsidR="00946BFE">
        <w:rPr>
          <w:rFonts w:ascii="Times New Roman" w:eastAsia="Times New Roman" w:hAnsi="Times New Roman" w:cs="Times New Roman"/>
          <w:color w:val="000000"/>
          <w:sz w:val="24"/>
          <w:szCs w:val="24"/>
        </w:rPr>
        <w:t>This research</w:t>
      </w:r>
      <w:r w:rsidRPr="002352F5">
        <w:rPr>
          <w:rFonts w:ascii="Times New Roman" w:eastAsia="Times New Roman" w:hAnsi="Times New Roman" w:cs="Times New Roman"/>
          <w:color w:val="000000"/>
          <w:sz w:val="24"/>
          <w:szCs w:val="24"/>
        </w:rPr>
        <w:t xml:space="preserve"> found that the number of anomalies in all three geomagnetic field components (i.e., northward, eastward, and vertical) increased significantly only before the earthquakes starting from around one month prior. The significant increments were not simultaneous, instead there were temporal lags between the components. Several mechanisms were proposed to elucidate the generation of the anomalies as well as to explain the observed temporal lags. Through the analysis, it could be concluded that the statistical significance of the anomalies could be verified. It was possible that the anomalies were the earthquake precursors.</w:t>
      </w:r>
    </w:p>
    <w:p w14:paraId="09212B4B" w14:textId="77777777" w:rsidR="00F03DD8" w:rsidRDefault="00522A2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w:t>
      </w:r>
    </w:p>
    <w:p w14:paraId="588688FA" w14:textId="46D5FCCE" w:rsidR="00F03DD8" w:rsidRDefault="00522A2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bookmarkStart w:id="0" w:name="_heading=h.gjdgxs" w:colFirst="0" w:colLast="0"/>
      <w:bookmarkEnd w:id="0"/>
      <w:r>
        <w:rPr>
          <w:rFonts w:ascii="Times New Roman" w:eastAsia="Times New Roman" w:hAnsi="Times New Roman" w:cs="Times New Roman"/>
          <w:b/>
          <w:color w:val="000000"/>
          <w:sz w:val="24"/>
          <w:szCs w:val="24"/>
        </w:rPr>
        <w:t xml:space="preserve">Keywords: </w:t>
      </w:r>
      <w:r w:rsidR="002352F5" w:rsidRPr="002352F5">
        <w:rPr>
          <w:rFonts w:ascii="Times New Roman" w:eastAsia="Times New Roman" w:hAnsi="Times New Roman" w:cs="Times New Roman"/>
          <w:color w:val="000000"/>
          <w:sz w:val="24"/>
          <w:szCs w:val="24"/>
        </w:rPr>
        <w:t>Earthquake</w:t>
      </w:r>
      <w:r w:rsidR="002352F5">
        <w:rPr>
          <w:rFonts w:ascii="Times New Roman" w:eastAsia="Times New Roman" w:hAnsi="Times New Roman" w:cs="Times New Roman"/>
          <w:color w:val="000000"/>
          <w:sz w:val="24"/>
          <w:szCs w:val="24"/>
        </w:rPr>
        <w:t xml:space="preserve">, </w:t>
      </w:r>
      <w:r w:rsidR="00B45CD5" w:rsidRPr="002352F5">
        <w:rPr>
          <w:rFonts w:ascii="Times New Roman" w:eastAsia="Times New Roman" w:hAnsi="Times New Roman" w:cs="Times New Roman"/>
          <w:color w:val="000000"/>
          <w:sz w:val="24"/>
          <w:szCs w:val="24"/>
        </w:rPr>
        <w:t xml:space="preserve">geomagnetic diurnal variation, </w:t>
      </w:r>
      <w:r w:rsidR="00B45CD5">
        <w:rPr>
          <w:rFonts w:ascii="Times New Roman" w:eastAsia="Times New Roman" w:hAnsi="Times New Roman" w:cs="Times New Roman"/>
          <w:color w:val="000000"/>
          <w:sz w:val="24"/>
          <w:szCs w:val="24"/>
        </w:rPr>
        <w:t>m</w:t>
      </w:r>
      <w:r w:rsidR="00B45CD5" w:rsidRPr="002352F5">
        <w:rPr>
          <w:rFonts w:ascii="Times New Roman" w:eastAsia="Times New Roman" w:hAnsi="Times New Roman" w:cs="Times New Roman"/>
          <w:color w:val="000000"/>
          <w:sz w:val="24"/>
          <w:szCs w:val="24"/>
        </w:rPr>
        <w:t xml:space="preserve">agnetometer data, </w:t>
      </w:r>
      <w:proofErr w:type="spellStart"/>
      <w:r w:rsidR="00B45CD5">
        <w:rPr>
          <w:rFonts w:ascii="Times New Roman" w:eastAsia="Times New Roman" w:hAnsi="Times New Roman" w:cs="Times New Roman"/>
          <w:color w:val="000000"/>
          <w:sz w:val="24"/>
          <w:szCs w:val="24"/>
        </w:rPr>
        <w:t>seismo</w:t>
      </w:r>
      <w:proofErr w:type="spellEnd"/>
      <w:r w:rsidR="00B852B1">
        <w:rPr>
          <w:rFonts w:ascii="Times New Roman" w:eastAsia="Times New Roman" w:hAnsi="Times New Roman" w:cs="Times New Roman"/>
          <w:color w:val="000000"/>
          <w:sz w:val="24"/>
          <w:szCs w:val="24"/>
        </w:rPr>
        <w:t xml:space="preserve">-electromagnetics, </w:t>
      </w:r>
      <w:proofErr w:type="spellStart"/>
      <w:r w:rsidR="00B852B1">
        <w:rPr>
          <w:rFonts w:ascii="Times New Roman" w:eastAsia="Times New Roman" w:hAnsi="Times New Roman" w:cs="Times New Roman"/>
          <w:color w:val="000000"/>
          <w:sz w:val="24"/>
          <w:szCs w:val="24"/>
        </w:rPr>
        <w:t>S</w:t>
      </w:r>
      <w:r w:rsidR="00556418">
        <w:rPr>
          <w:rFonts w:ascii="Times New Roman" w:eastAsia="Times New Roman" w:hAnsi="Times New Roman" w:cs="Times New Roman"/>
          <w:color w:val="000000"/>
          <w:sz w:val="24"/>
          <w:szCs w:val="24"/>
        </w:rPr>
        <w:t>uper</w:t>
      </w:r>
      <w:r w:rsidR="00B852B1">
        <w:rPr>
          <w:rFonts w:ascii="Times New Roman" w:eastAsia="Times New Roman" w:hAnsi="Times New Roman" w:cs="Times New Roman"/>
          <w:color w:val="000000"/>
          <w:sz w:val="24"/>
          <w:szCs w:val="24"/>
        </w:rPr>
        <w:t>MAG</w:t>
      </w:r>
      <w:proofErr w:type="spellEnd"/>
      <w:r w:rsidR="00B852B1">
        <w:rPr>
          <w:rFonts w:ascii="Times New Roman" w:eastAsia="Times New Roman" w:hAnsi="Times New Roman" w:cs="Times New Roman"/>
          <w:color w:val="000000"/>
          <w:sz w:val="24"/>
          <w:szCs w:val="24"/>
        </w:rPr>
        <w:t xml:space="preserve"> network, </w:t>
      </w:r>
      <w:r w:rsidR="00B45CD5" w:rsidRPr="002352F5">
        <w:rPr>
          <w:rFonts w:ascii="Times New Roman" w:eastAsia="Times New Roman" w:hAnsi="Times New Roman" w:cs="Times New Roman"/>
          <w:color w:val="000000"/>
          <w:sz w:val="24"/>
          <w:szCs w:val="24"/>
        </w:rPr>
        <w:t>superposed epoch analysis</w:t>
      </w:r>
    </w:p>
    <w:p w14:paraId="29BD5FF7" w14:textId="77777777" w:rsidR="00F03DD8" w:rsidRDefault="00522A2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Introduction</w:t>
      </w:r>
    </w:p>
    <w:p w14:paraId="61175C86" w14:textId="77777777" w:rsidR="00F03DD8" w:rsidRDefault="00F03DD8">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584559B1" w14:textId="77777777" w:rsidR="002352F5" w:rsidRPr="002352F5" w:rsidRDefault="002352F5" w:rsidP="002352F5">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sidRPr="002352F5">
        <w:rPr>
          <w:rFonts w:ascii="Times New Roman" w:eastAsia="Times New Roman" w:hAnsi="Times New Roman" w:cs="Times New Roman"/>
          <w:color w:val="000000"/>
          <w:sz w:val="24"/>
          <w:szCs w:val="24"/>
        </w:rPr>
        <w:t xml:space="preserve">Shear strain and stress that are slowly accumulated in the Earth’s crustal layer could result in sudden energy release and seismic wave generation as well as causing shaking and/or ground displacements; this phenomenon is better known as earthquake. Earthquakes occur approximately 500,000 times per year, where minor earthquakes happen nearly all the time in high seismic zones especially California, Indonesia, Japan, and Italy </w:t>
      </w:r>
      <w:r w:rsidR="006759CD">
        <w:rPr>
          <w:rFonts w:ascii="Times New Roman" w:eastAsia="Times New Roman" w:hAnsi="Times New Roman" w:cs="Times New Roman"/>
          <w:color w:val="000000"/>
          <w:sz w:val="24"/>
          <w:szCs w:val="24"/>
        </w:rPr>
        <w:t>(Hayakawa, 2015)</w:t>
      </w:r>
      <w:r w:rsidRPr="002352F5">
        <w:rPr>
          <w:rFonts w:ascii="Times New Roman" w:eastAsia="Times New Roman" w:hAnsi="Times New Roman" w:cs="Times New Roman"/>
          <w:color w:val="000000"/>
          <w:sz w:val="24"/>
          <w:szCs w:val="24"/>
        </w:rPr>
        <w:t xml:space="preserve">. Due to the great impacts of earthquakes in terms of casualty and property destruction, the earthquake prediction field has been gaining pace since the last century, leading to 40 earthquake precursor candidates being considered and evaluated by the Sub-Commission on Earthquake Prediction of the International Association for Seismology and Physics of the Earth's Interior (IASPEI) in 1980s </w:t>
      </w:r>
      <w:r w:rsidR="006759CD">
        <w:rPr>
          <w:rFonts w:ascii="Times New Roman" w:eastAsia="Times New Roman" w:hAnsi="Times New Roman" w:cs="Times New Roman"/>
          <w:color w:val="000000"/>
          <w:sz w:val="24"/>
          <w:szCs w:val="24"/>
        </w:rPr>
        <w:t>(Jordan et al., 2011)</w:t>
      </w:r>
      <w:r w:rsidRPr="002352F5">
        <w:rPr>
          <w:rFonts w:ascii="Times New Roman" w:eastAsia="Times New Roman" w:hAnsi="Times New Roman" w:cs="Times New Roman"/>
          <w:color w:val="000000"/>
          <w:sz w:val="24"/>
          <w:szCs w:val="24"/>
        </w:rPr>
        <w:t xml:space="preserve">. Among the candidates, anomalies in the geomagnetic field </w:t>
      </w:r>
      <w:r w:rsidR="00E06BFF">
        <w:rPr>
          <w:rFonts w:ascii="Times New Roman" w:eastAsia="Times New Roman" w:hAnsi="Times New Roman" w:cs="Times New Roman"/>
          <w:color w:val="000000"/>
          <w:sz w:val="24"/>
          <w:szCs w:val="24"/>
        </w:rPr>
        <w:t>are</w:t>
      </w:r>
      <w:r w:rsidRPr="002352F5">
        <w:rPr>
          <w:rFonts w:ascii="Times New Roman" w:eastAsia="Times New Roman" w:hAnsi="Times New Roman" w:cs="Times New Roman"/>
          <w:color w:val="000000"/>
          <w:sz w:val="24"/>
          <w:szCs w:val="24"/>
        </w:rPr>
        <w:t xml:space="preserve"> one of the types that was frequently discussed and has been continually researched </w:t>
      </w:r>
      <w:r w:rsidR="006759CD">
        <w:rPr>
          <w:rFonts w:ascii="Times New Roman" w:eastAsia="Times New Roman" w:hAnsi="Times New Roman" w:cs="Times New Roman"/>
          <w:color w:val="000000"/>
          <w:sz w:val="24"/>
          <w:szCs w:val="24"/>
        </w:rPr>
        <w:t>(Hayakawa, 2018)</w:t>
      </w:r>
      <w:r w:rsidRPr="002352F5">
        <w:rPr>
          <w:rFonts w:ascii="Times New Roman" w:eastAsia="Times New Roman" w:hAnsi="Times New Roman" w:cs="Times New Roman"/>
          <w:color w:val="000000"/>
          <w:sz w:val="24"/>
          <w:szCs w:val="24"/>
        </w:rPr>
        <w:t xml:space="preserve">. </w:t>
      </w:r>
      <w:bookmarkStart w:id="1" w:name="_Hlk85096346"/>
      <w:r w:rsidRPr="002352F5">
        <w:rPr>
          <w:rFonts w:ascii="Times New Roman" w:eastAsia="Times New Roman" w:hAnsi="Times New Roman" w:cs="Times New Roman"/>
          <w:color w:val="000000"/>
          <w:sz w:val="24"/>
          <w:szCs w:val="24"/>
        </w:rPr>
        <w:t xml:space="preserve">This situation led to the introduction of various detection techniques like polarization ratio </w:t>
      </w:r>
      <w:r w:rsidR="006759CD">
        <w:rPr>
          <w:rFonts w:ascii="Times New Roman" w:eastAsia="Times New Roman" w:hAnsi="Times New Roman" w:cs="Times New Roman"/>
          <w:color w:val="000000"/>
          <w:sz w:val="24"/>
          <w:szCs w:val="24"/>
        </w:rPr>
        <w:t>(Yusof et al., 2021)</w:t>
      </w:r>
      <w:r w:rsidRPr="002352F5">
        <w:rPr>
          <w:rFonts w:ascii="Times New Roman" w:eastAsia="Times New Roman" w:hAnsi="Times New Roman" w:cs="Times New Roman"/>
          <w:color w:val="000000"/>
          <w:sz w:val="24"/>
          <w:szCs w:val="24"/>
        </w:rPr>
        <w:t xml:space="preserve">, </w:t>
      </w:r>
      <w:r w:rsidR="00D920D8">
        <w:rPr>
          <w:rFonts w:ascii="Times New Roman" w:eastAsia="Times New Roman" w:hAnsi="Times New Roman" w:cs="Times New Roman"/>
          <w:color w:val="000000"/>
          <w:sz w:val="24"/>
          <w:szCs w:val="24"/>
        </w:rPr>
        <w:t>U</w:t>
      </w:r>
      <w:r w:rsidRPr="002352F5">
        <w:rPr>
          <w:rFonts w:ascii="Times New Roman" w:eastAsia="Times New Roman" w:hAnsi="Times New Roman" w:cs="Times New Roman"/>
          <w:color w:val="000000"/>
          <w:sz w:val="24"/>
          <w:szCs w:val="24"/>
        </w:rPr>
        <w:t>ltra-</w:t>
      </w:r>
      <w:r w:rsidR="00D920D8">
        <w:rPr>
          <w:rFonts w:ascii="Times New Roman" w:eastAsia="Times New Roman" w:hAnsi="Times New Roman" w:cs="Times New Roman"/>
          <w:color w:val="000000"/>
          <w:sz w:val="24"/>
          <w:szCs w:val="24"/>
        </w:rPr>
        <w:t>L</w:t>
      </w:r>
      <w:r w:rsidRPr="002352F5">
        <w:rPr>
          <w:rFonts w:ascii="Times New Roman" w:eastAsia="Times New Roman" w:hAnsi="Times New Roman" w:cs="Times New Roman"/>
          <w:color w:val="000000"/>
          <w:sz w:val="24"/>
          <w:szCs w:val="24"/>
        </w:rPr>
        <w:t xml:space="preserve">ow </w:t>
      </w:r>
      <w:r w:rsidR="00D920D8">
        <w:rPr>
          <w:rFonts w:ascii="Times New Roman" w:eastAsia="Times New Roman" w:hAnsi="Times New Roman" w:cs="Times New Roman"/>
          <w:color w:val="000000"/>
          <w:sz w:val="24"/>
          <w:szCs w:val="24"/>
        </w:rPr>
        <w:t>F</w:t>
      </w:r>
      <w:r w:rsidRPr="002352F5">
        <w:rPr>
          <w:rFonts w:ascii="Times New Roman" w:eastAsia="Times New Roman" w:hAnsi="Times New Roman" w:cs="Times New Roman"/>
          <w:color w:val="000000"/>
          <w:sz w:val="24"/>
          <w:szCs w:val="24"/>
        </w:rPr>
        <w:t>requency</w:t>
      </w:r>
      <w:r w:rsidR="00D920D8">
        <w:rPr>
          <w:rFonts w:ascii="Times New Roman" w:eastAsia="Times New Roman" w:hAnsi="Times New Roman" w:cs="Times New Roman"/>
          <w:color w:val="000000"/>
          <w:sz w:val="24"/>
          <w:szCs w:val="24"/>
        </w:rPr>
        <w:t xml:space="preserve"> (ULF)</w:t>
      </w:r>
      <w:r w:rsidRPr="002352F5">
        <w:rPr>
          <w:rFonts w:ascii="Times New Roman" w:eastAsia="Times New Roman" w:hAnsi="Times New Roman" w:cs="Times New Roman"/>
          <w:color w:val="000000"/>
          <w:sz w:val="24"/>
          <w:szCs w:val="24"/>
        </w:rPr>
        <w:t xml:space="preserve"> depression </w:t>
      </w:r>
      <w:r w:rsidR="006759CD">
        <w:rPr>
          <w:rFonts w:ascii="Times New Roman" w:eastAsia="Times New Roman" w:hAnsi="Times New Roman" w:cs="Times New Roman"/>
          <w:color w:val="000000"/>
          <w:sz w:val="24"/>
          <w:szCs w:val="24"/>
        </w:rPr>
        <w:t>(</w:t>
      </w:r>
      <w:proofErr w:type="spellStart"/>
      <w:r w:rsidR="006759CD">
        <w:rPr>
          <w:rFonts w:ascii="Times New Roman" w:eastAsia="Times New Roman" w:hAnsi="Times New Roman" w:cs="Times New Roman"/>
          <w:color w:val="000000"/>
          <w:sz w:val="24"/>
          <w:szCs w:val="24"/>
        </w:rPr>
        <w:t>Schekotov</w:t>
      </w:r>
      <w:proofErr w:type="spellEnd"/>
      <w:r w:rsidR="006759CD">
        <w:rPr>
          <w:rFonts w:ascii="Times New Roman" w:eastAsia="Times New Roman" w:hAnsi="Times New Roman" w:cs="Times New Roman"/>
          <w:color w:val="000000"/>
          <w:sz w:val="24"/>
          <w:szCs w:val="24"/>
        </w:rPr>
        <w:t xml:space="preserve"> et al., 2020)</w:t>
      </w:r>
      <w:r w:rsidRPr="002352F5">
        <w:rPr>
          <w:rFonts w:ascii="Times New Roman" w:eastAsia="Times New Roman" w:hAnsi="Times New Roman" w:cs="Times New Roman"/>
          <w:color w:val="000000"/>
          <w:sz w:val="24"/>
          <w:szCs w:val="24"/>
        </w:rPr>
        <w:t xml:space="preserve">, and principal component analysis </w:t>
      </w:r>
      <w:r w:rsidR="006759CD">
        <w:rPr>
          <w:rFonts w:ascii="Times New Roman" w:eastAsia="Times New Roman" w:hAnsi="Times New Roman" w:cs="Times New Roman"/>
          <w:color w:val="000000"/>
          <w:sz w:val="24"/>
          <w:szCs w:val="24"/>
        </w:rPr>
        <w:t>(Zhu et al., 2019)</w:t>
      </w:r>
      <w:r w:rsidRPr="002352F5">
        <w:rPr>
          <w:rFonts w:ascii="Times New Roman" w:eastAsia="Times New Roman" w:hAnsi="Times New Roman" w:cs="Times New Roman"/>
          <w:color w:val="000000"/>
          <w:sz w:val="24"/>
          <w:szCs w:val="24"/>
        </w:rPr>
        <w:t xml:space="preserve">. Additionally, geomagnetic anomalies could also be manifested and detected in the form of diurnal variation </w:t>
      </w:r>
      <w:r w:rsidR="006759CD">
        <w:rPr>
          <w:rFonts w:ascii="Times New Roman" w:eastAsia="Times New Roman" w:hAnsi="Times New Roman" w:cs="Times New Roman"/>
          <w:color w:val="000000"/>
          <w:sz w:val="24"/>
          <w:szCs w:val="24"/>
        </w:rPr>
        <w:t>(Xu et al., 2013)</w:t>
      </w:r>
      <w:r w:rsidRPr="002352F5">
        <w:rPr>
          <w:rFonts w:ascii="Times New Roman" w:eastAsia="Times New Roman" w:hAnsi="Times New Roman" w:cs="Times New Roman"/>
          <w:color w:val="000000"/>
          <w:sz w:val="24"/>
          <w:szCs w:val="24"/>
        </w:rPr>
        <w:t>, which is the focus of the present study.</w:t>
      </w:r>
    </w:p>
    <w:bookmarkEnd w:id="1"/>
    <w:p w14:paraId="778ED368" w14:textId="77777777" w:rsidR="002352F5" w:rsidRPr="002352F5" w:rsidRDefault="002352F5" w:rsidP="00E127CA">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4"/>
          <w:szCs w:val="24"/>
        </w:rPr>
      </w:pPr>
      <w:r w:rsidRPr="002352F5">
        <w:rPr>
          <w:rFonts w:ascii="Times New Roman" w:eastAsia="Times New Roman" w:hAnsi="Times New Roman" w:cs="Times New Roman"/>
          <w:color w:val="000000"/>
          <w:sz w:val="24"/>
          <w:szCs w:val="24"/>
        </w:rPr>
        <w:t>The periodic fluctuation of geomagnetic field intensity over 24 hours is referred to as diurnal variation of the field that largely depends on the solar quiet current system produced by magnetospheric and ionospheric currents. Although the variation is influenced by various main sources, other sources including the minor ones through the investigation on the behavior of the variations</w:t>
      </w:r>
      <w:r w:rsidR="00E06BFF">
        <w:rPr>
          <w:rFonts w:ascii="Times New Roman" w:eastAsia="Times New Roman" w:hAnsi="Times New Roman" w:cs="Times New Roman"/>
          <w:color w:val="000000"/>
          <w:sz w:val="24"/>
          <w:szCs w:val="24"/>
        </w:rPr>
        <w:t xml:space="preserve"> still can be identified</w:t>
      </w:r>
      <w:r w:rsidRPr="002352F5">
        <w:rPr>
          <w:rFonts w:ascii="Times New Roman" w:eastAsia="Times New Roman" w:hAnsi="Times New Roman" w:cs="Times New Roman"/>
          <w:color w:val="000000"/>
          <w:sz w:val="24"/>
          <w:szCs w:val="24"/>
        </w:rPr>
        <w:t xml:space="preserve">. For example, during the presence of inhomogeneous ionospheric currents, it is common to observe short-periodic disturbances lasting for a several hours to a few days </w:t>
      </w:r>
      <w:r w:rsidR="006759CD">
        <w:rPr>
          <w:rFonts w:ascii="Times New Roman" w:eastAsia="Times New Roman" w:hAnsi="Times New Roman" w:cs="Times New Roman"/>
          <w:color w:val="000000"/>
          <w:sz w:val="24"/>
          <w:szCs w:val="24"/>
        </w:rPr>
        <w:t>(Hamid et al., 2021)</w:t>
      </w:r>
      <w:r w:rsidRPr="002352F5">
        <w:rPr>
          <w:rFonts w:ascii="Times New Roman" w:eastAsia="Times New Roman" w:hAnsi="Times New Roman" w:cs="Times New Roman"/>
          <w:color w:val="000000"/>
          <w:sz w:val="24"/>
          <w:szCs w:val="24"/>
        </w:rPr>
        <w:t xml:space="preserve">. Additionally, solar-terrestrial disturbances due to geomagnetic storms are possible to be discerned by observing </w:t>
      </w:r>
      <w:r w:rsidR="00E06BFF">
        <w:rPr>
          <w:rFonts w:ascii="Times New Roman" w:eastAsia="Times New Roman" w:hAnsi="Times New Roman" w:cs="Times New Roman"/>
          <w:color w:val="000000"/>
          <w:sz w:val="24"/>
          <w:szCs w:val="24"/>
        </w:rPr>
        <w:t>Planetary (</w:t>
      </w:r>
      <w:r w:rsidRPr="002352F5">
        <w:rPr>
          <w:rFonts w:ascii="Times New Roman" w:eastAsia="Times New Roman" w:hAnsi="Times New Roman" w:cs="Times New Roman"/>
          <w:i/>
          <w:color w:val="000000"/>
          <w:sz w:val="24"/>
          <w:szCs w:val="24"/>
        </w:rPr>
        <w:t>ap</w:t>
      </w:r>
      <w:r w:rsidR="00E06BFF">
        <w:rPr>
          <w:rFonts w:ascii="Times New Roman" w:eastAsia="Times New Roman" w:hAnsi="Times New Roman" w:cs="Times New Roman"/>
          <w:iCs/>
          <w:color w:val="000000"/>
          <w:sz w:val="24"/>
          <w:szCs w:val="24"/>
        </w:rPr>
        <w:t>)</w:t>
      </w:r>
      <w:r w:rsidRPr="002352F5">
        <w:rPr>
          <w:rFonts w:ascii="Times New Roman" w:eastAsia="Times New Roman" w:hAnsi="Times New Roman" w:cs="Times New Roman"/>
          <w:color w:val="000000"/>
          <w:sz w:val="24"/>
          <w:szCs w:val="24"/>
        </w:rPr>
        <w:t xml:space="preserve"> and </w:t>
      </w:r>
      <w:r w:rsidR="00E06BFF">
        <w:rPr>
          <w:rFonts w:ascii="Times New Roman" w:eastAsia="Times New Roman" w:hAnsi="Times New Roman" w:cs="Times New Roman"/>
          <w:color w:val="000000"/>
          <w:sz w:val="24"/>
          <w:szCs w:val="24"/>
        </w:rPr>
        <w:t>Disturbance Storm-Time (</w:t>
      </w:r>
      <w:proofErr w:type="spellStart"/>
      <w:r w:rsidRPr="002352F5">
        <w:rPr>
          <w:rFonts w:ascii="Times New Roman" w:eastAsia="Times New Roman" w:hAnsi="Times New Roman" w:cs="Times New Roman"/>
          <w:i/>
          <w:color w:val="000000"/>
          <w:sz w:val="24"/>
          <w:szCs w:val="24"/>
        </w:rPr>
        <w:t>Dst</w:t>
      </w:r>
      <w:proofErr w:type="spellEnd"/>
      <w:r w:rsidR="00E06BFF">
        <w:rPr>
          <w:rFonts w:ascii="Times New Roman" w:eastAsia="Times New Roman" w:hAnsi="Times New Roman" w:cs="Times New Roman"/>
          <w:iCs/>
          <w:color w:val="000000"/>
          <w:sz w:val="24"/>
          <w:szCs w:val="24"/>
        </w:rPr>
        <w:t>)</w:t>
      </w:r>
      <w:r w:rsidRPr="002352F5">
        <w:rPr>
          <w:rFonts w:ascii="Times New Roman" w:eastAsia="Times New Roman" w:hAnsi="Times New Roman" w:cs="Times New Roman"/>
          <w:iCs/>
          <w:color w:val="000000"/>
          <w:sz w:val="24"/>
          <w:szCs w:val="24"/>
        </w:rPr>
        <w:t xml:space="preserve"> indices</w:t>
      </w:r>
      <w:r w:rsidRPr="002352F5">
        <w:rPr>
          <w:rFonts w:ascii="Times New Roman" w:eastAsia="Times New Roman" w:hAnsi="Times New Roman" w:cs="Times New Roman"/>
          <w:i/>
          <w:color w:val="000000"/>
          <w:sz w:val="24"/>
          <w:szCs w:val="24"/>
        </w:rPr>
        <w:t xml:space="preserve">, </w:t>
      </w:r>
      <w:r w:rsidRPr="002352F5">
        <w:rPr>
          <w:rFonts w:ascii="Times New Roman" w:eastAsia="Times New Roman" w:hAnsi="Times New Roman" w:cs="Times New Roman"/>
          <w:iCs/>
          <w:color w:val="000000"/>
          <w:sz w:val="24"/>
          <w:szCs w:val="24"/>
        </w:rPr>
        <w:t>which</w:t>
      </w:r>
      <w:r w:rsidRPr="002352F5">
        <w:rPr>
          <w:rFonts w:ascii="Times New Roman" w:eastAsia="Times New Roman" w:hAnsi="Times New Roman" w:cs="Times New Roman"/>
          <w:i/>
          <w:color w:val="000000"/>
          <w:sz w:val="24"/>
          <w:szCs w:val="24"/>
        </w:rPr>
        <w:t xml:space="preserve"> </w:t>
      </w:r>
      <w:r w:rsidRPr="002352F5">
        <w:rPr>
          <w:rFonts w:ascii="Times New Roman" w:eastAsia="Times New Roman" w:hAnsi="Times New Roman" w:cs="Times New Roman"/>
          <w:color w:val="000000"/>
          <w:sz w:val="24"/>
          <w:szCs w:val="24"/>
        </w:rPr>
        <w:t xml:space="preserve">are some examples of global geomagnetic indices </w:t>
      </w:r>
      <w:r w:rsidR="006759CD">
        <w:rPr>
          <w:rFonts w:ascii="Times New Roman" w:eastAsia="Times New Roman" w:hAnsi="Times New Roman" w:cs="Times New Roman"/>
          <w:color w:val="000000"/>
          <w:sz w:val="24"/>
          <w:szCs w:val="24"/>
        </w:rPr>
        <w:t>(Yusof et al., 2020)</w:t>
      </w:r>
      <w:r w:rsidRPr="002352F5">
        <w:rPr>
          <w:rFonts w:ascii="Times New Roman" w:eastAsia="Times New Roman" w:hAnsi="Times New Roman" w:cs="Times New Roman"/>
          <w:color w:val="000000"/>
          <w:sz w:val="24"/>
          <w:szCs w:val="24"/>
        </w:rPr>
        <w:t xml:space="preserve">. Likewise, changes of conductivity occurring in the underground before large earthquakes may induce diurnal variation anomalies in close proximity to the epicenter, even though their appearances are usually relatively inconspicuous and can be masked by the more dominant Earth’s main field. </w:t>
      </w:r>
    </w:p>
    <w:p w14:paraId="3D514381" w14:textId="77777777" w:rsidR="002352F5" w:rsidRPr="002352F5" w:rsidRDefault="002352F5" w:rsidP="00E127CA">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4"/>
          <w:szCs w:val="24"/>
        </w:rPr>
      </w:pPr>
      <w:r w:rsidRPr="002352F5">
        <w:rPr>
          <w:rFonts w:ascii="Times New Roman" w:eastAsia="Times New Roman" w:hAnsi="Times New Roman" w:cs="Times New Roman"/>
          <w:color w:val="000000"/>
          <w:sz w:val="24"/>
          <w:szCs w:val="24"/>
        </w:rPr>
        <w:t xml:space="preserve">Therefore, a signal processing technique that is capable in emphasizing and highlighting the anomalies is needed. The effectiveness of </w:t>
      </w:r>
      <w:r w:rsidR="00E06BFF">
        <w:rPr>
          <w:rFonts w:ascii="Times New Roman" w:eastAsia="Times New Roman" w:hAnsi="Times New Roman" w:cs="Times New Roman"/>
          <w:color w:val="000000"/>
          <w:sz w:val="24"/>
          <w:szCs w:val="24"/>
        </w:rPr>
        <w:t>Diurnal Variation Range Ratio (</w:t>
      </w:r>
      <w:r w:rsidRPr="002352F5">
        <w:rPr>
          <w:rFonts w:ascii="Times New Roman" w:eastAsia="Times New Roman" w:hAnsi="Times New Roman" w:cs="Times New Roman"/>
          <w:color w:val="000000"/>
          <w:sz w:val="24"/>
          <w:szCs w:val="24"/>
        </w:rPr>
        <w:t>DVRR</w:t>
      </w:r>
      <w:r w:rsidR="00E06BFF">
        <w:rPr>
          <w:rFonts w:ascii="Times New Roman" w:eastAsia="Times New Roman" w:hAnsi="Times New Roman" w:cs="Times New Roman"/>
          <w:color w:val="000000"/>
          <w:sz w:val="24"/>
          <w:szCs w:val="24"/>
        </w:rPr>
        <w:t>)</w:t>
      </w:r>
      <w:r w:rsidRPr="002352F5">
        <w:rPr>
          <w:rFonts w:ascii="Times New Roman" w:eastAsia="Times New Roman" w:hAnsi="Times New Roman" w:cs="Times New Roman"/>
          <w:color w:val="000000"/>
          <w:sz w:val="24"/>
          <w:szCs w:val="24"/>
        </w:rPr>
        <w:t xml:space="preserve"> method has been demonstrated by prior studies in detecting pre-earthquake geomagnetic diurnal variation anomalies </w:t>
      </w:r>
      <w:r w:rsidR="006759CD">
        <w:rPr>
          <w:rFonts w:ascii="Times New Roman" w:eastAsia="Times New Roman" w:hAnsi="Times New Roman" w:cs="Times New Roman"/>
          <w:color w:val="000000"/>
          <w:sz w:val="24"/>
          <w:szCs w:val="24"/>
        </w:rPr>
        <w:t>(Han et al., 2015; Han et al., 2016; Xu et al., 2013)</w:t>
      </w:r>
      <w:r w:rsidRPr="002352F5">
        <w:rPr>
          <w:rFonts w:ascii="Times New Roman" w:eastAsia="Times New Roman" w:hAnsi="Times New Roman" w:cs="Times New Roman"/>
          <w:color w:val="000000"/>
          <w:sz w:val="24"/>
          <w:szCs w:val="24"/>
        </w:rPr>
        <w:t xml:space="preserve">. However, past studies usually investigated only a few earthquakes where the study area was limited to a certain seismoactive region. This practice may have caused a question – were the observed anomalies actually earthquake precursors or did they happen by chance? </w:t>
      </w:r>
      <w:r w:rsidR="006759CD">
        <w:rPr>
          <w:rFonts w:ascii="Times New Roman" w:eastAsia="Times New Roman" w:hAnsi="Times New Roman" w:cs="Times New Roman"/>
          <w:color w:val="000000"/>
          <w:sz w:val="24"/>
          <w:szCs w:val="24"/>
        </w:rPr>
        <w:t>(</w:t>
      </w:r>
      <w:proofErr w:type="spellStart"/>
      <w:r w:rsidR="006759CD">
        <w:rPr>
          <w:rFonts w:ascii="Times New Roman" w:eastAsia="Times New Roman" w:hAnsi="Times New Roman" w:cs="Times New Roman"/>
          <w:color w:val="000000"/>
          <w:sz w:val="24"/>
          <w:szCs w:val="24"/>
        </w:rPr>
        <w:t>Masci</w:t>
      </w:r>
      <w:proofErr w:type="spellEnd"/>
      <w:r w:rsidR="006759CD">
        <w:rPr>
          <w:rFonts w:ascii="Times New Roman" w:eastAsia="Times New Roman" w:hAnsi="Times New Roman" w:cs="Times New Roman"/>
          <w:color w:val="000000"/>
          <w:sz w:val="24"/>
          <w:szCs w:val="24"/>
        </w:rPr>
        <w:t xml:space="preserve"> &amp; Thomas, 2015)</w:t>
      </w:r>
      <w:r w:rsidRPr="002352F5">
        <w:rPr>
          <w:rFonts w:ascii="Times New Roman" w:eastAsia="Times New Roman" w:hAnsi="Times New Roman" w:cs="Times New Roman"/>
          <w:color w:val="000000"/>
          <w:sz w:val="24"/>
          <w:szCs w:val="24"/>
        </w:rPr>
        <w:t xml:space="preserve">. In order to answer the question, comprehensive statistical analyses that include a large number of earthquakes in multiple regions around the world can be done. Prior studies have conducted similar analyses on different types of anomalies, for instance, the </w:t>
      </w:r>
      <w:r w:rsidR="00E06BFF">
        <w:rPr>
          <w:rFonts w:ascii="Times New Roman" w:eastAsia="Times New Roman" w:hAnsi="Times New Roman" w:cs="Times New Roman"/>
          <w:color w:val="000000"/>
          <w:sz w:val="24"/>
          <w:szCs w:val="24"/>
        </w:rPr>
        <w:t>S</w:t>
      </w:r>
      <w:r w:rsidRPr="002352F5">
        <w:rPr>
          <w:rFonts w:ascii="Times New Roman" w:eastAsia="Times New Roman" w:hAnsi="Times New Roman" w:cs="Times New Roman"/>
          <w:color w:val="000000"/>
          <w:sz w:val="24"/>
          <w:szCs w:val="24"/>
        </w:rPr>
        <w:t xml:space="preserve">uperposed </w:t>
      </w:r>
      <w:r w:rsidR="00E06BFF">
        <w:rPr>
          <w:rFonts w:ascii="Times New Roman" w:eastAsia="Times New Roman" w:hAnsi="Times New Roman" w:cs="Times New Roman"/>
          <w:color w:val="000000"/>
          <w:sz w:val="24"/>
          <w:szCs w:val="24"/>
        </w:rPr>
        <w:t>E</w:t>
      </w:r>
      <w:r w:rsidRPr="002352F5">
        <w:rPr>
          <w:rFonts w:ascii="Times New Roman" w:eastAsia="Times New Roman" w:hAnsi="Times New Roman" w:cs="Times New Roman"/>
          <w:color w:val="000000"/>
          <w:sz w:val="24"/>
          <w:szCs w:val="24"/>
        </w:rPr>
        <w:t xml:space="preserve">poch </w:t>
      </w:r>
      <w:r w:rsidR="00E06BFF">
        <w:rPr>
          <w:rFonts w:ascii="Times New Roman" w:eastAsia="Times New Roman" w:hAnsi="Times New Roman" w:cs="Times New Roman"/>
          <w:color w:val="000000"/>
          <w:sz w:val="24"/>
          <w:szCs w:val="24"/>
        </w:rPr>
        <w:t>A</w:t>
      </w:r>
      <w:r w:rsidRPr="002352F5">
        <w:rPr>
          <w:rFonts w:ascii="Times New Roman" w:eastAsia="Times New Roman" w:hAnsi="Times New Roman" w:cs="Times New Roman"/>
          <w:color w:val="000000"/>
          <w:sz w:val="24"/>
          <w:szCs w:val="24"/>
        </w:rPr>
        <w:t xml:space="preserve">nalysis (SEA) has been adopted to determine whether the reported ULF anomalies appearing before earthquakes were statistically significant </w:t>
      </w:r>
      <w:r w:rsidR="006759CD">
        <w:rPr>
          <w:rFonts w:ascii="Times New Roman" w:eastAsia="Times New Roman" w:hAnsi="Times New Roman" w:cs="Times New Roman"/>
          <w:color w:val="000000"/>
          <w:sz w:val="24"/>
          <w:szCs w:val="24"/>
        </w:rPr>
        <w:t>(Han et al., 2014; Hattori et al., 2013)</w:t>
      </w:r>
      <w:r w:rsidRPr="002352F5">
        <w:rPr>
          <w:rFonts w:ascii="Times New Roman" w:eastAsia="Times New Roman" w:hAnsi="Times New Roman" w:cs="Times New Roman"/>
          <w:color w:val="000000"/>
          <w:sz w:val="24"/>
          <w:szCs w:val="24"/>
        </w:rPr>
        <w:t xml:space="preserve">. SEA was specifically used in the studies because it can uncover obscure periodicities hidden in multiple time series </w:t>
      </w:r>
      <w:r w:rsidR="006759CD">
        <w:rPr>
          <w:rFonts w:ascii="Times New Roman" w:eastAsia="Times New Roman" w:hAnsi="Times New Roman" w:cs="Times New Roman"/>
          <w:color w:val="000000"/>
          <w:sz w:val="24"/>
          <w:szCs w:val="24"/>
        </w:rPr>
        <w:t>(Singh &amp; Badruddin, 2006)</w:t>
      </w:r>
      <w:r w:rsidRPr="002352F5">
        <w:rPr>
          <w:rFonts w:ascii="Times New Roman" w:eastAsia="Times New Roman" w:hAnsi="Times New Roman" w:cs="Times New Roman"/>
          <w:color w:val="000000"/>
          <w:sz w:val="24"/>
          <w:szCs w:val="24"/>
        </w:rPr>
        <w:t xml:space="preserve">. </w:t>
      </w:r>
      <w:r w:rsidR="00E06BFF">
        <w:rPr>
          <w:rFonts w:ascii="Times New Roman" w:eastAsia="Times New Roman" w:hAnsi="Times New Roman" w:cs="Times New Roman"/>
          <w:color w:val="000000"/>
          <w:sz w:val="24"/>
          <w:szCs w:val="24"/>
        </w:rPr>
        <w:t>While</w:t>
      </w:r>
      <w:r w:rsidRPr="002352F5">
        <w:rPr>
          <w:rFonts w:ascii="Times New Roman" w:eastAsia="Times New Roman" w:hAnsi="Times New Roman" w:cs="Times New Roman"/>
          <w:color w:val="000000"/>
          <w:sz w:val="24"/>
          <w:szCs w:val="24"/>
        </w:rPr>
        <w:t>, the DVRR method has the edge over ULF methods</w:t>
      </w:r>
      <w:r w:rsidRPr="002352F5" w:rsidDel="009329F5">
        <w:rPr>
          <w:rFonts w:ascii="Times New Roman" w:eastAsia="Times New Roman" w:hAnsi="Times New Roman" w:cs="Times New Roman"/>
          <w:color w:val="000000"/>
          <w:sz w:val="24"/>
          <w:szCs w:val="24"/>
        </w:rPr>
        <w:t xml:space="preserve"> </w:t>
      </w:r>
      <w:r w:rsidRPr="002352F5">
        <w:rPr>
          <w:rFonts w:ascii="Times New Roman" w:eastAsia="Times New Roman" w:hAnsi="Times New Roman" w:cs="Times New Roman"/>
          <w:color w:val="000000"/>
          <w:sz w:val="24"/>
          <w:szCs w:val="24"/>
        </w:rPr>
        <w:t xml:space="preserve">since the former only needs low-resolution data whereas high-resolution data (i.e., 1-Hz sampling frequency or higher) are necessary for the latter to be implemented. As low-resolution data are readily and freely accessible via online databases, it is more viable to conduct extensive studies by utilizing the data. </w:t>
      </w:r>
    </w:p>
    <w:p w14:paraId="7197761D" w14:textId="77777777" w:rsidR="002352F5" w:rsidRPr="002352F5" w:rsidRDefault="002352F5" w:rsidP="00126459">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4"/>
          <w:szCs w:val="24"/>
        </w:rPr>
      </w:pPr>
      <w:r w:rsidRPr="002352F5">
        <w:rPr>
          <w:rFonts w:ascii="Times New Roman" w:eastAsia="Times New Roman" w:hAnsi="Times New Roman" w:cs="Times New Roman"/>
          <w:color w:val="000000"/>
          <w:sz w:val="24"/>
          <w:szCs w:val="24"/>
        </w:rPr>
        <w:lastRenderedPageBreak/>
        <w:t>This present study aims to utilize long-term low-resolution geomagnetic data to apply the DVRR method alongside the SEA for a statistical analysis of pre-earthquake diurnal variation anomaly detection. Results obtained from the analysis will verify the anomalies appearing prior to earthquakes in terms of statistical significance. As similar studies have not been done before, this study will also explore the possible generation and propagation mechanisms of pre-earthquake diurnal variation to explain our observations.</w:t>
      </w:r>
    </w:p>
    <w:p w14:paraId="5A9B36F6" w14:textId="70115D0B" w:rsidR="00E127CA" w:rsidRDefault="00522A2C" w:rsidP="00E127CA">
      <w:pPr>
        <w:pBdr>
          <w:top w:val="nil"/>
          <w:left w:val="nil"/>
          <w:bottom w:val="nil"/>
          <w:right w:val="nil"/>
          <w:between w:val="nil"/>
        </w:pBdr>
        <w:spacing w:after="0" w:line="240" w:lineRule="auto"/>
        <w:ind w:left="0" w:hanging="2"/>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w:t>
      </w:r>
    </w:p>
    <w:p w14:paraId="652B50ED" w14:textId="77777777" w:rsidR="00B45CD5" w:rsidRPr="00E127CA" w:rsidRDefault="00B45CD5" w:rsidP="00E127CA">
      <w:pPr>
        <w:pBdr>
          <w:top w:val="nil"/>
          <w:left w:val="nil"/>
          <w:bottom w:val="nil"/>
          <w:right w:val="nil"/>
          <w:between w:val="nil"/>
        </w:pBdr>
        <w:spacing w:after="0" w:line="240" w:lineRule="auto"/>
        <w:ind w:left="0" w:hanging="2"/>
        <w:jc w:val="both"/>
        <w:rPr>
          <w:rFonts w:ascii="Times New Roman" w:eastAsia="Times New Roman" w:hAnsi="Times New Roman" w:cs="Times New Roman"/>
          <w:b/>
          <w:color w:val="000000"/>
          <w:sz w:val="24"/>
          <w:szCs w:val="24"/>
        </w:rPr>
      </w:pPr>
    </w:p>
    <w:p w14:paraId="0F986219" w14:textId="77777777" w:rsidR="00F03DD8" w:rsidRDefault="00E127CA">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Data and methodology</w:t>
      </w:r>
      <w:r w:rsidR="00522A2C">
        <w:rPr>
          <w:rFonts w:ascii="Times New Roman" w:eastAsia="Times New Roman" w:hAnsi="Times New Roman" w:cs="Times New Roman"/>
          <w:b/>
          <w:color w:val="000000"/>
          <w:sz w:val="24"/>
          <w:szCs w:val="24"/>
        </w:rPr>
        <w:t xml:space="preserve"> </w:t>
      </w:r>
    </w:p>
    <w:p w14:paraId="63F80DAE" w14:textId="77777777" w:rsidR="00E127CA" w:rsidRDefault="00522A2C" w:rsidP="00E127CA">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w:t>
      </w:r>
    </w:p>
    <w:p w14:paraId="3E31B9AE" w14:textId="77777777" w:rsidR="00E127CA" w:rsidRPr="00E127CA" w:rsidRDefault="00E127CA" w:rsidP="00CC0D9E">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sidRPr="00E127CA">
        <w:rPr>
          <w:rFonts w:ascii="Times New Roman" w:eastAsia="Times New Roman" w:hAnsi="Times New Roman" w:cs="Times New Roman"/>
          <w:color w:val="000000"/>
          <w:sz w:val="24"/>
          <w:szCs w:val="24"/>
        </w:rPr>
        <w:t xml:space="preserve">1-min sampling period geomagnetic field data utilized in this study were obtained from the </w:t>
      </w:r>
      <w:proofErr w:type="spellStart"/>
      <w:r w:rsidRPr="00E127CA">
        <w:rPr>
          <w:rFonts w:ascii="Times New Roman" w:eastAsia="Times New Roman" w:hAnsi="Times New Roman" w:cs="Times New Roman"/>
          <w:color w:val="000000"/>
          <w:sz w:val="24"/>
          <w:szCs w:val="24"/>
        </w:rPr>
        <w:t>SuperMAG</w:t>
      </w:r>
      <w:proofErr w:type="spellEnd"/>
      <w:r w:rsidRPr="00E127CA">
        <w:rPr>
          <w:rFonts w:ascii="Times New Roman" w:eastAsia="Times New Roman" w:hAnsi="Times New Roman" w:cs="Times New Roman"/>
          <w:color w:val="000000"/>
          <w:sz w:val="24"/>
          <w:szCs w:val="24"/>
        </w:rPr>
        <w:t xml:space="preserve"> database (www.supermag.jhuapl.edu) </w:t>
      </w:r>
      <w:r w:rsidR="006759CD">
        <w:rPr>
          <w:rFonts w:ascii="Times New Roman" w:eastAsia="Times New Roman" w:hAnsi="Times New Roman" w:cs="Times New Roman"/>
          <w:color w:val="000000"/>
          <w:sz w:val="24"/>
          <w:szCs w:val="24"/>
        </w:rPr>
        <w:t>(Chi et al., 2013; Clauer et al., 2014; Engebretson et al., 1995; Gjerloev, 2012; Lichtenberger et al., 2013; Love &amp; Chulliat, 2013; Mann et al., 2008; Tanskanen, 2009; Yumoto, 2001)</w:t>
      </w:r>
      <w:r w:rsidRPr="00E127CA">
        <w:rPr>
          <w:rFonts w:ascii="Times New Roman" w:eastAsia="Times New Roman" w:hAnsi="Times New Roman" w:cs="Times New Roman"/>
          <w:color w:val="000000"/>
          <w:sz w:val="24"/>
          <w:szCs w:val="24"/>
        </w:rPr>
        <w:t xml:space="preserve">. The spatial and temporal coverages of this study were extensive where data collected at 138 magnetometer stations around the world within the period of study, which was set between the year 1999 and 2019, were involved. The stations are either induction-coil or vector fluxgate types with a three-axis configuration that collect data consisting of three components, referred to as </w:t>
      </w:r>
      <w:r w:rsidRPr="00E127CA">
        <w:rPr>
          <w:rFonts w:ascii="Times New Roman" w:eastAsia="Times New Roman" w:hAnsi="Times New Roman" w:cs="Times New Roman"/>
          <w:i/>
          <w:iCs/>
          <w:color w:val="000000"/>
          <w:sz w:val="24"/>
          <w:szCs w:val="24"/>
        </w:rPr>
        <w:t>N</w:t>
      </w:r>
      <w:r w:rsidRPr="00E127CA">
        <w:rPr>
          <w:rFonts w:ascii="Times New Roman" w:eastAsia="Times New Roman" w:hAnsi="Times New Roman" w:cs="Times New Roman"/>
          <w:color w:val="000000"/>
          <w:sz w:val="24"/>
          <w:szCs w:val="24"/>
        </w:rPr>
        <w:t>,</w:t>
      </w:r>
      <w:r w:rsidRPr="00E127CA">
        <w:rPr>
          <w:rFonts w:ascii="Times New Roman" w:eastAsia="Times New Roman" w:hAnsi="Times New Roman" w:cs="Times New Roman"/>
          <w:i/>
          <w:iCs/>
          <w:color w:val="000000"/>
          <w:sz w:val="24"/>
          <w:szCs w:val="24"/>
        </w:rPr>
        <w:t xml:space="preserve"> E</w:t>
      </w:r>
      <w:r w:rsidRPr="00E127CA">
        <w:rPr>
          <w:rFonts w:ascii="Times New Roman" w:eastAsia="Times New Roman" w:hAnsi="Times New Roman" w:cs="Times New Roman"/>
          <w:color w:val="000000"/>
          <w:sz w:val="24"/>
          <w:szCs w:val="24"/>
        </w:rPr>
        <w:t xml:space="preserve">, and </w:t>
      </w:r>
      <w:r w:rsidRPr="00E127CA">
        <w:rPr>
          <w:rFonts w:ascii="Times New Roman" w:eastAsia="Times New Roman" w:hAnsi="Times New Roman" w:cs="Times New Roman"/>
          <w:i/>
          <w:iCs/>
          <w:color w:val="000000"/>
          <w:sz w:val="24"/>
          <w:szCs w:val="24"/>
        </w:rPr>
        <w:t>Z</w:t>
      </w:r>
      <w:r w:rsidRPr="00E127CA">
        <w:rPr>
          <w:rFonts w:ascii="Times New Roman" w:eastAsia="Times New Roman" w:hAnsi="Times New Roman" w:cs="Times New Roman"/>
          <w:color w:val="000000"/>
          <w:sz w:val="24"/>
          <w:szCs w:val="24"/>
        </w:rPr>
        <w:t xml:space="preserve">, corresponding to northward, eastward, and vertical components in the geomagnetic coordinate </w:t>
      </w:r>
      <w:r w:rsidR="006759CD">
        <w:rPr>
          <w:rFonts w:ascii="Times New Roman" w:eastAsia="Times New Roman" w:hAnsi="Times New Roman" w:cs="Times New Roman"/>
          <w:color w:val="000000"/>
          <w:sz w:val="24"/>
          <w:szCs w:val="24"/>
        </w:rPr>
        <w:t>(</w:t>
      </w:r>
      <w:proofErr w:type="spellStart"/>
      <w:r w:rsidR="006759CD">
        <w:rPr>
          <w:rFonts w:ascii="Times New Roman" w:eastAsia="Times New Roman" w:hAnsi="Times New Roman" w:cs="Times New Roman"/>
          <w:color w:val="000000"/>
          <w:sz w:val="24"/>
          <w:szCs w:val="24"/>
        </w:rPr>
        <w:t>Gjerloev</w:t>
      </w:r>
      <w:proofErr w:type="spellEnd"/>
      <w:r w:rsidR="006759CD">
        <w:rPr>
          <w:rFonts w:ascii="Times New Roman" w:eastAsia="Times New Roman" w:hAnsi="Times New Roman" w:cs="Times New Roman"/>
          <w:color w:val="000000"/>
          <w:sz w:val="24"/>
          <w:szCs w:val="24"/>
        </w:rPr>
        <w:t>, 2012)</w:t>
      </w:r>
      <w:r w:rsidRPr="00E127CA">
        <w:rPr>
          <w:rFonts w:ascii="Times New Roman" w:eastAsia="Times New Roman" w:hAnsi="Times New Roman" w:cs="Times New Roman"/>
          <w:color w:val="000000"/>
          <w:sz w:val="24"/>
          <w:szCs w:val="24"/>
        </w:rPr>
        <w:t xml:space="preserve">. Additionally, </w:t>
      </w:r>
      <w:r w:rsidR="00E06BFF">
        <w:rPr>
          <w:rFonts w:ascii="Times New Roman" w:eastAsia="Times New Roman" w:hAnsi="Times New Roman" w:cs="Times New Roman"/>
          <w:color w:val="000000"/>
          <w:sz w:val="24"/>
          <w:szCs w:val="24"/>
        </w:rPr>
        <w:t>Planetary (</w:t>
      </w:r>
      <w:r w:rsidRPr="00E127CA">
        <w:rPr>
          <w:rFonts w:ascii="Times New Roman" w:eastAsia="Times New Roman" w:hAnsi="Times New Roman" w:cs="Times New Roman"/>
          <w:i/>
          <w:color w:val="000000"/>
          <w:sz w:val="24"/>
          <w:szCs w:val="24"/>
        </w:rPr>
        <w:t>ap</w:t>
      </w:r>
      <w:r w:rsidR="00E06BFF">
        <w:rPr>
          <w:rFonts w:ascii="Times New Roman" w:eastAsia="Times New Roman" w:hAnsi="Times New Roman" w:cs="Times New Roman"/>
          <w:iCs/>
          <w:color w:val="000000"/>
          <w:sz w:val="24"/>
          <w:szCs w:val="24"/>
        </w:rPr>
        <w:t>)</w:t>
      </w:r>
      <w:r w:rsidRPr="00E127CA">
        <w:rPr>
          <w:rFonts w:ascii="Times New Roman" w:eastAsia="Times New Roman" w:hAnsi="Times New Roman" w:cs="Times New Roman"/>
          <w:color w:val="000000"/>
          <w:sz w:val="24"/>
          <w:szCs w:val="24"/>
        </w:rPr>
        <w:t xml:space="preserve"> and </w:t>
      </w:r>
      <w:r w:rsidR="00E06BFF">
        <w:rPr>
          <w:rFonts w:ascii="Times New Roman" w:eastAsia="Times New Roman" w:hAnsi="Times New Roman" w:cs="Times New Roman"/>
          <w:color w:val="000000"/>
          <w:sz w:val="24"/>
          <w:szCs w:val="24"/>
        </w:rPr>
        <w:t>Disturbance Storm-Time (</w:t>
      </w:r>
      <w:proofErr w:type="spellStart"/>
      <w:r w:rsidRPr="00E127CA">
        <w:rPr>
          <w:rFonts w:ascii="Times New Roman" w:eastAsia="Times New Roman" w:hAnsi="Times New Roman" w:cs="Times New Roman"/>
          <w:i/>
          <w:color w:val="000000"/>
          <w:sz w:val="24"/>
          <w:szCs w:val="24"/>
        </w:rPr>
        <w:t>Dst</w:t>
      </w:r>
      <w:proofErr w:type="spellEnd"/>
      <w:r w:rsidR="00E06BFF">
        <w:rPr>
          <w:rFonts w:ascii="Times New Roman" w:eastAsia="Times New Roman" w:hAnsi="Times New Roman" w:cs="Times New Roman"/>
          <w:iCs/>
          <w:color w:val="000000"/>
          <w:sz w:val="24"/>
          <w:szCs w:val="24"/>
        </w:rPr>
        <w:t>)</w:t>
      </w:r>
      <w:r w:rsidRPr="00E127CA">
        <w:rPr>
          <w:rFonts w:ascii="Times New Roman" w:eastAsia="Times New Roman" w:hAnsi="Times New Roman" w:cs="Times New Roman"/>
          <w:color w:val="000000"/>
          <w:sz w:val="24"/>
          <w:szCs w:val="24"/>
        </w:rPr>
        <w:t xml:space="preserve"> global geomagnetic indices data that were acquired through the NASA </w:t>
      </w:r>
      <w:proofErr w:type="spellStart"/>
      <w:r w:rsidRPr="00E127CA">
        <w:rPr>
          <w:rFonts w:ascii="Times New Roman" w:eastAsia="Times New Roman" w:hAnsi="Times New Roman" w:cs="Times New Roman"/>
          <w:color w:val="000000"/>
          <w:sz w:val="24"/>
          <w:szCs w:val="24"/>
        </w:rPr>
        <w:t>OMNIWeb</w:t>
      </w:r>
      <w:proofErr w:type="spellEnd"/>
      <w:r w:rsidRPr="00E127CA">
        <w:rPr>
          <w:rFonts w:ascii="Times New Roman" w:eastAsia="Times New Roman" w:hAnsi="Times New Roman" w:cs="Times New Roman"/>
          <w:color w:val="000000"/>
          <w:sz w:val="24"/>
          <w:szCs w:val="24"/>
        </w:rPr>
        <w:t xml:space="preserve"> Service (www.omniweb.gsfc.nasa.gov) were also analyzed. Since derivations of the indices involve geomagnetic field measurements at observatories situated near the mid-latitudes and the equator, respectively, their utilization provided this study with overall conditions of the global geomagnetic activity level and the presence of solar-terrestrial disturbances </w:t>
      </w:r>
      <w:r w:rsidR="006759CD">
        <w:rPr>
          <w:rFonts w:ascii="Times New Roman" w:eastAsia="Times New Roman" w:hAnsi="Times New Roman" w:cs="Times New Roman"/>
          <w:color w:val="000000"/>
          <w:sz w:val="24"/>
          <w:szCs w:val="24"/>
        </w:rPr>
        <w:t>(</w:t>
      </w:r>
      <w:proofErr w:type="spellStart"/>
      <w:r w:rsidR="006759CD">
        <w:rPr>
          <w:rFonts w:ascii="Times New Roman" w:eastAsia="Times New Roman" w:hAnsi="Times New Roman" w:cs="Times New Roman"/>
          <w:color w:val="000000"/>
          <w:sz w:val="24"/>
          <w:szCs w:val="24"/>
        </w:rPr>
        <w:t>Rostoker</w:t>
      </w:r>
      <w:proofErr w:type="spellEnd"/>
      <w:r w:rsidR="006759CD">
        <w:rPr>
          <w:rFonts w:ascii="Times New Roman" w:eastAsia="Times New Roman" w:hAnsi="Times New Roman" w:cs="Times New Roman"/>
          <w:color w:val="000000"/>
          <w:sz w:val="24"/>
          <w:szCs w:val="24"/>
        </w:rPr>
        <w:t>, 1972)</w:t>
      </w:r>
      <w:r w:rsidRPr="00E127CA">
        <w:rPr>
          <w:rFonts w:ascii="Times New Roman" w:eastAsia="Times New Roman" w:hAnsi="Times New Roman" w:cs="Times New Roman"/>
          <w:color w:val="000000"/>
          <w:sz w:val="24"/>
          <w:szCs w:val="24"/>
        </w:rPr>
        <w:t xml:space="preserve">. The days with the intensity of the indices reaching predefined threshold values of </w:t>
      </w:r>
      <w:r w:rsidR="005208D1" w:rsidRPr="00025957">
        <w:rPr>
          <w:position w:val="-4"/>
        </w:rPr>
        <w:object w:dxaOrig="1060" w:dyaOrig="240" w14:anchorId="2353FB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25pt;height:12.75pt" o:ole="">
            <v:imagedata r:id="rId10" o:title=""/>
          </v:shape>
          <o:OLEObject Type="Embed" ProgID="Equation.DSMT4" ShapeID="_x0000_i1025" DrawAspect="Content" ObjectID="_1699800865" r:id="rId11"/>
        </w:object>
      </w:r>
      <w:r w:rsidRPr="00E127CA">
        <w:rPr>
          <w:rFonts w:ascii="Times New Roman" w:eastAsia="Times New Roman" w:hAnsi="Times New Roman" w:cs="Times New Roman"/>
          <w:color w:val="000000"/>
          <w:sz w:val="24"/>
          <w:szCs w:val="24"/>
        </w:rPr>
        <w:t xml:space="preserve"> or </w:t>
      </w:r>
      <w:r w:rsidR="005208D1" w:rsidRPr="00025957">
        <w:rPr>
          <w:position w:val="-4"/>
        </w:rPr>
        <w:object w:dxaOrig="1160" w:dyaOrig="200" w14:anchorId="67E6C742">
          <v:shape id="_x0000_i1026" type="#_x0000_t75" style="width:58.5pt;height:9.75pt" o:ole="">
            <v:imagedata r:id="rId12" o:title=""/>
          </v:shape>
          <o:OLEObject Type="Embed" ProgID="Equation.DSMT4" ShapeID="_x0000_i1026" DrawAspect="Content" ObjectID="_1699800866" r:id="rId13"/>
        </w:object>
      </w:r>
      <w:r w:rsidRPr="00E127CA">
        <w:rPr>
          <w:rFonts w:ascii="Times New Roman" w:eastAsia="Times New Roman" w:hAnsi="Times New Roman" w:cs="Times New Roman"/>
          <w:color w:val="000000"/>
          <w:sz w:val="24"/>
          <w:szCs w:val="24"/>
        </w:rPr>
        <w:t xml:space="preserve"> were considered ‘disturbed’, hence, any geomagnetic field anomalies observed during these days were eliminated. Besides, earthquake event details that happened within the period of study and satisfied the criteria of </w:t>
      </w:r>
      <w:proofErr w:type="spellStart"/>
      <w:r w:rsidRPr="00E127CA">
        <w:rPr>
          <w:rFonts w:ascii="Times New Roman" w:eastAsia="Times New Roman" w:hAnsi="Times New Roman" w:cs="Times New Roman"/>
          <w:color w:val="000000"/>
          <w:sz w:val="24"/>
          <w:szCs w:val="24"/>
        </w:rPr>
        <w:t>hypocentral</w:t>
      </w:r>
      <w:proofErr w:type="spellEnd"/>
      <w:r w:rsidRPr="00E127CA">
        <w:rPr>
          <w:rFonts w:ascii="Times New Roman" w:eastAsia="Times New Roman" w:hAnsi="Times New Roman" w:cs="Times New Roman"/>
          <w:color w:val="000000"/>
          <w:sz w:val="24"/>
          <w:szCs w:val="24"/>
        </w:rPr>
        <w:t xml:space="preserve"> depth, </w:t>
      </w:r>
      <w:r w:rsidR="005208D1" w:rsidRPr="00025957">
        <w:rPr>
          <w:position w:val="-4"/>
        </w:rPr>
        <w:object w:dxaOrig="1100" w:dyaOrig="200" w14:anchorId="1B772A29">
          <v:shape id="_x0000_i1027" type="#_x0000_t75" style="width:54.75pt;height:9.75pt" o:ole="">
            <v:imagedata r:id="rId14" o:title=""/>
          </v:shape>
          <o:OLEObject Type="Embed" ProgID="Equation.DSMT4" ShapeID="_x0000_i1027" DrawAspect="Content" ObjectID="_1699800867" r:id="rId15"/>
        </w:object>
      </w:r>
      <w:r w:rsidRPr="00E127CA">
        <w:rPr>
          <w:rFonts w:ascii="Times New Roman" w:eastAsia="Times New Roman" w:hAnsi="Times New Roman" w:cs="Times New Roman"/>
          <w:color w:val="000000"/>
          <w:sz w:val="24"/>
          <w:szCs w:val="24"/>
        </w:rPr>
        <w:t xml:space="preserve">, magnitude, </w:t>
      </w:r>
      <w:bookmarkStart w:id="2" w:name="MTBlankEqn"/>
      <w:r w:rsidR="005208D1" w:rsidRPr="00025957">
        <w:rPr>
          <w:position w:val="-4"/>
        </w:rPr>
        <w:object w:dxaOrig="820" w:dyaOrig="240" w14:anchorId="4599320C">
          <v:shape id="_x0000_i1028" type="#_x0000_t75" style="width:40.5pt;height:12.75pt" o:ole="">
            <v:imagedata r:id="rId16" o:title=""/>
          </v:shape>
          <o:OLEObject Type="Embed" ProgID="Equation.DSMT4" ShapeID="_x0000_i1028" DrawAspect="Content" ObjectID="_1699800868" r:id="rId17"/>
        </w:object>
      </w:r>
      <w:bookmarkEnd w:id="2"/>
      <w:r w:rsidRPr="00E127CA">
        <w:rPr>
          <w:rFonts w:ascii="Times New Roman" w:eastAsia="Times New Roman" w:hAnsi="Times New Roman" w:cs="Times New Roman"/>
          <w:color w:val="000000"/>
          <w:sz w:val="24"/>
          <w:szCs w:val="24"/>
        </w:rPr>
        <w:t xml:space="preserve"> and </w:t>
      </w:r>
      <w:proofErr w:type="spellStart"/>
      <w:r w:rsidRPr="00E127CA">
        <w:rPr>
          <w:rFonts w:ascii="Times New Roman" w:eastAsia="Times New Roman" w:hAnsi="Times New Roman" w:cs="Times New Roman"/>
          <w:color w:val="000000"/>
          <w:sz w:val="24"/>
          <w:szCs w:val="24"/>
        </w:rPr>
        <w:t>epicentral</w:t>
      </w:r>
      <w:proofErr w:type="spellEnd"/>
      <w:r w:rsidRPr="00E127CA">
        <w:rPr>
          <w:rFonts w:ascii="Times New Roman" w:eastAsia="Times New Roman" w:hAnsi="Times New Roman" w:cs="Times New Roman"/>
          <w:color w:val="000000"/>
          <w:sz w:val="24"/>
          <w:szCs w:val="24"/>
        </w:rPr>
        <w:t xml:space="preserve"> distance, </w:t>
      </w:r>
      <w:r w:rsidR="005208D1" w:rsidRPr="00025957">
        <w:rPr>
          <w:position w:val="-4"/>
        </w:rPr>
        <w:object w:dxaOrig="1060" w:dyaOrig="240" w14:anchorId="2121D752">
          <v:shape id="_x0000_i1029" type="#_x0000_t75" style="width:52.5pt;height:12.75pt" o:ole="">
            <v:imagedata r:id="rId18" o:title=""/>
          </v:shape>
          <o:OLEObject Type="Embed" ProgID="Equation.DSMT4" ShapeID="_x0000_i1029" DrawAspect="Content" ObjectID="_1699800869" r:id="rId19"/>
        </w:object>
      </w:r>
      <w:r w:rsidRPr="00E127CA">
        <w:rPr>
          <w:rFonts w:ascii="Times New Roman" w:eastAsia="Times New Roman" w:hAnsi="Times New Roman" w:cs="Times New Roman"/>
          <w:color w:val="000000"/>
          <w:sz w:val="24"/>
          <w:szCs w:val="24"/>
        </w:rPr>
        <w:t xml:space="preserve"> were acquired from the European-Mediterranean Seismological Centre catalog (www.emsc-csem.org). Note that </w:t>
      </w:r>
      <w:r w:rsidR="005208D1" w:rsidRPr="00025957">
        <w:rPr>
          <w:position w:val="-4"/>
        </w:rPr>
        <w:object w:dxaOrig="139" w:dyaOrig="200" w14:anchorId="2A4E19EA">
          <v:shape id="_x0000_i1030" type="#_x0000_t75" style="width:6.75pt;height:9.75pt" o:ole="">
            <v:imagedata r:id="rId20" o:title=""/>
          </v:shape>
          <o:OLEObject Type="Embed" ProgID="Equation.DSMT4" ShapeID="_x0000_i1030" DrawAspect="Content" ObjectID="_1699800870" r:id="rId21"/>
        </w:object>
      </w:r>
      <w:r w:rsidRPr="00E127CA">
        <w:rPr>
          <w:rFonts w:ascii="Times New Roman" w:eastAsia="Times New Roman" w:hAnsi="Times New Roman" w:cs="Times New Roman"/>
          <w:color w:val="000000"/>
          <w:sz w:val="24"/>
          <w:szCs w:val="24"/>
        </w:rPr>
        <w:t xml:space="preserve"> for each earthquake was measured from any of the stations. In order to implement the DVRR method, datasets from at least one station pair </w:t>
      </w:r>
      <w:r w:rsidR="00D2192F" w:rsidRPr="00E127CA">
        <w:rPr>
          <w:rFonts w:ascii="Times New Roman" w:eastAsia="Times New Roman" w:hAnsi="Times New Roman" w:cs="Times New Roman"/>
          <w:color w:val="000000"/>
          <w:sz w:val="24"/>
          <w:szCs w:val="24"/>
        </w:rPr>
        <w:t>were</w:t>
      </w:r>
      <w:r w:rsidRPr="00E127CA">
        <w:rPr>
          <w:rFonts w:ascii="Times New Roman" w:eastAsia="Times New Roman" w:hAnsi="Times New Roman" w:cs="Times New Roman"/>
          <w:color w:val="000000"/>
          <w:sz w:val="24"/>
          <w:szCs w:val="24"/>
        </w:rPr>
        <w:t xml:space="preserve"> needed for every earthquake event; the stations were referred to as ‘near’ and ‘far’ stations. Therefore, 479 station pairs, which were made up of 92 individual stations, were algorithmically determined based on their distances from 157 earthquakes, providing </w:t>
      </w:r>
      <w:bookmarkStart w:id="3" w:name="bookmark=id.gjdgxs" w:colFirst="0" w:colLast="0"/>
      <w:bookmarkEnd w:id="3"/>
      <w:r w:rsidR="005208D1" w:rsidRPr="00025957">
        <w:rPr>
          <w:position w:val="-4"/>
        </w:rPr>
        <w:object w:dxaOrig="720" w:dyaOrig="200" w14:anchorId="1144F788">
          <v:shape id="_x0000_i1031" type="#_x0000_t75" style="width:36pt;height:9.75pt" o:ole="">
            <v:imagedata r:id="rId22" o:title=""/>
          </v:shape>
          <o:OLEObject Type="Embed" ProgID="Equation.DSMT4" ShapeID="_x0000_i1031" DrawAspect="Content" ObjectID="_1699800871" r:id="rId23"/>
        </w:object>
      </w:r>
      <w:r w:rsidRPr="00E127CA">
        <w:rPr>
          <w:rFonts w:ascii="Times New Roman" w:eastAsia="Times New Roman" w:hAnsi="Times New Roman" w:cs="Times New Roman"/>
          <w:color w:val="000000"/>
          <w:sz w:val="24"/>
          <w:szCs w:val="24"/>
        </w:rPr>
        <w:t xml:space="preserve"> for the statistical analysis using the SEA. The earthquakes and stations are illustrated in Fig. 1 as red circles and blue triangles, respectively.</w:t>
      </w:r>
    </w:p>
    <w:p w14:paraId="14AD3084" w14:textId="49CC7D86" w:rsidR="00E127CA" w:rsidRPr="00E127CA" w:rsidRDefault="00E127CA" w:rsidP="00E127CA">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4"/>
          <w:szCs w:val="24"/>
        </w:rPr>
      </w:pPr>
      <w:r w:rsidRPr="00E127CA">
        <w:rPr>
          <w:rFonts w:ascii="Times New Roman" w:eastAsia="Times New Roman" w:hAnsi="Times New Roman" w:cs="Times New Roman"/>
          <w:color w:val="000000"/>
          <w:sz w:val="24"/>
          <w:szCs w:val="24"/>
        </w:rPr>
        <w:t xml:space="preserve">The DVRR method aims to amplify pre-earthquake diurnal variation anomalies in the geomagnetic field </w:t>
      </w:r>
      <w:r w:rsidR="006759CD">
        <w:rPr>
          <w:rFonts w:ascii="Times New Roman" w:eastAsia="Times New Roman" w:hAnsi="Times New Roman" w:cs="Times New Roman"/>
          <w:color w:val="000000"/>
          <w:sz w:val="24"/>
          <w:szCs w:val="24"/>
        </w:rPr>
        <w:t>(Han et al., 2015; Xu et al., 2013; Yusof et al., 2019)</w:t>
      </w:r>
      <w:r w:rsidRPr="00E127CA">
        <w:rPr>
          <w:rFonts w:ascii="Times New Roman" w:eastAsia="Times New Roman" w:hAnsi="Times New Roman" w:cs="Times New Roman"/>
          <w:color w:val="000000"/>
          <w:sz w:val="24"/>
          <w:szCs w:val="24"/>
        </w:rPr>
        <w:t xml:space="preserve">. In this study, near and far stations have </w:t>
      </w:r>
      <w:proofErr w:type="spellStart"/>
      <w:r w:rsidRPr="00E127CA">
        <w:rPr>
          <w:rFonts w:ascii="Times New Roman" w:eastAsia="Times New Roman" w:hAnsi="Times New Roman" w:cs="Times New Roman"/>
          <w:color w:val="000000"/>
          <w:sz w:val="24"/>
          <w:szCs w:val="24"/>
        </w:rPr>
        <w:t>epicentral</w:t>
      </w:r>
      <w:proofErr w:type="spellEnd"/>
      <w:r w:rsidRPr="00E127CA">
        <w:rPr>
          <w:rFonts w:ascii="Times New Roman" w:eastAsia="Times New Roman" w:hAnsi="Times New Roman" w:cs="Times New Roman"/>
          <w:color w:val="000000"/>
          <w:sz w:val="24"/>
          <w:szCs w:val="24"/>
        </w:rPr>
        <w:t xml:space="preserve"> distances of </w:t>
      </w:r>
      <w:r w:rsidR="005208D1" w:rsidRPr="00025957">
        <w:rPr>
          <w:position w:val="-4"/>
        </w:rPr>
        <w:object w:dxaOrig="1080" w:dyaOrig="200" w14:anchorId="1DD8E7DD">
          <v:shape id="_x0000_i1032" type="#_x0000_t75" style="width:54pt;height:9.75pt" o:ole="">
            <v:imagedata r:id="rId24" o:title=""/>
          </v:shape>
          <o:OLEObject Type="Embed" ProgID="Equation.DSMT4" ShapeID="_x0000_i1032" DrawAspect="Content" ObjectID="_1699800872" r:id="rId25"/>
        </w:object>
      </w:r>
      <w:r w:rsidRPr="00E127CA">
        <w:rPr>
          <w:rFonts w:ascii="Times New Roman" w:eastAsia="Times New Roman" w:hAnsi="Times New Roman" w:cs="Times New Roman"/>
          <w:color w:val="000000"/>
          <w:sz w:val="24"/>
          <w:szCs w:val="24"/>
        </w:rPr>
        <w:t xml:space="preserve"> and </w:t>
      </w:r>
      <w:r w:rsidR="005208D1" w:rsidRPr="00025957">
        <w:rPr>
          <w:position w:val="-4"/>
        </w:rPr>
        <w:object w:dxaOrig="2180" w:dyaOrig="200" w14:anchorId="2543B964">
          <v:shape id="_x0000_i1033" type="#_x0000_t75" style="width:108.75pt;height:9.75pt" o:ole="">
            <v:imagedata r:id="rId26" o:title=""/>
          </v:shape>
          <o:OLEObject Type="Embed" ProgID="Equation.DSMT4" ShapeID="_x0000_i1033" DrawAspect="Content" ObjectID="_1699800873" r:id="rId27"/>
        </w:object>
      </w:r>
      <w:r w:rsidRPr="00E127CA">
        <w:rPr>
          <w:rFonts w:ascii="Times New Roman" w:eastAsia="Times New Roman" w:hAnsi="Times New Roman" w:cs="Times New Roman"/>
          <w:color w:val="000000"/>
          <w:sz w:val="24"/>
          <w:szCs w:val="24"/>
        </w:rPr>
        <w:t xml:space="preserve">, respectively. Additionally, far stations that had other earthquakes happened within 190 km during the observation period were excluded to isolate the seismic effects to the main earthquake only. Diurnal variation ranges of the </w:t>
      </w:r>
      <w:r w:rsidR="005208D1" w:rsidRPr="00025957">
        <w:rPr>
          <w:position w:val="-4"/>
        </w:rPr>
        <w:object w:dxaOrig="200" w:dyaOrig="200" w14:anchorId="322BFC55">
          <v:shape id="_x0000_i1034" type="#_x0000_t75" style="width:9.75pt;height:9.75pt" o:ole="">
            <v:imagedata r:id="rId28" o:title=""/>
          </v:shape>
          <o:OLEObject Type="Embed" ProgID="Equation.DSMT4" ShapeID="_x0000_i1034" DrawAspect="Content" ObjectID="_1699800874" r:id="rId29"/>
        </w:object>
      </w:r>
      <w:r w:rsidRPr="00E127CA">
        <w:rPr>
          <w:rFonts w:ascii="Times New Roman" w:eastAsia="Times New Roman" w:hAnsi="Times New Roman" w:cs="Times New Roman"/>
          <w:color w:val="000000"/>
          <w:sz w:val="24"/>
          <w:szCs w:val="24"/>
        </w:rPr>
        <w:t xml:space="preserve"> component at the far station, </w:t>
      </w:r>
      <w:r w:rsidR="005208D1" w:rsidRPr="00025957">
        <w:rPr>
          <w:position w:val="-4"/>
        </w:rPr>
        <w:object w:dxaOrig="600" w:dyaOrig="300" w14:anchorId="5C7C1BE6">
          <v:shape id="_x0000_i1035" type="#_x0000_t75" style="width:30pt;height:15pt" o:ole="">
            <v:imagedata r:id="rId30" o:title=""/>
          </v:shape>
          <o:OLEObject Type="Embed" ProgID="Equation.DSMT4" ShapeID="_x0000_i1035" DrawAspect="Content" ObjectID="_1699800875" r:id="rId31"/>
        </w:object>
      </w:r>
      <w:r w:rsidRPr="00E127CA">
        <w:rPr>
          <w:rFonts w:ascii="Times New Roman" w:eastAsia="Times New Roman" w:hAnsi="Times New Roman" w:cs="Times New Roman"/>
          <w:color w:val="000000"/>
          <w:sz w:val="24"/>
          <w:szCs w:val="24"/>
        </w:rPr>
        <w:t xml:space="preserve"> on the </w:t>
      </w:r>
      <w:r w:rsidR="005208D1" w:rsidRPr="00025957">
        <w:rPr>
          <w:position w:val="-4"/>
        </w:rPr>
        <w:object w:dxaOrig="60" w:dyaOrig="180" w14:anchorId="20472A49">
          <v:shape id="_x0000_i1036" type="#_x0000_t75" style="width:3pt;height:8.25pt" o:ole="">
            <v:imagedata r:id="rId32" o:title=""/>
          </v:shape>
          <o:OLEObject Type="Embed" ProgID="Equation.DSMT4" ShapeID="_x0000_i1036" DrawAspect="Content" ObjectID="_1699800876" r:id="rId33"/>
        </w:object>
      </w:r>
      <w:r w:rsidRPr="00E127CA">
        <w:rPr>
          <w:rFonts w:ascii="Times New Roman" w:eastAsia="Times New Roman" w:hAnsi="Times New Roman" w:cs="Times New Roman"/>
          <w:color w:val="000000"/>
          <w:sz w:val="24"/>
          <w:szCs w:val="24"/>
        </w:rPr>
        <w:t>-</w:t>
      </w:r>
      <w:proofErr w:type="spellStart"/>
      <w:r w:rsidRPr="00E127CA">
        <w:rPr>
          <w:rFonts w:ascii="Times New Roman" w:eastAsia="Times New Roman" w:hAnsi="Times New Roman" w:cs="Times New Roman"/>
          <w:color w:val="000000"/>
          <w:sz w:val="24"/>
          <w:szCs w:val="24"/>
        </w:rPr>
        <w:t>th</w:t>
      </w:r>
      <w:proofErr w:type="spellEnd"/>
      <w:r w:rsidRPr="00E127CA">
        <w:rPr>
          <w:rFonts w:ascii="Times New Roman" w:eastAsia="Times New Roman" w:hAnsi="Times New Roman" w:cs="Times New Roman"/>
          <w:color w:val="000000"/>
          <w:sz w:val="24"/>
          <w:szCs w:val="24"/>
        </w:rPr>
        <w:t xml:space="preserve"> day were divided by ranges at the near station, </w:t>
      </w:r>
      <w:r w:rsidR="005208D1" w:rsidRPr="00025957">
        <w:rPr>
          <w:position w:val="-4"/>
        </w:rPr>
        <w:object w:dxaOrig="660" w:dyaOrig="300" w14:anchorId="652E034A">
          <v:shape id="_x0000_i1037" type="#_x0000_t75" style="width:33pt;height:15pt" o:ole="">
            <v:imagedata r:id="rId34" o:title=""/>
          </v:shape>
          <o:OLEObject Type="Embed" ProgID="Equation.DSMT4" ShapeID="_x0000_i1037" DrawAspect="Content" ObjectID="_1699800877" r:id="rId35"/>
        </w:object>
      </w:r>
      <w:r w:rsidRPr="00E127CA">
        <w:rPr>
          <w:rFonts w:ascii="Times New Roman" w:eastAsia="Times New Roman" w:hAnsi="Times New Roman" w:cs="Times New Roman"/>
          <w:color w:val="000000"/>
          <w:sz w:val="24"/>
          <w:szCs w:val="24"/>
        </w:rPr>
        <w:t xml:space="preserve"> – this parameter is known as the daily range ratio, </w:t>
      </w:r>
      <w:r w:rsidR="005208D1" w:rsidRPr="00025957">
        <w:rPr>
          <w:position w:val="-4"/>
        </w:rPr>
        <w:object w:dxaOrig="340" w:dyaOrig="300" w14:anchorId="314126BE">
          <v:shape id="_x0000_i1038" type="#_x0000_t75" style="width:16.5pt;height:15pt" o:ole="">
            <v:imagedata r:id="rId36" o:title=""/>
          </v:shape>
          <o:OLEObject Type="Embed" ProgID="Equation.DSMT4" ShapeID="_x0000_i1038" DrawAspect="Content" ObjectID="_1699800878" r:id="rId37"/>
        </w:object>
      </w:r>
      <w:r w:rsidRPr="00E127CA">
        <w:rPr>
          <w:rFonts w:ascii="Times New Roman" w:eastAsia="Times New Roman" w:hAnsi="Times New Roman" w:cs="Times New Roman"/>
          <w:color w:val="000000"/>
          <w:sz w:val="24"/>
          <w:szCs w:val="24"/>
        </w:rPr>
        <w:t xml:space="preserve">. The parameter might fluctuate randomly, hence, its 15-day moving average, </w:t>
      </w:r>
      <w:r w:rsidR="005208D1" w:rsidRPr="00025957">
        <w:rPr>
          <w:position w:val="-4"/>
        </w:rPr>
        <w:object w:dxaOrig="260" w:dyaOrig="300" w14:anchorId="2B782057">
          <v:shape id="_x0000_i1039" type="#_x0000_t75" style="width:12.75pt;height:15pt" o:ole="">
            <v:imagedata r:id="rId38" o:title=""/>
          </v:shape>
          <o:OLEObject Type="Embed" ProgID="Equation.DSMT4" ShapeID="_x0000_i1039" DrawAspect="Content" ObjectID="_1699800879" r:id="rId39"/>
        </w:object>
      </w:r>
      <w:r w:rsidRPr="00E127CA">
        <w:rPr>
          <w:rFonts w:ascii="Times New Roman" w:eastAsia="Times New Roman" w:hAnsi="Times New Roman" w:cs="Times New Roman"/>
          <w:color w:val="000000"/>
          <w:sz w:val="24"/>
          <w:szCs w:val="24"/>
        </w:rPr>
        <w:t xml:space="preserve"> was computed to observe its long-term trend more clearly. The calculations were done as follows</w:t>
      </w:r>
      <w:r w:rsidR="00B45CD5">
        <w:rPr>
          <w:rFonts w:ascii="Times New Roman" w:eastAsia="Times New Roman" w:hAnsi="Times New Roman" w:cs="Times New Roman"/>
          <w:color w:val="000000"/>
          <w:sz w:val="24"/>
          <w:szCs w:val="24"/>
        </w:rPr>
        <w:t>:</w:t>
      </w:r>
    </w:p>
    <w:p w14:paraId="532AE56F" w14:textId="77777777" w:rsidR="00E127CA" w:rsidRPr="00E127CA" w:rsidRDefault="00E127CA" w:rsidP="00E127CA">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2FB0B6FB" w14:textId="07E00B78" w:rsidR="00E127CA" w:rsidRPr="00E127CA" w:rsidRDefault="00B45CD5" w:rsidP="00E127CA">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position w:val="0"/>
        </w:rPr>
        <w:lastRenderedPageBreak/>
        <w:tab/>
      </w:r>
      <w:r>
        <w:rPr>
          <w:position w:val="0"/>
        </w:rPr>
        <w:tab/>
      </w:r>
      <w:r>
        <w:rPr>
          <w:position w:val="0"/>
        </w:rPr>
        <w:tab/>
      </w:r>
      <w:r w:rsidR="005208D1" w:rsidRPr="00025957">
        <w:rPr>
          <w:position w:val="-4"/>
        </w:rPr>
        <w:object w:dxaOrig="2980" w:dyaOrig="639" w14:anchorId="3A7D70DD">
          <v:shape id="_x0000_i1040" type="#_x0000_t75" style="width:148.5pt;height:31.5pt" o:ole="">
            <v:imagedata r:id="rId40" o:title=""/>
          </v:shape>
          <o:OLEObject Type="Embed" ProgID="Equation.DSMT4" ShapeID="_x0000_i1040" DrawAspect="Content" ObjectID="_1699800880" r:id="rId41"/>
        </w:object>
      </w:r>
      <w:r w:rsidR="00E127CA" w:rsidRPr="00E127CA">
        <w:rPr>
          <w:rFonts w:ascii="Times New Roman" w:eastAsia="Times New Roman" w:hAnsi="Times New Roman" w:cs="Times New Roman"/>
          <w:color w:val="000000"/>
          <w:sz w:val="24"/>
          <w:szCs w:val="24"/>
        </w:rPr>
        <w:tab/>
      </w:r>
    </w:p>
    <w:p w14:paraId="296884FD" w14:textId="77777777" w:rsidR="00E127CA" w:rsidRPr="00E127CA" w:rsidRDefault="00E127CA" w:rsidP="00E127CA">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sidRPr="00E127CA">
        <w:rPr>
          <w:rFonts w:ascii="Times New Roman" w:eastAsia="Times New Roman" w:hAnsi="Times New Roman" w:cs="Times New Roman"/>
          <w:color w:val="000000"/>
          <w:sz w:val="24"/>
          <w:szCs w:val="24"/>
        </w:rPr>
        <w:t xml:space="preserve"> </w:t>
      </w:r>
    </w:p>
    <w:p w14:paraId="29C2B487" w14:textId="39249C63" w:rsidR="00E127CA" w:rsidRDefault="00E127CA" w:rsidP="00E127CA">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sidRPr="00E127CA">
        <w:rPr>
          <w:rFonts w:ascii="Times New Roman" w:eastAsia="Times New Roman" w:hAnsi="Times New Roman" w:cs="Times New Roman"/>
          <w:color w:val="000000"/>
          <w:sz w:val="24"/>
          <w:szCs w:val="24"/>
        </w:rPr>
        <w:t>where</w:t>
      </w:r>
      <w:r w:rsidR="00B45CD5">
        <w:rPr>
          <w:rFonts w:ascii="Times New Roman" w:eastAsia="Times New Roman" w:hAnsi="Times New Roman" w:cs="Times New Roman"/>
          <w:color w:val="000000"/>
          <w:sz w:val="24"/>
          <w:szCs w:val="24"/>
        </w:rPr>
        <w:t>:</w:t>
      </w:r>
      <w:r w:rsidRPr="00E127CA">
        <w:rPr>
          <w:rFonts w:ascii="Times New Roman" w:eastAsia="Times New Roman" w:hAnsi="Times New Roman" w:cs="Times New Roman"/>
          <w:color w:val="000000"/>
          <w:sz w:val="24"/>
          <w:szCs w:val="24"/>
        </w:rPr>
        <w:t xml:space="preserve"> </w:t>
      </w:r>
      <w:r w:rsidR="005208D1" w:rsidRPr="005208D1">
        <w:rPr>
          <w:rFonts w:ascii="Times New Roman" w:hAnsi="Times New Roman" w:cs="Times New Roman"/>
          <w:i/>
          <w:iCs/>
          <w:sz w:val="24"/>
          <w:szCs w:val="24"/>
        </w:rPr>
        <w:t>w</w:t>
      </w:r>
      <w:r w:rsidRPr="00E127CA">
        <w:rPr>
          <w:rFonts w:ascii="Times New Roman" w:eastAsia="Times New Roman" w:hAnsi="Times New Roman" w:cs="Times New Roman"/>
          <w:color w:val="000000"/>
          <w:sz w:val="24"/>
          <w:szCs w:val="24"/>
        </w:rPr>
        <w:t xml:space="preserve"> is the moving average window size (i.e., </w:t>
      </w:r>
      <w:r w:rsidR="005208D1" w:rsidRPr="00025957">
        <w:rPr>
          <w:position w:val="-4"/>
        </w:rPr>
        <w:object w:dxaOrig="600" w:dyaOrig="200" w14:anchorId="795F9E28">
          <v:shape id="_x0000_i1041" type="#_x0000_t75" style="width:30pt;height:9.75pt" o:ole="">
            <v:imagedata r:id="rId42" o:title=""/>
          </v:shape>
          <o:OLEObject Type="Embed" ProgID="Equation.DSMT4" ShapeID="_x0000_i1041" DrawAspect="Content" ObjectID="_1699800881" r:id="rId43"/>
        </w:object>
      </w:r>
      <w:r w:rsidRPr="00E127CA">
        <w:rPr>
          <w:rFonts w:ascii="Times New Roman" w:eastAsia="Times New Roman" w:hAnsi="Times New Roman" w:cs="Times New Roman"/>
          <w:color w:val="000000"/>
          <w:sz w:val="24"/>
          <w:szCs w:val="24"/>
        </w:rPr>
        <w:t xml:space="preserve">), whereas </w:t>
      </w:r>
      <w:r w:rsidR="005208D1" w:rsidRPr="00025957">
        <w:rPr>
          <w:position w:val="-4"/>
        </w:rPr>
        <w:object w:dxaOrig="180" w:dyaOrig="180" w14:anchorId="6443567F">
          <v:shape id="_x0000_i1042" type="#_x0000_t75" style="width:8.25pt;height:8.25pt" o:ole="">
            <v:imagedata r:id="rId44" o:title=""/>
          </v:shape>
          <o:OLEObject Type="Embed" ProgID="Equation.DSMT4" ShapeID="_x0000_i1042" DrawAspect="Content" ObjectID="_1699800882" r:id="rId45"/>
        </w:object>
      </w:r>
      <w:r w:rsidRPr="00E127CA">
        <w:rPr>
          <w:rFonts w:ascii="Times New Roman" w:eastAsia="Times New Roman" w:hAnsi="Times New Roman" w:cs="Times New Roman"/>
          <w:color w:val="000000"/>
          <w:sz w:val="24"/>
          <w:szCs w:val="24"/>
        </w:rPr>
        <w:t xml:space="preserve"> and </w:t>
      </w:r>
      <w:r w:rsidR="005208D1" w:rsidRPr="00025957">
        <w:rPr>
          <w:position w:val="-4"/>
        </w:rPr>
        <w:object w:dxaOrig="160" w:dyaOrig="200" w14:anchorId="065A2A9F">
          <v:shape id="_x0000_i1043" type="#_x0000_t75" style="width:8.25pt;height:9.75pt" o:ole="">
            <v:imagedata r:id="rId46" o:title=""/>
          </v:shape>
          <o:OLEObject Type="Embed" ProgID="Equation.DSMT4" ShapeID="_x0000_i1043" DrawAspect="Content" ObjectID="_1699800883" r:id="rId47"/>
        </w:object>
      </w:r>
      <w:r w:rsidRPr="00E127CA">
        <w:rPr>
          <w:rFonts w:ascii="Times New Roman" w:eastAsia="Times New Roman" w:hAnsi="Times New Roman" w:cs="Times New Roman"/>
          <w:color w:val="000000"/>
          <w:sz w:val="24"/>
          <w:szCs w:val="24"/>
        </w:rPr>
        <w:t xml:space="preserve"> refer to the floor and ceiling of </w:t>
      </w:r>
      <w:r w:rsidR="005208D1" w:rsidRPr="00025957">
        <w:rPr>
          <w:position w:val="-4"/>
        </w:rPr>
        <w:object w:dxaOrig="900" w:dyaOrig="240" w14:anchorId="4C21B921">
          <v:shape id="_x0000_i1044" type="#_x0000_t75" style="width:44.25pt;height:12.75pt" o:ole="">
            <v:imagedata r:id="rId48" o:title=""/>
          </v:shape>
          <o:OLEObject Type="Embed" ProgID="Equation.DSMT4" ShapeID="_x0000_i1044" DrawAspect="Content" ObjectID="_1699800884" r:id="rId49"/>
        </w:object>
      </w:r>
      <w:r w:rsidRPr="00E127CA">
        <w:rPr>
          <w:rFonts w:ascii="Times New Roman" w:eastAsia="Times New Roman" w:hAnsi="Times New Roman" w:cs="Times New Roman"/>
          <w:color w:val="000000"/>
          <w:sz w:val="24"/>
          <w:szCs w:val="24"/>
        </w:rPr>
        <w:t xml:space="preserve">, respectively. Similar processes were performed on the </w:t>
      </w:r>
      <w:r w:rsidR="005208D1" w:rsidRPr="00025957">
        <w:rPr>
          <w:position w:val="-4"/>
        </w:rPr>
        <w:object w:dxaOrig="160" w:dyaOrig="180" w14:anchorId="44C7F6A3">
          <v:shape id="_x0000_i1045" type="#_x0000_t75" style="width:8.25pt;height:8.25pt" o:ole="">
            <v:imagedata r:id="rId50" o:title=""/>
          </v:shape>
          <o:OLEObject Type="Embed" ProgID="Equation.DSMT4" ShapeID="_x0000_i1045" DrawAspect="Content" ObjectID="_1699800885" r:id="rId51"/>
        </w:object>
      </w:r>
      <w:r w:rsidRPr="00E127CA">
        <w:rPr>
          <w:rFonts w:ascii="Times New Roman" w:eastAsia="Times New Roman" w:hAnsi="Times New Roman" w:cs="Times New Roman"/>
          <w:color w:val="000000"/>
          <w:sz w:val="24"/>
          <w:szCs w:val="24"/>
        </w:rPr>
        <w:t xml:space="preserve"> and </w:t>
      </w:r>
      <w:r w:rsidR="005208D1" w:rsidRPr="00025957">
        <w:rPr>
          <w:position w:val="-4"/>
        </w:rPr>
        <w:object w:dxaOrig="160" w:dyaOrig="180" w14:anchorId="464DA847">
          <v:shape id="_x0000_i1046" type="#_x0000_t75" style="width:8.25pt;height:8.25pt" o:ole="">
            <v:imagedata r:id="rId52" o:title=""/>
          </v:shape>
          <o:OLEObject Type="Embed" ProgID="Equation.DSMT4" ShapeID="_x0000_i1046" DrawAspect="Content" ObjectID="_1699800886" r:id="rId53"/>
        </w:object>
      </w:r>
      <w:r w:rsidRPr="00E127CA">
        <w:rPr>
          <w:rFonts w:ascii="Times New Roman" w:eastAsia="Times New Roman" w:hAnsi="Times New Roman" w:cs="Times New Roman"/>
          <w:color w:val="000000"/>
          <w:sz w:val="24"/>
          <w:szCs w:val="24"/>
        </w:rPr>
        <w:t xml:space="preserve"> components as well where the period starting from 55 days before until 55 days after each earthquake day (i.e., </w:t>
      </w:r>
      <w:r w:rsidR="005208D1" w:rsidRPr="00025957">
        <w:rPr>
          <w:position w:val="-4"/>
        </w:rPr>
        <w:object w:dxaOrig="360" w:dyaOrig="200" w14:anchorId="2C3D7633">
          <v:shape id="_x0000_i1047" type="#_x0000_t75" style="width:18pt;height:9.75pt" o:ole="">
            <v:imagedata r:id="rId54" o:title=""/>
          </v:shape>
          <o:OLEObject Type="Embed" ProgID="Equation.DSMT4" ShapeID="_x0000_i1047" DrawAspect="Content" ObjectID="_1699800887" r:id="rId55"/>
        </w:object>
      </w:r>
      <w:r w:rsidRPr="00E127CA">
        <w:rPr>
          <w:rFonts w:ascii="Times New Roman" w:eastAsia="Times New Roman" w:hAnsi="Times New Roman" w:cs="Times New Roman"/>
          <w:color w:val="000000"/>
          <w:sz w:val="24"/>
          <w:szCs w:val="24"/>
        </w:rPr>
        <w:t xml:space="preserve"> days) was observed. Then, an ‘anomaly’ was identified if the daily value, </w:t>
      </w:r>
      <w:r w:rsidR="005208D1" w:rsidRPr="00025957">
        <w:rPr>
          <w:position w:val="-4"/>
        </w:rPr>
        <w:object w:dxaOrig="180" w:dyaOrig="300" w14:anchorId="4CEC442A">
          <v:shape id="_x0000_i1048" type="#_x0000_t75" style="width:8.25pt;height:15pt" o:ole="">
            <v:imagedata r:id="rId56" o:title=""/>
          </v:shape>
          <o:OLEObject Type="Embed" ProgID="Equation.DSMT4" ShapeID="_x0000_i1048" DrawAspect="Content" ObjectID="_1699800888" r:id="rId57"/>
        </w:object>
      </w:r>
      <w:r w:rsidRPr="00E127CA">
        <w:rPr>
          <w:rFonts w:ascii="Times New Roman" w:eastAsia="Times New Roman" w:hAnsi="Times New Roman" w:cs="Times New Roman"/>
          <w:color w:val="000000"/>
          <w:sz w:val="24"/>
          <w:szCs w:val="24"/>
        </w:rPr>
        <w:t xml:space="preserve"> of the component surpasses the mean plus or minus two times the standard deviation </w:t>
      </w:r>
      <w:r w:rsidR="005208D1" w:rsidRPr="00025957">
        <w:rPr>
          <w:position w:val="-4"/>
        </w:rPr>
        <w:object w:dxaOrig="820" w:dyaOrig="240" w14:anchorId="1EFFDD98">
          <v:shape id="_x0000_i1049" type="#_x0000_t75" style="width:40.5pt;height:12.75pt" o:ole="">
            <v:imagedata r:id="rId58" o:title=""/>
          </v:shape>
          <o:OLEObject Type="Embed" ProgID="Equation.DSMT4" ShapeID="_x0000_i1049" DrawAspect="Content" ObjectID="_1699800889" r:id="rId59"/>
        </w:object>
      </w:r>
      <w:r w:rsidRPr="00E127CA">
        <w:rPr>
          <w:rFonts w:ascii="Times New Roman" w:eastAsia="Times New Roman" w:hAnsi="Times New Roman" w:cs="Times New Roman"/>
          <w:color w:val="000000"/>
          <w:sz w:val="24"/>
          <w:szCs w:val="24"/>
        </w:rPr>
        <w:t xml:space="preserve"> of the whole period of observation, which implies that the anomaly is outside the 95% of the normally distributed dataset </w:t>
      </w:r>
      <w:r w:rsidR="006759CD">
        <w:rPr>
          <w:rFonts w:ascii="Times New Roman" w:eastAsia="Times New Roman" w:hAnsi="Times New Roman" w:cs="Times New Roman"/>
          <w:color w:val="000000"/>
          <w:sz w:val="24"/>
          <w:szCs w:val="24"/>
        </w:rPr>
        <w:t>(Han et al., 2015)</w:t>
      </w:r>
      <w:r w:rsidRPr="00E127CA">
        <w:rPr>
          <w:rFonts w:ascii="Times New Roman" w:eastAsia="Times New Roman" w:hAnsi="Times New Roman" w:cs="Times New Roman"/>
          <w:color w:val="000000"/>
          <w:sz w:val="24"/>
          <w:szCs w:val="24"/>
        </w:rPr>
        <w:t>.</w:t>
      </w:r>
    </w:p>
    <w:p w14:paraId="2D9477FC" w14:textId="77777777" w:rsidR="00CC0D9E" w:rsidRDefault="00CC0D9E" w:rsidP="00E127CA">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33CBC954" w14:textId="77777777" w:rsidR="00CC0D9E" w:rsidRDefault="00CC0D9E" w:rsidP="00CC0D9E">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sidRPr="00E127CA">
        <w:rPr>
          <w:rFonts w:ascii="Times New Roman" w:eastAsia="Times New Roman" w:hAnsi="Times New Roman" w:cs="Times New Roman"/>
          <w:noProof/>
          <w:color w:val="000000"/>
          <w:sz w:val="24"/>
          <w:szCs w:val="24"/>
          <w:lang w:val="en-MY" w:eastAsia="en-MY"/>
        </w:rPr>
        <w:drawing>
          <wp:inline distT="0" distB="0" distL="0" distR="0" wp14:anchorId="58E4DDFE" wp14:editId="5F2547F1">
            <wp:extent cx="5950527" cy="3703467"/>
            <wp:effectExtent l="0" t="0" r="0" b="0"/>
            <wp:docPr id="3" name="image67.png" descr="Map&#10;&#10;Description automatically generated"/>
            <wp:cNvGraphicFramePr/>
            <a:graphic xmlns:a="http://schemas.openxmlformats.org/drawingml/2006/main">
              <a:graphicData uri="http://schemas.openxmlformats.org/drawingml/2006/picture">
                <pic:pic xmlns:pic="http://schemas.openxmlformats.org/drawingml/2006/picture">
                  <pic:nvPicPr>
                    <pic:cNvPr id="3" name="image67.png" descr="Map&#10;&#10;Description automatically generated"/>
                    <pic:cNvPicPr preferRelativeResize="0"/>
                  </pic:nvPicPr>
                  <pic:blipFill>
                    <a:blip r:embed="rId60"/>
                    <a:srcRect/>
                    <a:stretch>
                      <a:fillRect/>
                    </a:stretch>
                  </pic:blipFill>
                  <pic:spPr>
                    <a:xfrm>
                      <a:off x="0" y="0"/>
                      <a:ext cx="5953183" cy="3705120"/>
                    </a:xfrm>
                    <a:prstGeom prst="rect">
                      <a:avLst/>
                    </a:prstGeom>
                    <a:ln/>
                  </pic:spPr>
                </pic:pic>
              </a:graphicData>
            </a:graphic>
          </wp:inline>
        </w:drawing>
      </w:r>
    </w:p>
    <w:p w14:paraId="2BF759A2" w14:textId="77777777" w:rsidR="00CC0D9E" w:rsidRPr="00E127CA" w:rsidRDefault="00CC0D9E" w:rsidP="00126459">
      <w:pPr>
        <w:pBdr>
          <w:top w:val="nil"/>
          <w:left w:val="nil"/>
          <w:bottom w:val="nil"/>
          <w:right w:val="nil"/>
          <w:between w:val="nil"/>
        </w:pBdr>
        <w:spacing w:after="0" w:line="240" w:lineRule="auto"/>
        <w:ind w:leftChars="0" w:left="0" w:firstLineChars="0" w:firstLine="0"/>
        <w:jc w:val="center"/>
        <w:rPr>
          <w:rFonts w:ascii="Times New Roman" w:eastAsia="Times New Roman" w:hAnsi="Times New Roman" w:cs="Times New Roman"/>
          <w:color w:val="000000"/>
          <w:sz w:val="20"/>
          <w:szCs w:val="20"/>
        </w:rPr>
      </w:pPr>
      <w:r w:rsidRPr="00E127CA">
        <w:rPr>
          <w:rFonts w:ascii="Times New Roman" w:eastAsia="Times New Roman" w:hAnsi="Times New Roman" w:cs="Times New Roman"/>
          <w:b/>
          <w:color w:val="000000"/>
          <w:sz w:val="20"/>
          <w:szCs w:val="20"/>
        </w:rPr>
        <w:t>Figure 1.</w:t>
      </w:r>
      <w:r w:rsidRPr="00E127CA">
        <w:rPr>
          <w:rFonts w:ascii="Times New Roman" w:eastAsia="Times New Roman" w:hAnsi="Times New Roman" w:cs="Times New Roman"/>
          <w:color w:val="000000"/>
          <w:sz w:val="20"/>
          <w:szCs w:val="20"/>
        </w:rPr>
        <w:t xml:space="preserve">  The maps showing the studied earthquakes and stations, represented as red circles and blue triangles, respectively, in America and Europe (main map) as well as Asia (inset map). The radii of the circles are proportional to the earthquake magnitudes.</w:t>
      </w:r>
    </w:p>
    <w:p w14:paraId="4B366595" w14:textId="77777777" w:rsidR="00CC0D9E" w:rsidRPr="00E127CA" w:rsidRDefault="00CC0D9E" w:rsidP="00E127CA">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00E3D4C8" w14:textId="4C9058BB" w:rsidR="00E127CA" w:rsidRPr="00E127CA" w:rsidRDefault="00E127CA" w:rsidP="00E127CA">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4"/>
          <w:szCs w:val="24"/>
        </w:rPr>
      </w:pPr>
      <w:r w:rsidRPr="00E127CA">
        <w:rPr>
          <w:rFonts w:ascii="Times New Roman" w:eastAsia="Times New Roman" w:hAnsi="Times New Roman" w:cs="Times New Roman"/>
          <w:color w:val="000000"/>
          <w:sz w:val="24"/>
          <w:szCs w:val="24"/>
        </w:rPr>
        <w:t xml:space="preserve">Through the implementation of the SEA, a total of </w:t>
      </w:r>
      <w:r w:rsidR="005208D1" w:rsidRPr="005208D1">
        <w:rPr>
          <w:rFonts w:ascii="Times New Roman" w:hAnsi="Times New Roman" w:cs="Times New Roman"/>
          <w:i/>
          <w:iCs/>
          <w:sz w:val="24"/>
          <w:szCs w:val="24"/>
        </w:rPr>
        <w:t>n</w:t>
      </w:r>
      <w:r w:rsidRPr="005208D1">
        <w:rPr>
          <w:rFonts w:ascii="Times New Roman" w:eastAsia="Times New Roman" w:hAnsi="Times New Roman" w:cs="Times New Roman"/>
          <w:color w:val="000000"/>
          <w:sz w:val="28"/>
          <w:szCs w:val="28"/>
        </w:rPr>
        <w:t xml:space="preserve"> </w:t>
      </w:r>
      <w:r w:rsidRPr="00E127CA">
        <w:rPr>
          <w:rFonts w:ascii="Times New Roman" w:eastAsia="Times New Roman" w:hAnsi="Times New Roman" w:cs="Times New Roman"/>
          <w:color w:val="000000"/>
          <w:sz w:val="24"/>
          <w:szCs w:val="24"/>
        </w:rPr>
        <w:t xml:space="preserve">binary temporal observations and </w:t>
      </w:r>
      <w:r w:rsidR="005208D1" w:rsidRPr="00025957">
        <w:rPr>
          <w:position w:val="-4"/>
        </w:rPr>
        <w:object w:dxaOrig="380" w:dyaOrig="240" w14:anchorId="3445CD41">
          <v:shape id="_x0000_i1050" type="#_x0000_t75" style="width:19.5pt;height:12.75pt" o:ole="">
            <v:imagedata r:id="rId61" o:title=""/>
          </v:shape>
          <o:OLEObject Type="Embed" ProgID="Equation.DSMT4" ShapeID="_x0000_i1050" DrawAspect="Content" ObjectID="_1699800890" r:id="rId62"/>
        </w:object>
      </w:r>
      <w:r w:rsidRPr="00E127CA">
        <w:rPr>
          <w:rFonts w:ascii="Times New Roman" w:eastAsia="Times New Roman" w:hAnsi="Times New Roman" w:cs="Times New Roman"/>
          <w:color w:val="000000"/>
          <w:sz w:val="24"/>
          <w:szCs w:val="24"/>
        </w:rPr>
        <w:t xml:space="preserve"> of a parameter in respect to an event of reference, </w:t>
      </w:r>
      <w:r w:rsidR="005208D1" w:rsidRPr="00025957">
        <w:rPr>
          <w:position w:val="-4"/>
        </w:rPr>
        <w:object w:dxaOrig="120" w:dyaOrig="279" w14:anchorId="74E0153F">
          <v:shape id="_x0000_i1051" type="#_x0000_t75" style="width:6pt;height:14.25pt" o:ole="">
            <v:imagedata r:id="rId63" o:title=""/>
          </v:shape>
          <o:OLEObject Type="Embed" ProgID="Equation.DSMT4" ShapeID="_x0000_i1051" DrawAspect="Content" ObjectID="_1699800891" r:id="rId64"/>
        </w:object>
      </w:r>
      <w:r w:rsidRPr="00E127CA">
        <w:rPr>
          <w:rFonts w:ascii="Times New Roman" w:eastAsia="Times New Roman" w:hAnsi="Times New Roman" w:cs="Times New Roman"/>
          <w:color w:val="000000"/>
          <w:sz w:val="24"/>
          <w:szCs w:val="24"/>
        </w:rPr>
        <w:t xml:space="preserve"> were composited. In the present study, </w:t>
      </w:r>
      <w:r w:rsidR="005208D1" w:rsidRPr="00025957">
        <w:rPr>
          <w:position w:val="-4"/>
        </w:rPr>
        <w:object w:dxaOrig="160" w:dyaOrig="220" w14:anchorId="539BFB89">
          <v:shape id="_x0000_i1052" type="#_x0000_t75" style="width:8.25pt;height:11.25pt" o:ole="">
            <v:imagedata r:id="rId65" o:title=""/>
          </v:shape>
          <o:OLEObject Type="Embed" ProgID="Equation.DSMT4" ShapeID="_x0000_i1052" DrawAspect="Content" ObjectID="_1699800892" r:id="rId66"/>
        </w:object>
      </w:r>
      <w:r w:rsidRPr="00E127CA">
        <w:rPr>
          <w:rFonts w:ascii="Times New Roman" w:eastAsia="Times New Roman" w:hAnsi="Times New Roman" w:cs="Times New Roman"/>
          <w:color w:val="000000"/>
          <w:sz w:val="24"/>
          <w:szCs w:val="24"/>
        </w:rPr>
        <w:t xml:space="preserve"> and each studied earthquake were set as the parameter and event of reference, respectively. The analysis is based on the assumption that the signals related to the event will stand out from the background signatures, which will be averaged out due to the composition. The signal occurrence sum, </w:t>
      </w:r>
      <w:r w:rsidR="005208D1" w:rsidRPr="00025957">
        <w:rPr>
          <w:position w:val="-4"/>
        </w:rPr>
        <w:object w:dxaOrig="340" w:dyaOrig="240" w14:anchorId="220D951B">
          <v:shape id="_x0000_i1053" type="#_x0000_t75" style="width:16.5pt;height:12.75pt" o:ole="">
            <v:imagedata r:id="rId67" o:title=""/>
          </v:shape>
          <o:OLEObject Type="Embed" ProgID="Equation.DSMT4" ShapeID="_x0000_i1053" DrawAspect="Content" ObjectID="_1699800893" r:id="rId68"/>
        </w:object>
      </w:r>
      <w:r w:rsidRPr="00E127CA">
        <w:rPr>
          <w:rFonts w:ascii="Times New Roman" w:eastAsia="Times New Roman" w:hAnsi="Times New Roman" w:cs="Times New Roman"/>
          <w:color w:val="000000"/>
          <w:sz w:val="24"/>
          <w:szCs w:val="24"/>
        </w:rPr>
        <w:t xml:space="preserve"> was computed as follows</w:t>
      </w:r>
      <w:r w:rsidR="00B45CD5">
        <w:rPr>
          <w:rFonts w:ascii="Times New Roman" w:eastAsia="Times New Roman" w:hAnsi="Times New Roman" w:cs="Times New Roman"/>
          <w:color w:val="000000"/>
          <w:sz w:val="24"/>
          <w:szCs w:val="24"/>
        </w:rPr>
        <w:t>:</w:t>
      </w:r>
    </w:p>
    <w:p w14:paraId="3F66B35B" w14:textId="77777777" w:rsidR="00E127CA" w:rsidRPr="00E127CA" w:rsidRDefault="00E127CA" w:rsidP="00E127CA">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61FB7476" w14:textId="581CA5BF" w:rsidR="00E127CA" w:rsidRPr="00E127CA" w:rsidRDefault="00B45CD5" w:rsidP="00E127CA">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position w:val="0"/>
        </w:rPr>
        <w:tab/>
      </w:r>
      <w:r>
        <w:rPr>
          <w:position w:val="0"/>
        </w:rPr>
        <w:tab/>
      </w:r>
      <w:r>
        <w:rPr>
          <w:position w:val="0"/>
        </w:rPr>
        <w:tab/>
      </w:r>
      <w:r>
        <w:rPr>
          <w:position w:val="0"/>
        </w:rPr>
        <w:tab/>
      </w:r>
      <w:r w:rsidR="005208D1" w:rsidRPr="00025957">
        <w:rPr>
          <w:position w:val="-4"/>
        </w:rPr>
        <w:object w:dxaOrig="1680" w:dyaOrig="600" w14:anchorId="7E1DFA95">
          <v:shape id="_x0000_i1054" type="#_x0000_t75" style="width:84.75pt;height:30pt" o:ole="">
            <v:imagedata r:id="rId69" o:title=""/>
          </v:shape>
          <o:OLEObject Type="Embed" ProgID="Equation.DSMT4" ShapeID="_x0000_i1054" DrawAspect="Content" ObjectID="_1699800894" r:id="rId70"/>
        </w:object>
      </w:r>
      <w:r w:rsidR="00E127CA" w:rsidRPr="00E127CA">
        <w:rPr>
          <w:rFonts w:ascii="Times New Roman" w:eastAsia="Times New Roman" w:hAnsi="Times New Roman" w:cs="Times New Roman"/>
          <w:color w:val="000000"/>
          <w:sz w:val="24"/>
          <w:szCs w:val="24"/>
        </w:rPr>
        <w:tab/>
      </w:r>
      <w:r w:rsidR="00E127CA" w:rsidRPr="00E127CA">
        <w:rPr>
          <w:rFonts w:ascii="Times New Roman" w:eastAsia="Times New Roman" w:hAnsi="Times New Roman" w:cs="Times New Roman"/>
          <w:color w:val="000000"/>
          <w:sz w:val="24"/>
          <w:szCs w:val="24"/>
        </w:rPr>
        <w:tab/>
      </w:r>
    </w:p>
    <w:p w14:paraId="20588133" w14:textId="5E0F838D" w:rsidR="00E127CA" w:rsidRPr="00E127CA" w:rsidRDefault="00E127CA" w:rsidP="00E127CA">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sidRPr="00E127CA">
        <w:rPr>
          <w:rFonts w:ascii="Times New Roman" w:eastAsia="Times New Roman" w:hAnsi="Times New Roman" w:cs="Times New Roman"/>
          <w:color w:val="000000"/>
          <w:sz w:val="24"/>
          <w:szCs w:val="24"/>
        </w:rPr>
        <w:lastRenderedPageBreak/>
        <w:t>where</w:t>
      </w:r>
      <w:r w:rsidR="00B45CD5">
        <w:rPr>
          <w:rFonts w:ascii="Times New Roman" w:eastAsia="Times New Roman" w:hAnsi="Times New Roman" w:cs="Times New Roman"/>
          <w:color w:val="000000"/>
          <w:sz w:val="24"/>
          <w:szCs w:val="24"/>
        </w:rPr>
        <w:t>:</w:t>
      </w:r>
      <w:r w:rsidRPr="00E127CA">
        <w:rPr>
          <w:rFonts w:ascii="Times New Roman" w:eastAsia="Times New Roman" w:hAnsi="Times New Roman" w:cs="Times New Roman"/>
          <w:color w:val="000000"/>
          <w:sz w:val="24"/>
          <w:szCs w:val="24"/>
        </w:rPr>
        <w:t xml:space="preserve"> </w:t>
      </w:r>
      <w:r w:rsidR="005208D1" w:rsidRPr="00025957">
        <w:rPr>
          <w:position w:val="-4"/>
        </w:rPr>
        <w:object w:dxaOrig="800" w:dyaOrig="279" w14:anchorId="5F2314CC">
          <v:shape id="_x0000_i1055" type="#_x0000_t75" style="width:40.5pt;height:14.25pt" o:ole="">
            <v:imagedata r:id="rId71" o:title=""/>
          </v:shape>
          <o:OLEObject Type="Embed" ProgID="Equation.DSMT4" ShapeID="_x0000_i1055" DrawAspect="Content" ObjectID="_1699800895" r:id="rId72"/>
        </w:object>
      </w:r>
      <w:r w:rsidRPr="00E127CA">
        <w:rPr>
          <w:rFonts w:ascii="Times New Roman" w:eastAsia="Times New Roman" w:hAnsi="Times New Roman" w:cs="Times New Roman"/>
          <w:color w:val="000000"/>
          <w:sz w:val="24"/>
          <w:szCs w:val="24"/>
        </w:rPr>
        <w:t xml:space="preserve"> refers to the observation time series that has been shifted relative to the earthquake day, in this case by positioning the earthquake day at the center of the time series (i.e., day 0) </w:t>
      </w:r>
      <w:r w:rsidR="006759CD">
        <w:rPr>
          <w:rFonts w:ascii="Times New Roman" w:eastAsia="Times New Roman" w:hAnsi="Times New Roman" w:cs="Times New Roman"/>
          <w:color w:val="000000"/>
          <w:sz w:val="24"/>
          <w:szCs w:val="24"/>
        </w:rPr>
        <w:t>(Samson &amp; Yeung, 1986)</w:t>
      </w:r>
      <w:r w:rsidRPr="00E127CA">
        <w:rPr>
          <w:rFonts w:ascii="Times New Roman" w:eastAsia="Times New Roman" w:hAnsi="Times New Roman" w:cs="Times New Roman"/>
          <w:color w:val="000000"/>
          <w:sz w:val="24"/>
          <w:szCs w:val="24"/>
        </w:rPr>
        <w:t>. In this study, every anomaly appearance was counted and the day number,</w:t>
      </w:r>
      <w:r w:rsidR="005208D1">
        <w:rPr>
          <w:rFonts w:ascii="Times New Roman" w:eastAsia="Times New Roman" w:hAnsi="Times New Roman" w:cs="Times New Roman"/>
          <w:color w:val="000000"/>
          <w:sz w:val="24"/>
          <w:szCs w:val="24"/>
        </w:rPr>
        <w:t xml:space="preserve"> </w:t>
      </w:r>
      <w:proofErr w:type="spellStart"/>
      <w:r w:rsidR="00D2192F">
        <w:rPr>
          <w:rFonts w:ascii="Times New Roman" w:hAnsi="Times New Roman" w:cs="Times New Roman"/>
          <w:i/>
          <w:iCs/>
          <w:sz w:val="24"/>
          <w:szCs w:val="24"/>
        </w:rPr>
        <w:t>i</w:t>
      </w:r>
      <w:proofErr w:type="spellEnd"/>
      <w:r w:rsidR="00D2192F">
        <w:rPr>
          <w:rFonts w:ascii="Times New Roman" w:hAnsi="Times New Roman" w:cs="Times New Roman"/>
          <w:i/>
          <w:iCs/>
          <w:sz w:val="24"/>
          <w:szCs w:val="24"/>
        </w:rPr>
        <w:t xml:space="preserve"> </w:t>
      </w:r>
      <w:r w:rsidR="00D2192F">
        <w:rPr>
          <w:rFonts w:ascii="Times New Roman" w:hAnsi="Times New Roman" w:cs="Times New Roman"/>
          <w:sz w:val="24"/>
          <w:szCs w:val="24"/>
        </w:rPr>
        <w:t>of</w:t>
      </w:r>
      <w:r w:rsidRPr="00E127CA">
        <w:rPr>
          <w:rFonts w:ascii="Times New Roman" w:eastAsia="Times New Roman" w:hAnsi="Times New Roman" w:cs="Times New Roman"/>
          <w:color w:val="000000"/>
          <w:sz w:val="24"/>
          <w:szCs w:val="24"/>
        </w:rPr>
        <w:t xml:space="preserve"> the appearance was recorded for every available near–far station pair (</w:t>
      </w:r>
      <w:r w:rsidR="005208D1" w:rsidRPr="00025957">
        <w:rPr>
          <w:position w:val="-4"/>
        </w:rPr>
        <w:object w:dxaOrig="720" w:dyaOrig="200" w14:anchorId="5FE1BAE3">
          <v:shape id="_x0000_i1056" type="#_x0000_t75" style="width:36pt;height:9.75pt" o:ole="">
            <v:imagedata r:id="rId73" o:title=""/>
          </v:shape>
          <o:OLEObject Type="Embed" ProgID="Equation.DSMT4" ShapeID="_x0000_i1056" DrawAspect="Content" ObjectID="_1699800896" r:id="rId74"/>
        </w:object>
      </w:r>
      <w:r w:rsidRPr="00E127CA">
        <w:rPr>
          <w:rFonts w:ascii="Times New Roman" w:eastAsia="Times New Roman" w:hAnsi="Times New Roman" w:cs="Times New Roman"/>
          <w:color w:val="000000"/>
          <w:sz w:val="24"/>
          <w:szCs w:val="24"/>
        </w:rPr>
        <w:t>), then the counts were added up to get the total anomaly count for each of the 111 days. Finally, an anomaly count was regarded as significant if it surpasses the mean plus two standard deviations (</w:t>
      </w:r>
      <w:r w:rsidR="005208D1" w:rsidRPr="00025957">
        <w:rPr>
          <w:position w:val="-4"/>
        </w:rPr>
        <w:object w:dxaOrig="660" w:dyaOrig="240" w14:anchorId="71CB7C11">
          <v:shape id="_x0000_i1057" type="#_x0000_t75" style="width:33pt;height:12.75pt" o:ole="">
            <v:imagedata r:id="rId75" o:title=""/>
          </v:shape>
          <o:OLEObject Type="Embed" ProgID="Equation.DSMT4" ShapeID="_x0000_i1057" DrawAspect="Content" ObjectID="_1699800897" r:id="rId76"/>
        </w:object>
      </w:r>
      <w:r w:rsidRPr="00E127CA">
        <w:rPr>
          <w:rFonts w:ascii="Times New Roman" w:eastAsia="Times New Roman" w:hAnsi="Times New Roman" w:cs="Times New Roman"/>
          <w:color w:val="000000"/>
          <w:sz w:val="24"/>
          <w:szCs w:val="24"/>
        </w:rPr>
        <w:t xml:space="preserve">) </w:t>
      </w:r>
      <w:r w:rsidR="006759CD">
        <w:rPr>
          <w:rFonts w:ascii="Times New Roman" w:eastAsia="Times New Roman" w:hAnsi="Times New Roman" w:cs="Times New Roman"/>
          <w:color w:val="000000"/>
          <w:sz w:val="24"/>
          <w:szCs w:val="24"/>
        </w:rPr>
        <w:t>(Hattori et al., 2013)</w:t>
      </w:r>
      <w:r w:rsidRPr="00E127CA">
        <w:rPr>
          <w:rFonts w:ascii="Times New Roman" w:eastAsia="Times New Roman" w:hAnsi="Times New Roman" w:cs="Times New Roman"/>
          <w:color w:val="000000"/>
          <w:sz w:val="24"/>
          <w:szCs w:val="24"/>
        </w:rPr>
        <w:t xml:space="preserve">. </w:t>
      </w:r>
    </w:p>
    <w:p w14:paraId="7E613E97" w14:textId="14369908" w:rsidR="00E127CA" w:rsidRDefault="00E127CA">
      <w:pPr>
        <w:pBdr>
          <w:top w:val="nil"/>
          <w:left w:val="nil"/>
          <w:bottom w:val="nil"/>
          <w:right w:val="nil"/>
          <w:between w:val="nil"/>
        </w:pBdr>
        <w:spacing w:after="0" w:line="240" w:lineRule="auto"/>
        <w:ind w:left="0" w:hanging="2"/>
        <w:jc w:val="both"/>
        <w:rPr>
          <w:rFonts w:ascii="Times New Roman" w:eastAsia="Times New Roman" w:hAnsi="Times New Roman" w:cs="Times New Roman"/>
          <w:b/>
          <w:color w:val="000000"/>
          <w:sz w:val="24"/>
          <w:szCs w:val="24"/>
        </w:rPr>
      </w:pPr>
    </w:p>
    <w:p w14:paraId="0D999576" w14:textId="77777777" w:rsidR="00B45CD5" w:rsidRDefault="00B45CD5">
      <w:pPr>
        <w:pBdr>
          <w:top w:val="nil"/>
          <w:left w:val="nil"/>
          <w:bottom w:val="nil"/>
          <w:right w:val="nil"/>
          <w:between w:val="nil"/>
        </w:pBdr>
        <w:spacing w:after="0" w:line="240" w:lineRule="auto"/>
        <w:ind w:left="0" w:hanging="2"/>
        <w:jc w:val="both"/>
        <w:rPr>
          <w:rFonts w:ascii="Times New Roman" w:eastAsia="Times New Roman" w:hAnsi="Times New Roman" w:cs="Times New Roman"/>
          <w:b/>
          <w:color w:val="000000"/>
          <w:sz w:val="24"/>
          <w:szCs w:val="24"/>
        </w:rPr>
      </w:pPr>
    </w:p>
    <w:p w14:paraId="73AB287B" w14:textId="77777777" w:rsidR="00F03DD8" w:rsidRDefault="00522A2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Results and discussion </w:t>
      </w:r>
    </w:p>
    <w:p w14:paraId="083CD9D1" w14:textId="77777777" w:rsidR="00F03DD8" w:rsidRDefault="00522A2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w:t>
      </w:r>
    </w:p>
    <w:p w14:paraId="217CE664" w14:textId="77777777" w:rsidR="005F4365" w:rsidRPr="00E127CA" w:rsidRDefault="00E127CA" w:rsidP="00CC0D9E">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sidRPr="00E127CA">
        <w:rPr>
          <w:rFonts w:ascii="Times New Roman" w:eastAsia="Times New Roman" w:hAnsi="Times New Roman" w:cs="Times New Roman"/>
          <w:color w:val="000000"/>
          <w:sz w:val="24"/>
          <w:szCs w:val="24"/>
        </w:rPr>
        <w:t xml:space="preserve">Before discussing the overall results of statistical analysis, it was important to understand the variation of raw geomagnetic field data. Fig. 2 exemplifies the field intensity in </w:t>
      </w:r>
      <w:proofErr w:type="spellStart"/>
      <w:r w:rsidRPr="00E127CA">
        <w:rPr>
          <w:rFonts w:ascii="Times New Roman" w:eastAsia="Times New Roman" w:hAnsi="Times New Roman" w:cs="Times New Roman"/>
          <w:color w:val="000000"/>
          <w:sz w:val="24"/>
          <w:szCs w:val="24"/>
        </w:rPr>
        <w:t>nT</w:t>
      </w:r>
      <w:proofErr w:type="spellEnd"/>
      <w:r w:rsidRPr="00E127CA">
        <w:rPr>
          <w:rFonts w:ascii="Times New Roman" w:eastAsia="Times New Roman" w:hAnsi="Times New Roman" w:cs="Times New Roman"/>
          <w:color w:val="000000"/>
          <w:sz w:val="24"/>
          <w:szCs w:val="24"/>
        </w:rPr>
        <w:t xml:space="preserve"> measured at </w:t>
      </w:r>
      <w:proofErr w:type="spellStart"/>
      <w:r w:rsidRPr="00E127CA">
        <w:rPr>
          <w:rFonts w:ascii="Times New Roman" w:eastAsia="Times New Roman" w:hAnsi="Times New Roman" w:cs="Times New Roman"/>
          <w:color w:val="000000"/>
          <w:sz w:val="24"/>
          <w:szCs w:val="24"/>
        </w:rPr>
        <w:t>Kakioka</w:t>
      </w:r>
      <w:proofErr w:type="spellEnd"/>
      <w:r w:rsidRPr="00E127CA">
        <w:rPr>
          <w:rFonts w:ascii="Times New Roman" w:eastAsia="Times New Roman" w:hAnsi="Times New Roman" w:cs="Times New Roman"/>
          <w:color w:val="000000"/>
          <w:sz w:val="24"/>
          <w:szCs w:val="24"/>
        </w:rPr>
        <w:t xml:space="preserve"> (KAK) and </w:t>
      </w:r>
      <w:proofErr w:type="spellStart"/>
      <w:r w:rsidRPr="00E127CA">
        <w:rPr>
          <w:rFonts w:ascii="Times New Roman" w:eastAsia="Times New Roman" w:hAnsi="Times New Roman" w:cs="Times New Roman"/>
          <w:color w:val="000000"/>
          <w:sz w:val="24"/>
          <w:szCs w:val="24"/>
        </w:rPr>
        <w:t>Memambetsu</w:t>
      </w:r>
      <w:proofErr w:type="spellEnd"/>
      <w:r w:rsidRPr="00E127CA">
        <w:rPr>
          <w:rFonts w:ascii="Times New Roman" w:eastAsia="Times New Roman" w:hAnsi="Times New Roman" w:cs="Times New Roman"/>
          <w:color w:val="000000"/>
          <w:sz w:val="24"/>
          <w:szCs w:val="24"/>
        </w:rPr>
        <w:t xml:space="preserve"> (MMB), Japan stations from 16 days before until the day of M6.1 Honshu, Japan earthquake on 13</w:t>
      </w:r>
      <w:r w:rsidRPr="00E127CA">
        <w:rPr>
          <w:rFonts w:ascii="Times New Roman" w:eastAsia="Times New Roman" w:hAnsi="Times New Roman" w:cs="Times New Roman"/>
          <w:color w:val="000000"/>
          <w:sz w:val="24"/>
          <w:szCs w:val="24"/>
          <w:vertAlign w:val="superscript"/>
        </w:rPr>
        <w:t>th</w:t>
      </w:r>
      <w:r w:rsidRPr="00E127CA">
        <w:rPr>
          <w:rFonts w:ascii="Times New Roman" w:eastAsia="Times New Roman" w:hAnsi="Times New Roman" w:cs="Times New Roman"/>
          <w:color w:val="000000"/>
          <w:sz w:val="24"/>
          <w:szCs w:val="24"/>
        </w:rPr>
        <w:t xml:space="preserve"> of May 2011, where for this event, KAK and MMB act as the near and far stations. Based on the values of the global geomagnetic indices, disturbed days were identified as shown by the magenta shade in </w:t>
      </w:r>
      <w:r w:rsidR="00E06BFF">
        <w:rPr>
          <w:rFonts w:ascii="Times New Roman" w:eastAsia="Times New Roman" w:hAnsi="Times New Roman" w:cs="Times New Roman"/>
          <w:color w:val="000000"/>
          <w:sz w:val="24"/>
          <w:szCs w:val="24"/>
        </w:rPr>
        <w:t>Fig. 2</w:t>
      </w:r>
      <w:r w:rsidRPr="00E127CA">
        <w:rPr>
          <w:rFonts w:ascii="Times New Roman" w:eastAsia="Times New Roman" w:hAnsi="Times New Roman" w:cs="Times New Roman"/>
          <w:color w:val="000000"/>
          <w:sz w:val="24"/>
          <w:szCs w:val="24"/>
        </w:rPr>
        <w:t xml:space="preserve">. The geomagnetic field data of a component measured at two close stations are known to closely correspond with each other. Besides, solar disturbances like geomagnetic storms would cause similar global effects at both stations </w:t>
      </w:r>
      <w:r w:rsidR="006759CD">
        <w:rPr>
          <w:rFonts w:ascii="Times New Roman" w:eastAsia="Times New Roman" w:hAnsi="Times New Roman" w:cs="Times New Roman"/>
          <w:color w:val="000000"/>
          <w:sz w:val="24"/>
          <w:szCs w:val="24"/>
        </w:rPr>
        <w:t>(</w:t>
      </w:r>
      <w:proofErr w:type="spellStart"/>
      <w:r w:rsidR="006759CD">
        <w:rPr>
          <w:rFonts w:ascii="Times New Roman" w:eastAsia="Times New Roman" w:hAnsi="Times New Roman" w:cs="Times New Roman"/>
          <w:color w:val="000000"/>
          <w:sz w:val="24"/>
          <w:szCs w:val="24"/>
        </w:rPr>
        <w:t>Potirakis</w:t>
      </w:r>
      <w:proofErr w:type="spellEnd"/>
      <w:r w:rsidR="006759CD">
        <w:rPr>
          <w:rFonts w:ascii="Times New Roman" w:eastAsia="Times New Roman" w:hAnsi="Times New Roman" w:cs="Times New Roman"/>
          <w:color w:val="000000"/>
          <w:sz w:val="24"/>
          <w:szCs w:val="24"/>
        </w:rPr>
        <w:t xml:space="preserve"> et al., 2017)</w:t>
      </w:r>
      <w:r w:rsidRPr="00E127CA">
        <w:rPr>
          <w:rFonts w:ascii="Times New Roman" w:eastAsia="Times New Roman" w:hAnsi="Times New Roman" w:cs="Times New Roman"/>
          <w:color w:val="000000"/>
          <w:sz w:val="24"/>
          <w:szCs w:val="24"/>
        </w:rPr>
        <w:t xml:space="preserve">. This behavior was clearly apparent in Fig. 2 during both quiet (unshaded) and disturbed (shaded) days, with the exception of a three-day period in the </w:t>
      </w:r>
      <w:r w:rsidR="005208D1" w:rsidRPr="00025957">
        <w:rPr>
          <w:position w:val="-4"/>
        </w:rPr>
        <w:object w:dxaOrig="160" w:dyaOrig="180" w14:anchorId="26637DB5">
          <v:shape id="_x0000_i1058" type="#_x0000_t75" style="width:8.25pt;height:8.25pt" o:ole="">
            <v:imagedata r:id="rId77" o:title=""/>
          </v:shape>
          <o:OLEObject Type="Embed" ProgID="Equation.DSMT4" ShapeID="_x0000_i1058" DrawAspect="Content" ObjectID="_1699800898" r:id="rId78"/>
        </w:object>
      </w:r>
      <w:r w:rsidRPr="00E127CA">
        <w:rPr>
          <w:rFonts w:ascii="Times New Roman" w:eastAsia="Times New Roman" w:hAnsi="Times New Roman" w:cs="Times New Roman"/>
          <w:color w:val="000000"/>
          <w:sz w:val="24"/>
          <w:szCs w:val="24"/>
        </w:rPr>
        <w:t xml:space="preserve"> component at the near station; the period is highlighted by the yellow dashed line rectangle in Fig. 2e. Unlike its far station counterpart in Fig. 2f, the intensity of the field component during the highlighted period showed less variations, starting from –9 until the end of –7 days in respect to the earthquake day. The anomalous disappearance of diurnal variation specifically in the </w:t>
      </w:r>
      <w:r w:rsidR="005208D1" w:rsidRPr="00025957">
        <w:rPr>
          <w:position w:val="-4"/>
        </w:rPr>
        <w:object w:dxaOrig="160" w:dyaOrig="180" w14:anchorId="51DA4106">
          <v:shape id="_x0000_i1059" type="#_x0000_t75" style="width:8.25pt;height:8.25pt" o:ole="">
            <v:imagedata r:id="rId79" o:title=""/>
          </v:shape>
          <o:OLEObject Type="Embed" ProgID="Equation.DSMT4" ShapeID="_x0000_i1059" DrawAspect="Content" ObjectID="_1699800899" r:id="rId80"/>
        </w:object>
      </w:r>
      <w:r w:rsidRPr="00E127CA">
        <w:rPr>
          <w:rFonts w:ascii="Times New Roman" w:eastAsia="Times New Roman" w:hAnsi="Times New Roman" w:cs="Times New Roman"/>
          <w:color w:val="000000"/>
          <w:sz w:val="24"/>
          <w:szCs w:val="24"/>
        </w:rPr>
        <w:t xml:space="preserve"> component prior to a sizeable earthquake is consistent with findings by prior studies (e.g., </w:t>
      </w:r>
      <w:r w:rsidR="006759CD">
        <w:rPr>
          <w:rFonts w:ascii="Times New Roman" w:eastAsia="Times New Roman" w:hAnsi="Times New Roman" w:cs="Times New Roman"/>
          <w:color w:val="000000"/>
          <w:sz w:val="24"/>
          <w:szCs w:val="24"/>
        </w:rPr>
        <w:t>Han et al., 2016</w:t>
      </w:r>
      <w:r w:rsidRPr="00E127CA">
        <w:rPr>
          <w:rFonts w:ascii="Times New Roman" w:eastAsia="Times New Roman" w:hAnsi="Times New Roman" w:cs="Times New Roman"/>
          <w:color w:val="000000"/>
          <w:sz w:val="24"/>
          <w:szCs w:val="24"/>
        </w:rPr>
        <w:t xml:space="preserve">). Similar anomalies during other periods and before other earthquakes were searched by employing the DVRR method that can emphasize the appearance of anomalies. </w:t>
      </w:r>
    </w:p>
    <w:p w14:paraId="4F9F5E66" w14:textId="77777777" w:rsidR="00E127CA" w:rsidRDefault="00E127CA" w:rsidP="005F4365">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4"/>
          <w:szCs w:val="24"/>
        </w:rPr>
      </w:pPr>
      <w:r w:rsidRPr="00E127CA">
        <w:rPr>
          <w:rFonts w:ascii="Times New Roman" w:eastAsia="Times New Roman" w:hAnsi="Times New Roman" w:cs="Times New Roman"/>
          <w:color w:val="000000"/>
          <w:sz w:val="24"/>
          <w:szCs w:val="24"/>
        </w:rPr>
        <w:t xml:space="preserve">DVRR analysis results of all studied earthquakes were merged through the SEA. Since anomalies that may have possible association with many earthquakes occurring in different periods might appear on different days relative to their respective earthquakes, an analysis accumulated throughout a longer period was essential to uncover any noteworthy observations. For this purpose, 5-day counts were found to be useful </w:t>
      </w:r>
      <w:r w:rsidR="006759CD">
        <w:rPr>
          <w:rFonts w:ascii="Times New Roman" w:eastAsia="Times New Roman" w:hAnsi="Times New Roman" w:cs="Times New Roman"/>
          <w:color w:val="000000"/>
          <w:sz w:val="24"/>
          <w:szCs w:val="24"/>
        </w:rPr>
        <w:t>(Han et al., 2014; Hattori et al., 2013)</w:t>
      </w:r>
      <w:r w:rsidRPr="00E127CA">
        <w:rPr>
          <w:rFonts w:ascii="Times New Roman" w:eastAsia="Times New Roman" w:hAnsi="Times New Roman" w:cs="Times New Roman"/>
          <w:color w:val="000000"/>
          <w:sz w:val="24"/>
          <w:szCs w:val="24"/>
        </w:rPr>
        <w:t xml:space="preserve">, which are simply the summations of 1-day counts throughout five consecutive days. Fig. 3 shows SEA results based on </w:t>
      </w:r>
      <w:r w:rsidR="005208D1" w:rsidRPr="00025957">
        <w:rPr>
          <w:position w:val="-4"/>
        </w:rPr>
        <w:object w:dxaOrig="160" w:dyaOrig="220" w14:anchorId="3CFD6CD4">
          <v:shape id="_x0000_i1060" type="#_x0000_t75" style="width:8.25pt;height:11.25pt" o:ole="">
            <v:imagedata r:id="rId81" o:title=""/>
          </v:shape>
          <o:OLEObject Type="Embed" ProgID="Equation.DSMT4" ShapeID="_x0000_i1060" DrawAspect="Content" ObjectID="_1699800900" r:id="rId82"/>
        </w:object>
      </w:r>
      <w:r w:rsidRPr="00E127CA">
        <w:rPr>
          <w:rFonts w:ascii="Times New Roman" w:eastAsia="Times New Roman" w:hAnsi="Times New Roman" w:cs="Times New Roman"/>
          <w:color w:val="000000"/>
          <w:sz w:val="24"/>
          <w:szCs w:val="24"/>
        </w:rPr>
        <w:t xml:space="preserve"> where the 5-day counts (bars) and statistical significance based on </w:t>
      </w:r>
      <w:r w:rsidR="005208D1" w:rsidRPr="00025957">
        <w:rPr>
          <w:position w:val="-4"/>
        </w:rPr>
        <w:object w:dxaOrig="660" w:dyaOrig="240" w14:anchorId="6144DF33">
          <v:shape id="_x0000_i1061" type="#_x0000_t75" style="width:33pt;height:12.75pt" o:ole="">
            <v:imagedata r:id="rId83" o:title=""/>
          </v:shape>
          <o:OLEObject Type="Embed" ProgID="Equation.DSMT4" ShapeID="_x0000_i1061" DrawAspect="Content" ObjectID="_1699800901" r:id="rId84"/>
        </w:object>
      </w:r>
      <w:r w:rsidRPr="00E127CA">
        <w:rPr>
          <w:rFonts w:ascii="Times New Roman" w:eastAsia="Times New Roman" w:hAnsi="Times New Roman" w:cs="Times New Roman"/>
          <w:color w:val="000000"/>
          <w:sz w:val="24"/>
          <w:szCs w:val="24"/>
        </w:rPr>
        <w:t xml:space="preserve"> thresholds (dashed lines) are shown in blue, orange, and yellow for </w:t>
      </w:r>
      <w:r w:rsidR="005208D1" w:rsidRPr="00025957">
        <w:rPr>
          <w:position w:val="-4"/>
        </w:rPr>
        <w:object w:dxaOrig="200" w:dyaOrig="200" w14:anchorId="2A338DBB">
          <v:shape id="_x0000_i1062" type="#_x0000_t75" style="width:9.75pt;height:9.75pt" o:ole="">
            <v:imagedata r:id="rId85" o:title=""/>
          </v:shape>
          <o:OLEObject Type="Embed" ProgID="Equation.DSMT4" ShapeID="_x0000_i1062" DrawAspect="Content" ObjectID="_1699800902" r:id="rId86"/>
        </w:object>
      </w:r>
      <w:r w:rsidRPr="00E127CA">
        <w:rPr>
          <w:rFonts w:ascii="Times New Roman" w:eastAsia="Times New Roman" w:hAnsi="Times New Roman" w:cs="Times New Roman"/>
          <w:color w:val="000000"/>
          <w:sz w:val="24"/>
          <w:szCs w:val="24"/>
        </w:rPr>
        <w:t xml:space="preserve">, </w:t>
      </w:r>
      <w:r w:rsidR="005208D1" w:rsidRPr="00025957">
        <w:rPr>
          <w:position w:val="-4"/>
        </w:rPr>
        <w:object w:dxaOrig="160" w:dyaOrig="180" w14:anchorId="16D10F7C">
          <v:shape id="_x0000_i1063" type="#_x0000_t75" style="width:8.25pt;height:8.25pt" o:ole="">
            <v:imagedata r:id="rId87" o:title=""/>
          </v:shape>
          <o:OLEObject Type="Embed" ProgID="Equation.DSMT4" ShapeID="_x0000_i1063" DrawAspect="Content" ObjectID="_1699800903" r:id="rId88"/>
        </w:object>
      </w:r>
      <w:r w:rsidRPr="00E127CA">
        <w:rPr>
          <w:rFonts w:ascii="Times New Roman" w:eastAsia="Times New Roman" w:hAnsi="Times New Roman" w:cs="Times New Roman"/>
          <w:color w:val="000000"/>
          <w:sz w:val="24"/>
          <w:szCs w:val="24"/>
        </w:rPr>
        <w:t xml:space="preserve">, and </w:t>
      </w:r>
      <w:r w:rsidR="005208D1" w:rsidRPr="00025957">
        <w:rPr>
          <w:position w:val="-4"/>
        </w:rPr>
        <w:object w:dxaOrig="160" w:dyaOrig="180" w14:anchorId="6D4BC5A3">
          <v:shape id="_x0000_i1064" type="#_x0000_t75" style="width:8.25pt;height:8.25pt" o:ole="">
            <v:imagedata r:id="rId89" o:title=""/>
          </v:shape>
          <o:OLEObject Type="Embed" ProgID="Equation.DSMT4" ShapeID="_x0000_i1064" DrawAspect="Content" ObjectID="_1699800904" r:id="rId90"/>
        </w:object>
      </w:r>
      <w:r w:rsidRPr="00E127CA">
        <w:rPr>
          <w:rFonts w:ascii="Times New Roman" w:eastAsia="Times New Roman" w:hAnsi="Times New Roman" w:cs="Times New Roman"/>
          <w:color w:val="000000"/>
          <w:sz w:val="24"/>
          <w:szCs w:val="24"/>
        </w:rPr>
        <w:t xml:space="preserve"> components, respectively. Note that the </w:t>
      </w:r>
      <w:r w:rsidRPr="00E127CA">
        <w:rPr>
          <w:rFonts w:ascii="Times New Roman" w:eastAsia="Times New Roman" w:hAnsi="Times New Roman" w:cs="Times New Roman"/>
          <w:i/>
          <w:iCs/>
          <w:color w:val="000000"/>
          <w:sz w:val="24"/>
          <w:szCs w:val="24"/>
        </w:rPr>
        <w:t>x</w:t>
      </w:r>
      <w:r w:rsidRPr="00E127CA">
        <w:rPr>
          <w:rFonts w:ascii="Times New Roman" w:eastAsia="Times New Roman" w:hAnsi="Times New Roman" w:cs="Times New Roman"/>
          <w:color w:val="000000"/>
          <w:sz w:val="24"/>
          <w:szCs w:val="24"/>
        </w:rPr>
        <w:t xml:space="preserve">-axis tick label to the left of each bar group indicates the lower boundary of the 5-day count, e.g., the leftmost bar group starts at day –55 and ends at day –51. It was apparent from </w:t>
      </w:r>
      <w:r w:rsidR="00E06BFF">
        <w:rPr>
          <w:rFonts w:ascii="Times New Roman" w:eastAsia="Times New Roman" w:hAnsi="Times New Roman" w:cs="Times New Roman"/>
          <w:color w:val="000000"/>
          <w:sz w:val="24"/>
          <w:szCs w:val="24"/>
        </w:rPr>
        <w:t>Fig. 2</w:t>
      </w:r>
      <w:r w:rsidR="00E06BFF" w:rsidRPr="00E127CA">
        <w:rPr>
          <w:rFonts w:ascii="Times New Roman" w:eastAsia="Times New Roman" w:hAnsi="Times New Roman" w:cs="Times New Roman"/>
          <w:color w:val="000000"/>
          <w:sz w:val="24"/>
          <w:szCs w:val="24"/>
        </w:rPr>
        <w:t xml:space="preserve"> </w:t>
      </w:r>
      <w:r w:rsidRPr="00E127CA">
        <w:rPr>
          <w:rFonts w:ascii="Times New Roman" w:eastAsia="Times New Roman" w:hAnsi="Times New Roman" w:cs="Times New Roman"/>
          <w:color w:val="000000"/>
          <w:sz w:val="24"/>
          <w:szCs w:val="24"/>
        </w:rPr>
        <w:t xml:space="preserve">that the anomaly counts for the </w:t>
      </w:r>
      <w:r w:rsidR="005208D1" w:rsidRPr="00025957">
        <w:rPr>
          <w:position w:val="-4"/>
        </w:rPr>
        <w:object w:dxaOrig="200" w:dyaOrig="200" w14:anchorId="0EE9E3E5">
          <v:shape id="_x0000_i1065" type="#_x0000_t75" style="width:9.75pt;height:9.75pt" o:ole="">
            <v:imagedata r:id="rId91" o:title=""/>
          </v:shape>
          <o:OLEObject Type="Embed" ProgID="Equation.DSMT4" ShapeID="_x0000_i1065" DrawAspect="Content" ObjectID="_1699800905" r:id="rId92"/>
        </w:object>
      </w:r>
      <w:r w:rsidRPr="00E127CA">
        <w:rPr>
          <w:rFonts w:ascii="Times New Roman" w:eastAsia="Times New Roman" w:hAnsi="Times New Roman" w:cs="Times New Roman"/>
          <w:color w:val="000000"/>
          <w:sz w:val="24"/>
          <w:szCs w:val="24"/>
        </w:rPr>
        <w:t xml:space="preserve"> component (blue bars) significantly increased throughout days –30 to –26 and –20 to –16. The other two components exhibited a similar observation, except the increases were closer in time to the earthquake day, which were throughout days –15 to –11 for the </w:t>
      </w:r>
      <w:r w:rsidR="005208D1" w:rsidRPr="00025957">
        <w:rPr>
          <w:position w:val="-4"/>
        </w:rPr>
        <w:object w:dxaOrig="160" w:dyaOrig="180" w14:anchorId="3DD88E66">
          <v:shape id="_x0000_i1066" type="#_x0000_t75" style="width:8.25pt;height:8.25pt" o:ole="">
            <v:imagedata r:id="rId93" o:title=""/>
          </v:shape>
          <o:OLEObject Type="Embed" ProgID="Equation.DSMT4" ShapeID="_x0000_i1066" DrawAspect="Content" ObjectID="_1699800906" r:id="rId94"/>
        </w:object>
      </w:r>
      <w:r w:rsidRPr="00E127CA">
        <w:rPr>
          <w:rFonts w:ascii="Times New Roman" w:eastAsia="Times New Roman" w:hAnsi="Times New Roman" w:cs="Times New Roman"/>
          <w:color w:val="000000"/>
          <w:sz w:val="24"/>
          <w:szCs w:val="24"/>
        </w:rPr>
        <w:t xml:space="preserve"> (orange bars), whereas –10 to –6  and –5 to –1 for </w:t>
      </w:r>
      <w:r w:rsidR="005208D1" w:rsidRPr="00025957">
        <w:rPr>
          <w:position w:val="-4"/>
        </w:rPr>
        <w:object w:dxaOrig="160" w:dyaOrig="180" w14:anchorId="37DBC076">
          <v:shape id="_x0000_i1067" type="#_x0000_t75" style="width:8.25pt;height:8.25pt" o:ole="">
            <v:imagedata r:id="rId95" o:title=""/>
          </v:shape>
          <o:OLEObject Type="Embed" ProgID="Equation.DSMT4" ShapeID="_x0000_i1067" DrawAspect="Content" ObjectID="_1699800907" r:id="rId96"/>
        </w:object>
      </w:r>
      <w:r w:rsidRPr="00E127CA">
        <w:rPr>
          <w:rFonts w:ascii="Times New Roman" w:eastAsia="Times New Roman" w:hAnsi="Times New Roman" w:cs="Times New Roman"/>
          <w:color w:val="000000"/>
          <w:sz w:val="24"/>
          <w:szCs w:val="24"/>
        </w:rPr>
        <w:t xml:space="preserve"> components (yellow bars). </w:t>
      </w:r>
    </w:p>
    <w:p w14:paraId="2FF54141" w14:textId="77777777" w:rsidR="00CC0D9E" w:rsidRDefault="00CC0D9E" w:rsidP="00CC0D9E">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sidRPr="00E127CA">
        <w:rPr>
          <w:rFonts w:ascii="Times New Roman" w:eastAsia="Times New Roman" w:hAnsi="Times New Roman" w:cs="Times New Roman"/>
          <w:noProof/>
          <w:color w:val="000000"/>
          <w:sz w:val="24"/>
          <w:szCs w:val="24"/>
          <w:lang w:val="en-MY" w:eastAsia="en-MY"/>
        </w:rPr>
        <w:lastRenderedPageBreak/>
        <w:drawing>
          <wp:inline distT="0" distB="0" distL="0" distR="0" wp14:anchorId="04734DCE" wp14:editId="567C90A1">
            <wp:extent cx="5910975" cy="3283527"/>
            <wp:effectExtent l="0" t="0" r="0" b="0"/>
            <wp:docPr id="2" name="Picture 2"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scatter chart&#10;&#10;Description automatically generated"/>
                    <pic:cNvPicPr/>
                  </pic:nvPicPr>
                  <pic:blipFill>
                    <a:blip r:embed="rId97" cstate="print">
                      <a:extLst>
                        <a:ext uri="{28A0092B-C50C-407E-A947-70E740481C1C}">
                          <a14:useLocalDpi xmlns:a14="http://schemas.microsoft.com/office/drawing/2010/main" val="0"/>
                        </a:ext>
                      </a:extLst>
                    </a:blip>
                    <a:stretch>
                      <a:fillRect/>
                    </a:stretch>
                  </pic:blipFill>
                  <pic:spPr>
                    <a:xfrm>
                      <a:off x="0" y="0"/>
                      <a:ext cx="5955383" cy="3308195"/>
                    </a:xfrm>
                    <a:prstGeom prst="rect">
                      <a:avLst/>
                    </a:prstGeom>
                  </pic:spPr>
                </pic:pic>
              </a:graphicData>
            </a:graphic>
          </wp:inline>
        </w:drawing>
      </w:r>
    </w:p>
    <w:p w14:paraId="6ED5180D" w14:textId="77777777" w:rsidR="00CC0D9E" w:rsidRPr="005F4365" w:rsidRDefault="00CC0D9E" w:rsidP="00CC0D9E">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E127CA">
        <w:rPr>
          <w:rFonts w:ascii="Times New Roman" w:eastAsia="Times New Roman" w:hAnsi="Times New Roman" w:cs="Times New Roman"/>
          <w:b/>
          <w:bCs/>
          <w:color w:val="000000"/>
          <w:sz w:val="20"/>
          <w:szCs w:val="20"/>
        </w:rPr>
        <w:t>Figure 2.</w:t>
      </w:r>
      <w:r w:rsidRPr="00E127CA">
        <w:rPr>
          <w:rFonts w:ascii="Times New Roman" w:eastAsia="Times New Roman" w:hAnsi="Times New Roman" w:cs="Times New Roman"/>
          <w:color w:val="000000"/>
          <w:sz w:val="20"/>
          <w:szCs w:val="20"/>
        </w:rPr>
        <w:t xml:space="preserve"> Raw geomagnetic field intensity (</w:t>
      </w:r>
      <w:proofErr w:type="spellStart"/>
      <w:r w:rsidRPr="00E127CA">
        <w:rPr>
          <w:rFonts w:ascii="Times New Roman" w:eastAsia="Times New Roman" w:hAnsi="Times New Roman" w:cs="Times New Roman"/>
          <w:color w:val="000000"/>
          <w:sz w:val="20"/>
          <w:szCs w:val="20"/>
        </w:rPr>
        <w:t>nT</w:t>
      </w:r>
      <w:proofErr w:type="spellEnd"/>
      <w:r w:rsidRPr="00E127CA">
        <w:rPr>
          <w:rFonts w:ascii="Times New Roman" w:eastAsia="Times New Roman" w:hAnsi="Times New Roman" w:cs="Times New Roman"/>
          <w:color w:val="000000"/>
          <w:sz w:val="20"/>
          <w:szCs w:val="20"/>
        </w:rPr>
        <w:t xml:space="preserve">) measured at a pair of near and far stations for </w:t>
      </w:r>
      <w:r w:rsidRPr="00E127CA">
        <w:rPr>
          <w:rFonts w:ascii="Times New Roman" w:eastAsia="Times New Roman" w:hAnsi="Times New Roman" w:cs="Times New Roman"/>
          <w:i/>
          <w:iCs/>
          <w:color w:val="000000"/>
          <w:sz w:val="20"/>
          <w:szCs w:val="20"/>
        </w:rPr>
        <w:t>N</w:t>
      </w:r>
      <w:r w:rsidRPr="00E127CA">
        <w:rPr>
          <w:rFonts w:ascii="Times New Roman" w:eastAsia="Times New Roman" w:hAnsi="Times New Roman" w:cs="Times New Roman"/>
          <w:color w:val="000000"/>
          <w:sz w:val="20"/>
          <w:szCs w:val="20"/>
        </w:rPr>
        <w:t xml:space="preserve">, </w:t>
      </w:r>
      <w:r w:rsidRPr="00E127CA">
        <w:rPr>
          <w:rFonts w:ascii="Times New Roman" w:eastAsia="Times New Roman" w:hAnsi="Times New Roman" w:cs="Times New Roman"/>
          <w:i/>
          <w:iCs/>
          <w:color w:val="000000"/>
          <w:sz w:val="20"/>
          <w:szCs w:val="20"/>
        </w:rPr>
        <w:t>E</w:t>
      </w:r>
      <w:r w:rsidRPr="00E127CA">
        <w:rPr>
          <w:rFonts w:ascii="Times New Roman" w:eastAsia="Times New Roman" w:hAnsi="Times New Roman" w:cs="Times New Roman"/>
          <w:color w:val="000000"/>
          <w:sz w:val="20"/>
          <w:szCs w:val="20"/>
        </w:rPr>
        <w:t xml:space="preserve">, and </w:t>
      </w:r>
      <w:r w:rsidRPr="00E127CA">
        <w:rPr>
          <w:rFonts w:ascii="Times New Roman" w:eastAsia="Times New Roman" w:hAnsi="Times New Roman" w:cs="Times New Roman"/>
          <w:i/>
          <w:iCs/>
          <w:color w:val="000000"/>
          <w:sz w:val="20"/>
          <w:szCs w:val="20"/>
        </w:rPr>
        <w:t>Z</w:t>
      </w:r>
      <w:r w:rsidRPr="00E127CA">
        <w:rPr>
          <w:rFonts w:ascii="Times New Roman" w:eastAsia="Times New Roman" w:hAnsi="Times New Roman" w:cs="Times New Roman"/>
          <w:color w:val="000000"/>
          <w:sz w:val="20"/>
          <w:szCs w:val="20"/>
        </w:rPr>
        <w:t xml:space="preserve"> components from 16 days before until the day of earthquake. Disturbed days are shaded magenta, while the dashed line rectangle in (e) highlights the disappearance of geomagnetic variation.</w:t>
      </w:r>
    </w:p>
    <w:p w14:paraId="0008A8D5" w14:textId="77777777" w:rsidR="00CC0D9E" w:rsidRPr="00E127CA" w:rsidRDefault="00CC0D9E" w:rsidP="005F4365">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4"/>
          <w:szCs w:val="24"/>
        </w:rPr>
      </w:pPr>
    </w:p>
    <w:p w14:paraId="67419B77" w14:textId="77777777" w:rsidR="00E127CA" w:rsidRPr="00E127CA" w:rsidRDefault="00E127CA" w:rsidP="005F4365">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4"/>
          <w:szCs w:val="24"/>
        </w:rPr>
      </w:pPr>
      <w:r w:rsidRPr="00E127CA">
        <w:rPr>
          <w:rFonts w:ascii="Times New Roman" w:eastAsia="Times New Roman" w:hAnsi="Times New Roman" w:cs="Times New Roman"/>
          <w:color w:val="000000"/>
          <w:sz w:val="24"/>
          <w:szCs w:val="24"/>
        </w:rPr>
        <w:t xml:space="preserve">Furthermore, it was clear that the </w:t>
      </w:r>
      <w:r w:rsidR="005208D1" w:rsidRPr="00025957">
        <w:rPr>
          <w:position w:val="-4"/>
        </w:rPr>
        <w:object w:dxaOrig="160" w:dyaOrig="180" w14:anchorId="03C5648E">
          <v:shape id="_x0000_i1068" type="#_x0000_t75" style="width:8.25pt;height:8.25pt" o:ole="">
            <v:imagedata r:id="rId98" o:title=""/>
          </v:shape>
          <o:OLEObject Type="Embed" ProgID="Equation.DSMT4" ShapeID="_x0000_i1068" DrawAspect="Content" ObjectID="_1699800908" r:id="rId99"/>
        </w:object>
      </w:r>
      <w:r w:rsidRPr="00E127CA">
        <w:rPr>
          <w:rFonts w:ascii="Times New Roman" w:eastAsia="Times New Roman" w:hAnsi="Times New Roman" w:cs="Times New Roman"/>
          <w:color w:val="000000"/>
          <w:sz w:val="24"/>
          <w:szCs w:val="24"/>
        </w:rPr>
        <w:t xml:space="preserve"> anomaly count increased at a slower rate before the earthquake day (solid black line), but the decrease was steeper after the highest count in comparison with both </w:t>
      </w:r>
      <w:r w:rsidR="005208D1" w:rsidRPr="00025957">
        <w:rPr>
          <w:position w:val="-4"/>
        </w:rPr>
        <w:object w:dxaOrig="200" w:dyaOrig="200" w14:anchorId="46AF5CEC">
          <v:shape id="_x0000_i1069" type="#_x0000_t75" style="width:9.75pt;height:9.75pt" o:ole="">
            <v:imagedata r:id="rId100" o:title=""/>
          </v:shape>
          <o:OLEObject Type="Embed" ProgID="Equation.DSMT4" ShapeID="_x0000_i1069" DrawAspect="Content" ObjectID="_1699800909" r:id="rId101"/>
        </w:object>
      </w:r>
      <w:r w:rsidRPr="00E127CA">
        <w:rPr>
          <w:rFonts w:ascii="Times New Roman" w:eastAsia="Times New Roman" w:hAnsi="Times New Roman" w:cs="Times New Roman"/>
          <w:color w:val="000000"/>
          <w:sz w:val="24"/>
          <w:szCs w:val="24"/>
        </w:rPr>
        <w:t xml:space="preserve"> and </w:t>
      </w:r>
      <w:r w:rsidR="005208D1" w:rsidRPr="00025957">
        <w:rPr>
          <w:position w:val="-4"/>
        </w:rPr>
        <w:object w:dxaOrig="160" w:dyaOrig="180" w14:anchorId="508CB28F">
          <v:shape id="_x0000_i1070" type="#_x0000_t75" style="width:8.25pt;height:8.25pt" o:ole="">
            <v:imagedata r:id="rId102" o:title=""/>
          </v:shape>
          <o:OLEObject Type="Embed" ProgID="Equation.DSMT4" ShapeID="_x0000_i1070" DrawAspect="Content" ObjectID="_1699800910" r:id="rId103"/>
        </w:object>
      </w:r>
      <w:r w:rsidRPr="00E127CA">
        <w:rPr>
          <w:rFonts w:ascii="Times New Roman" w:eastAsia="Times New Roman" w:hAnsi="Times New Roman" w:cs="Times New Roman"/>
          <w:color w:val="000000"/>
          <w:sz w:val="24"/>
          <w:szCs w:val="24"/>
        </w:rPr>
        <w:t xml:space="preserve"> components. A minor increase was also seen specifically in the </w:t>
      </w:r>
      <w:r w:rsidR="005208D1" w:rsidRPr="00025957">
        <w:rPr>
          <w:position w:val="-4"/>
        </w:rPr>
        <w:object w:dxaOrig="160" w:dyaOrig="180" w14:anchorId="40AAF636">
          <v:shape id="_x0000_i1071" type="#_x0000_t75" style="width:8.25pt;height:8.25pt" o:ole="">
            <v:imagedata r:id="rId104" o:title=""/>
          </v:shape>
          <o:OLEObject Type="Embed" ProgID="Equation.DSMT4" ShapeID="_x0000_i1071" DrawAspect="Content" ObjectID="_1699800911" r:id="rId105"/>
        </w:object>
      </w:r>
      <w:r w:rsidRPr="00E127CA">
        <w:rPr>
          <w:rFonts w:ascii="Times New Roman" w:eastAsia="Times New Roman" w:hAnsi="Times New Roman" w:cs="Times New Roman"/>
          <w:color w:val="000000"/>
          <w:sz w:val="24"/>
          <w:szCs w:val="24"/>
        </w:rPr>
        <w:t xml:space="preserve"> component following the initial increase, although the minor increase was below the statistical significance value. Since the incorporation of the SEA into DVRR method has never been done before, a comparison could only be made indirectly with </w:t>
      </w:r>
      <w:r w:rsidR="006759CD">
        <w:rPr>
          <w:rFonts w:ascii="Times New Roman" w:eastAsia="Times New Roman" w:hAnsi="Times New Roman" w:cs="Times New Roman"/>
          <w:color w:val="000000"/>
          <w:sz w:val="24"/>
          <w:szCs w:val="24"/>
        </w:rPr>
        <w:t>Hattori et al.</w:t>
      </w:r>
      <w:r w:rsidR="002D42C1">
        <w:rPr>
          <w:rFonts w:ascii="Times New Roman" w:eastAsia="Times New Roman" w:hAnsi="Times New Roman" w:cs="Times New Roman"/>
          <w:color w:val="000000"/>
          <w:sz w:val="24"/>
          <w:szCs w:val="24"/>
        </w:rPr>
        <w:t xml:space="preserve"> </w:t>
      </w:r>
      <w:r w:rsidR="006759CD">
        <w:rPr>
          <w:rFonts w:ascii="Times New Roman" w:eastAsia="Times New Roman" w:hAnsi="Times New Roman" w:cs="Times New Roman"/>
          <w:color w:val="000000"/>
          <w:sz w:val="24"/>
          <w:szCs w:val="24"/>
        </w:rPr>
        <w:t>(2013)</w:t>
      </w:r>
      <w:r w:rsidR="002D42C1">
        <w:rPr>
          <w:rFonts w:ascii="Times New Roman" w:eastAsia="Times New Roman" w:hAnsi="Times New Roman" w:cs="Times New Roman"/>
          <w:color w:val="000000"/>
          <w:sz w:val="24"/>
          <w:szCs w:val="24"/>
        </w:rPr>
        <w:t xml:space="preserve"> </w:t>
      </w:r>
      <w:r w:rsidRPr="00E127CA">
        <w:rPr>
          <w:rFonts w:ascii="Times New Roman" w:eastAsia="Times New Roman" w:hAnsi="Times New Roman" w:cs="Times New Roman"/>
          <w:color w:val="000000"/>
          <w:sz w:val="24"/>
          <w:szCs w:val="24"/>
        </w:rPr>
        <w:t xml:space="preserve">that performed SEA on the </w:t>
      </w:r>
      <w:r w:rsidR="005208D1" w:rsidRPr="00025957">
        <w:rPr>
          <w:position w:val="-4"/>
        </w:rPr>
        <w:object w:dxaOrig="160" w:dyaOrig="180" w14:anchorId="79B43C6C">
          <v:shape id="_x0000_i1072" type="#_x0000_t75" style="width:8.25pt;height:8.25pt" o:ole="">
            <v:imagedata r:id="rId106" o:title=""/>
          </v:shape>
          <o:OLEObject Type="Embed" ProgID="Equation.DSMT4" ShapeID="_x0000_i1072" DrawAspect="Content" ObjectID="_1699800912" r:id="rId107"/>
        </w:object>
      </w:r>
      <w:r w:rsidRPr="00E127CA">
        <w:rPr>
          <w:rFonts w:ascii="Times New Roman" w:eastAsia="Times New Roman" w:hAnsi="Times New Roman" w:cs="Times New Roman"/>
          <w:color w:val="000000"/>
          <w:sz w:val="24"/>
          <w:szCs w:val="24"/>
        </w:rPr>
        <w:t xml:space="preserve"> component</w:t>
      </w:r>
      <w:r w:rsidRPr="00E127CA" w:rsidDel="000B6E7E">
        <w:rPr>
          <w:rFonts w:ascii="Times New Roman" w:eastAsia="Times New Roman" w:hAnsi="Times New Roman" w:cs="Times New Roman"/>
          <w:color w:val="000000"/>
          <w:sz w:val="24"/>
          <w:szCs w:val="24"/>
        </w:rPr>
        <w:t xml:space="preserve"> </w:t>
      </w:r>
      <w:r w:rsidRPr="00E127CA">
        <w:rPr>
          <w:rFonts w:ascii="Times New Roman" w:eastAsia="Times New Roman" w:hAnsi="Times New Roman" w:cs="Times New Roman"/>
          <w:color w:val="000000"/>
          <w:sz w:val="24"/>
          <w:szCs w:val="24"/>
        </w:rPr>
        <w:t xml:space="preserve">to identify pre-earthquake anomalous energy enhancements within the ULF range. </w:t>
      </w:r>
      <w:sdt>
        <w:sdtPr>
          <w:rPr>
            <w:rFonts w:ascii="Times New Roman" w:eastAsia="Times New Roman" w:hAnsi="Times New Roman" w:cs="Times New Roman"/>
            <w:color w:val="000000"/>
            <w:sz w:val="24"/>
            <w:szCs w:val="24"/>
          </w:rPr>
          <w:tag w:val="goog_rdk_1"/>
          <w:id w:val="-1402200300"/>
        </w:sdtPr>
        <w:sdtEndPr/>
        <w:sdtContent/>
      </w:sdt>
      <w:r w:rsidRPr="00E127CA">
        <w:rPr>
          <w:rFonts w:ascii="Times New Roman" w:eastAsia="Times New Roman" w:hAnsi="Times New Roman" w:cs="Times New Roman"/>
          <w:color w:val="000000"/>
          <w:sz w:val="24"/>
          <w:szCs w:val="24"/>
        </w:rPr>
        <w:t xml:space="preserve">The behavior of the </w:t>
      </w:r>
      <w:r w:rsidR="005208D1" w:rsidRPr="00025957">
        <w:rPr>
          <w:position w:val="-4"/>
        </w:rPr>
        <w:object w:dxaOrig="160" w:dyaOrig="180" w14:anchorId="127EEE07">
          <v:shape id="_x0000_i1073" type="#_x0000_t75" style="width:8.25pt;height:8.25pt" o:ole="">
            <v:imagedata r:id="rId108" o:title=""/>
          </v:shape>
          <o:OLEObject Type="Embed" ProgID="Equation.DSMT4" ShapeID="_x0000_i1073" DrawAspect="Content" ObjectID="_1699800913" r:id="rId109"/>
        </w:object>
      </w:r>
      <w:r w:rsidRPr="00E127CA">
        <w:rPr>
          <w:rFonts w:ascii="Times New Roman" w:eastAsia="Times New Roman" w:hAnsi="Times New Roman" w:cs="Times New Roman"/>
          <w:color w:val="000000"/>
          <w:sz w:val="24"/>
          <w:szCs w:val="24"/>
        </w:rPr>
        <w:t xml:space="preserve"> variation in the present study is in agreement with their study where a gradual increase during the pre-earthquake period followed by a steep decrease during the post-earthquake period then a final minor increase </w:t>
      </w:r>
      <w:r w:rsidR="00556418" w:rsidRPr="00E127CA">
        <w:rPr>
          <w:rFonts w:ascii="Times New Roman" w:eastAsia="Times New Roman" w:hAnsi="Times New Roman" w:cs="Times New Roman"/>
          <w:color w:val="000000"/>
          <w:sz w:val="24"/>
          <w:szCs w:val="24"/>
        </w:rPr>
        <w:t>was</w:t>
      </w:r>
      <w:r w:rsidRPr="00E127CA">
        <w:rPr>
          <w:rFonts w:ascii="Times New Roman" w:eastAsia="Times New Roman" w:hAnsi="Times New Roman" w:cs="Times New Roman"/>
          <w:color w:val="000000"/>
          <w:sz w:val="24"/>
          <w:szCs w:val="24"/>
        </w:rPr>
        <w:t xml:space="preserve"> observed. However, since the observations for both </w:t>
      </w:r>
      <w:r w:rsidR="005208D1" w:rsidRPr="00025957">
        <w:rPr>
          <w:position w:val="-4"/>
        </w:rPr>
        <w:object w:dxaOrig="200" w:dyaOrig="200" w14:anchorId="2A7E4083">
          <v:shape id="_x0000_i1074" type="#_x0000_t75" style="width:9.75pt;height:9.75pt" o:ole="">
            <v:imagedata r:id="rId110" o:title=""/>
          </v:shape>
          <o:OLEObject Type="Embed" ProgID="Equation.DSMT4" ShapeID="_x0000_i1074" DrawAspect="Content" ObjectID="_1699800914" r:id="rId111"/>
        </w:object>
      </w:r>
      <w:r w:rsidRPr="00E127CA">
        <w:rPr>
          <w:rFonts w:ascii="Times New Roman" w:eastAsia="Times New Roman" w:hAnsi="Times New Roman" w:cs="Times New Roman"/>
          <w:color w:val="000000"/>
          <w:sz w:val="24"/>
          <w:szCs w:val="24"/>
        </w:rPr>
        <w:t xml:space="preserve"> and </w:t>
      </w:r>
      <w:r w:rsidR="005208D1" w:rsidRPr="00025957">
        <w:rPr>
          <w:position w:val="-4"/>
        </w:rPr>
        <w:object w:dxaOrig="160" w:dyaOrig="180" w14:anchorId="487D9D62">
          <v:shape id="_x0000_i1075" type="#_x0000_t75" style="width:8.25pt;height:8.25pt" o:ole="">
            <v:imagedata r:id="rId112" o:title=""/>
          </v:shape>
          <o:OLEObject Type="Embed" ProgID="Equation.DSMT4" ShapeID="_x0000_i1075" DrawAspect="Content" ObjectID="_1699800915" r:id="rId113"/>
        </w:object>
      </w:r>
      <w:r w:rsidRPr="00E127CA">
        <w:rPr>
          <w:rFonts w:ascii="Times New Roman" w:eastAsia="Times New Roman" w:hAnsi="Times New Roman" w:cs="Times New Roman"/>
          <w:color w:val="000000"/>
          <w:sz w:val="24"/>
          <w:szCs w:val="24"/>
        </w:rPr>
        <w:t xml:space="preserve"> components were not reported in that study, no comparisons could be made for both components. As previously explained, disturbances from external sources have been removed by discarding anomalies during disturbed periods as well as calculating the near–far station ratio. Therefore, we could safely say that the detected </w:t>
      </w:r>
      <w:r w:rsidR="005208D1" w:rsidRPr="00025957">
        <w:rPr>
          <w:position w:val="-4"/>
        </w:rPr>
        <w:object w:dxaOrig="200" w:dyaOrig="200" w14:anchorId="160B907F">
          <v:shape id="_x0000_i1076" type="#_x0000_t75" style="width:9.75pt;height:9.75pt" o:ole="">
            <v:imagedata r:id="rId114" o:title=""/>
          </v:shape>
          <o:OLEObject Type="Embed" ProgID="Equation.DSMT4" ShapeID="_x0000_i1076" DrawAspect="Content" ObjectID="_1699800916" r:id="rId115"/>
        </w:object>
      </w:r>
      <w:r w:rsidRPr="00E127CA">
        <w:rPr>
          <w:rFonts w:ascii="Times New Roman" w:eastAsia="Times New Roman" w:hAnsi="Times New Roman" w:cs="Times New Roman"/>
          <w:color w:val="000000"/>
          <w:sz w:val="24"/>
          <w:szCs w:val="24"/>
        </w:rPr>
        <w:t xml:space="preserve"> and </w:t>
      </w:r>
      <w:r w:rsidR="005208D1" w:rsidRPr="00025957">
        <w:rPr>
          <w:position w:val="-4"/>
        </w:rPr>
        <w:object w:dxaOrig="160" w:dyaOrig="180" w14:anchorId="54B30E16">
          <v:shape id="_x0000_i1077" type="#_x0000_t75" style="width:8.25pt;height:8.25pt" o:ole="">
            <v:imagedata r:id="rId116" o:title=""/>
          </v:shape>
          <o:OLEObject Type="Embed" ProgID="Equation.DSMT4" ShapeID="_x0000_i1077" DrawAspect="Content" ObjectID="_1699800917" r:id="rId117"/>
        </w:object>
      </w:r>
      <w:r w:rsidRPr="00E127CA">
        <w:rPr>
          <w:rFonts w:ascii="Times New Roman" w:eastAsia="Times New Roman" w:hAnsi="Times New Roman" w:cs="Times New Roman"/>
          <w:color w:val="000000"/>
          <w:sz w:val="24"/>
          <w:szCs w:val="24"/>
        </w:rPr>
        <w:t xml:space="preserve"> anomalies probably came from the same source and were generated by the same mechanism that caused the anomalies in the </w:t>
      </w:r>
      <w:r w:rsidR="005208D1" w:rsidRPr="00025957">
        <w:rPr>
          <w:position w:val="-4"/>
        </w:rPr>
        <w:object w:dxaOrig="160" w:dyaOrig="180" w14:anchorId="74303370">
          <v:shape id="_x0000_i1078" type="#_x0000_t75" style="width:8.25pt;height:8.25pt" o:ole="">
            <v:imagedata r:id="rId118" o:title=""/>
          </v:shape>
          <o:OLEObject Type="Embed" ProgID="Equation.DSMT4" ShapeID="_x0000_i1078" DrawAspect="Content" ObjectID="_1699800918" r:id="rId119"/>
        </w:object>
      </w:r>
      <w:r w:rsidRPr="00E127CA">
        <w:rPr>
          <w:rFonts w:ascii="Times New Roman" w:eastAsia="Times New Roman" w:hAnsi="Times New Roman" w:cs="Times New Roman"/>
          <w:color w:val="000000"/>
          <w:sz w:val="24"/>
          <w:szCs w:val="24"/>
        </w:rPr>
        <w:t xml:space="preserve"> component, except there were approximately 5-day temporal lags between the components. Hence, it could be concluded that the anomalies observed through the DVRR method might have association with the earthquakes that followed.  </w:t>
      </w:r>
    </w:p>
    <w:p w14:paraId="5AF604E3" w14:textId="77777777" w:rsidR="00E127CA" w:rsidRPr="00E127CA" w:rsidRDefault="00E127CA" w:rsidP="00E127CA">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2B266C15" w14:textId="77777777" w:rsidR="00E127CA" w:rsidRDefault="00E127CA" w:rsidP="00E127CA">
      <w:pPr>
        <w:pBdr>
          <w:top w:val="nil"/>
          <w:left w:val="nil"/>
          <w:bottom w:val="nil"/>
          <w:right w:val="nil"/>
          <w:between w:val="nil"/>
        </w:pBdr>
        <w:spacing w:after="0" w:line="240" w:lineRule="auto"/>
        <w:ind w:left="0" w:hanging="2"/>
        <w:jc w:val="both"/>
        <w:rPr>
          <w:rFonts w:ascii="Times New Roman" w:eastAsia="Times New Roman" w:hAnsi="Times New Roman" w:cs="Times New Roman"/>
          <w:b/>
          <w:color w:val="000000"/>
          <w:sz w:val="24"/>
          <w:szCs w:val="24"/>
        </w:rPr>
      </w:pPr>
      <w:r w:rsidRPr="00E127CA">
        <w:rPr>
          <w:rFonts w:ascii="Times New Roman" w:eastAsia="Times New Roman" w:hAnsi="Times New Roman" w:cs="Times New Roman"/>
          <w:b/>
          <w:noProof/>
          <w:color w:val="000000"/>
          <w:sz w:val="24"/>
          <w:szCs w:val="24"/>
          <w:lang w:val="en-MY" w:eastAsia="en-MY"/>
        </w:rPr>
        <w:lastRenderedPageBreak/>
        <w:drawing>
          <wp:inline distT="0" distB="0" distL="0" distR="0" wp14:anchorId="78323A88" wp14:editId="39FC7482">
            <wp:extent cx="5926347" cy="3119803"/>
            <wp:effectExtent l="0" t="0" r="0" b="4445"/>
            <wp:docPr id="1" name="Picture 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bar chart&#10;&#10;Description automatically generated"/>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5942742" cy="3128434"/>
                    </a:xfrm>
                    <a:prstGeom prst="rect">
                      <a:avLst/>
                    </a:prstGeom>
                  </pic:spPr>
                </pic:pic>
              </a:graphicData>
            </a:graphic>
          </wp:inline>
        </w:drawing>
      </w:r>
    </w:p>
    <w:p w14:paraId="7C0D1F84" w14:textId="77777777" w:rsidR="00E127CA" w:rsidRPr="00E127CA" w:rsidRDefault="00E127CA" w:rsidP="005F4365">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E127CA">
        <w:rPr>
          <w:rFonts w:ascii="Times New Roman" w:eastAsia="Times New Roman" w:hAnsi="Times New Roman" w:cs="Times New Roman"/>
          <w:b/>
          <w:color w:val="000000"/>
          <w:sz w:val="20"/>
          <w:szCs w:val="20"/>
        </w:rPr>
        <w:t>Figure 3.</w:t>
      </w:r>
      <w:r w:rsidRPr="00E127CA">
        <w:rPr>
          <w:rFonts w:ascii="Times New Roman" w:eastAsia="Times New Roman" w:hAnsi="Times New Roman" w:cs="Times New Roman"/>
          <w:color w:val="000000"/>
          <w:sz w:val="20"/>
          <w:szCs w:val="20"/>
        </w:rPr>
        <w:t xml:space="preserve">  SEA results based on </w:t>
      </w:r>
      <w:r w:rsidR="00F31E51">
        <w:rPr>
          <w:rFonts w:ascii="Times New Roman" w:eastAsia="Times New Roman" w:hAnsi="Times New Roman" w:cs="Times New Roman"/>
          <w:color w:val="000000"/>
          <w:sz w:val="20"/>
          <w:szCs w:val="20"/>
        </w:rPr>
        <w:object w:dxaOrig="139" w:dyaOrig="200" w14:anchorId="250E77DE">
          <v:shape id="_x0000_i1079" type="#_x0000_t75" style="width:6.75pt;height:9.75pt" o:ole="">
            <v:imagedata r:id="rId121" o:title=""/>
          </v:shape>
          <o:OLEObject Type="Embed" ProgID="Equation.DSMT4" ShapeID="_x0000_i1079" DrawAspect="Content" ObjectID="_1699800919" r:id="rId122"/>
        </w:object>
      </w:r>
      <w:r w:rsidR="00F31E51">
        <w:rPr>
          <w:rFonts w:ascii="Times New Roman" w:eastAsia="Times New Roman" w:hAnsi="Times New Roman" w:cs="Times New Roman"/>
          <w:color w:val="000000"/>
          <w:sz w:val="20"/>
          <w:szCs w:val="20"/>
        </w:rPr>
        <w:t xml:space="preserve"> </w:t>
      </w:r>
      <w:r w:rsidRPr="00E127CA">
        <w:rPr>
          <w:rFonts w:ascii="Times New Roman" w:eastAsia="Times New Roman" w:hAnsi="Times New Roman" w:cs="Times New Roman"/>
          <w:color w:val="000000"/>
          <w:sz w:val="20"/>
          <w:szCs w:val="20"/>
        </w:rPr>
        <w:t xml:space="preserve">where 5-day counts and their respective </w:t>
      </w:r>
      <w:r w:rsidR="00F31E51" w:rsidRPr="00025957">
        <w:rPr>
          <w:position w:val="-4"/>
        </w:rPr>
        <w:object w:dxaOrig="560" w:dyaOrig="200" w14:anchorId="371954EB">
          <v:shape id="_x0000_i1080" type="#_x0000_t75" style="width:27.75pt;height:9.75pt" o:ole="">
            <v:imagedata r:id="rId123" o:title=""/>
          </v:shape>
          <o:OLEObject Type="Embed" ProgID="Equation.DSMT4" ShapeID="_x0000_i1080" DrawAspect="Content" ObjectID="_1699800920" r:id="rId124"/>
        </w:object>
      </w:r>
      <w:r w:rsidRPr="00E127CA">
        <w:rPr>
          <w:rFonts w:ascii="Times New Roman" w:eastAsia="Times New Roman" w:hAnsi="Times New Roman" w:cs="Times New Roman"/>
          <w:color w:val="000000"/>
          <w:sz w:val="20"/>
          <w:szCs w:val="20"/>
        </w:rPr>
        <w:t xml:space="preserve"> thresholds are shown by bars and dashed lines, respectively, for the </w:t>
      </w:r>
      <w:r w:rsidRPr="00E127CA">
        <w:rPr>
          <w:rFonts w:ascii="Times New Roman" w:eastAsia="Times New Roman" w:hAnsi="Times New Roman" w:cs="Times New Roman"/>
          <w:i/>
          <w:color w:val="000000"/>
          <w:sz w:val="20"/>
          <w:szCs w:val="20"/>
        </w:rPr>
        <w:t xml:space="preserve">N </w:t>
      </w:r>
      <w:r w:rsidRPr="00E127CA">
        <w:rPr>
          <w:rFonts w:ascii="Times New Roman" w:eastAsia="Times New Roman" w:hAnsi="Times New Roman" w:cs="Times New Roman"/>
          <w:iCs/>
          <w:color w:val="000000"/>
          <w:sz w:val="20"/>
          <w:szCs w:val="20"/>
        </w:rPr>
        <w:t>(blue)</w:t>
      </w:r>
      <w:r w:rsidRPr="00E127CA">
        <w:rPr>
          <w:rFonts w:ascii="Times New Roman" w:eastAsia="Times New Roman" w:hAnsi="Times New Roman" w:cs="Times New Roman"/>
          <w:color w:val="000000"/>
          <w:sz w:val="20"/>
          <w:szCs w:val="20"/>
        </w:rPr>
        <w:t xml:space="preserve">, </w:t>
      </w:r>
      <w:r w:rsidRPr="00E127CA">
        <w:rPr>
          <w:rFonts w:ascii="Times New Roman" w:eastAsia="Times New Roman" w:hAnsi="Times New Roman" w:cs="Times New Roman"/>
          <w:i/>
          <w:color w:val="000000"/>
          <w:sz w:val="20"/>
          <w:szCs w:val="20"/>
        </w:rPr>
        <w:t xml:space="preserve">E </w:t>
      </w:r>
      <w:r w:rsidRPr="00E127CA">
        <w:rPr>
          <w:rFonts w:ascii="Times New Roman" w:eastAsia="Times New Roman" w:hAnsi="Times New Roman" w:cs="Times New Roman"/>
          <w:iCs/>
          <w:color w:val="000000"/>
          <w:sz w:val="20"/>
          <w:szCs w:val="20"/>
        </w:rPr>
        <w:t>(orange)</w:t>
      </w:r>
      <w:r w:rsidRPr="00E127CA">
        <w:rPr>
          <w:rFonts w:ascii="Times New Roman" w:eastAsia="Times New Roman" w:hAnsi="Times New Roman" w:cs="Times New Roman"/>
          <w:color w:val="000000"/>
          <w:sz w:val="20"/>
          <w:szCs w:val="20"/>
        </w:rPr>
        <w:t xml:space="preserve">, and </w:t>
      </w:r>
      <w:r w:rsidRPr="00E127CA">
        <w:rPr>
          <w:rFonts w:ascii="Times New Roman" w:eastAsia="Times New Roman" w:hAnsi="Times New Roman" w:cs="Times New Roman"/>
          <w:i/>
          <w:color w:val="000000"/>
          <w:sz w:val="20"/>
          <w:szCs w:val="20"/>
        </w:rPr>
        <w:t xml:space="preserve">Z </w:t>
      </w:r>
      <w:r w:rsidRPr="00E127CA">
        <w:rPr>
          <w:rFonts w:ascii="Times New Roman" w:eastAsia="Times New Roman" w:hAnsi="Times New Roman" w:cs="Times New Roman"/>
          <w:iCs/>
          <w:color w:val="000000"/>
          <w:sz w:val="20"/>
          <w:szCs w:val="20"/>
        </w:rPr>
        <w:t>(yellow)</w:t>
      </w:r>
      <w:r w:rsidRPr="00E127CA">
        <w:rPr>
          <w:rFonts w:ascii="Times New Roman" w:eastAsia="Times New Roman" w:hAnsi="Times New Roman" w:cs="Times New Roman"/>
          <w:color w:val="000000"/>
          <w:sz w:val="20"/>
          <w:szCs w:val="20"/>
        </w:rPr>
        <w:t xml:space="preserve"> components.</w:t>
      </w:r>
    </w:p>
    <w:p w14:paraId="1E7F0C82" w14:textId="77777777" w:rsidR="00E127CA" w:rsidRPr="00E127CA" w:rsidRDefault="00E127CA" w:rsidP="00E127CA">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0B0F8CF4" w14:textId="77777777" w:rsidR="00E127CA" w:rsidRPr="00E127CA" w:rsidRDefault="00E127CA" w:rsidP="005F4365">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4"/>
          <w:szCs w:val="24"/>
        </w:rPr>
      </w:pPr>
      <w:r w:rsidRPr="00E127CA">
        <w:rPr>
          <w:rFonts w:ascii="Times New Roman" w:eastAsia="Times New Roman" w:hAnsi="Times New Roman" w:cs="Times New Roman"/>
          <w:color w:val="000000"/>
          <w:sz w:val="24"/>
          <w:szCs w:val="24"/>
        </w:rPr>
        <w:t xml:space="preserve">The mechanisms that generated the observed anomalies need to be clarified to completely understand the phenomenon of pre-earthquake electromagnetics (also known as seismo-electromagnetics). The change of conductivity in the underground is a possible mechanism since past studies have reported such change prior to earthquakes </w:t>
      </w:r>
      <w:r w:rsidR="006759CD">
        <w:rPr>
          <w:rFonts w:ascii="Times New Roman" w:eastAsia="Times New Roman" w:hAnsi="Times New Roman" w:cs="Times New Roman"/>
          <w:color w:val="000000"/>
          <w:sz w:val="24"/>
          <w:szCs w:val="24"/>
        </w:rPr>
        <w:t>(Manga et al., 2003)</w:t>
      </w:r>
      <w:r w:rsidRPr="00E127CA">
        <w:rPr>
          <w:rFonts w:ascii="Times New Roman" w:eastAsia="Times New Roman" w:hAnsi="Times New Roman" w:cs="Times New Roman"/>
          <w:color w:val="000000"/>
          <w:sz w:val="24"/>
          <w:szCs w:val="24"/>
        </w:rPr>
        <w:t xml:space="preserve">. Dehydrated crustal rocks have a weak electrical conductivity under the normal condition because the conductivity largely depends on the dynamics of underground fluid and how it is distributed. As microcracks are being formed in the rocks during the earthquake preparation phase, underground fluid could migrate to different locations. The process could alter distribution of the fluid as well as modify the underground conductivity which subsequently generate anomalies in the geomagnetic field </w:t>
      </w:r>
      <w:r w:rsidR="006759CD">
        <w:rPr>
          <w:rFonts w:ascii="Times New Roman" w:eastAsia="Times New Roman" w:hAnsi="Times New Roman" w:cs="Times New Roman"/>
          <w:color w:val="000000"/>
          <w:sz w:val="24"/>
          <w:szCs w:val="24"/>
        </w:rPr>
        <w:t>(Hayakawa, 2015)</w:t>
      </w:r>
      <w:r w:rsidRPr="00E127CA">
        <w:rPr>
          <w:rFonts w:ascii="Times New Roman" w:eastAsia="Times New Roman" w:hAnsi="Times New Roman" w:cs="Times New Roman"/>
          <w:color w:val="000000"/>
          <w:sz w:val="24"/>
          <w:szCs w:val="24"/>
        </w:rPr>
        <w:t xml:space="preserve">. Additionally, it is estimated that M6.0+ earthquakes would be able to generate magnetic signals via the induction of electromagnetic field that are detectable from more than 100 km away, and via electrokinetic effects that can be detected from more than 200 km away </w:t>
      </w:r>
      <w:r w:rsidR="006759CD">
        <w:rPr>
          <w:rFonts w:ascii="Times New Roman" w:eastAsia="Times New Roman" w:hAnsi="Times New Roman" w:cs="Times New Roman"/>
          <w:color w:val="000000"/>
          <w:sz w:val="24"/>
          <w:szCs w:val="24"/>
        </w:rPr>
        <w:t>(Hayakawa, 2015)</w:t>
      </w:r>
      <w:r w:rsidRPr="00E127CA">
        <w:rPr>
          <w:rFonts w:ascii="Times New Roman" w:eastAsia="Times New Roman" w:hAnsi="Times New Roman" w:cs="Times New Roman"/>
          <w:color w:val="000000"/>
          <w:sz w:val="24"/>
          <w:szCs w:val="24"/>
        </w:rPr>
        <w:t xml:space="preserve">. Hence, it was assumed based on these estimations that the anomalies observed in this study were due to the superposition of both generation mechanisms. </w:t>
      </w:r>
    </w:p>
    <w:p w14:paraId="6E9F292E" w14:textId="77777777" w:rsidR="00E127CA" w:rsidRPr="00E127CA" w:rsidRDefault="00E127CA" w:rsidP="005F4365">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4"/>
          <w:szCs w:val="24"/>
        </w:rPr>
      </w:pPr>
      <w:r w:rsidRPr="00E127CA">
        <w:rPr>
          <w:rFonts w:ascii="Times New Roman" w:eastAsia="Times New Roman" w:hAnsi="Times New Roman" w:cs="Times New Roman"/>
          <w:color w:val="000000"/>
          <w:sz w:val="24"/>
          <w:szCs w:val="24"/>
        </w:rPr>
        <w:t xml:space="preserve">Previous studies that employed the DVRR method mainly detected anomalies in the </w:t>
      </w:r>
      <w:r w:rsidR="005208D1" w:rsidRPr="00025957">
        <w:rPr>
          <w:position w:val="-4"/>
        </w:rPr>
        <w:object w:dxaOrig="160" w:dyaOrig="180" w14:anchorId="61DB89F8">
          <v:shape id="_x0000_i1081" type="#_x0000_t75" style="width:8.25pt;height:8.25pt" o:ole="">
            <v:imagedata r:id="rId125" o:title=""/>
          </v:shape>
          <o:OLEObject Type="Embed" ProgID="Equation.DSMT4" ShapeID="_x0000_i1081" DrawAspect="Content" ObjectID="_1699800921" r:id="rId126"/>
        </w:object>
      </w:r>
      <w:r w:rsidRPr="00E127CA">
        <w:rPr>
          <w:rFonts w:ascii="Times New Roman" w:eastAsia="Times New Roman" w:hAnsi="Times New Roman" w:cs="Times New Roman"/>
          <w:color w:val="000000"/>
          <w:sz w:val="24"/>
          <w:szCs w:val="24"/>
        </w:rPr>
        <w:t xml:space="preserve"> (e.g., </w:t>
      </w:r>
      <w:r w:rsidR="006759CD">
        <w:rPr>
          <w:rFonts w:ascii="Times New Roman" w:eastAsia="Times New Roman" w:hAnsi="Times New Roman" w:cs="Times New Roman"/>
          <w:color w:val="000000"/>
          <w:sz w:val="24"/>
          <w:szCs w:val="24"/>
        </w:rPr>
        <w:t>Han et al., 2015; Han et al., 2016; Liu et al., 2006; Xu et al., 2013</w:t>
      </w:r>
      <w:r w:rsidRPr="00E127CA">
        <w:rPr>
          <w:rFonts w:ascii="Times New Roman" w:eastAsia="Times New Roman" w:hAnsi="Times New Roman" w:cs="Times New Roman"/>
          <w:color w:val="000000"/>
          <w:sz w:val="24"/>
          <w:szCs w:val="24"/>
        </w:rPr>
        <w:t xml:space="preserve">) that could be attributed to the highly responsive characteristic of the component toward signals propagating from nearby crusts since the signals carry substantial power perpendicular to the Earth’s surface </w:t>
      </w:r>
      <w:r w:rsidR="006759CD">
        <w:rPr>
          <w:rFonts w:ascii="Times New Roman" w:eastAsia="Times New Roman" w:hAnsi="Times New Roman" w:cs="Times New Roman"/>
          <w:color w:val="000000"/>
          <w:sz w:val="24"/>
          <w:szCs w:val="24"/>
        </w:rPr>
        <w:t>(Hattori et al., 2013)</w:t>
      </w:r>
      <w:r w:rsidRPr="00E127CA">
        <w:rPr>
          <w:rFonts w:ascii="Times New Roman" w:eastAsia="Times New Roman" w:hAnsi="Times New Roman" w:cs="Times New Roman"/>
          <w:color w:val="000000"/>
          <w:sz w:val="24"/>
          <w:szCs w:val="24"/>
        </w:rPr>
        <w:t xml:space="preserve">. Thus, the mechanisms previously elaborated are adequate to clarify the majority of the results reported by previous studies as well as the observation regarding the </w:t>
      </w:r>
      <w:r w:rsidRPr="00E127CA">
        <w:rPr>
          <w:rFonts w:ascii="Times New Roman" w:eastAsia="Times New Roman" w:hAnsi="Times New Roman" w:cs="Times New Roman"/>
          <w:i/>
          <w:color w:val="000000"/>
          <w:sz w:val="24"/>
          <w:szCs w:val="24"/>
        </w:rPr>
        <w:t>Z</w:t>
      </w:r>
      <w:r w:rsidRPr="00E127CA">
        <w:rPr>
          <w:rFonts w:ascii="Times New Roman" w:eastAsia="Times New Roman" w:hAnsi="Times New Roman" w:cs="Times New Roman"/>
          <w:color w:val="000000"/>
          <w:sz w:val="24"/>
          <w:szCs w:val="24"/>
        </w:rPr>
        <w:t xml:space="preserve"> component in the current study. In contrast, a different phenomenon was considered to explain the observations in the </w:t>
      </w:r>
      <w:r w:rsidR="005208D1" w:rsidRPr="00025957">
        <w:rPr>
          <w:position w:val="-4"/>
        </w:rPr>
        <w:object w:dxaOrig="200" w:dyaOrig="200" w14:anchorId="3E48DDB0">
          <v:shape id="_x0000_i1082" type="#_x0000_t75" style="width:9.75pt;height:9.75pt" o:ole="">
            <v:imagedata r:id="rId127" o:title=""/>
          </v:shape>
          <o:OLEObject Type="Embed" ProgID="Equation.DSMT4" ShapeID="_x0000_i1082" DrawAspect="Content" ObjectID="_1699800922" r:id="rId128"/>
        </w:object>
      </w:r>
      <w:r w:rsidRPr="00E127CA">
        <w:rPr>
          <w:rFonts w:ascii="Times New Roman" w:eastAsia="Times New Roman" w:hAnsi="Times New Roman" w:cs="Times New Roman"/>
          <w:color w:val="000000"/>
          <w:sz w:val="24"/>
          <w:szCs w:val="24"/>
        </w:rPr>
        <w:t xml:space="preserve"> and </w:t>
      </w:r>
      <w:r w:rsidR="005208D1" w:rsidRPr="00025957">
        <w:rPr>
          <w:position w:val="-4"/>
        </w:rPr>
        <w:object w:dxaOrig="160" w:dyaOrig="180" w14:anchorId="0C6D86AD">
          <v:shape id="_x0000_i1083" type="#_x0000_t75" style="width:8.25pt;height:8.25pt" o:ole="">
            <v:imagedata r:id="rId129" o:title=""/>
          </v:shape>
          <o:OLEObject Type="Embed" ProgID="Equation.DSMT4" ShapeID="_x0000_i1083" DrawAspect="Content" ObjectID="_1699800923" r:id="rId130"/>
        </w:object>
      </w:r>
      <w:r w:rsidRPr="00E127CA">
        <w:rPr>
          <w:rFonts w:ascii="Times New Roman" w:eastAsia="Times New Roman" w:hAnsi="Times New Roman" w:cs="Times New Roman"/>
          <w:color w:val="000000"/>
          <w:sz w:val="24"/>
          <w:szCs w:val="24"/>
        </w:rPr>
        <w:t xml:space="preserve"> components. Albeit much rarer, a phenomenon called ULF depression was discovered prior to earthquakes, reportedly affected only the horizontal component (</w:t>
      </w:r>
      <w:r w:rsidR="005208D1" w:rsidRPr="00025957">
        <w:rPr>
          <w:position w:val="-4"/>
        </w:rPr>
        <w:object w:dxaOrig="1320" w:dyaOrig="240" w14:anchorId="60D4573D">
          <v:shape id="_x0000_i1084" type="#_x0000_t75" style="width:66.75pt;height:12.75pt" o:ole="">
            <v:imagedata r:id="rId131" o:title=""/>
          </v:shape>
          <o:OLEObject Type="Embed" ProgID="Equation.DSMT4" ShapeID="_x0000_i1084" DrawAspect="Content" ObjectID="_1699800924" r:id="rId132"/>
        </w:object>
      </w:r>
      <w:r w:rsidRPr="00E127CA">
        <w:rPr>
          <w:rFonts w:ascii="Times New Roman" w:eastAsia="Times New Roman" w:hAnsi="Times New Roman" w:cs="Times New Roman"/>
          <w:color w:val="000000"/>
          <w:sz w:val="24"/>
          <w:szCs w:val="24"/>
        </w:rPr>
        <w:t xml:space="preserve">) </w:t>
      </w:r>
      <w:r w:rsidR="006759CD">
        <w:rPr>
          <w:rFonts w:ascii="Times New Roman" w:eastAsia="Times New Roman" w:hAnsi="Times New Roman" w:cs="Times New Roman"/>
          <w:color w:val="000000"/>
          <w:sz w:val="24"/>
          <w:szCs w:val="24"/>
        </w:rPr>
        <w:t>(</w:t>
      </w:r>
      <w:proofErr w:type="spellStart"/>
      <w:r w:rsidR="006759CD">
        <w:rPr>
          <w:rFonts w:ascii="Times New Roman" w:eastAsia="Times New Roman" w:hAnsi="Times New Roman" w:cs="Times New Roman"/>
          <w:color w:val="000000"/>
          <w:sz w:val="24"/>
          <w:szCs w:val="24"/>
        </w:rPr>
        <w:t>Potirakis</w:t>
      </w:r>
      <w:proofErr w:type="spellEnd"/>
      <w:r w:rsidR="006759CD">
        <w:rPr>
          <w:rFonts w:ascii="Times New Roman" w:eastAsia="Times New Roman" w:hAnsi="Times New Roman" w:cs="Times New Roman"/>
          <w:color w:val="000000"/>
          <w:sz w:val="24"/>
          <w:szCs w:val="24"/>
        </w:rPr>
        <w:t xml:space="preserve"> et al., 2019a; Schekotov et al., 2006; Schekotov et al., 2020)</w:t>
      </w:r>
      <w:r w:rsidRPr="00E127CA">
        <w:rPr>
          <w:rFonts w:ascii="Times New Roman" w:eastAsia="Times New Roman" w:hAnsi="Times New Roman" w:cs="Times New Roman"/>
          <w:color w:val="000000"/>
          <w:sz w:val="24"/>
          <w:szCs w:val="24"/>
        </w:rPr>
        <w:t xml:space="preserve">. The phenomenon is an effect of the decreased spectral power in the horizontal components due to the heightened Alfvén waves absorption propagating downward that is induced by radon gas emanated from the </w:t>
      </w:r>
      <w:r w:rsidRPr="00E127CA">
        <w:rPr>
          <w:rFonts w:ascii="Times New Roman" w:eastAsia="Times New Roman" w:hAnsi="Times New Roman" w:cs="Times New Roman"/>
          <w:color w:val="000000"/>
          <w:sz w:val="24"/>
          <w:szCs w:val="24"/>
        </w:rPr>
        <w:lastRenderedPageBreak/>
        <w:t xml:space="preserve">earthquake epicenter </w:t>
      </w:r>
      <w:r w:rsidR="006759CD">
        <w:rPr>
          <w:rFonts w:ascii="Times New Roman" w:eastAsia="Times New Roman" w:hAnsi="Times New Roman" w:cs="Times New Roman"/>
          <w:color w:val="000000"/>
          <w:sz w:val="24"/>
          <w:szCs w:val="24"/>
        </w:rPr>
        <w:t xml:space="preserve">(Hayakawa, 2015; </w:t>
      </w:r>
      <w:proofErr w:type="spellStart"/>
      <w:r w:rsidR="006759CD">
        <w:rPr>
          <w:rFonts w:ascii="Times New Roman" w:eastAsia="Times New Roman" w:hAnsi="Times New Roman" w:cs="Times New Roman"/>
          <w:color w:val="000000"/>
          <w:sz w:val="24"/>
          <w:szCs w:val="24"/>
        </w:rPr>
        <w:t>Pulinets</w:t>
      </w:r>
      <w:proofErr w:type="spellEnd"/>
      <w:r w:rsidR="006759CD">
        <w:rPr>
          <w:rFonts w:ascii="Times New Roman" w:eastAsia="Times New Roman" w:hAnsi="Times New Roman" w:cs="Times New Roman"/>
          <w:color w:val="000000"/>
          <w:sz w:val="24"/>
          <w:szCs w:val="24"/>
        </w:rPr>
        <w:t xml:space="preserve"> et al., 2018)</w:t>
      </w:r>
      <w:r w:rsidRPr="00E127CA">
        <w:rPr>
          <w:rFonts w:ascii="Times New Roman" w:eastAsia="Times New Roman" w:hAnsi="Times New Roman" w:cs="Times New Roman"/>
          <w:color w:val="000000"/>
          <w:sz w:val="24"/>
          <w:szCs w:val="24"/>
        </w:rPr>
        <w:t xml:space="preserve">. Since the depression was manifested as the lack of waveform fluctuations in filtered signals (i.e., ULF with oscillation periods, </w:t>
      </w:r>
      <w:r w:rsidR="005208D1" w:rsidRPr="00025957">
        <w:rPr>
          <w:position w:val="-4"/>
        </w:rPr>
        <w:object w:dxaOrig="880" w:dyaOrig="200" w14:anchorId="4D23A86F">
          <v:shape id="_x0000_i1085" type="#_x0000_t75" style="width:44.25pt;height:9.75pt" o:ole="">
            <v:imagedata r:id="rId133" o:title=""/>
          </v:shape>
          <o:OLEObject Type="Embed" ProgID="Equation.DSMT4" ShapeID="_x0000_i1085" DrawAspect="Content" ObjectID="_1699800925" r:id="rId134"/>
        </w:object>
      </w:r>
      <w:r w:rsidRPr="00E127CA">
        <w:rPr>
          <w:rFonts w:ascii="Times New Roman" w:eastAsia="Times New Roman" w:hAnsi="Times New Roman" w:cs="Times New Roman"/>
          <w:color w:val="000000"/>
          <w:sz w:val="24"/>
          <w:szCs w:val="24"/>
        </w:rPr>
        <w:t xml:space="preserve">) </w:t>
      </w:r>
      <w:r w:rsidR="006759CD">
        <w:rPr>
          <w:rFonts w:ascii="Times New Roman" w:eastAsia="Times New Roman" w:hAnsi="Times New Roman" w:cs="Times New Roman"/>
          <w:color w:val="000000"/>
          <w:sz w:val="24"/>
          <w:szCs w:val="24"/>
        </w:rPr>
        <w:t>(</w:t>
      </w:r>
      <w:proofErr w:type="spellStart"/>
      <w:r w:rsidR="006759CD">
        <w:rPr>
          <w:rFonts w:ascii="Times New Roman" w:eastAsia="Times New Roman" w:hAnsi="Times New Roman" w:cs="Times New Roman"/>
          <w:color w:val="000000"/>
          <w:sz w:val="24"/>
          <w:szCs w:val="24"/>
        </w:rPr>
        <w:t>Schekotov</w:t>
      </w:r>
      <w:proofErr w:type="spellEnd"/>
      <w:r w:rsidR="006759CD">
        <w:rPr>
          <w:rFonts w:ascii="Times New Roman" w:eastAsia="Times New Roman" w:hAnsi="Times New Roman" w:cs="Times New Roman"/>
          <w:color w:val="000000"/>
          <w:sz w:val="24"/>
          <w:szCs w:val="24"/>
        </w:rPr>
        <w:t xml:space="preserve"> et al., 2006)</w:t>
      </w:r>
      <w:r w:rsidRPr="00E127CA">
        <w:rPr>
          <w:rFonts w:ascii="Times New Roman" w:eastAsia="Times New Roman" w:hAnsi="Times New Roman" w:cs="Times New Roman"/>
          <w:color w:val="000000"/>
          <w:sz w:val="24"/>
          <w:szCs w:val="24"/>
        </w:rPr>
        <w:t xml:space="preserve">, it is theoretically possible that the total variation range could be significantly diminished if the depression happened during the period of maximum or/and minimum intensities of the typical diurnal variation. </w:t>
      </w:r>
    </w:p>
    <w:p w14:paraId="6AFBC0EB" w14:textId="77777777" w:rsidR="00E127CA" w:rsidRPr="00E127CA" w:rsidRDefault="00E127CA" w:rsidP="005F4365">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4"/>
          <w:szCs w:val="24"/>
        </w:rPr>
      </w:pPr>
      <w:r w:rsidRPr="00E127CA">
        <w:rPr>
          <w:rFonts w:ascii="Times New Roman" w:eastAsia="Times New Roman" w:hAnsi="Times New Roman" w:cs="Times New Roman"/>
          <w:color w:val="000000"/>
          <w:sz w:val="24"/>
          <w:szCs w:val="24"/>
        </w:rPr>
        <w:t xml:space="preserve">The ULF depression phenomenon is ‘highly sensitive’ where it was claimed to be detectable at stations located as far as 400 km away from the epicenter due to its dependence on the ionosphere </w:t>
      </w:r>
      <w:r w:rsidR="006759CD">
        <w:rPr>
          <w:rFonts w:ascii="Times New Roman" w:eastAsia="Times New Roman" w:hAnsi="Times New Roman" w:cs="Times New Roman"/>
          <w:color w:val="000000"/>
          <w:sz w:val="24"/>
          <w:szCs w:val="24"/>
        </w:rPr>
        <w:t>(</w:t>
      </w:r>
      <w:proofErr w:type="spellStart"/>
      <w:r w:rsidR="006759CD">
        <w:rPr>
          <w:rFonts w:ascii="Times New Roman" w:eastAsia="Times New Roman" w:hAnsi="Times New Roman" w:cs="Times New Roman"/>
          <w:color w:val="000000"/>
          <w:sz w:val="24"/>
          <w:szCs w:val="24"/>
        </w:rPr>
        <w:t>Schekotov</w:t>
      </w:r>
      <w:proofErr w:type="spellEnd"/>
      <w:r w:rsidR="006759CD">
        <w:rPr>
          <w:rFonts w:ascii="Times New Roman" w:eastAsia="Times New Roman" w:hAnsi="Times New Roman" w:cs="Times New Roman"/>
          <w:color w:val="000000"/>
          <w:sz w:val="24"/>
          <w:szCs w:val="24"/>
        </w:rPr>
        <w:t xml:space="preserve"> et al., 2020)</w:t>
      </w:r>
      <w:r w:rsidRPr="00E127CA">
        <w:rPr>
          <w:rFonts w:ascii="Times New Roman" w:eastAsia="Times New Roman" w:hAnsi="Times New Roman" w:cs="Times New Roman"/>
          <w:color w:val="000000"/>
          <w:sz w:val="24"/>
          <w:szCs w:val="24"/>
        </w:rPr>
        <w:t xml:space="preserve">, which could spread out its perturbing effects over a greater coverage </w:t>
      </w:r>
      <w:r w:rsidR="006759CD">
        <w:rPr>
          <w:rFonts w:ascii="Times New Roman" w:eastAsia="Times New Roman" w:hAnsi="Times New Roman" w:cs="Times New Roman"/>
          <w:color w:val="000000"/>
          <w:sz w:val="24"/>
          <w:szCs w:val="24"/>
        </w:rPr>
        <w:t>(</w:t>
      </w:r>
      <w:proofErr w:type="spellStart"/>
      <w:r w:rsidR="006759CD">
        <w:rPr>
          <w:rFonts w:ascii="Times New Roman" w:eastAsia="Times New Roman" w:hAnsi="Times New Roman" w:cs="Times New Roman"/>
          <w:color w:val="000000"/>
          <w:sz w:val="24"/>
          <w:szCs w:val="24"/>
        </w:rPr>
        <w:t>Potirakis</w:t>
      </w:r>
      <w:proofErr w:type="spellEnd"/>
      <w:r w:rsidR="006759CD">
        <w:rPr>
          <w:rFonts w:ascii="Times New Roman" w:eastAsia="Times New Roman" w:hAnsi="Times New Roman" w:cs="Times New Roman"/>
          <w:color w:val="000000"/>
          <w:sz w:val="24"/>
          <w:szCs w:val="24"/>
        </w:rPr>
        <w:t xml:space="preserve"> et al., 2019b)</w:t>
      </w:r>
      <w:r w:rsidRPr="00E127CA">
        <w:rPr>
          <w:rFonts w:ascii="Times New Roman" w:eastAsia="Times New Roman" w:hAnsi="Times New Roman" w:cs="Times New Roman"/>
          <w:color w:val="000000"/>
          <w:sz w:val="24"/>
          <w:szCs w:val="24"/>
        </w:rPr>
        <w:t xml:space="preserve">. Hence, if anomalies in all geomagnetic components were generated through various channels several months before the earthquake, anomalies through a wide-reaching channel like the seismo-ionospheric effect were more likely to arrive at any observatory stations earlier. This assumption was based on how anomalies are generated underground where the process could start up to two months before earthquakes </w:t>
      </w:r>
      <w:r w:rsidR="006759CD">
        <w:rPr>
          <w:rFonts w:ascii="Times New Roman" w:eastAsia="Times New Roman" w:hAnsi="Times New Roman" w:cs="Times New Roman"/>
          <w:color w:val="000000"/>
          <w:sz w:val="24"/>
          <w:szCs w:val="24"/>
        </w:rPr>
        <w:t>(</w:t>
      </w:r>
      <w:proofErr w:type="spellStart"/>
      <w:r w:rsidR="006759CD">
        <w:rPr>
          <w:rFonts w:ascii="Times New Roman" w:eastAsia="Times New Roman" w:hAnsi="Times New Roman" w:cs="Times New Roman"/>
          <w:color w:val="000000"/>
          <w:sz w:val="24"/>
          <w:szCs w:val="24"/>
        </w:rPr>
        <w:t>Akinaga</w:t>
      </w:r>
      <w:proofErr w:type="spellEnd"/>
      <w:r w:rsidR="006759CD">
        <w:rPr>
          <w:rFonts w:ascii="Times New Roman" w:eastAsia="Times New Roman" w:hAnsi="Times New Roman" w:cs="Times New Roman"/>
          <w:color w:val="000000"/>
          <w:sz w:val="24"/>
          <w:szCs w:val="24"/>
        </w:rPr>
        <w:t xml:space="preserve"> et al., 2001; Han et al., 2015; Han et al., 2016; Xu et al., 2013)</w:t>
      </w:r>
      <w:r w:rsidRPr="00E127CA">
        <w:rPr>
          <w:rFonts w:ascii="Times New Roman" w:eastAsia="Times New Roman" w:hAnsi="Times New Roman" w:cs="Times New Roman"/>
          <w:color w:val="000000"/>
          <w:sz w:val="24"/>
          <w:szCs w:val="24"/>
        </w:rPr>
        <w:t xml:space="preserve"> and the generation occurs continuously instead of short-lived </w:t>
      </w:r>
      <w:r w:rsidR="006759CD">
        <w:rPr>
          <w:rFonts w:ascii="Times New Roman" w:eastAsia="Times New Roman" w:hAnsi="Times New Roman" w:cs="Times New Roman"/>
          <w:color w:val="000000"/>
          <w:sz w:val="24"/>
          <w:szCs w:val="24"/>
        </w:rPr>
        <w:t>(Hayakawa, 2015)</w:t>
      </w:r>
      <w:r w:rsidRPr="00E127CA">
        <w:rPr>
          <w:rFonts w:ascii="Times New Roman" w:eastAsia="Times New Roman" w:hAnsi="Times New Roman" w:cs="Times New Roman"/>
          <w:color w:val="000000"/>
          <w:sz w:val="24"/>
          <w:szCs w:val="24"/>
        </w:rPr>
        <w:t xml:space="preserve">. In addition, the direct lithospheric effect that potentially generated the </w:t>
      </w:r>
      <w:r w:rsidR="005208D1" w:rsidRPr="00025957">
        <w:rPr>
          <w:position w:val="-4"/>
        </w:rPr>
        <w:object w:dxaOrig="160" w:dyaOrig="180" w14:anchorId="6C018C07">
          <v:shape id="_x0000_i1086" type="#_x0000_t75" style="width:8.25pt;height:9pt" o:ole="">
            <v:imagedata r:id="rId135" o:title=""/>
          </v:shape>
          <o:OLEObject Type="Embed" ProgID="Equation.DSMT4" ShapeID="_x0000_i1086" DrawAspect="Content" ObjectID="_1699800926" r:id="rId136"/>
        </w:object>
      </w:r>
      <w:r w:rsidRPr="00E127CA">
        <w:rPr>
          <w:rFonts w:ascii="Times New Roman" w:eastAsia="Times New Roman" w:hAnsi="Times New Roman" w:cs="Times New Roman"/>
          <w:color w:val="000000"/>
          <w:sz w:val="24"/>
          <w:szCs w:val="24"/>
        </w:rPr>
        <w:t xml:space="preserve"> component anomalies </w:t>
      </w:r>
      <w:r w:rsidR="00EE096D">
        <w:rPr>
          <w:rFonts w:ascii="Times New Roman" w:eastAsia="Times New Roman" w:hAnsi="Times New Roman" w:cs="Times New Roman"/>
          <w:color w:val="000000"/>
          <w:sz w:val="24"/>
          <w:szCs w:val="24"/>
        </w:rPr>
        <w:t>are</w:t>
      </w:r>
      <w:r w:rsidRPr="00E127CA">
        <w:rPr>
          <w:rFonts w:ascii="Times New Roman" w:eastAsia="Times New Roman" w:hAnsi="Times New Roman" w:cs="Times New Roman"/>
          <w:color w:val="000000"/>
          <w:sz w:val="24"/>
          <w:szCs w:val="24"/>
        </w:rPr>
        <w:t xml:space="preserve"> said to be locally confined and has shorter detectable distances. Hence, the difference in terms of the mechanisms that generated </w:t>
      </w:r>
      <w:r w:rsidRPr="00E127CA">
        <w:rPr>
          <w:rFonts w:ascii="Times New Roman" w:eastAsia="Times New Roman" w:hAnsi="Times New Roman" w:cs="Times New Roman"/>
          <w:i/>
          <w:color w:val="000000"/>
          <w:sz w:val="24"/>
          <w:szCs w:val="24"/>
        </w:rPr>
        <w:t>Z</w:t>
      </w:r>
      <w:r w:rsidRPr="00E127CA">
        <w:rPr>
          <w:rFonts w:ascii="Times New Roman" w:eastAsia="Times New Roman" w:hAnsi="Times New Roman" w:cs="Times New Roman"/>
          <w:color w:val="000000"/>
          <w:sz w:val="24"/>
          <w:szCs w:val="24"/>
        </w:rPr>
        <w:t xml:space="preserve"> and horizontal component anomalies is a possible explanation for the temporal lags of the anomaly appearances where the former appeared after the latter. </w:t>
      </w:r>
    </w:p>
    <w:p w14:paraId="5724F746" w14:textId="58078344" w:rsidR="00F03DD8" w:rsidRDefault="00F03DD8">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3343B8C5" w14:textId="77777777" w:rsidR="00B45CD5" w:rsidRDefault="00B45CD5">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402F14AB" w14:textId="77777777" w:rsidR="00F03DD8" w:rsidRDefault="00522A2C" w:rsidP="005F4365">
      <w:pPr>
        <w:spacing w:after="0" w:line="240" w:lineRule="auto"/>
        <w:ind w:leftChars="0" w:left="0" w:firstLineChars="0" w:firstLine="0"/>
        <w:rPr>
          <w:rFonts w:ascii="Times New Roman" w:eastAsia="Times New Roman" w:hAnsi="Times New Roman" w:cs="Times New Roman"/>
          <w:sz w:val="24"/>
          <w:szCs w:val="24"/>
        </w:rPr>
      </w:pPr>
      <w:r>
        <w:rPr>
          <w:rFonts w:ascii="Times New Roman" w:eastAsia="Times New Roman" w:hAnsi="Times New Roman" w:cs="Times New Roman"/>
          <w:b/>
          <w:sz w:val="24"/>
          <w:szCs w:val="24"/>
        </w:rPr>
        <w:t>Conclusion</w:t>
      </w:r>
      <w:r>
        <w:rPr>
          <w:rFonts w:ascii="Times New Roman" w:eastAsia="Times New Roman" w:hAnsi="Times New Roman" w:cs="Times New Roman"/>
          <w:sz w:val="24"/>
          <w:szCs w:val="24"/>
        </w:rPr>
        <w:t xml:space="preserve"> </w:t>
      </w:r>
    </w:p>
    <w:p w14:paraId="6938AE99" w14:textId="77777777" w:rsidR="00F03DD8" w:rsidRDefault="00F03DD8">
      <w:pPr>
        <w:spacing w:after="0" w:line="240" w:lineRule="auto"/>
        <w:ind w:left="0" w:hanging="2"/>
        <w:rPr>
          <w:rFonts w:ascii="Times New Roman" w:eastAsia="Times New Roman" w:hAnsi="Times New Roman" w:cs="Times New Roman"/>
          <w:sz w:val="24"/>
          <w:szCs w:val="24"/>
        </w:rPr>
      </w:pPr>
    </w:p>
    <w:p w14:paraId="3E8F128D" w14:textId="77777777" w:rsidR="005F4365" w:rsidRPr="005F4365" w:rsidRDefault="005F4365" w:rsidP="005F4365">
      <w:pPr>
        <w:spacing w:after="0" w:line="240" w:lineRule="auto"/>
        <w:ind w:left="0" w:hanging="2"/>
        <w:jc w:val="both"/>
        <w:rPr>
          <w:rFonts w:ascii="Times New Roman" w:eastAsia="Times New Roman" w:hAnsi="Times New Roman" w:cs="Times New Roman"/>
          <w:sz w:val="24"/>
          <w:szCs w:val="24"/>
        </w:rPr>
      </w:pPr>
      <w:r w:rsidRPr="005F4365">
        <w:rPr>
          <w:rFonts w:ascii="Times New Roman" w:eastAsia="Times New Roman" w:hAnsi="Times New Roman" w:cs="Times New Roman"/>
          <w:sz w:val="24"/>
          <w:szCs w:val="24"/>
        </w:rPr>
        <w:t>The study of statistical significance of diurnal variation anomalies in the geomagnetic field appearing before earthquakes was carried out for the first time</w:t>
      </w:r>
      <w:r w:rsidR="005C30A0">
        <w:rPr>
          <w:rFonts w:ascii="Times New Roman" w:eastAsia="Times New Roman" w:hAnsi="Times New Roman" w:cs="Times New Roman"/>
          <w:sz w:val="24"/>
          <w:szCs w:val="24"/>
        </w:rPr>
        <w:t xml:space="preserve"> by utilizing long-term data</w:t>
      </w:r>
      <w:r w:rsidR="006759CD">
        <w:rPr>
          <w:rFonts w:ascii="Times New Roman" w:eastAsia="Times New Roman" w:hAnsi="Times New Roman" w:cs="Times New Roman"/>
          <w:sz w:val="24"/>
          <w:szCs w:val="24"/>
        </w:rPr>
        <w:t>.</w:t>
      </w:r>
      <w:r w:rsidR="005C30A0">
        <w:rPr>
          <w:rFonts w:ascii="Times New Roman" w:eastAsia="Times New Roman" w:hAnsi="Times New Roman" w:cs="Times New Roman"/>
          <w:sz w:val="24"/>
          <w:szCs w:val="24"/>
        </w:rPr>
        <w:t xml:space="preserve"> Through this study,</w:t>
      </w:r>
      <w:r w:rsidRPr="005F4365">
        <w:rPr>
          <w:rFonts w:ascii="Times New Roman" w:eastAsia="Times New Roman" w:hAnsi="Times New Roman" w:cs="Times New Roman"/>
          <w:sz w:val="24"/>
          <w:szCs w:val="24"/>
        </w:rPr>
        <w:t xml:space="preserve"> the DVRR method was found to be successful in minimizing solar disturbances while preserving possible seismically induced anomalies. It was found that all three components exhibited significant increases in anomaly counts, contrary to findings by previous studies where only anomalies in the </w:t>
      </w:r>
      <w:r w:rsidR="005208D1" w:rsidRPr="00025957">
        <w:rPr>
          <w:position w:val="-4"/>
        </w:rPr>
        <w:object w:dxaOrig="160" w:dyaOrig="180" w14:anchorId="1265E35B">
          <v:shape id="_x0000_i1087" type="#_x0000_t75" style="width:8.25pt;height:9pt" o:ole="">
            <v:imagedata r:id="rId137" o:title=""/>
          </v:shape>
          <o:OLEObject Type="Embed" ProgID="Equation.DSMT4" ShapeID="_x0000_i1087" DrawAspect="Content" ObjectID="_1699800927" r:id="rId138"/>
        </w:object>
      </w:r>
      <w:r w:rsidRPr="005F4365">
        <w:rPr>
          <w:rFonts w:ascii="Times New Roman" w:eastAsia="Times New Roman" w:hAnsi="Times New Roman" w:cs="Times New Roman"/>
          <w:sz w:val="24"/>
          <w:szCs w:val="24"/>
        </w:rPr>
        <w:t xml:space="preserve"> component were observed. Based on the results and proposed mechanisms, the anomalies were </w:t>
      </w:r>
      <w:r w:rsidR="005C30A0">
        <w:rPr>
          <w:rFonts w:ascii="Times New Roman" w:eastAsia="Times New Roman" w:hAnsi="Times New Roman" w:cs="Times New Roman"/>
          <w:sz w:val="24"/>
          <w:szCs w:val="24"/>
        </w:rPr>
        <w:t>verified</w:t>
      </w:r>
      <w:r w:rsidR="005C30A0" w:rsidRPr="005F4365">
        <w:rPr>
          <w:rFonts w:ascii="Times New Roman" w:eastAsia="Times New Roman" w:hAnsi="Times New Roman" w:cs="Times New Roman"/>
          <w:sz w:val="24"/>
          <w:szCs w:val="24"/>
        </w:rPr>
        <w:t xml:space="preserve"> </w:t>
      </w:r>
      <w:r w:rsidRPr="005F4365">
        <w:rPr>
          <w:rFonts w:ascii="Times New Roman" w:eastAsia="Times New Roman" w:hAnsi="Times New Roman" w:cs="Times New Roman"/>
          <w:sz w:val="24"/>
          <w:szCs w:val="24"/>
        </w:rPr>
        <w:t>to be significant as well as might be associated with the earthquakes and therefore were possibly precursors to the subsequent earthquakes. It is recommended for future studies to incorporate observations based on satellite data to expand the coverage of geomagnetic field data</w:t>
      </w:r>
      <w:r w:rsidR="005C30A0">
        <w:rPr>
          <w:rFonts w:ascii="Times New Roman" w:eastAsia="Times New Roman" w:hAnsi="Times New Roman" w:cs="Times New Roman"/>
          <w:sz w:val="24"/>
          <w:szCs w:val="24"/>
        </w:rPr>
        <w:t>.</w:t>
      </w:r>
    </w:p>
    <w:p w14:paraId="11C78571" w14:textId="48143B14" w:rsidR="00F03DD8" w:rsidRDefault="00F03DD8" w:rsidP="005F4365">
      <w:pPr>
        <w:spacing w:after="0" w:line="240" w:lineRule="auto"/>
        <w:ind w:leftChars="0" w:left="0" w:firstLineChars="0" w:firstLine="0"/>
        <w:rPr>
          <w:rFonts w:ascii="Times New Roman" w:eastAsia="Times New Roman" w:hAnsi="Times New Roman" w:cs="Times New Roman"/>
          <w:sz w:val="24"/>
          <w:szCs w:val="24"/>
        </w:rPr>
      </w:pPr>
    </w:p>
    <w:p w14:paraId="4B2B3C1E" w14:textId="77777777" w:rsidR="00B45CD5" w:rsidRDefault="00B45CD5" w:rsidP="005F4365">
      <w:pPr>
        <w:spacing w:after="0" w:line="240" w:lineRule="auto"/>
        <w:ind w:leftChars="0" w:left="0" w:firstLineChars="0" w:firstLine="0"/>
        <w:rPr>
          <w:rFonts w:ascii="Times New Roman" w:eastAsia="Times New Roman" w:hAnsi="Times New Roman" w:cs="Times New Roman"/>
          <w:sz w:val="24"/>
          <w:szCs w:val="24"/>
        </w:rPr>
      </w:pPr>
    </w:p>
    <w:p w14:paraId="2E56E7D7" w14:textId="77777777" w:rsidR="00F03DD8" w:rsidRDefault="00522A2C">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Acknowledgement </w:t>
      </w:r>
    </w:p>
    <w:p w14:paraId="5708E7E3" w14:textId="77777777" w:rsidR="00F03DD8" w:rsidRDefault="00522A2C">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BB4E5EE" w14:textId="77777777" w:rsidR="000F3A8A" w:rsidRDefault="000F3A8A" w:rsidP="005F4365">
      <w:pPr>
        <w:spacing w:after="0" w:line="240" w:lineRule="auto"/>
        <w:ind w:left="0" w:hanging="2"/>
        <w:jc w:val="both"/>
        <w:rPr>
          <w:rFonts w:ascii="Times New Roman" w:eastAsia="Times New Roman" w:hAnsi="Times New Roman" w:cs="Times New Roman"/>
          <w:sz w:val="24"/>
          <w:szCs w:val="24"/>
        </w:rPr>
      </w:pPr>
      <w:r w:rsidRPr="000F3A8A">
        <w:rPr>
          <w:rFonts w:ascii="Times New Roman" w:eastAsia="Times New Roman" w:hAnsi="Times New Roman" w:cs="Times New Roman"/>
          <w:sz w:val="24"/>
          <w:szCs w:val="24"/>
        </w:rPr>
        <w:t xml:space="preserve">This work was supported in part by the Ministry of Higher Education Malaysia through </w:t>
      </w:r>
      <w:proofErr w:type="spellStart"/>
      <w:r w:rsidRPr="000F3A8A">
        <w:rPr>
          <w:rFonts w:ascii="Times New Roman" w:eastAsia="Times New Roman" w:hAnsi="Times New Roman" w:cs="Times New Roman"/>
          <w:sz w:val="24"/>
          <w:szCs w:val="24"/>
        </w:rPr>
        <w:t>Universiti</w:t>
      </w:r>
      <w:proofErr w:type="spellEnd"/>
      <w:r w:rsidRPr="000F3A8A">
        <w:rPr>
          <w:rFonts w:ascii="Times New Roman" w:eastAsia="Times New Roman" w:hAnsi="Times New Roman" w:cs="Times New Roman"/>
          <w:sz w:val="24"/>
          <w:szCs w:val="24"/>
        </w:rPr>
        <w:t xml:space="preserve"> </w:t>
      </w:r>
      <w:proofErr w:type="spellStart"/>
      <w:r w:rsidRPr="000F3A8A">
        <w:rPr>
          <w:rFonts w:ascii="Times New Roman" w:eastAsia="Times New Roman" w:hAnsi="Times New Roman" w:cs="Times New Roman"/>
          <w:sz w:val="24"/>
          <w:szCs w:val="24"/>
        </w:rPr>
        <w:t>Kebangsaan</w:t>
      </w:r>
      <w:proofErr w:type="spellEnd"/>
      <w:r w:rsidRPr="000F3A8A">
        <w:rPr>
          <w:rFonts w:ascii="Times New Roman" w:eastAsia="Times New Roman" w:hAnsi="Times New Roman" w:cs="Times New Roman"/>
          <w:sz w:val="24"/>
          <w:szCs w:val="24"/>
        </w:rPr>
        <w:t xml:space="preserve"> Malaysia under Grant FRGS/1/2020/TK0/UKM/01/1.</w:t>
      </w:r>
    </w:p>
    <w:p w14:paraId="35E5959B" w14:textId="77777777" w:rsidR="000F3A8A" w:rsidRDefault="000F3A8A" w:rsidP="005F4365">
      <w:pPr>
        <w:spacing w:after="0" w:line="240" w:lineRule="auto"/>
        <w:ind w:left="0" w:hanging="2"/>
        <w:jc w:val="both"/>
        <w:rPr>
          <w:rFonts w:ascii="Times New Roman" w:eastAsia="Times New Roman" w:hAnsi="Times New Roman" w:cs="Times New Roman"/>
          <w:sz w:val="24"/>
          <w:szCs w:val="24"/>
        </w:rPr>
      </w:pPr>
    </w:p>
    <w:p w14:paraId="43A93359" w14:textId="77777777" w:rsidR="005F4365" w:rsidRPr="005F4365" w:rsidRDefault="005F4365" w:rsidP="005F4365">
      <w:pPr>
        <w:spacing w:after="0" w:line="240" w:lineRule="auto"/>
        <w:ind w:left="0" w:hanging="2"/>
        <w:jc w:val="both"/>
        <w:rPr>
          <w:rFonts w:ascii="Times New Roman" w:eastAsia="Times New Roman" w:hAnsi="Times New Roman" w:cs="Times New Roman"/>
          <w:sz w:val="24"/>
          <w:szCs w:val="24"/>
        </w:rPr>
      </w:pPr>
      <w:r w:rsidRPr="005F4365">
        <w:rPr>
          <w:rFonts w:ascii="Times New Roman" w:eastAsia="Times New Roman" w:hAnsi="Times New Roman" w:cs="Times New Roman"/>
          <w:sz w:val="24"/>
          <w:szCs w:val="24"/>
        </w:rPr>
        <w:t xml:space="preserve">The magnetometer data were contributed by the following organizations: INTERMAGNET, Alan Thomson; CARISMA, PI Ian Mann; CANMOS, Geomagnetism Unit of the Geological Survey of Canada; The S-RAMP Database, PI K. Yumoto and Dr. K. </w:t>
      </w:r>
      <w:proofErr w:type="spellStart"/>
      <w:r w:rsidRPr="005F4365">
        <w:rPr>
          <w:rFonts w:ascii="Times New Roman" w:eastAsia="Times New Roman" w:hAnsi="Times New Roman" w:cs="Times New Roman"/>
          <w:sz w:val="24"/>
          <w:szCs w:val="24"/>
        </w:rPr>
        <w:t>Shiokawa</w:t>
      </w:r>
      <w:proofErr w:type="spellEnd"/>
      <w:r w:rsidRPr="005F4365">
        <w:rPr>
          <w:rFonts w:ascii="Times New Roman" w:eastAsia="Times New Roman" w:hAnsi="Times New Roman" w:cs="Times New Roman"/>
          <w:sz w:val="24"/>
          <w:szCs w:val="24"/>
        </w:rPr>
        <w:t xml:space="preserve">; The SPIDR database; AARI, PI Oleg </w:t>
      </w:r>
      <w:proofErr w:type="spellStart"/>
      <w:r w:rsidRPr="005F4365">
        <w:rPr>
          <w:rFonts w:ascii="Times New Roman" w:eastAsia="Times New Roman" w:hAnsi="Times New Roman" w:cs="Times New Roman"/>
          <w:sz w:val="24"/>
          <w:szCs w:val="24"/>
        </w:rPr>
        <w:t>Troshichev</w:t>
      </w:r>
      <w:proofErr w:type="spellEnd"/>
      <w:r w:rsidRPr="005F4365">
        <w:rPr>
          <w:rFonts w:ascii="Times New Roman" w:eastAsia="Times New Roman" w:hAnsi="Times New Roman" w:cs="Times New Roman"/>
          <w:sz w:val="24"/>
          <w:szCs w:val="24"/>
        </w:rPr>
        <w:t xml:space="preserve">; The MACCS program, PI M. </w:t>
      </w:r>
      <w:proofErr w:type="spellStart"/>
      <w:r w:rsidRPr="005F4365">
        <w:rPr>
          <w:rFonts w:ascii="Times New Roman" w:eastAsia="Times New Roman" w:hAnsi="Times New Roman" w:cs="Times New Roman"/>
          <w:sz w:val="24"/>
          <w:szCs w:val="24"/>
        </w:rPr>
        <w:t>Engebretson</w:t>
      </w:r>
      <w:proofErr w:type="spellEnd"/>
      <w:r w:rsidRPr="005F4365">
        <w:rPr>
          <w:rFonts w:ascii="Times New Roman" w:eastAsia="Times New Roman" w:hAnsi="Times New Roman" w:cs="Times New Roman"/>
          <w:sz w:val="24"/>
          <w:szCs w:val="24"/>
        </w:rPr>
        <w:t xml:space="preserve">; GIMA; MEASURE, UCLA IGPP and Florida Institute of Technology; SAMBA, PI </w:t>
      </w:r>
      <w:proofErr w:type="spellStart"/>
      <w:r w:rsidRPr="005F4365">
        <w:rPr>
          <w:rFonts w:ascii="Times New Roman" w:eastAsia="Times New Roman" w:hAnsi="Times New Roman" w:cs="Times New Roman"/>
          <w:sz w:val="24"/>
          <w:szCs w:val="24"/>
        </w:rPr>
        <w:t>Eftyhia</w:t>
      </w:r>
      <w:proofErr w:type="spellEnd"/>
      <w:r w:rsidRPr="005F4365">
        <w:rPr>
          <w:rFonts w:ascii="Times New Roman" w:eastAsia="Times New Roman" w:hAnsi="Times New Roman" w:cs="Times New Roman"/>
          <w:sz w:val="24"/>
          <w:szCs w:val="24"/>
        </w:rPr>
        <w:t xml:space="preserve"> </w:t>
      </w:r>
      <w:proofErr w:type="spellStart"/>
      <w:r w:rsidRPr="005F4365">
        <w:rPr>
          <w:rFonts w:ascii="Times New Roman" w:eastAsia="Times New Roman" w:hAnsi="Times New Roman" w:cs="Times New Roman"/>
          <w:sz w:val="24"/>
          <w:szCs w:val="24"/>
        </w:rPr>
        <w:t>Zesta</w:t>
      </w:r>
      <w:proofErr w:type="spellEnd"/>
      <w:r w:rsidRPr="005F4365">
        <w:rPr>
          <w:rFonts w:ascii="Times New Roman" w:eastAsia="Times New Roman" w:hAnsi="Times New Roman" w:cs="Times New Roman"/>
          <w:sz w:val="24"/>
          <w:szCs w:val="24"/>
        </w:rPr>
        <w:t xml:space="preserve">; 210 Chain, PI K. </w:t>
      </w:r>
      <w:proofErr w:type="spellStart"/>
      <w:r w:rsidRPr="005F4365">
        <w:rPr>
          <w:rFonts w:ascii="Times New Roman" w:eastAsia="Times New Roman" w:hAnsi="Times New Roman" w:cs="Times New Roman"/>
          <w:sz w:val="24"/>
          <w:szCs w:val="24"/>
        </w:rPr>
        <w:t>Yumoto</w:t>
      </w:r>
      <w:proofErr w:type="spellEnd"/>
      <w:r w:rsidRPr="005F4365">
        <w:rPr>
          <w:rFonts w:ascii="Times New Roman" w:eastAsia="Times New Roman" w:hAnsi="Times New Roman" w:cs="Times New Roman"/>
          <w:sz w:val="24"/>
          <w:szCs w:val="24"/>
        </w:rPr>
        <w:t xml:space="preserve">; SAMNET, PI </w:t>
      </w:r>
      <w:proofErr w:type="spellStart"/>
      <w:r w:rsidRPr="005F4365">
        <w:rPr>
          <w:rFonts w:ascii="Times New Roman" w:eastAsia="Times New Roman" w:hAnsi="Times New Roman" w:cs="Times New Roman"/>
          <w:sz w:val="24"/>
          <w:szCs w:val="24"/>
        </w:rPr>
        <w:t>Farideh</w:t>
      </w:r>
      <w:proofErr w:type="spellEnd"/>
      <w:r w:rsidRPr="005F4365">
        <w:rPr>
          <w:rFonts w:ascii="Times New Roman" w:eastAsia="Times New Roman" w:hAnsi="Times New Roman" w:cs="Times New Roman"/>
          <w:sz w:val="24"/>
          <w:szCs w:val="24"/>
        </w:rPr>
        <w:t xml:space="preserve"> </w:t>
      </w:r>
      <w:proofErr w:type="spellStart"/>
      <w:r w:rsidRPr="005F4365">
        <w:rPr>
          <w:rFonts w:ascii="Times New Roman" w:eastAsia="Times New Roman" w:hAnsi="Times New Roman" w:cs="Times New Roman"/>
          <w:sz w:val="24"/>
          <w:szCs w:val="24"/>
        </w:rPr>
        <w:t>Honary</w:t>
      </w:r>
      <w:proofErr w:type="spellEnd"/>
      <w:r w:rsidRPr="005F4365">
        <w:rPr>
          <w:rFonts w:ascii="Times New Roman" w:eastAsia="Times New Roman" w:hAnsi="Times New Roman" w:cs="Times New Roman"/>
          <w:sz w:val="24"/>
          <w:szCs w:val="24"/>
        </w:rPr>
        <w:t xml:space="preserve">; IMAGE, PI </w:t>
      </w:r>
      <w:proofErr w:type="spellStart"/>
      <w:r w:rsidRPr="005F4365">
        <w:rPr>
          <w:rFonts w:ascii="Times New Roman" w:eastAsia="Times New Roman" w:hAnsi="Times New Roman" w:cs="Times New Roman"/>
          <w:sz w:val="24"/>
          <w:szCs w:val="24"/>
        </w:rPr>
        <w:t>Liisa</w:t>
      </w:r>
      <w:proofErr w:type="spellEnd"/>
      <w:r w:rsidRPr="005F4365">
        <w:rPr>
          <w:rFonts w:ascii="Times New Roman" w:eastAsia="Times New Roman" w:hAnsi="Times New Roman" w:cs="Times New Roman"/>
          <w:sz w:val="24"/>
          <w:szCs w:val="24"/>
        </w:rPr>
        <w:t xml:space="preserve"> </w:t>
      </w:r>
      <w:proofErr w:type="spellStart"/>
      <w:r w:rsidRPr="005F4365">
        <w:rPr>
          <w:rFonts w:ascii="Times New Roman" w:eastAsia="Times New Roman" w:hAnsi="Times New Roman" w:cs="Times New Roman"/>
          <w:sz w:val="24"/>
          <w:szCs w:val="24"/>
        </w:rPr>
        <w:t>Juusola</w:t>
      </w:r>
      <w:proofErr w:type="spellEnd"/>
      <w:r w:rsidRPr="005F4365">
        <w:rPr>
          <w:rFonts w:ascii="Times New Roman" w:eastAsia="Times New Roman" w:hAnsi="Times New Roman" w:cs="Times New Roman"/>
          <w:sz w:val="24"/>
          <w:szCs w:val="24"/>
        </w:rPr>
        <w:t xml:space="preserve">; Finnish Meteorological Institute, PI </w:t>
      </w:r>
      <w:proofErr w:type="spellStart"/>
      <w:r w:rsidRPr="005F4365">
        <w:rPr>
          <w:rFonts w:ascii="Times New Roman" w:eastAsia="Times New Roman" w:hAnsi="Times New Roman" w:cs="Times New Roman"/>
          <w:sz w:val="24"/>
          <w:szCs w:val="24"/>
        </w:rPr>
        <w:lastRenderedPageBreak/>
        <w:t>Liisa</w:t>
      </w:r>
      <w:proofErr w:type="spellEnd"/>
      <w:r w:rsidRPr="005F4365">
        <w:rPr>
          <w:rFonts w:ascii="Times New Roman" w:eastAsia="Times New Roman" w:hAnsi="Times New Roman" w:cs="Times New Roman"/>
          <w:sz w:val="24"/>
          <w:szCs w:val="24"/>
        </w:rPr>
        <w:t xml:space="preserve"> </w:t>
      </w:r>
      <w:proofErr w:type="spellStart"/>
      <w:r w:rsidRPr="005F4365">
        <w:rPr>
          <w:rFonts w:ascii="Times New Roman" w:eastAsia="Times New Roman" w:hAnsi="Times New Roman" w:cs="Times New Roman"/>
          <w:sz w:val="24"/>
          <w:szCs w:val="24"/>
        </w:rPr>
        <w:t>Juusola</w:t>
      </w:r>
      <w:proofErr w:type="spellEnd"/>
      <w:r w:rsidRPr="005F4365">
        <w:rPr>
          <w:rFonts w:ascii="Times New Roman" w:eastAsia="Times New Roman" w:hAnsi="Times New Roman" w:cs="Times New Roman"/>
          <w:sz w:val="24"/>
          <w:szCs w:val="24"/>
        </w:rPr>
        <w:t xml:space="preserve">; </w:t>
      </w:r>
      <w:proofErr w:type="spellStart"/>
      <w:r w:rsidRPr="005F4365">
        <w:rPr>
          <w:rFonts w:ascii="Times New Roman" w:eastAsia="Times New Roman" w:hAnsi="Times New Roman" w:cs="Times New Roman"/>
          <w:sz w:val="24"/>
          <w:szCs w:val="24"/>
        </w:rPr>
        <w:t>Sodankylä</w:t>
      </w:r>
      <w:proofErr w:type="spellEnd"/>
      <w:r w:rsidRPr="005F4365">
        <w:rPr>
          <w:rFonts w:ascii="Times New Roman" w:eastAsia="Times New Roman" w:hAnsi="Times New Roman" w:cs="Times New Roman"/>
          <w:sz w:val="24"/>
          <w:szCs w:val="24"/>
        </w:rPr>
        <w:t xml:space="preserve"> Geophysical Observatory, PI </w:t>
      </w:r>
      <w:proofErr w:type="spellStart"/>
      <w:r w:rsidRPr="005F4365">
        <w:rPr>
          <w:rFonts w:ascii="Times New Roman" w:eastAsia="Times New Roman" w:hAnsi="Times New Roman" w:cs="Times New Roman"/>
          <w:sz w:val="24"/>
          <w:szCs w:val="24"/>
        </w:rPr>
        <w:t>Tero</w:t>
      </w:r>
      <w:proofErr w:type="spellEnd"/>
      <w:r w:rsidRPr="005F4365">
        <w:rPr>
          <w:rFonts w:ascii="Times New Roman" w:eastAsia="Times New Roman" w:hAnsi="Times New Roman" w:cs="Times New Roman"/>
          <w:sz w:val="24"/>
          <w:szCs w:val="24"/>
        </w:rPr>
        <w:t xml:space="preserve"> Raita; </w:t>
      </w:r>
      <w:proofErr w:type="spellStart"/>
      <w:r w:rsidRPr="005F4365">
        <w:rPr>
          <w:rFonts w:ascii="Times New Roman" w:eastAsia="Times New Roman" w:hAnsi="Times New Roman" w:cs="Times New Roman"/>
          <w:sz w:val="24"/>
          <w:szCs w:val="24"/>
        </w:rPr>
        <w:t>UiT</w:t>
      </w:r>
      <w:proofErr w:type="spellEnd"/>
      <w:r w:rsidRPr="005F4365">
        <w:rPr>
          <w:rFonts w:ascii="Times New Roman" w:eastAsia="Times New Roman" w:hAnsi="Times New Roman" w:cs="Times New Roman"/>
          <w:sz w:val="24"/>
          <w:szCs w:val="24"/>
        </w:rPr>
        <w:t xml:space="preserve"> the Arctic University of Norway, </w:t>
      </w:r>
      <w:proofErr w:type="spellStart"/>
      <w:r w:rsidRPr="005F4365">
        <w:rPr>
          <w:rFonts w:ascii="Times New Roman" w:eastAsia="Times New Roman" w:hAnsi="Times New Roman" w:cs="Times New Roman"/>
          <w:sz w:val="24"/>
          <w:szCs w:val="24"/>
        </w:rPr>
        <w:t>Tromsø</w:t>
      </w:r>
      <w:proofErr w:type="spellEnd"/>
      <w:r w:rsidRPr="005F4365">
        <w:rPr>
          <w:rFonts w:ascii="Times New Roman" w:eastAsia="Times New Roman" w:hAnsi="Times New Roman" w:cs="Times New Roman"/>
          <w:sz w:val="24"/>
          <w:szCs w:val="24"/>
        </w:rPr>
        <w:t xml:space="preserve"> Geophysical Observatory, PI </w:t>
      </w:r>
      <w:proofErr w:type="spellStart"/>
      <w:r w:rsidRPr="005F4365">
        <w:rPr>
          <w:rFonts w:ascii="Times New Roman" w:eastAsia="Times New Roman" w:hAnsi="Times New Roman" w:cs="Times New Roman"/>
          <w:sz w:val="24"/>
          <w:szCs w:val="24"/>
        </w:rPr>
        <w:t>Magnar</w:t>
      </w:r>
      <w:proofErr w:type="spellEnd"/>
      <w:r w:rsidRPr="005F4365">
        <w:rPr>
          <w:rFonts w:ascii="Times New Roman" w:eastAsia="Times New Roman" w:hAnsi="Times New Roman" w:cs="Times New Roman"/>
          <w:sz w:val="24"/>
          <w:szCs w:val="24"/>
        </w:rPr>
        <w:t xml:space="preserve"> G. Johnsen; GFZ German Research Centre For Geosciences, PI Jürgen </w:t>
      </w:r>
      <w:proofErr w:type="spellStart"/>
      <w:r w:rsidRPr="005F4365">
        <w:rPr>
          <w:rFonts w:ascii="Times New Roman" w:eastAsia="Times New Roman" w:hAnsi="Times New Roman" w:cs="Times New Roman"/>
          <w:sz w:val="24"/>
          <w:szCs w:val="24"/>
        </w:rPr>
        <w:t>Matzka</w:t>
      </w:r>
      <w:proofErr w:type="spellEnd"/>
      <w:r w:rsidRPr="005F4365">
        <w:rPr>
          <w:rFonts w:ascii="Times New Roman" w:eastAsia="Times New Roman" w:hAnsi="Times New Roman" w:cs="Times New Roman"/>
          <w:sz w:val="24"/>
          <w:szCs w:val="24"/>
        </w:rPr>
        <w:t xml:space="preserve">; Institute of Geophysics, Polish Academy of Sciences, PI Anne </w:t>
      </w:r>
      <w:proofErr w:type="spellStart"/>
      <w:r w:rsidRPr="005F4365">
        <w:rPr>
          <w:rFonts w:ascii="Times New Roman" w:eastAsia="Times New Roman" w:hAnsi="Times New Roman" w:cs="Times New Roman"/>
          <w:sz w:val="24"/>
          <w:szCs w:val="24"/>
        </w:rPr>
        <w:t>Neska</w:t>
      </w:r>
      <w:proofErr w:type="spellEnd"/>
      <w:r w:rsidRPr="005F4365">
        <w:rPr>
          <w:rFonts w:ascii="Times New Roman" w:eastAsia="Times New Roman" w:hAnsi="Times New Roman" w:cs="Times New Roman"/>
          <w:sz w:val="24"/>
          <w:szCs w:val="24"/>
        </w:rPr>
        <w:t xml:space="preserve"> and Jan </w:t>
      </w:r>
      <w:proofErr w:type="spellStart"/>
      <w:r w:rsidRPr="005F4365">
        <w:rPr>
          <w:rFonts w:ascii="Times New Roman" w:eastAsia="Times New Roman" w:hAnsi="Times New Roman" w:cs="Times New Roman"/>
          <w:sz w:val="24"/>
          <w:szCs w:val="24"/>
        </w:rPr>
        <w:t>Reda</w:t>
      </w:r>
      <w:proofErr w:type="spellEnd"/>
      <w:r w:rsidRPr="005F4365">
        <w:rPr>
          <w:rFonts w:ascii="Times New Roman" w:eastAsia="Times New Roman" w:hAnsi="Times New Roman" w:cs="Times New Roman"/>
          <w:sz w:val="24"/>
          <w:szCs w:val="24"/>
        </w:rPr>
        <w:t xml:space="preserve">; Polar Geophysical Institute, PI Alexander </w:t>
      </w:r>
      <w:proofErr w:type="spellStart"/>
      <w:r w:rsidRPr="005F4365">
        <w:rPr>
          <w:rFonts w:ascii="Times New Roman" w:eastAsia="Times New Roman" w:hAnsi="Times New Roman" w:cs="Times New Roman"/>
          <w:sz w:val="24"/>
          <w:szCs w:val="24"/>
        </w:rPr>
        <w:t>Yahnin</w:t>
      </w:r>
      <w:proofErr w:type="spellEnd"/>
      <w:r w:rsidRPr="005F4365">
        <w:rPr>
          <w:rFonts w:ascii="Times New Roman" w:eastAsia="Times New Roman" w:hAnsi="Times New Roman" w:cs="Times New Roman"/>
          <w:sz w:val="24"/>
          <w:szCs w:val="24"/>
        </w:rPr>
        <w:t xml:space="preserve"> and </w:t>
      </w:r>
      <w:proofErr w:type="spellStart"/>
      <w:r w:rsidRPr="005F4365">
        <w:rPr>
          <w:rFonts w:ascii="Times New Roman" w:eastAsia="Times New Roman" w:hAnsi="Times New Roman" w:cs="Times New Roman"/>
          <w:sz w:val="24"/>
          <w:szCs w:val="24"/>
        </w:rPr>
        <w:t>Yarolav</w:t>
      </w:r>
      <w:proofErr w:type="spellEnd"/>
      <w:r w:rsidRPr="005F4365">
        <w:rPr>
          <w:rFonts w:ascii="Times New Roman" w:eastAsia="Times New Roman" w:hAnsi="Times New Roman" w:cs="Times New Roman"/>
          <w:sz w:val="24"/>
          <w:szCs w:val="24"/>
        </w:rPr>
        <w:t xml:space="preserve"> Sakharov; Geological Survey of Sweden, PI Gerhard Schwarz; Swedish Institute of Space Physics, PI Masatoshi Yamauchi; AUTUMN, PI Martin Connors; DTU Space, Thom Edwards and PI Anna Willer; South Pole and McMurdo Magnetometer, PI's Louis J. </w:t>
      </w:r>
      <w:proofErr w:type="spellStart"/>
      <w:r w:rsidRPr="005F4365">
        <w:rPr>
          <w:rFonts w:ascii="Times New Roman" w:eastAsia="Times New Roman" w:hAnsi="Times New Roman" w:cs="Times New Roman"/>
          <w:sz w:val="24"/>
          <w:szCs w:val="24"/>
        </w:rPr>
        <w:t>Lanzarotti</w:t>
      </w:r>
      <w:proofErr w:type="spellEnd"/>
      <w:r w:rsidRPr="005F4365">
        <w:rPr>
          <w:rFonts w:ascii="Times New Roman" w:eastAsia="Times New Roman" w:hAnsi="Times New Roman" w:cs="Times New Roman"/>
          <w:sz w:val="24"/>
          <w:szCs w:val="24"/>
        </w:rPr>
        <w:t xml:space="preserve"> and Alan T. Weatherwax; ICESTAR; RAPIDMAG; British </w:t>
      </w:r>
      <w:proofErr w:type="spellStart"/>
      <w:r w:rsidRPr="005F4365">
        <w:rPr>
          <w:rFonts w:ascii="Times New Roman" w:eastAsia="Times New Roman" w:hAnsi="Times New Roman" w:cs="Times New Roman"/>
          <w:sz w:val="24"/>
          <w:szCs w:val="24"/>
        </w:rPr>
        <w:t>Artarctic</w:t>
      </w:r>
      <w:proofErr w:type="spellEnd"/>
      <w:r w:rsidRPr="005F4365">
        <w:rPr>
          <w:rFonts w:ascii="Times New Roman" w:eastAsia="Times New Roman" w:hAnsi="Times New Roman" w:cs="Times New Roman"/>
          <w:sz w:val="24"/>
          <w:szCs w:val="24"/>
        </w:rPr>
        <w:t xml:space="preserve"> Survey; </w:t>
      </w:r>
      <w:proofErr w:type="spellStart"/>
      <w:r w:rsidRPr="005F4365">
        <w:rPr>
          <w:rFonts w:ascii="Times New Roman" w:eastAsia="Times New Roman" w:hAnsi="Times New Roman" w:cs="Times New Roman"/>
          <w:sz w:val="24"/>
          <w:szCs w:val="24"/>
        </w:rPr>
        <w:t>McMac</w:t>
      </w:r>
      <w:proofErr w:type="spellEnd"/>
      <w:r w:rsidRPr="005F4365">
        <w:rPr>
          <w:rFonts w:ascii="Times New Roman" w:eastAsia="Times New Roman" w:hAnsi="Times New Roman" w:cs="Times New Roman"/>
          <w:sz w:val="24"/>
          <w:szCs w:val="24"/>
        </w:rPr>
        <w:t xml:space="preserve">, PI Dr. Peter Chi; BGS, PI Dr. Susan Macmillan; </w:t>
      </w:r>
      <w:proofErr w:type="spellStart"/>
      <w:r w:rsidRPr="005F4365">
        <w:rPr>
          <w:rFonts w:ascii="Times New Roman" w:eastAsia="Times New Roman" w:hAnsi="Times New Roman" w:cs="Times New Roman"/>
          <w:sz w:val="24"/>
          <w:szCs w:val="24"/>
        </w:rPr>
        <w:t>Pushkov</w:t>
      </w:r>
      <w:proofErr w:type="spellEnd"/>
      <w:r w:rsidRPr="005F4365">
        <w:rPr>
          <w:rFonts w:ascii="Times New Roman" w:eastAsia="Times New Roman" w:hAnsi="Times New Roman" w:cs="Times New Roman"/>
          <w:sz w:val="24"/>
          <w:szCs w:val="24"/>
        </w:rPr>
        <w:t xml:space="preserve"> Institute of Terrestrial Magnetism, Ionosphere and Radio Wave Propagation (IZMIRAN); MFGI, PI B. Heilig; Institute of Geophysics, Polish Academy of Sciences, PI Anne </w:t>
      </w:r>
      <w:proofErr w:type="spellStart"/>
      <w:r w:rsidRPr="005F4365">
        <w:rPr>
          <w:rFonts w:ascii="Times New Roman" w:eastAsia="Times New Roman" w:hAnsi="Times New Roman" w:cs="Times New Roman"/>
          <w:sz w:val="24"/>
          <w:szCs w:val="24"/>
        </w:rPr>
        <w:t>Neska</w:t>
      </w:r>
      <w:proofErr w:type="spellEnd"/>
      <w:r w:rsidRPr="005F4365">
        <w:rPr>
          <w:rFonts w:ascii="Times New Roman" w:eastAsia="Times New Roman" w:hAnsi="Times New Roman" w:cs="Times New Roman"/>
          <w:sz w:val="24"/>
          <w:szCs w:val="24"/>
        </w:rPr>
        <w:t xml:space="preserve"> and Jan </w:t>
      </w:r>
      <w:proofErr w:type="spellStart"/>
      <w:r w:rsidRPr="005F4365">
        <w:rPr>
          <w:rFonts w:ascii="Times New Roman" w:eastAsia="Times New Roman" w:hAnsi="Times New Roman" w:cs="Times New Roman"/>
          <w:sz w:val="24"/>
          <w:szCs w:val="24"/>
        </w:rPr>
        <w:t>Reda</w:t>
      </w:r>
      <w:proofErr w:type="spellEnd"/>
      <w:r w:rsidRPr="005F4365">
        <w:rPr>
          <w:rFonts w:ascii="Times New Roman" w:eastAsia="Times New Roman" w:hAnsi="Times New Roman" w:cs="Times New Roman"/>
          <w:sz w:val="24"/>
          <w:szCs w:val="24"/>
        </w:rPr>
        <w:t xml:space="preserve">; University of L’Aquila, PI M. </w:t>
      </w:r>
      <w:proofErr w:type="spellStart"/>
      <w:r w:rsidRPr="005F4365">
        <w:rPr>
          <w:rFonts w:ascii="Times New Roman" w:eastAsia="Times New Roman" w:hAnsi="Times New Roman" w:cs="Times New Roman"/>
          <w:sz w:val="24"/>
          <w:szCs w:val="24"/>
        </w:rPr>
        <w:t>Vellante</w:t>
      </w:r>
      <w:proofErr w:type="spellEnd"/>
      <w:r w:rsidRPr="005F4365">
        <w:rPr>
          <w:rFonts w:ascii="Times New Roman" w:eastAsia="Times New Roman" w:hAnsi="Times New Roman" w:cs="Times New Roman"/>
          <w:sz w:val="24"/>
          <w:szCs w:val="24"/>
        </w:rPr>
        <w:t xml:space="preserve">; BCMT, V. </w:t>
      </w:r>
      <w:proofErr w:type="spellStart"/>
      <w:r w:rsidRPr="005F4365">
        <w:rPr>
          <w:rFonts w:ascii="Times New Roman" w:eastAsia="Times New Roman" w:hAnsi="Times New Roman" w:cs="Times New Roman"/>
          <w:sz w:val="24"/>
          <w:szCs w:val="24"/>
        </w:rPr>
        <w:t>Lesur</w:t>
      </w:r>
      <w:proofErr w:type="spellEnd"/>
      <w:r w:rsidRPr="005F4365">
        <w:rPr>
          <w:rFonts w:ascii="Times New Roman" w:eastAsia="Times New Roman" w:hAnsi="Times New Roman" w:cs="Times New Roman"/>
          <w:sz w:val="24"/>
          <w:szCs w:val="24"/>
        </w:rPr>
        <w:t xml:space="preserve"> and A. </w:t>
      </w:r>
      <w:proofErr w:type="spellStart"/>
      <w:r w:rsidRPr="005F4365">
        <w:rPr>
          <w:rFonts w:ascii="Times New Roman" w:eastAsia="Times New Roman" w:hAnsi="Times New Roman" w:cs="Times New Roman"/>
          <w:sz w:val="24"/>
          <w:szCs w:val="24"/>
        </w:rPr>
        <w:t>Chambodut</w:t>
      </w:r>
      <w:proofErr w:type="spellEnd"/>
      <w:r w:rsidRPr="005F4365">
        <w:rPr>
          <w:rFonts w:ascii="Times New Roman" w:eastAsia="Times New Roman" w:hAnsi="Times New Roman" w:cs="Times New Roman"/>
          <w:sz w:val="24"/>
          <w:szCs w:val="24"/>
        </w:rPr>
        <w:t xml:space="preserve">; Data obtained in cooperation with Geoscience Australia, PI Andrew Lewis; AALPIP, co-PIs Bob </w:t>
      </w:r>
      <w:proofErr w:type="spellStart"/>
      <w:r w:rsidRPr="005F4365">
        <w:rPr>
          <w:rFonts w:ascii="Times New Roman" w:eastAsia="Times New Roman" w:hAnsi="Times New Roman" w:cs="Times New Roman"/>
          <w:sz w:val="24"/>
          <w:szCs w:val="24"/>
        </w:rPr>
        <w:t>Clauer</w:t>
      </w:r>
      <w:proofErr w:type="spellEnd"/>
      <w:r w:rsidRPr="005F4365">
        <w:rPr>
          <w:rFonts w:ascii="Times New Roman" w:eastAsia="Times New Roman" w:hAnsi="Times New Roman" w:cs="Times New Roman"/>
          <w:sz w:val="24"/>
          <w:szCs w:val="24"/>
        </w:rPr>
        <w:t xml:space="preserve"> and Michael </w:t>
      </w:r>
      <w:proofErr w:type="spellStart"/>
      <w:r w:rsidRPr="005F4365">
        <w:rPr>
          <w:rFonts w:ascii="Times New Roman" w:eastAsia="Times New Roman" w:hAnsi="Times New Roman" w:cs="Times New Roman"/>
          <w:sz w:val="24"/>
          <w:szCs w:val="24"/>
        </w:rPr>
        <w:t>Hartinger</w:t>
      </w:r>
      <w:proofErr w:type="spellEnd"/>
      <w:r w:rsidRPr="005F4365">
        <w:rPr>
          <w:rFonts w:ascii="Times New Roman" w:eastAsia="Times New Roman" w:hAnsi="Times New Roman" w:cs="Times New Roman"/>
          <w:sz w:val="24"/>
          <w:szCs w:val="24"/>
        </w:rPr>
        <w:t xml:space="preserve">; </w:t>
      </w:r>
      <w:proofErr w:type="spellStart"/>
      <w:r w:rsidRPr="005F4365">
        <w:rPr>
          <w:rFonts w:ascii="Times New Roman" w:eastAsia="Times New Roman" w:hAnsi="Times New Roman" w:cs="Times New Roman"/>
          <w:sz w:val="24"/>
          <w:szCs w:val="24"/>
        </w:rPr>
        <w:t>SuperMAG</w:t>
      </w:r>
      <w:proofErr w:type="spellEnd"/>
      <w:r w:rsidRPr="005F4365">
        <w:rPr>
          <w:rFonts w:ascii="Times New Roman" w:eastAsia="Times New Roman" w:hAnsi="Times New Roman" w:cs="Times New Roman"/>
          <w:sz w:val="24"/>
          <w:szCs w:val="24"/>
        </w:rPr>
        <w:t xml:space="preserve">, PI </w:t>
      </w:r>
      <w:proofErr w:type="spellStart"/>
      <w:r w:rsidRPr="005F4365">
        <w:rPr>
          <w:rFonts w:ascii="Times New Roman" w:eastAsia="Times New Roman" w:hAnsi="Times New Roman" w:cs="Times New Roman"/>
          <w:sz w:val="24"/>
          <w:szCs w:val="24"/>
        </w:rPr>
        <w:t>Jesper</w:t>
      </w:r>
      <w:proofErr w:type="spellEnd"/>
      <w:r w:rsidRPr="005F4365">
        <w:rPr>
          <w:rFonts w:ascii="Times New Roman" w:eastAsia="Times New Roman" w:hAnsi="Times New Roman" w:cs="Times New Roman"/>
          <w:sz w:val="24"/>
          <w:szCs w:val="24"/>
        </w:rPr>
        <w:t xml:space="preserve"> W. </w:t>
      </w:r>
      <w:proofErr w:type="spellStart"/>
      <w:r w:rsidRPr="005F4365">
        <w:rPr>
          <w:rFonts w:ascii="Times New Roman" w:eastAsia="Times New Roman" w:hAnsi="Times New Roman" w:cs="Times New Roman"/>
          <w:sz w:val="24"/>
          <w:szCs w:val="24"/>
        </w:rPr>
        <w:t>Gjerloev</w:t>
      </w:r>
      <w:proofErr w:type="spellEnd"/>
      <w:r w:rsidRPr="005F4365">
        <w:rPr>
          <w:rFonts w:ascii="Times New Roman" w:eastAsia="Times New Roman" w:hAnsi="Times New Roman" w:cs="Times New Roman"/>
          <w:sz w:val="24"/>
          <w:szCs w:val="24"/>
        </w:rPr>
        <w:t xml:space="preserve">; Data obtained in cooperation with the Australian Bureau of Meteorology, PI Richard Marshall; MAGDAS/CPMN, PI </w:t>
      </w:r>
      <w:proofErr w:type="spellStart"/>
      <w:r w:rsidRPr="005F4365">
        <w:rPr>
          <w:rFonts w:ascii="Times New Roman" w:eastAsia="Times New Roman" w:hAnsi="Times New Roman" w:cs="Times New Roman"/>
          <w:sz w:val="24"/>
          <w:szCs w:val="24"/>
        </w:rPr>
        <w:t>Akimasa</w:t>
      </w:r>
      <w:proofErr w:type="spellEnd"/>
      <w:r w:rsidRPr="005F4365">
        <w:rPr>
          <w:rFonts w:ascii="Times New Roman" w:eastAsia="Times New Roman" w:hAnsi="Times New Roman" w:cs="Times New Roman"/>
          <w:sz w:val="24"/>
          <w:szCs w:val="24"/>
        </w:rPr>
        <w:t xml:space="preserve"> Yoshikawa; International Center for Space Weather Science and Education, Kyushu University.</w:t>
      </w:r>
    </w:p>
    <w:p w14:paraId="4D23C794" w14:textId="26EB4B47" w:rsidR="00F03DD8" w:rsidRDefault="00F03DD8" w:rsidP="005F4365">
      <w:pPr>
        <w:spacing w:after="0" w:line="240" w:lineRule="auto"/>
        <w:ind w:leftChars="0" w:left="0" w:firstLineChars="0" w:firstLine="0"/>
        <w:rPr>
          <w:rFonts w:ascii="Times New Roman" w:eastAsia="Times New Roman" w:hAnsi="Times New Roman" w:cs="Times New Roman"/>
          <w:sz w:val="24"/>
          <w:szCs w:val="24"/>
        </w:rPr>
      </w:pPr>
    </w:p>
    <w:p w14:paraId="2BB3B0CB" w14:textId="77777777" w:rsidR="00802C38" w:rsidRDefault="00802C38" w:rsidP="005F4365">
      <w:pPr>
        <w:spacing w:after="0" w:line="240" w:lineRule="auto"/>
        <w:ind w:leftChars="0" w:left="0" w:firstLineChars="0" w:firstLine="0"/>
        <w:rPr>
          <w:rFonts w:ascii="Times New Roman" w:eastAsia="Times New Roman" w:hAnsi="Times New Roman" w:cs="Times New Roman"/>
          <w:sz w:val="24"/>
          <w:szCs w:val="24"/>
        </w:rPr>
      </w:pPr>
    </w:p>
    <w:p w14:paraId="70AC6855" w14:textId="77777777" w:rsidR="00F03DD8" w:rsidRDefault="00522A2C">
      <w:pPr>
        <w:spacing w:after="0" w:line="240" w:lineRule="auto"/>
        <w:ind w:left="0" w:hanging="2"/>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References </w:t>
      </w:r>
    </w:p>
    <w:p w14:paraId="212B707A" w14:textId="77777777" w:rsidR="005F4365" w:rsidRDefault="005F4365">
      <w:pPr>
        <w:spacing w:after="0" w:line="240" w:lineRule="auto"/>
        <w:ind w:left="0" w:hanging="2"/>
        <w:rPr>
          <w:rFonts w:ascii="Times New Roman" w:eastAsia="Times New Roman" w:hAnsi="Times New Roman" w:cs="Times New Roman"/>
          <w:b/>
          <w:sz w:val="24"/>
          <w:szCs w:val="24"/>
        </w:rPr>
      </w:pPr>
    </w:p>
    <w:p w14:paraId="1A86CBDE" w14:textId="77777777" w:rsidR="006759CD" w:rsidRDefault="006759CD" w:rsidP="006759CD">
      <w:pPr>
        <w:pStyle w:val="CitaviBibliographyEntry"/>
      </w:pPr>
      <w:bookmarkStart w:id="4" w:name="_CTVL001904d96b99882435388ca4714857913f8"/>
      <w:proofErr w:type="spellStart"/>
      <w:r>
        <w:t>Akinaga</w:t>
      </w:r>
      <w:proofErr w:type="spellEnd"/>
      <w:r>
        <w:t>, Y., Hayakawa, M., Liu, J. Y., Yumoto, K., &amp; Hattori, K. (2001). A precursory ULF signature for the Chi-Chi earthquake in Taiwan.</w:t>
      </w:r>
      <w:bookmarkEnd w:id="4"/>
      <w:r>
        <w:t xml:space="preserve"> </w:t>
      </w:r>
      <w:r w:rsidRPr="006759CD">
        <w:rPr>
          <w:i/>
        </w:rPr>
        <w:t>Natural Hazards and Earth System Science, 1</w:t>
      </w:r>
      <w:r w:rsidRPr="006759CD">
        <w:t xml:space="preserve">(1), 33–36. </w:t>
      </w:r>
      <w:r w:rsidR="00705DA8" w:rsidRPr="0078799F">
        <w:t>https://doi.org/10.5194/nhess-1-33-2001</w:t>
      </w:r>
    </w:p>
    <w:p w14:paraId="4047CB6E" w14:textId="77777777" w:rsidR="006759CD" w:rsidRDefault="006759CD" w:rsidP="006759CD">
      <w:pPr>
        <w:pStyle w:val="CitaviBibliographyEntry"/>
      </w:pPr>
      <w:bookmarkStart w:id="5" w:name="_CTVL001d8bf390bfa1c41388ac9706526c25c3f"/>
      <w:r>
        <w:t>Chi, P. J., Engebretson, M. J., Moldwin, M. B., Russell, C. T., Mann, I. R., Hairston, M. R., Reno, M., Goldstein, J., Winkler, L. I., Cruz-Abeyro, J. L., Lee, D.-H., Yumoto, K., Dalrymple, R., Chen, B., &amp; Gibson, J. P. (2013). Sounding of the plasmasphere by Mid-continent MAgnetoseismic Chain (McMAC) magnetometers.</w:t>
      </w:r>
      <w:bookmarkEnd w:id="5"/>
      <w:r>
        <w:t xml:space="preserve"> </w:t>
      </w:r>
      <w:r w:rsidRPr="006759CD">
        <w:rPr>
          <w:i/>
        </w:rPr>
        <w:t>Journal of Geophysical Research: Space Physics, 118</w:t>
      </w:r>
      <w:r w:rsidRPr="006759CD">
        <w:t xml:space="preserve">(6), 3077–3086. </w:t>
      </w:r>
      <w:r w:rsidR="00705DA8" w:rsidRPr="0078799F">
        <w:t>https://doi.org/10.1002/jgra.50274</w:t>
      </w:r>
    </w:p>
    <w:p w14:paraId="1D541541" w14:textId="77777777" w:rsidR="006759CD" w:rsidRDefault="006759CD" w:rsidP="006759CD">
      <w:pPr>
        <w:pStyle w:val="CitaviBibliographyEntry"/>
      </w:pPr>
      <w:bookmarkStart w:id="6" w:name="_CTVL00138a22cf98c2e4c63b87020ca1a141bf0"/>
      <w:r>
        <w:t>Clauer, C. R., Kim, H., Deshpande, K., Xu, Z., Weimer, D., Musko, S., Crowley, G., Fish, C., Nealy, R., Humphreys, T. E., Bhatti, J. A., &amp; Ridley, A. J. (2014). An autonomous adaptive low-power instrument platform (AAL-PIP) for remote high-latitude geospace data collection.</w:t>
      </w:r>
      <w:bookmarkEnd w:id="6"/>
      <w:r>
        <w:t xml:space="preserve"> </w:t>
      </w:r>
      <w:r w:rsidRPr="006759CD">
        <w:rPr>
          <w:i/>
        </w:rPr>
        <w:t>Geoscientific Instrumentation, Methods and Data Systems, 3</w:t>
      </w:r>
      <w:r w:rsidRPr="006759CD">
        <w:t xml:space="preserve">(2), 211–227. </w:t>
      </w:r>
      <w:r w:rsidR="00705DA8" w:rsidRPr="0078799F">
        <w:t>https://doi.org/10.5194/gi-3-211-2014</w:t>
      </w:r>
    </w:p>
    <w:p w14:paraId="3DC00D5E" w14:textId="77777777" w:rsidR="006759CD" w:rsidRDefault="006759CD" w:rsidP="006759CD">
      <w:pPr>
        <w:pStyle w:val="CitaviBibliographyEntry"/>
      </w:pPr>
      <w:bookmarkStart w:id="7" w:name="_CTVL001c9cb0581a60c406196557a214df8ed6e"/>
      <w:r>
        <w:t>Engebretson, M. J., Hughes, W. J., Alford, J. L., Zesta, E., Cahill, L. J., Arnoldy, R. L., &amp; Reeves, G. D. (1995). Magnetometer array for cusp and cleft studies observations of the spatial extent of broadband ULF magnetic pulsations at cusp/cleft latitudes.</w:t>
      </w:r>
      <w:bookmarkEnd w:id="7"/>
      <w:r>
        <w:t xml:space="preserve"> </w:t>
      </w:r>
      <w:r w:rsidRPr="006759CD">
        <w:rPr>
          <w:i/>
        </w:rPr>
        <w:t>Journal of Geophysical Research, 100</w:t>
      </w:r>
      <w:r w:rsidRPr="006759CD">
        <w:t xml:space="preserve">(A10), 371–386. </w:t>
      </w:r>
      <w:r w:rsidR="00705DA8" w:rsidRPr="0078799F">
        <w:t>https://doi.org/10.1029/95JA00768</w:t>
      </w:r>
    </w:p>
    <w:p w14:paraId="0BCDB62E" w14:textId="77777777" w:rsidR="006759CD" w:rsidRDefault="006759CD" w:rsidP="006759CD">
      <w:pPr>
        <w:pStyle w:val="CitaviBibliographyEntry"/>
      </w:pPr>
      <w:bookmarkStart w:id="8" w:name="_CTVL001c2d8203ee65d44d5b62ab838b1c67b7a"/>
      <w:r>
        <w:t>Gjerloev, J. W. (2012). The SuperMAG data processing technique.</w:t>
      </w:r>
      <w:bookmarkEnd w:id="8"/>
      <w:r>
        <w:t xml:space="preserve"> </w:t>
      </w:r>
      <w:r w:rsidRPr="006759CD">
        <w:rPr>
          <w:i/>
        </w:rPr>
        <w:t>Journal of Geophysical Research: Space Physics, 117</w:t>
      </w:r>
      <w:r w:rsidRPr="006759CD">
        <w:t xml:space="preserve">(A9), 1-19. </w:t>
      </w:r>
      <w:r w:rsidR="00705DA8" w:rsidRPr="0078799F">
        <w:t>https://doi.org/10.1029/2012JA017683</w:t>
      </w:r>
    </w:p>
    <w:p w14:paraId="6DD2ACD1" w14:textId="77777777" w:rsidR="006759CD" w:rsidRDefault="006759CD" w:rsidP="006759CD">
      <w:pPr>
        <w:pStyle w:val="CitaviBibliographyEntry"/>
      </w:pPr>
      <w:bookmarkStart w:id="9" w:name="_CTVL001dde7b9c9b48f451aaf14ab9b302afeda"/>
      <w:r>
        <w:t>Hamid, N. S. A., Rosli, N. I. M., Ismail, W. N. I., &amp; Yoshikawa, A. (2021). Effects of solar activity on ionospheric current system in the Southeast Asia region.</w:t>
      </w:r>
      <w:bookmarkEnd w:id="9"/>
      <w:r>
        <w:t xml:space="preserve"> </w:t>
      </w:r>
      <w:r w:rsidRPr="006759CD">
        <w:rPr>
          <w:i/>
        </w:rPr>
        <w:t>Indian Journal of Physics, 95</w:t>
      </w:r>
      <w:r w:rsidRPr="006759CD">
        <w:t xml:space="preserve">(4), 543–550. </w:t>
      </w:r>
      <w:r w:rsidR="00705DA8" w:rsidRPr="0078799F">
        <w:t>https://doi.org/10.1007/s12648-020-01734-2</w:t>
      </w:r>
    </w:p>
    <w:p w14:paraId="463CD146" w14:textId="77777777" w:rsidR="006759CD" w:rsidRDefault="006759CD" w:rsidP="006759CD">
      <w:pPr>
        <w:pStyle w:val="CitaviBibliographyEntry"/>
      </w:pPr>
      <w:bookmarkStart w:id="10" w:name="_CTVL001a11c6dda01544f5e8b0b5f7ff15f8bed"/>
      <w:r>
        <w:t xml:space="preserve">Han, P., Hattori, K., Hirokawa, M., Zhuang, J., Chen, C.-H., Febriani, F., Yamaguchi, H., Yoshino, C., Liu, J.-Y., &amp; Yoshida, S. (2014). Statistical analysis of ULF seismomagnetic phenomena at </w:t>
      </w:r>
      <w:r>
        <w:lastRenderedPageBreak/>
        <w:t>Kakioka, Japan, during 2001-2010.</w:t>
      </w:r>
      <w:bookmarkEnd w:id="10"/>
      <w:r>
        <w:t xml:space="preserve"> </w:t>
      </w:r>
      <w:r w:rsidRPr="006759CD">
        <w:rPr>
          <w:i/>
        </w:rPr>
        <w:t>Journal of Geophysical Research: Space Physics, 119</w:t>
      </w:r>
      <w:r w:rsidRPr="006759CD">
        <w:t xml:space="preserve">(6), 4998–5011. </w:t>
      </w:r>
      <w:r w:rsidR="00705DA8" w:rsidRPr="0078799F">
        <w:t>https://doi.org/10.1002/2014JA019789</w:t>
      </w:r>
    </w:p>
    <w:p w14:paraId="2635544E" w14:textId="77777777" w:rsidR="006759CD" w:rsidRDefault="006759CD" w:rsidP="006759CD">
      <w:pPr>
        <w:pStyle w:val="CitaviBibliographyEntry"/>
      </w:pPr>
      <w:bookmarkStart w:id="11" w:name="_CTVL0014df1f3ff257245d0986124ad4274dc8a"/>
      <w:r>
        <w:t>Han, P., Hattori, K., Huang, Q., Hirooka, S., &amp; Yoshino, C. (2016). Spatiotemporal characteristics of the geomagnetic diurnal variation anomalies prior to the 2011 Tohoku earthquake (Mw 9.0) and the possible coupling of multiple pre-earthquake phenomena.</w:t>
      </w:r>
      <w:bookmarkEnd w:id="11"/>
      <w:r>
        <w:t xml:space="preserve"> </w:t>
      </w:r>
      <w:r w:rsidRPr="006759CD">
        <w:rPr>
          <w:i/>
        </w:rPr>
        <w:t>Journal of Asian Earth Sciences, 129</w:t>
      </w:r>
      <w:r w:rsidRPr="006759CD">
        <w:t xml:space="preserve">(1), 13–21. </w:t>
      </w:r>
      <w:r w:rsidR="00705DA8" w:rsidRPr="0078799F">
        <w:t>https://doi.org/10.1016/j.jseaes.2016.07.011</w:t>
      </w:r>
    </w:p>
    <w:p w14:paraId="66F0010F" w14:textId="77777777" w:rsidR="006759CD" w:rsidRDefault="006759CD" w:rsidP="006759CD">
      <w:pPr>
        <w:pStyle w:val="CitaviBibliographyEntry"/>
      </w:pPr>
      <w:bookmarkStart w:id="12" w:name="_CTVL0016baab419d867411db89f47286ef92884"/>
      <w:r>
        <w:t>Han, P., Hattori, K., Xu, G., Ashida, R., Chen, C.-H., Febriani, F., &amp; Yamaguchi, H. (2015). Further investigations of geomagnetic diurnal variations associated with the 2011 off the Pacific coast of Tohoku earthquake (Mw 9.0).</w:t>
      </w:r>
      <w:bookmarkEnd w:id="12"/>
      <w:r>
        <w:t xml:space="preserve"> </w:t>
      </w:r>
      <w:r w:rsidRPr="006759CD">
        <w:rPr>
          <w:i/>
        </w:rPr>
        <w:t>Journal of Asian Earth Sciences, 114</w:t>
      </w:r>
      <w:r w:rsidRPr="006759CD">
        <w:t xml:space="preserve">, 321–326. </w:t>
      </w:r>
      <w:r w:rsidR="00705DA8" w:rsidRPr="0078799F">
        <w:t>https://doi.org/10.1016/j.jseaes.2015.02.022</w:t>
      </w:r>
    </w:p>
    <w:p w14:paraId="20659CA7" w14:textId="77777777" w:rsidR="006759CD" w:rsidRDefault="006759CD" w:rsidP="006759CD">
      <w:pPr>
        <w:pStyle w:val="CitaviBibliographyEntry"/>
      </w:pPr>
      <w:bookmarkStart w:id="13" w:name="_CTVL001bc11ed5638dd4e37bff7f4370781708a"/>
      <w:r>
        <w:t>Hattori, K., Han, P., Yoshino, C., Febriani, F., Yamaguchi, H., &amp; Chen, C.-H. (2013). Investigation of ULF Seismo-Magnetic Phenomena in Kanto, Japan During 2000–2010: Case Studies and Statistical Studies.</w:t>
      </w:r>
      <w:bookmarkEnd w:id="13"/>
      <w:r>
        <w:t xml:space="preserve"> </w:t>
      </w:r>
      <w:r w:rsidRPr="006759CD">
        <w:rPr>
          <w:i/>
        </w:rPr>
        <w:t>Surveys in Geophysics, 34</w:t>
      </w:r>
      <w:r w:rsidRPr="006759CD">
        <w:t xml:space="preserve">(3), 293–316. </w:t>
      </w:r>
      <w:r w:rsidR="00705DA8" w:rsidRPr="0078799F">
        <w:t>https://doi.org/10.1007/s10712-012-9215-x</w:t>
      </w:r>
    </w:p>
    <w:p w14:paraId="75378456" w14:textId="77777777" w:rsidR="006759CD" w:rsidRDefault="006759CD" w:rsidP="006759CD">
      <w:pPr>
        <w:pStyle w:val="CitaviBibliographyEntry"/>
      </w:pPr>
      <w:bookmarkStart w:id="14" w:name="_CTVL001e544aca64d5f418fbdf8d94f44fb493c"/>
      <w:r>
        <w:t>Hayakawa, M. (2015).</w:t>
      </w:r>
      <w:bookmarkEnd w:id="14"/>
      <w:r>
        <w:t xml:space="preserve"> </w:t>
      </w:r>
      <w:r w:rsidRPr="006759CD">
        <w:rPr>
          <w:i/>
        </w:rPr>
        <w:t xml:space="preserve">Earthquake Prediction with Radio Techniques. </w:t>
      </w:r>
      <w:r w:rsidRPr="006759CD">
        <w:t>Singapore: John Wiley &amp; Sons Pte Ltd.</w:t>
      </w:r>
    </w:p>
    <w:p w14:paraId="6DDCD6FE" w14:textId="77777777" w:rsidR="006759CD" w:rsidRDefault="006759CD" w:rsidP="006759CD">
      <w:pPr>
        <w:pStyle w:val="CitaviBibliographyEntry"/>
      </w:pPr>
      <w:bookmarkStart w:id="15" w:name="_CTVL00124a223983e2b4030ad4afd20afc2fcf2"/>
      <w:r>
        <w:t>Hayakawa, M. (2018). Earthquake Precursor Studies in Japan. In D. Ouzounov, S. Pulinets, K. Hattori, &amp; P. Taylor (Eds.),</w:t>
      </w:r>
      <w:bookmarkEnd w:id="15"/>
      <w:r>
        <w:t xml:space="preserve"> </w:t>
      </w:r>
      <w:r w:rsidRPr="006759CD">
        <w:rPr>
          <w:i/>
        </w:rPr>
        <w:t xml:space="preserve">Geophysical monograph: Vol. 234. Pre-Earthquake Processes. A Multidisciplinary Approach to Earthquake Predication Studies </w:t>
      </w:r>
      <w:r w:rsidRPr="006759CD">
        <w:t>(pp. 7–18). Hoboken: John Wiley &amp; Sons, Inc.</w:t>
      </w:r>
    </w:p>
    <w:p w14:paraId="4C30C2F0" w14:textId="77777777" w:rsidR="006759CD" w:rsidRDefault="006759CD" w:rsidP="006759CD">
      <w:pPr>
        <w:pStyle w:val="CitaviBibliographyEntry"/>
      </w:pPr>
      <w:bookmarkStart w:id="16" w:name="_CTVL001476019da7b6d4e109a2917a70468364d"/>
      <w:r>
        <w:t>Jordan, T. H., Chen, Y.-T., Gasparini, P., Madariaga, R., Main, I., Marzocchi, W., Papadopoulos, G., Sobolev, G., Yamaoka, K., &amp; Zschau, J. (2011). Operational earthquake forecasting: State of knowledge and guidelines for utilization.</w:t>
      </w:r>
      <w:bookmarkEnd w:id="16"/>
      <w:r>
        <w:t xml:space="preserve"> </w:t>
      </w:r>
      <w:r w:rsidRPr="006759CD">
        <w:rPr>
          <w:i/>
        </w:rPr>
        <w:t>Annals of Geophysics, 54</w:t>
      </w:r>
      <w:r w:rsidRPr="006759CD">
        <w:t xml:space="preserve">(4), 316–391. </w:t>
      </w:r>
      <w:r w:rsidR="00705DA8" w:rsidRPr="0078799F">
        <w:t>https://doi.org/10.4401/ag-5350</w:t>
      </w:r>
    </w:p>
    <w:p w14:paraId="05B343FD" w14:textId="77777777" w:rsidR="006759CD" w:rsidRDefault="006759CD" w:rsidP="006759CD">
      <w:pPr>
        <w:pStyle w:val="CitaviBibliographyEntry"/>
      </w:pPr>
      <w:bookmarkStart w:id="17" w:name="_CTVL0018463c27b4171425a856f283e2dc84380"/>
      <w:r>
        <w:t>Lichtenberger, J., Clilverd, M. A., Heilig, B., Vellante, M., Manninen, J., Rodger, C. J., Collier, A. B., Jørgensen, A. M., Reda, J., Holzworth, R. H., Friedel, R., &amp; Simon-Wedlund, M. (2013). The plasmasphere during a space weather event: first results from the PLASMON project.</w:t>
      </w:r>
      <w:bookmarkEnd w:id="17"/>
      <w:r>
        <w:t xml:space="preserve"> </w:t>
      </w:r>
      <w:r w:rsidRPr="006759CD">
        <w:rPr>
          <w:i/>
        </w:rPr>
        <w:t>Journal of Space Weather and Space Climate, 3</w:t>
      </w:r>
      <w:r w:rsidRPr="006759CD">
        <w:t xml:space="preserve">, A23. </w:t>
      </w:r>
      <w:r w:rsidR="00705DA8" w:rsidRPr="0078799F">
        <w:t>https://doi.org/10.1051/swsc/2013045</w:t>
      </w:r>
    </w:p>
    <w:p w14:paraId="4943E95F" w14:textId="77777777" w:rsidR="006759CD" w:rsidRDefault="006759CD" w:rsidP="006759CD">
      <w:pPr>
        <w:pStyle w:val="CitaviBibliographyEntry"/>
      </w:pPr>
      <w:bookmarkStart w:id="18" w:name="_CTVL00116ea8f61ffa74af584e236ae096a98a9"/>
      <w:r>
        <w:t>Liu, J. Y., Chen, Y.-I., Chuo, Y. J., &amp; Chen, C. S. (2006). A statistical investigation of pre-earthquake ionospheric anomaly.</w:t>
      </w:r>
      <w:bookmarkEnd w:id="18"/>
      <w:r>
        <w:t xml:space="preserve"> </w:t>
      </w:r>
      <w:r w:rsidRPr="006759CD">
        <w:rPr>
          <w:i/>
        </w:rPr>
        <w:t>Journal of Geophysical Research, 111</w:t>
      </w:r>
      <w:r w:rsidRPr="006759CD">
        <w:t xml:space="preserve">(A5), 1–5. </w:t>
      </w:r>
      <w:r w:rsidR="00705DA8" w:rsidRPr="0078799F">
        <w:t>https://doi.org/10.1029/2005JA011333</w:t>
      </w:r>
    </w:p>
    <w:p w14:paraId="4D5CBEA6" w14:textId="77777777" w:rsidR="006759CD" w:rsidRDefault="006759CD" w:rsidP="006759CD">
      <w:pPr>
        <w:pStyle w:val="CitaviBibliographyEntry"/>
      </w:pPr>
      <w:bookmarkStart w:id="19" w:name="_CTVL00111179678ac7343f1883a9777bcc24050"/>
      <w:r>
        <w:t>Love, J. J., &amp; Chulliat, A. (2013). An International Network of Magnetic Observatories.</w:t>
      </w:r>
      <w:bookmarkEnd w:id="19"/>
      <w:r>
        <w:t xml:space="preserve"> </w:t>
      </w:r>
      <w:r w:rsidRPr="006759CD">
        <w:rPr>
          <w:i/>
        </w:rPr>
        <w:t>Eos, Transactions American Geophysical Union, 94</w:t>
      </w:r>
      <w:r w:rsidRPr="006759CD">
        <w:t xml:space="preserve">(42), 373–374. </w:t>
      </w:r>
      <w:r w:rsidR="00705DA8" w:rsidRPr="0078799F">
        <w:t>https://doi.org/10.1002/2013EO420001</w:t>
      </w:r>
    </w:p>
    <w:p w14:paraId="7A0AB7AC" w14:textId="77777777" w:rsidR="006759CD" w:rsidRDefault="006759CD" w:rsidP="006759CD">
      <w:pPr>
        <w:pStyle w:val="CitaviBibliographyEntry"/>
      </w:pPr>
      <w:bookmarkStart w:id="20" w:name="_CTVL001242ec00d68d84d0dbc0b2a600cc077d8"/>
      <w:r>
        <w:t>Manga, M., Brodsky, E. E., &amp; Boone, M. (2003). Response of streamflow to multiple earthquakes.</w:t>
      </w:r>
      <w:bookmarkEnd w:id="20"/>
      <w:r>
        <w:t xml:space="preserve"> </w:t>
      </w:r>
      <w:r w:rsidRPr="006759CD">
        <w:rPr>
          <w:i/>
        </w:rPr>
        <w:t>Geophysical Research Letters, 30</w:t>
      </w:r>
      <w:r w:rsidRPr="006759CD">
        <w:t xml:space="preserve">(5), 181-183. </w:t>
      </w:r>
      <w:r w:rsidR="00705DA8" w:rsidRPr="0078799F">
        <w:t>https://doi.org/10.1029/2002GL016618</w:t>
      </w:r>
    </w:p>
    <w:p w14:paraId="08354BBB" w14:textId="77777777" w:rsidR="006759CD" w:rsidRDefault="006759CD" w:rsidP="006759CD">
      <w:pPr>
        <w:pStyle w:val="CitaviBibliographyEntry"/>
      </w:pPr>
      <w:bookmarkStart w:id="21" w:name="_CTVL001b5d6ead274f6475690161e69833cbba1"/>
      <w:r>
        <w:t>Mann, I. R., Milling, D. K., Rae, I. J., Ozeke, L. G., Kale, A., Kale, Z. C., Murphy, K. R., Parent, A., Usanova, M., Pahud, D. M., Lee, E.-A., Amalraj, V., Wallis, D. D., Angelopoulos, V., Glassmeier, K.-H., Russell, C. T., Auster, H.-U., &amp; Singer, H. J. (2008). The Upgraded CARISMA Magnetometer Array in the THEMIS Era.</w:t>
      </w:r>
      <w:bookmarkEnd w:id="21"/>
      <w:r>
        <w:t xml:space="preserve"> </w:t>
      </w:r>
      <w:r w:rsidRPr="006759CD">
        <w:rPr>
          <w:i/>
        </w:rPr>
        <w:t>Space Science Reviews, 141</w:t>
      </w:r>
      <w:r w:rsidRPr="006759CD">
        <w:t xml:space="preserve">(1-4), 413–451. </w:t>
      </w:r>
      <w:r w:rsidR="00705DA8" w:rsidRPr="0078799F">
        <w:t>https://doi.org/10.1007/s11214-008-9457-6</w:t>
      </w:r>
    </w:p>
    <w:p w14:paraId="7FA6FD5A" w14:textId="77777777" w:rsidR="006759CD" w:rsidRDefault="006759CD" w:rsidP="006759CD">
      <w:pPr>
        <w:pStyle w:val="CitaviBibliographyEntry"/>
      </w:pPr>
      <w:bookmarkStart w:id="22" w:name="_CTVL001e610d272ce424c55bfb3aa52188c03be"/>
      <w:r>
        <w:t>Masci, F., &amp; Thomas, J. N. (2015). Are there new findings in the search for ULF magnetic precursors to earthquakes?</w:t>
      </w:r>
      <w:bookmarkEnd w:id="22"/>
      <w:r>
        <w:t xml:space="preserve"> </w:t>
      </w:r>
      <w:r w:rsidRPr="006759CD">
        <w:rPr>
          <w:i/>
        </w:rPr>
        <w:t>Journal of Geophysical Research: Space Physics, 120</w:t>
      </w:r>
      <w:r w:rsidRPr="006759CD">
        <w:t xml:space="preserve">(12), 10289–10304. </w:t>
      </w:r>
      <w:r w:rsidR="00705DA8" w:rsidRPr="0078799F">
        <w:t>https://doi.org/10.1002/2015JA021336</w:t>
      </w:r>
    </w:p>
    <w:p w14:paraId="44525D48" w14:textId="77777777" w:rsidR="006759CD" w:rsidRDefault="006759CD" w:rsidP="006759CD">
      <w:pPr>
        <w:pStyle w:val="CitaviBibliographyEntry"/>
      </w:pPr>
      <w:bookmarkStart w:id="23" w:name="_CTVL001d73f73e2a8c84fd38e2ab1688e0f28fa"/>
      <w:r>
        <w:lastRenderedPageBreak/>
        <w:t>Potirakis, S. M., Contoyiannis, Y., Koulouras, G. E., Melis, N. S., Eftaxias, K., &amp; Nomicos, C. (2019a).</w:t>
      </w:r>
      <w:bookmarkEnd w:id="23"/>
      <w:r>
        <w:t xml:space="preserve"> </w:t>
      </w:r>
      <w:r w:rsidRPr="006759CD">
        <w:rPr>
          <w:i/>
        </w:rPr>
        <w:t xml:space="preserve">Pre-earthquake electromagnetic emissions with critical and tricritical behavior before the recent Durrës (Albania) (Mw=6.4, 26-11-2019) and Chania (Greece) (Mw=6.1, 27-11-2019) earthquakes. </w:t>
      </w:r>
      <w:r w:rsidR="00705DA8" w:rsidRPr="0078799F">
        <w:t>https://arxiv.org/pdf/1912.05955</w:t>
      </w:r>
    </w:p>
    <w:p w14:paraId="26D1691A" w14:textId="77777777" w:rsidR="006759CD" w:rsidRDefault="006759CD" w:rsidP="006759CD">
      <w:pPr>
        <w:pStyle w:val="CitaviBibliographyEntry"/>
      </w:pPr>
      <w:bookmarkStart w:id="24" w:name="_CTVL001d72c43d2169944778c2103ad9f005cd1"/>
      <w:r>
        <w:t>Potirakis, S. M., Hayakawa, M., &amp; Schekotov, A. (2017). Fractal analysis of the ground-recorded ULF magnetic fields prior to the 11 March 2011 Tohoku earthquake (Mw=9): discriminating possible earthquake precursors from space-sourced disturbances.</w:t>
      </w:r>
      <w:bookmarkEnd w:id="24"/>
      <w:r>
        <w:t xml:space="preserve"> </w:t>
      </w:r>
      <w:r w:rsidRPr="006759CD">
        <w:rPr>
          <w:i/>
        </w:rPr>
        <w:t>Natural Hazards, 85</w:t>
      </w:r>
      <w:r w:rsidRPr="006759CD">
        <w:t xml:space="preserve">(1), 59–86. </w:t>
      </w:r>
      <w:r w:rsidR="00705DA8" w:rsidRPr="0078799F">
        <w:t>https://doi.org/10.1007/s11069-016-2558-8</w:t>
      </w:r>
    </w:p>
    <w:p w14:paraId="4AB9CB08" w14:textId="77777777" w:rsidR="006759CD" w:rsidRDefault="006759CD" w:rsidP="006759CD">
      <w:pPr>
        <w:pStyle w:val="CitaviBibliographyEntry"/>
      </w:pPr>
      <w:bookmarkStart w:id="25" w:name="_CTVL001472e4caa528e45a190a65a92a140b94f"/>
      <w:r>
        <w:t>Potirakis, S. M., Schekotov, A., Contoyiannis, Y., Balasis, G., Koulouras, G. E., Melis, N. S., Boutsi, A. Z., Hayakawa, M., Eftaxias, K., &amp; Nomicos, C. (2019b). On Possible Electromagnetic Precursors to a Significant Earthquake (Mw = 6.3) Occurred in Lesvos (Greece) on 12 June 2017.</w:t>
      </w:r>
      <w:bookmarkEnd w:id="25"/>
      <w:r>
        <w:t xml:space="preserve"> </w:t>
      </w:r>
      <w:r w:rsidRPr="006759CD">
        <w:rPr>
          <w:i/>
        </w:rPr>
        <w:t>Entropy (Basel, Switzerland), 21</w:t>
      </w:r>
      <w:r w:rsidRPr="006759CD">
        <w:t xml:space="preserve">(3), 241. </w:t>
      </w:r>
      <w:r w:rsidR="00705DA8" w:rsidRPr="0078799F">
        <w:t>https://doi.org/10.3390/e21030241</w:t>
      </w:r>
    </w:p>
    <w:p w14:paraId="54AEE1C6" w14:textId="77777777" w:rsidR="006759CD" w:rsidRDefault="006759CD" w:rsidP="006759CD">
      <w:pPr>
        <w:pStyle w:val="CitaviBibliographyEntry"/>
      </w:pPr>
      <w:bookmarkStart w:id="26" w:name="_CTVL0014b0cfd53341e44d2881073e04f0d28cc"/>
      <w:r>
        <w:t>Pulinets, S., Ouzounov, D., Karelin, A., &amp; Davidenko, D. (2018). Lithosphere-Atmosphere-Ionosphere-Magnetosphere Coupling-A Concept for Pre-Earthquake Signals Generation. In D. Ouzounov, S. Pulinets, K. Hattori, &amp; P. Taylor (Eds.),</w:t>
      </w:r>
      <w:bookmarkEnd w:id="26"/>
      <w:r>
        <w:t xml:space="preserve"> </w:t>
      </w:r>
      <w:r w:rsidRPr="006759CD">
        <w:rPr>
          <w:i/>
        </w:rPr>
        <w:t xml:space="preserve">Geophysical monograph: Vol. 234. Pre-Earthquake Processes. A Multidisciplinary Approach to Earthquake Predication Studies </w:t>
      </w:r>
      <w:r w:rsidRPr="006759CD">
        <w:t>(pp. 77–98). Hoboken: John Wiley &amp; Sons, Inc.</w:t>
      </w:r>
    </w:p>
    <w:p w14:paraId="54184A09" w14:textId="77777777" w:rsidR="006759CD" w:rsidRDefault="006759CD" w:rsidP="006759CD">
      <w:pPr>
        <w:pStyle w:val="CitaviBibliographyEntry"/>
      </w:pPr>
      <w:bookmarkStart w:id="27" w:name="_CTVL0013896c5fea1414d9ab7828fa0c8b45a16"/>
      <w:r>
        <w:t>Rostoker, G. (1972). Geomagnetic indices.</w:t>
      </w:r>
      <w:bookmarkEnd w:id="27"/>
      <w:r>
        <w:t xml:space="preserve"> </w:t>
      </w:r>
      <w:r w:rsidRPr="006759CD">
        <w:rPr>
          <w:i/>
        </w:rPr>
        <w:t>Reviews of Geophysics, 10</w:t>
      </w:r>
      <w:r w:rsidRPr="006759CD">
        <w:t xml:space="preserve">(4), 935–950. </w:t>
      </w:r>
      <w:r w:rsidR="00705DA8" w:rsidRPr="0078799F">
        <w:t>https://doi.org/10.1029/RG010i004p00935</w:t>
      </w:r>
    </w:p>
    <w:p w14:paraId="42DD24B2" w14:textId="77777777" w:rsidR="006759CD" w:rsidRDefault="006759CD" w:rsidP="006759CD">
      <w:pPr>
        <w:pStyle w:val="CitaviBibliographyEntry"/>
      </w:pPr>
      <w:bookmarkStart w:id="28" w:name="_CTVL001c21f4a6c6ba646de9d86136530387b31"/>
      <w:r>
        <w:t>Samson, J. C., &amp; Yeung, K. L. (1986). Some generalizations on the method of superposed epoch analysis.</w:t>
      </w:r>
      <w:bookmarkEnd w:id="28"/>
      <w:r>
        <w:t xml:space="preserve"> </w:t>
      </w:r>
      <w:r w:rsidRPr="006759CD">
        <w:rPr>
          <w:i/>
        </w:rPr>
        <w:t>Planetary and Space Science, 34</w:t>
      </w:r>
      <w:r w:rsidRPr="006759CD">
        <w:t xml:space="preserve">(11), 1133–1142. </w:t>
      </w:r>
      <w:r w:rsidR="00705DA8" w:rsidRPr="0078799F">
        <w:t>https://doi.org/10.1016/0032-0633(86)90025-5</w:t>
      </w:r>
    </w:p>
    <w:p w14:paraId="38D589F2" w14:textId="77777777" w:rsidR="006759CD" w:rsidRDefault="006759CD" w:rsidP="006759CD">
      <w:pPr>
        <w:pStyle w:val="CitaviBibliographyEntry"/>
      </w:pPr>
      <w:bookmarkStart w:id="29" w:name="_CTVL0013b724d4208e94ca1b399c34e335d1837"/>
      <w:r>
        <w:t>Schekotov, A., Chebrov, D., Hayakawa, M., Belyaev, G. G., &amp; Berseneva, N. (2020). Short-term earthquake prediction in Kamchatka using low-frequency magnetic fields.</w:t>
      </w:r>
      <w:bookmarkEnd w:id="29"/>
      <w:r>
        <w:t xml:space="preserve"> </w:t>
      </w:r>
      <w:r w:rsidRPr="006759CD">
        <w:rPr>
          <w:i/>
        </w:rPr>
        <w:t>Natural Hazards, 100</w:t>
      </w:r>
      <w:r w:rsidRPr="006759CD">
        <w:t xml:space="preserve">(2), 735–755. </w:t>
      </w:r>
      <w:r w:rsidR="00705DA8" w:rsidRPr="0078799F">
        <w:t>https://doi.org/10.1007/s11069-019-03839-2</w:t>
      </w:r>
    </w:p>
    <w:p w14:paraId="7319D51D" w14:textId="77777777" w:rsidR="006759CD" w:rsidRDefault="006759CD" w:rsidP="006759CD">
      <w:pPr>
        <w:pStyle w:val="CitaviBibliographyEntry"/>
      </w:pPr>
      <w:bookmarkStart w:id="30" w:name="_CTVL0011b467669fa34463ea5ead7dacd5fe34e"/>
      <w:r>
        <w:t>Schekotov, A., Molchanov, O. A., Hattori, K., Fedorov, E. N., Gladyshev, V. A., Belyaev, G. G., Chebrov, V. N., Sinitsin, V., Gordeev, E., &amp; Hayakawa, M. (2006). Seismo-ionospheric depression of the ULF geomagnetic fluctuations at Kamchatka and Japan.</w:t>
      </w:r>
      <w:bookmarkEnd w:id="30"/>
      <w:r>
        <w:t xml:space="preserve"> </w:t>
      </w:r>
      <w:r w:rsidRPr="006759CD">
        <w:rPr>
          <w:i/>
        </w:rPr>
        <w:t>Physics and Chemistry of the Earth, Parts A/B/C, 31</w:t>
      </w:r>
      <w:r w:rsidRPr="006759CD">
        <w:t xml:space="preserve">(4-9), 313–318. </w:t>
      </w:r>
      <w:r w:rsidR="00705DA8" w:rsidRPr="0078799F">
        <w:t>https://doi.org/10.1016/j.pce.2006.02.043</w:t>
      </w:r>
    </w:p>
    <w:p w14:paraId="4111AF53" w14:textId="77777777" w:rsidR="006759CD" w:rsidRDefault="006759CD" w:rsidP="006759CD">
      <w:pPr>
        <w:pStyle w:val="CitaviBibliographyEntry"/>
      </w:pPr>
      <w:bookmarkStart w:id="31" w:name="_CTVL00141d27e23225f45998abc4e1b58c89895"/>
      <w:r>
        <w:t>Singh, Y. P., &amp; Badruddin (2006). Statistical considerations in superposed epoch analysis and its applications in space research.</w:t>
      </w:r>
      <w:bookmarkEnd w:id="31"/>
      <w:r>
        <w:t xml:space="preserve"> </w:t>
      </w:r>
      <w:r w:rsidRPr="006759CD">
        <w:rPr>
          <w:i/>
        </w:rPr>
        <w:t>Journal of Atmospheric and Solar-Terrestrial Physics, 68</w:t>
      </w:r>
      <w:r w:rsidRPr="006759CD">
        <w:t xml:space="preserve">(7), 803–813. </w:t>
      </w:r>
      <w:r w:rsidR="00705DA8" w:rsidRPr="0078799F">
        <w:t>https://doi.org/10.1016/j.jastp.2006.01.007</w:t>
      </w:r>
    </w:p>
    <w:p w14:paraId="5E7FCB4F" w14:textId="77777777" w:rsidR="006759CD" w:rsidRDefault="006759CD" w:rsidP="006759CD">
      <w:pPr>
        <w:pStyle w:val="CitaviBibliographyEntry"/>
      </w:pPr>
      <w:bookmarkStart w:id="32" w:name="_CTVL001f07e4f59dfe34e74b90bf57c435e0368"/>
      <w:r>
        <w:t>Tanskanen, E. I. (2009). A comprehensive high-throughput analysis of substorms observed by IMAGE magnetometer network: Years 1993-2003 examined.</w:t>
      </w:r>
      <w:bookmarkEnd w:id="32"/>
      <w:r>
        <w:t xml:space="preserve"> </w:t>
      </w:r>
      <w:r w:rsidRPr="006759CD">
        <w:rPr>
          <w:i/>
        </w:rPr>
        <w:t>Journal of Geophysical Research, 114</w:t>
      </w:r>
      <w:r w:rsidRPr="006759CD">
        <w:t xml:space="preserve">(A5), 1-11. </w:t>
      </w:r>
      <w:r w:rsidR="00705DA8" w:rsidRPr="0078799F">
        <w:t>https://doi.org/10.1029/2008JA013682</w:t>
      </w:r>
    </w:p>
    <w:p w14:paraId="67A76C77" w14:textId="77777777" w:rsidR="006759CD" w:rsidRDefault="006759CD" w:rsidP="006759CD">
      <w:pPr>
        <w:pStyle w:val="CitaviBibliographyEntry"/>
      </w:pPr>
      <w:bookmarkStart w:id="33" w:name="_CTVL001eb9d9dc97825406aa2c5d2c723b53f75"/>
      <w:r>
        <w:t>Xu, G., Han, P., Huang, Q., Hattori, K., Febriani, F., &amp; Yamaguchi, H. (2013). Anomalous behaviors of geomagnetic diurnal variations prior to the 2011 off the Pacific coast of Tohoku earthquake (Mw9.0).</w:t>
      </w:r>
      <w:bookmarkEnd w:id="33"/>
      <w:r>
        <w:t xml:space="preserve"> </w:t>
      </w:r>
      <w:r w:rsidRPr="006759CD">
        <w:rPr>
          <w:i/>
        </w:rPr>
        <w:t>Journal of Asian Earth Sciences, 77</w:t>
      </w:r>
      <w:r w:rsidRPr="006759CD">
        <w:t xml:space="preserve">(1), 59–65. </w:t>
      </w:r>
      <w:r w:rsidR="00705DA8" w:rsidRPr="0078799F">
        <w:t>https://doi.org/10.1016/j.jseaes.2013.08.011</w:t>
      </w:r>
    </w:p>
    <w:p w14:paraId="1CF8F81C" w14:textId="77777777" w:rsidR="006759CD" w:rsidRDefault="006759CD" w:rsidP="006759CD">
      <w:pPr>
        <w:pStyle w:val="CitaviBibliographyEntry"/>
      </w:pPr>
      <w:bookmarkStart w:id="34" w:name="_CTVL00123fe8f4cbefc44a09d8d70756937bf19"/>
      <w:r>
        <w:t>Yumoto, K. (2001). Characteristics of Pi 2 magnetic pulsations observed at the CPMN stations: A review of the STEP results.</w:t>
      </w:r>
      <w:bookmarkEnd w:id="34"/>
      <w:r>
        <w:t xml:space="preserve"> </w:t>
      </w:r>
      <w:r w:rsidRPr="006759CD">
        <w:rPr>
          <w:i/>
        </w:rPr>
        <w:t>Earth, Planets and Space, 53</w:t>
      </w:r>
      <w:r w:rsidRPr="006759CD">
        <w:t xml:space="preserve">(10), 981–992. </w:t>
      </w:r>
      <w:r w:rsidR="00705DA8" w:rsidRPr="0078799F">
        <w:t>https://doi.org/10.1186/BF03351695</w:t>
      </w:r>
    </w:p>
    <w:p w14:paraId="16530CB6" w14:textId="77777777" w:rsidR="006759CD" w:rsidRDefault="006759CD" w:rsidP="006759CD">
      <w:pPr>
        <w:pStyle w:val="CitaviBibliographyEntry"/>
      </w:pPr>
      <w:bookmarkStart w:id="35" w:name="_CTVL001562078a8717e48929d1cb88a865841d2"/>
      <w:r>
        <w:lastRenderedPageBreak/>
        <w:t>Yusof, K. A., Abdullah, M., Hamid, N. S. A., Ahadi, S., &amp; Yoshikawa, A. (2020). Normalized polarization ratio analysis for ULF precursor detection of the 2009 M7.6 Sumatra and 2015 M6.8 Honshu Earthquakes.</w:t>
      </w:r>
      <w:bookmarkEnd w:id="35"/>
      <w:r>
        <w:t xml:space="preserve"> </w:t>
      </w:r>
      <w:r w:rsidRPr="006759CD">
        <w:rPr>
          <w:i/>
        </w:rPr>
        <w:t>Jurnal Kejuruteraan, 3</w:t>
      </w:r>
      <w:r w:rsidRPr="006759CD">
        <w:t xml:space="preserve">(1), 35–41. </w:t>
      </w:r>
      <w:r w:rsidR="00705DA8" w:rsidRPr="0078799F">
        <w:t>https://doi.org/10.17576/jkukm-2020-si3(1)-06</w:t>
      </w:r>
    </w:p>
    <w:p w14:paraId="0B1B60FC" w14:textId="77777777" w:rsidR="006759CD" w:rsidRDefault="006759CD" w:rsidP="006759CD">
      <w:pPr>
        <w:pStyle w:val="CitaviBibliographyEntry"/>
      </w:pPr>
      <w:bookmarkStart w:id="36" w:name="_CTVL0011a9730fe4fa44494838840f82f3194c0"/>
      <w:r>
        <w:t>Yusof, K. A., Abdullah, M., Hamid, N. S. A., Ahadi, S., &amp; Yoshikawa, A. (2021). Correlations between Earthquake Properties and Characteristics of Possible ULF Geomagnetic Precursor over Multiple Earthquakes.</w:t>
      </w:r>
      <w:bookmarkEnd w:id="36"/>
      <w:r>
        <w:t xml:space="preserve"> </w:t>
      </w:r>
      <w:r w:rsidRPr="006759CD">
        <w:rPr>
          <w:i/>
        </w:rPr>
        <w:t>Universe, 7</w:t>
      </w:r>
      <w:r w:rsidRPr="006759CD">
        <w:t xml:space="preserve">(1), 20. </w:t>
      </w:r>
      <w:r w:rsidR="00705DA8" w:rsidRPr="0078799F">
        <w:t>https://doi.org/10.3390/universe7010020</w:t>
      </w:r>
    </w:p>
    <w:p w14:paraId="3464663C" w14:textId="77777777" w:rsidR="006759CD" w:rsidRDefault="006759CD" w:rsidP="006759CD">
      <w:pPr>
        <w:pStyle w:val="CitaviBibliographyEntry"/>
      </w:pPr>
      <w:bookmarkStart w:id="37" w:name="_CTVL001246a37b968024d05a3013c26bf8f4d45"/>
      <w:r>
        <w:t>Yusof, K. A., Hamid, N. S. A., Abdullah, M., Ahadi, S., &amp; Yoshikawa, A. (2019). Assessment of signal processing methods for geomagnetic precursor of the 2012 M6.9 Visayas, Philippines earthquake.</w:t>
      </w:r>
      <w:bookmarkEnd w:id="37"/>
      <w:r>
        <w:t xml:space="preserve"> </w:t>
      </w:r>
      <w:r w:rsidRPr="006759CD">
        <w:rPr>
          <w:i/>
        </w:rPr>
        <w:t>Acta Geophysica, 142</w:t>
      </w:r>
      <w:r w:rsidRPr="006759CD">
        <w:t xml:space="preserve">(67), 1297–1306. </w:t>
      </w:r>
      <w:r w:rsidR="00705DA8" w:rsidRPr="0078799F">
        <w:t>https://doi.org/10.1007/s11600-019-00319-w</w:t>
      </w:r>
    </w:p>
    <w:p w14:paraId="0AB2D89A" w14:textId="77777777" w:rsidR="00247D18" w:rsidRDefault="006759CD" w:rsidP="006759CD">
      <w:pPr>
        <w:pStyle w:val="CitaviBibliographyEntry"/>
      </w:pPr>
      <w:bookmarkStart w:id="38" w:name="_CTVL001d5e1d696f937476b849a621407df1ce6"/>
      <w:r>
        <w:t>Zhu, K., Li, K., Fan, M., Chi, C., &amp; Yu, Z. (2019). Precursor Analysis Associated With the Ecuador Earthquake Using Swarm A and C Satellite Magnetic Data Based on PCA.</w:t>
      </w:r>
      <w:bookmarkEnd w:id="38"/>
      <w:r>
        <w:t xml:space="preserve"> </w:t>
      </w:r>
      <w:r w:rsidRPr="006759CD">
        <w:rPr>
          <w:i/>
        </w:rPr>
        <w:t>IEEE Access, 7</w:t>
      </w:r>
      <w:r w:rsidRPr="006759CD">
        <w:t xml:space="preserve">, 93927–93936. </w:t>
      </w:r>
      <w:r w:rsidR="00705DA8" w:rsidRPr="0078799F">
        <w:t>https://doi.org/10.1109/ACCESS.2019.2928015</w:t>
      </w:r>
    </w:p>
    <w:p w14:paraId="0A2C4665" w14:textId="77777777" w:rsidR="00247D18" w:rsidRDefault="00247D18" w:rsidP="00247D18">
      <w:pPr>
        <w:ind w:left="0" w:hanging="2"/>
      </w:pPr>
    </w:p>
    <w:sectPr w:rsidR="00247D18" w:rsidSect="00F41A9B">
      <w:headerReference w:type="even" r:id="rId139"/>
      <w:headerReference w:type="default" r:id="rId140"/>
      <w:footerReference w:type="even" r:id="rId141"/>
      <w:footerReference w:type="default" r:id="rId142"/>
      <w:headerReference w:type="first" r:id="rId143"/>
      <w:footerReference w:type="first" r:id="rId144"/>
      <w:pgSz w:w="12240" w:h="15840"/>
      <w:pgMar w:top="1440" w:right="1440" w:bottom="1440" w:left="1440" w:header="720" w:footer="720" w:gutter="0"/>
      <w:pgNumType w:start="366"/>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DE444F" w14:textId="77777777" w:rsidR="005D40AD" w:rsidRDefault="005D40AD">
      <w:pPr>
        <w:spacing w:after="0" w:line="240" w:lineRule="auto"/>
        <w:ind w:left="0" w:hanging="2"/>
      </w:pPr>
      <w:r>
        <w:separator/>
      </w:r>
    </w:p>
  </w:endnote>
  <w:endnote w:type="continuationSeparator" w:id="0">
    <w:p w14:paraId="765EE870" w14:textId="77777777" w:rsidR="005D40AD" w:rsidRDefault="005D40AD">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4EB418" w14:textId="77777777" w:rsidR="005D6900" w:rsidRDefault="005D6900">
    <w:pPr>
      <w:pStyle w:val="Footer"/>
      <w:ind w:left="0" w:hanging="2"/>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ABA9A6" w14:textId="77777777" w:rsidR="005D6900" w:rsidRDefault="005D6900">
    <w:pPr>
      <w:pStyle w:val="Footer"/>
      <w:ind w:left="0" w:hanging="2"/>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B24D18" w14:textId="77777777" w:rsidR="005D6900" w:rsidRDefault="005D6900">
    <w:pPr>
      <w:pStyle w:val="Footer"/>
      <w:ind w:left="0" w:hanging="2"/>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57FDB8" w14:textId="77777777" w:rsidR="005D40AD" w:rsidRDefault="005D40AD">
      <w:pPr>
        <w:spacing w:after="0" w:line="240" w:lineRule="auto"/>
        <w:ind w:left="0" w:hanging="2"/>
      </w:pPr>
      <w:r>
        <w:separator/>
      </w:r>
    </w:p>
  </w:footnote>
  <w:footnote w:type="continuationSeparator" w:id="0">
    <w:p w14:paraId="1FF8C714" w14:textId="77777777" w:rsidR="005D40AD" w:rsidRDefault="005D40AD">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12C581" w14:textId="77777777" w:rsidR="005D6900" w:rsidRDefault="005D6900">
    <w:pPr>
      <w:pStyle w:val="Header"/>
      <w:ind w:left="0" w:hanging="2"/>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7825B5" w14:textId="05BA72E7" w:rsidR="00F41A9B" w:rsidRPr="00F41A9B" w:rsidRDefault="00F41A9B" w:rsidP="00F41A9B">
    <w:pPr>
      <w:tabs>
        <w:tab w:val="left" w:pos="720"/>
        <w:tab w:val="center" w:pos="4680"/>
        <w:tab w:val="right" w:pos="9360"/>
      </w:tabs>
      <w:spacing w:after="0" w:line="240" w:lineRule="auto"/>
      <w:ind w:leftChars="0" w:left="0" w:firstLineChars="0" w:firstLine="0"/>
      <w:jc w:val="both"/>
      <w:rPr>
        <w:rFonts w:ascii="Times New Roman" w:eastAsia="Times New Roman" w:hAnsi="Times New Roman" w:cs="Times New Roman"/>
        <w:sz w:val="18"/>
        <w:szCs w:val="18"/>
      </w:rPr>
    </w:pPr>
    <w:r w:rsidRPr="00F41A9B">
      <w:rPr>
        <w:rFonts w:ascii="Times New Roman" w:eastAsia="Times New Roman" w:hAnsi="Times New Roman" w:cs="Times New Roman"/>
        <w:sz w:val="18"/>
        <w:szCs w:val="18"/>
      </w:rPr>
      <w:t xml:space="preserve">GEOGRAFIA </w:t>
    </w:r>
    <w:proofErr w:type="spellStart"/>
    <w:r w:rsidRPr="00F41A9B">
      <w:rPr>
        <w:rFonts w:ascii="Times New Roman" w:eastAsia="Times New Roman" w:hAnsi="Times New Roman" w:cs="Times New Roman"/>
        <w:sz w:val="18"/>
        <w:szCs w:val="18"/>
      </w:rPr>
      <w:t>Online</w:t>
    </w:r>
    <w:r w:rsidRPr="00F41A9B">
      <w:rPr>
        <w:rFonts w:ascii="Times New Roman" w:eastAsia="Times New Roman" w:hAnsi="Times New Roman" w:cs="Times New Roman"/>
        <w:sz w:val="18"/>
        <w:szCs w:val="18"/>
        <w:vertAlign w:val="superscript"/>
      </w:rPr>
      <w:t>TM</w:t>
    </w:r>
    <w:proofErr w:type="spellEnd"/>
    <w:r w:rsidRPr="00F41A9B">
      <w:rPr>
        <w:rFonts w:ascii="Times New Roman" w:eastAsia="Times New Roman" w:hAnsi="Times New Roman" w:cs="Times New Roman"/>
        <w:sz w:val="18"/>
        <w:szCs w:val="18"/>
      </w:rPr>
      <w:t xml:space="preserve"> Malaysian Journal of Society and Space</w:t>
    </w:r>
    <w:r w:rsidRPr="00F41A9B">
      <w:rPr>
        <w:rFonts w:ascii="Times New Roman" w:eastAsia="Times New Roman" w:hAnsi="Times New Roman" w:cs="Times New Roman"/>
        <w:b/>
        <w:sz w:val="18"/>
        <w:szCs w:val="18"/>
      </w:rPr>
      <w:t xml:space="preserve"> </w:t>
    </w:r>
    <w:r w:rsidRPr="00F41A9B">
      <w:rPr>
        <w:rFonts w:ascii="Times New Roman" w:eastAsia="Times New Roman" w:hAnsi="Times New Roman" w:cs="Times New Roman"/>
        <w:sz w:val="18"/>
        <w:szCs w:val="18"/>
      </w:rPr>
      <w:t>17 issue</w:t>
    </w:r>
    <w:r w:rsidRPr="00F41A9B">
      <w:rPr>
        <w:rFonts w:ascii="Times New Roman" w:eastAsia="Times New Roman" w:hAnsi="Times New Roman" w:cs="Times New Roman"/>
        <w:b/>
        <w:sz w:val="18"/>
        <w:szCs w:val="18"/>
      </w:rPr>
      <w:t xml:space="preserve"> </w:t>
    </w:r>
    <w:r w:rsidRPr="00F41A9B">
      <w:rPr>
        <w:rFonts w:ascii="Times New Roman" w:eastAsia="Times New Roman" w:hAnsi="Times New Roman" w:cs="Times New Roman"/>
        <w:sz w:val="18"/>
        <w:szCs w:val="18"/>
      </w:rPr>
      <w:t>4</w:t>
    </w:r>
    <w:r w:rsidRPr="00F41A9B">
      <w:rPr>
        <w:rFonts w:ascii="Times New Roman" w:eastAsia="Times New Roman" w:hAnsi="Times New Roman" w:cs="Times New Roman"/>
        <w:b/>
        <w:sz w:val="18"/>
        <w:szCs w:val="18"/>
      </w:rPr>
      <w:t xml:space="preserve"> </w:t>
    </w:r>
    <w:r w:rsidRPr="00F41A9B">
      <w:rPr>
        <w:rFonts w:ascii="Times New Roman" w:eastAsia="Times New Roman" w:hAnsi="Times New Roman" w:cs="Times New Roman"/>
        <w:sz w:val="18"/>
        <w:szCs w:val="18"/>
      </w:rPr>
      <w:t>(</w:t>
    </w:r>
    <w:r w:rsidR="00662630">
      <w:rPr>
        <w:rFonts w:ascii="Times New Roman" w:eastAsia="Times New Roman" w:hAnsi="Times New Roman" w:cs="Times New Roman"/>
        <w:sz w:val="18"/>
        <w:szCs w:val="18"/>
      </w:rPr>
      <w:t>366-377</w:t>
    </w:r>
    <w:bookmarkStart w:id="39" w:name="_GoBack"/>
    <w:bookmarkEnd w:id="39"/>
    <w:r w:rsidRPr="00F41A9B">
      <w:rPr>
        <w:rFonts w:ascii="Times New Roman" w:eastAsia="Times New Roman" w:hAnsi="Times New Roman" w:cs="Times New Roman"/>
        <w:sz w:val="18"/>
        <w:szCs w:val="18"/>
      </w:rPr>
      <w:t>)</w:t>
    </w:r>
    <w:r w:rsidRPr="00F41A9B">
      <w:rPr>
        <w:rFonts w:ascii="Times New Roman" w:eastAsia="Times New Roman" w:hAnsi="Times New Roman" w:cs="Times New Roman"/>
        <w:sz w:val="18"/>
        <w:szCs w:val="18"/>
      </w:rPr>
      <w:tab/>
    </w:r>
  </w:p>
  <w:p w14:paraId="4C8A470C" w14:textId="3B09B5B7" w:rsidR="00F41A9B" w:rsidRPr="00F41A9B" w:rsidRDefault="00F41A9B" w:rsidP="00F41A9B">
    <w:pPr>
      <w:pStyle w:val="Header"/>
      <w:ind w:left="0" w:hanging="2"/>
      <w:rPr>
        <w:rFonts w:ascii="Times New Roman" w:hAnsi="Times New Roman" w:cs="Times New Roman"/>
        <w:sz w:val="18"/>
        <w:szCs w:val="18"/>
      </w:rPr>
    </w:pPr>
    <w:r w:rsidRPr="00F41A9B">
      <w:rPr>
        <w:rFonts w:ascii="Times New Roman" w:eastAsia="Times New Roman" w:hAnsi="Times New Roman" w:cs="Times New Roman"/>
        <w:sz w:val="18"/>
        <w:szCs w:val="18"/>
      </w:rPr>
      <w:t xml:space="preserve">© 2021, e-ISSN 2682-7727  </w:t>
    </w:r>
    <w:r w:rsidR="0041107B" w:rsidRPr="0041107B">
      <w:rPr>
        <w:rFonts w:ascii="Times New Roman" w:hAnsi="Times New Roman" w:cs="Times New Roman"/>
        <w:sz w:val="18"/>
        <w:szCs w:val="18"/>
        <w:lang w:eastAsia="en-MY"/>
      </w:rPr>
      <w:fldChar w:fldCharType="begin"/>
    </w:r>
    <w:r w:rsidR="0041107B" w:rsidRPr="0041107B">
      <w:rPr>
        <w:rFonts w:ascii="Times New Roman" w:hAnsi="Times New Roman" w:cs="Times New Roman"/>
        <w:sz w:val="18"/>
        <w:szCs w:val="18"/>
        <w:lang w:eastAsia="en-MY"/>
      </w:rPr>
      <w:instrText xml:space="preserve"> HYPERLINK "https://doi.org/10.17576/geo-2021-1704-25" </w:instrText>
    </w:r>
    <w:r w:rsidR="0041107B" w:rsidRPr="0041107B">
      <w:rPr>
        <w:rFonts w:ascii="Times New Roman" w:hAnsi="Times New Roman" w:cs="Times New Roman"/>
        <w:sz w:val="18"/>
        <w:szCs w:val="18"/>
        <w:lang w:eastAsia="en-MY"/>
      </w:rPr>
    </w:r>
    <w:r w:rsidR="0041107B" w:rsidRPr="0041107B">
      <w:rPr>
        <w:rFonts w:ascii="Times New Roman" w:hAnsi="Times New Roman" w:cs="Times New Roman"/>
        <w:sz w:val="18"/>
        <w:szCs w:val="18"/>
        <w:lang w:eastAsia="en-MY"/>
      </w:rPr>
      <w:fldChar w:fldCharType="separate"/>
    </w:r>
    <w:r w:rsidRPr="0041107B">
      <w:rPr>
        <w:rStyle w:val="Hyperlink"/>
        <w:rFonts w:ascii="Times New Roman" w:hAnsi="Times New Roman" w:cs="Times New Roman"/>
        <w:color w:val="auto"/>
        <w:sz w:val="18"/>
        <w:szCs w:val="18"/>
        <w:u w:val="none"/>
        <w:lang w:eastAsia="en-MY"/>
      </w:rPr>
      <w:t>https://doi.org/10.17576/geo-2021-1704-</w:t>
    </w:r>
    <w:r w:rsidRPr="0041107B">
      <w:rPr>
        <w:rStyle w:val="Hyperlink"/>
        <w:rFonts w:ascii="Times New Roman" w:hAnsi="Times New Roman" w:cs="Times New Roman"/>
        <w:color w:val="auto"/>
        <w:sz w:val="18"/>
        <w:szCs w:val="18"/>
        <w:u w:val="none"/>
        <w:lang w:eastAsia="en-MY"/>
      </w:rPr>
      <w:t>25</w:t>
    </w:r>
    <w:r w:rsidR="0041107B" w:rsidRPr="0041107B">
      <w:rPr>
        <w:rFonts w:ascii="Times New Roman" w:hAnsi="Times New Roman" w:cs="Times New Roman"/>
        <w:sz w:val="18"/>
        <w:szCs w:val="18"/>
        <w:lang w:eastAsia="en-MY"/>
      </w:rPr>
      <w:fldChar w:fldCharType="end"/>
    </w:r>
    <w:sdt>
      <w:sdtPr>
        <w:rPr>
          <w:rFonts w:ascii="Times New Roman" w:hAnsi="Times New Roman" w:cs="Times New Roman"/>
          <w:sz w:val="18"/>
          <w:szCs w:val="18"/>
        </w:rPr>
        <w:id w:val="-1662081320"/>
        <w:docPartObj>
          <w:docPartGallery w:val="Page Numbers (Top of Page)"/>
          <w:docPartUnique/>
        </w:docPartObj>
      </w:sdtPr>
      <w:sdtEndPr>
        <w:rPr>
          <w:noProof/>
        </w:rPr>
      </w:sdtEndPr>
      <w:sdtContent>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t xml:space="preserve">          </w:t>
        </w:r>
        <w:r w:rsidRPr="00F41A9B">
          <w:rPr>
            <w:rFonts w:ascii="Times New Roman" w:hAnsi="Times New Roman" w:cs="Times New Roman"/>
            <w:sz w:val="18"/>
            <w:szCs w:val="18"/>
          </w:rPr>
          <w:fldChar w:fldCharType="begin"/>
        </w:r>
        <w:r w:rsidRPr="00F41A9B">
          <w:rPr>
            <w:rFonts w:ascii="Times New Roman" w:hAnsi="Times New Roman" w:cs="Times New Roman"/>
            <w:sz w:val="18"/>
            <w:szCs w:val="18"/>
          </w:rPr>
          <w:instrText xml:space="preserve"> PAGE   \* MERGEFORMAT </w:instrText>
        </w:r>
        <w:r w:rsidRPr="00F41A9B">
          <w:rPr>
            <w:rFonts w:ascii="Times New Roman" w:hAnsi="Times New Roman" w:cs="Times New Roman"/>
            <w:sz w:val="18"/>
            <w:szCs w:val="18"/>
          </w:rPr>
          <w:fldChar w:fldCharType="separate"/>
        </w:r>
        <w:r w:rsidR="00662630">
          <w:rPr>
            <w:rFonts w:ascii="Times New Roman" w:hAnsi="Times New Roman" w:cs="Times New Roman"/>
            <w:noProof/>
            <w:sz w:val="18"/>
            <w:szCs w:val="18"/>
          </w:rPr>
          <w:t>377</w:t>
        </w:r>
        <w:r w:rsidRPr="00F41A9B">
          <w:rPr>
            <w:rFonts w:ascii="Times New Roman" w:hAnsi="Times New Roman" w:cs="Times New Roman"/>
            <w:noProof/>
            <w:sz w:val="18"/>
            <w:szCs w:val="18"/>
          </w:rPr>
          <w:fldChar w:fldCharType="end"/>
        </w:r>
      </w:sdtContent>
    </w:sdt>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D00189" w14:textId="77777777" w:rsidR="005D6900" w:rsidRDefault="005D6900">
    <w:pPr>
      <w:pStyle w:val="Header"/>
      <w:ind w:left="0" w:hanging="2"/>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33B2866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C06EAD74"/>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97A630E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00E25E0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88CA5896"/>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5B0D0E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6BE18A8"/>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B1CEB0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4938421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B825F2A"/>
    <w:lvl w:ilvl="0">
      <w:start w:val="1"/>
      <w:numFmt w:val="bullet"/>
      <w:pStyle w:val="ListBullet"/>
      <w:lvlText w:val=""/>
      <w:lvlJc w:val="left"/>
      <w:pPr>
        <w:tabs>
          <w:tab w:val="num" w:pos="360"/>
        </w:tabs>
        <w:ind w:left="360" w:hanging="360"/>
      </w:pPr>
      <w:rPr>
        <w:rFonts w:ascii="Symbol" w:hAnsi="Symbol"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3DD8"/>
    <w:rsid w:val="00054AE9"/>
    <w:rsid w:val="000F3A8A"/>
    <w:rsid w:val="001205C7"/>
    <w:rsid w:val="00126459"/>
    <w:rsid w:val="001644CC"/>
    <w:rsid w:val="0016468C"/>
    <w:rsid w:val="002352F5"/>
    <w:rsid w:val="00246BBA"/>
    <w:rsid w:val="00247D18"/>
    <w:rsid w:val="002A3312"/>
    <w:rsid w:val="002D42C1"/>
    <w:rsid w:val="00341454"/>
    <w:rsid w:val="00387658"/>
    <w:rsid w:val="003D0D89"/>
    <w:rsid w:val="003F4DD8"/>
    <w:rsid w:val="0041107B"/>
    <w:rsid w:val="00461AFF"/>
    <w:rsid w:val="005208D1"/>
    <w:rsid w:val="00522A2C"/>
    <w:rsid w:val="005248B8"/>
    <w:rsid w:val="005373B9"/>
    <w:rsid w:val="00556418"/>
    <w:rsid w:val="00595A6A"/>
    <w:rsid w:val="005C30A0"/>
    <w:rsid w:val="005D40AD"/>
    <w:rsid w:val="005D6900"/>
    <w:rsid w:val="005D738C"/>
    <w:rsid w:val="005F4365"/>
    <w:rsid w:val="00635E52"/>
    <w:rsid w:val="00662630"/>
    <w:rsid w:val="006759CD"/>
    <w:rsid w:val="006E7F34"/>
    <w:rsid w:val="00705DA8"/>
    <w:rsid w:val="00721482"/>
    <w:rsid w:val="00752B35"/>
    <w:rsid w:val="0078799F"/>
    <w:rsid w:val="007A6D19"/>
    <w:rsid w:val="007D64F0"/>
    <w:rsid w:val="00802C38"/>
    <w:rsid w:val="008A7975"/>
    <w:rsid w:val="00946BFE"/>
    <w:rsid w:val="00A30502"/>
    <w:rsid w:val="00B45CD5"/>
    <w:rsid w:val="00B852B1"/>
    <w:rsid w:val="00BC0802"/>
    <w:rsid w:val="00BC68BB"/>
    <w:rsid w:val="00BE52DB"/>
    <w:rsid w:val="00CC0D9E"/>
    <w:rsid w:val="00D2192F"/>
    <w:rsid w:val="00D60EA3"/>
    <w:rsid w:val="00D65E41"/>
    <w:rsid w:val="00D8275C"/>
    <w:rsid w:val="00D91166"/>
    <w:rsid w:val="00D920D8"/>
    <w:rsid w:val="00E06BFF"/>
    <w:rsid w:val="00E127CA"/>
    <w:rsid w:val="00EA0037"/>
    <w:rsid w:val="00ED2278"/>
    <w:rsid w:val="00EE096D"/>
    <w:rsid w:val="00F03DD8"/>
    <w:rsid w:val="00F31E51"/>
    <w:rsid w:val="00F41A9B"/>
    <w:rsid w:val="00F760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DAB84A"/>
  <w15:docId w15:val="{151769D4-68B3-4E43-B0E8-77B52DEB48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ind w:leftChars="-1" w:left="-1" w:hangingChars="1" w:hanging="1"/>
      <w:textDirection w:val="btLr"/>
      <w:textAlignment w:val="top"/>
      <w:outlineLvl w:val="0"/>
    </w:pPr>
    <w:rPr>
      <w:position w:val="-1"/>
    </w:rPr>
  </w:style>
  <w:style w:type="paragraph" w:styleId="Heading1">
    <w:name w:val="heading 1"/>
    <w:basedOn w:val="Normal"/>
    <w:next w:val="Normal"/>
    <w:uiPriority w:val="9"/>
    <w:qFormat/>
    <w:pPr>
      <w:keepNext/>
      <w:keepLines/>
      <w:spacing w:before="240" w:after="0"/>
    </w:pPr>
    <w:rPr>
      <w:rFonts w:ascii="Cambria" w:eastAsia="SimSun" w:hAnsi="Cambria" w:cs="Times New Roman"/>
      <w:color w:val="365F91"/>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247D18"/>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247D18"/>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247D18"/>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qFormat/>
    <w:pPr>
      <w:spacing w:after="0" w:line="240" w:lineRule="auto"/>
    </w:pPr>
    <w:rPr>
      <w:rFonts w:ascii="Tahoma" w:hAnsi="Tahoma" w:cs="Tahoma"/>
      <w:sz w:val="16"/>
      <w:szCs w:val="16"/>
    </w:rPr>
  </w:style>
  <w:style w:type="paragraph" w:styleId="CommentText">
    <w:name w:val="annotation text"/>
    <w:basedOn w:val="Normal"/>
    <w:qFormat/>
    <w:pPr>
      <w:spacing w:line="240" w:lineRule="auto"/>
    </w:pPr>
    <w:rPr>
      <w:sz w:val="20"/>
      <w:szCs w:val="20"/>
    </w:rPr>
  </w:style>
  <w:style w:type="paragraph" w:styleId="CommentSubject">
    <w:name w:val="annotation subject"/>
    <w:basedOn w:val="CommentText"/>
    <w:next w:val="CommentText"/>
    <w:qFormat/>
    <w:rPr>
      <w:b/>
      <w:bCs/>
    </w:rPr>
  </w:style>
  <w:style w:type="paragraph" w:styleId="EndnoteText">
    <w:name w:val="endnote text"/>
    <w:basedOn w:val="Normal"/>
    <w:qFormat/>
    <w:pPr>
      <w:spacing w:after="0" w:line="240" w:lineRule="auto"/>
    </w:pPr>
    <w:rPr>
      <w:sz w:val="20"/>
      <w:szCs w:val="20"/>
      <w:lang w:val="en-MY"/>
    </w:rPr>
  </w:style>
  <w:style w:type="paragraph" w:styleId="Footer">
    <w:name w:val="footer"/>
    <w:basedOn w:val="Normal"/>
    <w:qFormat/>
    <w:pPr>
      <w:spacing w:after="0" w:line="240" w:lineRule="auto"/>
    </w:pPr>
    <w:rPr>
      <w:lang w:val="en-MY"/>
    </w:rPr>
  </w:style>
  <w:style w:type="paragraph" w:styleId="FootnoteText">
    <w:name w:val="footnote text"/>
    <w:basedOn w:val="Normal"/>
    <w:qFormat/>
    <w:rPr>
      <w:sz w:val="20"/>
      <w:szCs w:val="20"/>
    </w:rPr>
  </w:style>
  <w:style w:type="paragraph" w:styleId="Header">
    <w:name w:val="header"/>
    <w:basedOn w:val="Normal"/>
    <w:uiPriority w:val="99"/>
    <w:qFormat/>
  </w:style>
  <w:style w:type="character" w:styleId="CommentReference">
    <w:name w:val="annotation reference"/>
    <w:qFormat/>
    <w:rPr>
      <w:w w:val="100"/>
      <w:position w:val="-1"/>
      <w:sz w:val="16"/>
      <w:szCs w:val="16"/>
      <w:effect w:val="none"/>
      <w:vertAlign w:val="baseline"/>
      <w:cs w:val="0"/>
      <w:em w:val="none"/>
    </w:rPr>
  </w:style>
  <w:style w:type="character" w:styleId="Emphasis">
    <w:name w:val="Emphasis"/>
    <w:rPr>
      <w:b/>
      <w:iCs/>
      <w:w w:val="100"/>
      <w:position w:val="-1"/>
      <w:effect w:val="none"/>
      <w:vertAlign w:val="baseline"/>
      <w:cs w:val="0"/>
      <w:em w:val="none"/>
    </w:rPr>
  </w:style>
  <w:style w:type="character" w:styleId="EndnoteReference">
    <w:name w:val="endnote reference"/>
    <w:qFormat/>
    <w:rPr>
      <w:w w:val="100"/>
      <w:position w:val="-1"/>
      <w:effect w:val="none"/>
      <w:vertAlign w:val="superscript"/>
      <w:cs w:val="0"/>
      <w:em w:val="none"/>
    </w:rPr>
  </w:style>
  <w:style w:type="character" w:styleId="FootnoteReference">
    <w:name w:val="footnote reference"/>
    <w:qFormat/>
    <w:rPr>
      <w:w w:val="100"/>
      <w:position w:val="-1"/>
      <w:effect w:val="none"/>
      <w:vertAlign w:val="superscript"/>
      <w:cs w:val="0"/>
      <w:em w:val="none"/>
    </w:rPr>
  </w:style>
  <w:style w:type="character" w:styleId="Hyperlink">
    <w:name w:val="Hyperlink"/>
    <w:qFormat/>
    <w:rPr>
      <w:color w:val="0000FF"/>
      <w:w w:val="100"/>
      <w:position w:val="-1"/>
      <w:u w:val="single"/>
      <w:effect w:val="none"/>
      <w:vertAlign w:val="baseline"/>
      <w:cs w:val="0"/>
      <w:em w:val="none"/>
    </w:rPr>
  </w:style>
  <w:style w:type="character" w:customStyle="1" w:styleId="EndnoteTextChar">
    <w:name w:val="Endnote Text Char"/>
    <w:rPr>
      <w:rFonts w:ascii="Calibri" w:eastAsia="Calibri" w:hAnsi="Calibri" w:cs="Times New Roman"/>
      <w:w w:val="100"/>
      <w:position w:val="-1"/>
      <w:sz w:val="20"/>
      <w:szCs w:val="20"/>
      <w:effect w:val="none"/>
      <w:vertAlign w:val="baseline"/>
      <w:cs w:val="0"/>
      <w:em w:val="none"/>
      <w:lang w:val="en-MY"/>
    </w:rPr>
  </w:style>
  <w:style w:type="character" w:customStyle="1" w:styleId="FooterChar">
    <w:name w:val="Footer Char"/>
    <w:rPr>
      <w:rFonts w:ascii="Calibri" w:eastAsia="Calibri" w:hAnsi="Calibri" w:cs="Times New Roman"/>
      <w:w w:val="100"/>
      <w:position w:val="-1"/>
      <w:effect w:val="none"/>
      <w:vertAlign w:val="baseline"/>
      <w:cs w:val="0"/>
      <w:em w:val="none"/>
      <w:lang w:val="en-MY"/>
    </w:rPr>
  </w:style>
  <w:style w:type="character" w:customStyle="1" w:styleId="FootnoteTextChar">
    <w:name w:val="Footnote Text Char"/>
    <w:rPr>
      <w:rFonts w:ascii="Calibri" w:eastAsia="Calibri" w:hAnsi="Calibri" w:cs="Times New Roman"/>
      <w:w w:val="100"/>
      <w:position w:val="-1"/>
      <w:sz w:val="20"/>
      <w:szCs w:val="20"/>
      <w:effect w:val="none"/>
      <w:vertAlign w:val="baseline"/>
      <w:cs w:val="0"/>
      <w:em w:val="none"/>
    </w:rPr>
  </w:style>
  <w:style w:type="character" w:customStyle="1" w:styleId="apple-converted-space">
    <w:name w:val="apple-converted-space"/>
    <w:rPr>
      <w:w w:val="100"/>
      <w:position w:val="-1"/>
      <w:effect w:val="none"/>
      <w:vertAlign w:val="baseline"/>
      <w:cs w:val="0"/>
      <w:em w:val="none"/>
    </w:rPr>
  </w:style>
  <w:style w:type="character" w:customStyle="1" w:styleId="HeaderChar">
    <w:name w:val="Header Char"/>
    <w:uiPriority w:val="99"/>
    <w:rPr>
      <w:rFonts w:ascii="Calibri" w:eastAsia="Calibri" w:hAnsi="Calibri" w:cs="Times New Roman"/>
      <w:w w:val="100"/>
      <w:position w:val="-1"/>
      <w:effect w:val="none"/>
      <w:vertAlign w:val="baseline"/>
      <w:cs w:val="0"/>
      <w:em w:val="none"/>
    </w:rPr>
  </w:style>
  <w:style w:type="character" w:customStyle="1" w:styleId="CommentTextChar">
    <w:name w:val="Comment Text Char"/>
    <w:rPr>
      <w:rFonts w:ascii="Calibri" w:eastAsia="Calibri" w:hAnsi="Calibri" w:cs="Times New Roman"/>
      <w:w w:val="100"/>
      <w:position w:val="-1"/>
      <w:sz w:val="20"/>
      <w:szCs w:val="20"/>
      <w:effect w:val="none"/>
      <w:vertAlign w:val="baseline"/>
      <w:cs w:val="0"/>
      <w:em w:val="none"/>
    </w:rPr>
  </w:style>
  <w:style w:type="character" w:customStyle="1" w:styleId="BalloonTextChar">
    <w:name w:val="Balloon Text Char"/>
    <w:rPr>
      <w:rFonts w:ascii="Tahoma" w:eastAsia="Calibri" w:hAnsi="Tahoma" w:cs="Tahoma"/>
      <w:w w:val="100"/>
      <w:position w:val="-1"/>
      <w:sz w:val="16"/>
      <w:szCs w:val="16"/>
      <w:effect w:val="none"/>
      <w:vertAlign w:val="baseline"/>
      <w:cs w:val="0"/>
      <w:em w:val="none"/>
    </w:rPr>
  </w:style>
  <w:style w:type="character" w:customStyle="1" w:styleId="CommentSubjectChar">
    <w:name w:val="Comment Subject Char"/>
    <w:rPr>
      <w:rFonts w:ascii="Calibri" w:eastAsia="Calibri" w:hAnsi="Calibri" w:cs="Times New Roman"/>
      <w:b/>
      <w:bCs/>
      <w:w w:val="100"/>
      <w:position w:val="-1"/>
      <w:sz w:val="20"/>
      <w:szCs w:val="20"/>
      <w:effect w:val="none"/>
      <w:vertAlign w:val="baseline"/>
      <w:cs w:val="0"/>
      <w:em w:val="none"/>
      <w:lang w:val="en-US" w:eastAsia="en-US"/>
    </w:rPr>
  </w:style>
  <w:style w:type="paragraph" w:customStyle="1" w:styleId="Revision1">
    <w:name w:val="Revision1"/>
    <w:pPr>
      <w:suppressAutoHyphens/>
      <w:spacing w:line="1" w:lineRule="atLeast"/>
      <w:ind w:leftChars="-1" w:left="-1" w:hangingChars="1" w:hanging="1"/>
      <w:textDirection w:val="btLr"/>
      <w:textAlignment w:val="top"/>
      <w:outlineLvl w:val="0"/>
    </w:pPr>
    <w:rPr>
      <w:position w:val="-1"/>
    </w:rPr>
  </w:style>
  <w:style w:type="character" w:customStyle="1" w:styleId="st1">
    <w:name w:val="st1"/>
    <w:rPr>
      <w:w w:val="100"/>
      <w:position w:val="-1"/>
      <w:effect w:val="none"/>
      <w:vertAlign w:val="baseline"/>
      <w:cs w:val="0"/>
      <w:em w:val="none"/>
    </w:rPr>
  </w:style>
  <w:style w:type="character" w:customStyle="1" w:styleId="Heading1Char">
    <w:name w:val="Heading 1 Char"/>
    <w:rPr>
      <w:rFonts w:ascii="Cambria" w:eastAsia="SimSun" w:hAnsi="Cambria" w:cs="Times New Roman"/>
      <w:color w:val="365F91"/>
      <w:w w:val="100"/>
      <w:position w:val="-1"/>
      <w:sz w:val="32"/>
      <w:szCs w:val="32"/>
      <w:effect w:val="none"/>
      <w:vertAlign w:val="baseline"/>
      <w:cs w:val="0"/>
      <w:em w:val="none"/>
      <w:lang w:val="en-US" w:eastAsia="en-US"/>
    </w:rPr>
  </w:style>
  <w:style w:type="paragraph" w:styleId="NoSpacing">
    <w:name w:val="No Spacing"/>
    <w:pPr>
      <w:suppressAutoHyphens/>
      <w:spacing w:line="1" w:lineRule="atLeast"/>
      <w:ind w:leftChars="-1" w:left="-1" w:hangingChars="1" w:hanging="1"/>
      <w:textDirection w:val="btLr"/>
      <w:textAlignment w:val="top"/>
      <w:outlineLvl w:val="0"/>
    </w:pPr>
    <w:rPr>
      <w:position w:val="-1"/>
    </w:rPr>
  </w:style>
  <w:style w:type="table" w:styleId="TableGrid">
    <w:name w:val="Table Grid"/>
    <w:basedOn w:val="TableNormal"/>
    <w:pPr>
      <w:suppressAutoHyphens/>
      <w:spacing w:after="0" w:line="240" w:lineRule="auto"/>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pPr>
      <w:suppressAutoHyphens/>
      <w:spacing w:after="0" w:line="240" w:lineRule="auto"/>
      <w:ind w:leftChars="-1" w:left="-1" w:hangingChars="1" w:hanging="1"/>
      <w:textDirection w:val="btLr"/>
      <w:textAlignment w:val="top"/>
      <w:outlineLvl w:val="0"/>
    </w:pPr>
    <w:rPr>
      <w:color w:val="000000"/>
      <w:position w:val="-1"/>
    </w:rPr>
    <w:tblPr>
      <w:tblStyleRowBandSize w:val="1"/>
      <w:tblStyleColBandSize w:val="1"/>
      <w:tblBorders>
        <w:top w:val="single" w:sz="8" w:space="0" w:color="000000"/>
        <w:bottom w:val="single" w:sz="8" w:space="0" w:color="000000"/>
      </w:tblBorders>
    </w:tblPr>
  </w:style>
  <w:style w:type="paragraph" w:styleId="ListParagraph">
    <w:name w:val="List Paragraph"/>
    <w:basedOn w:val="Normal"/>
    <w:pPr>
      <w:ind w:left="720"/>
      <w:contextualSpacing/>
    </w:pPr>
    <w:rPr>
      <w:lang w:val="ms"/>
    </w:rPr>
  </w:style>
  <w:style w:type="character" w:styleId="PlaceholderText">
    <w:name w:val="Placeholder Text"/>
    <w:rPr>
      <w:color w:val="808080"/>
      <w:w w:val="100"/>
      <w:position w:val="-1"/>
      <w:effect w:val="none"/>
      <w:vertAlign w:val="baseline"/>
      <w:cs w:val="0"/>
      <w:em w:val="none"/>
    </w:rPr>
  </w:style>
  <w:style w:type="numbering" w:customStyle="1" w:styleId="NoList1">
    <w:name w:val="No List1"/>
    <w:next w:val="NoList"/>
    <w:qFormat/>
  </w:style>
  <w:style w:type="table" w:customStyle="1" w:styleId="TableGrid1">
    <w:name w:val="Table Grid1"/>
    <w:basedOn w:val="TableNormal"/>
    <w:next w:val="TableGrid"/>
    <w:pPr>
      <w:suppressAutoHyphens/>
      <w:spacing w:after="0" w:line="240" w:lineRule="auto"/>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pPr>
      <w:suppressAutoHyphens/>
      <w:spacing w:after="0" w:line="240" w:lineRule="auto"/>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cimalAligned">
    <w:name w:val="Decimal Aligned"/>
    <w:basedOn w:val="Normal"/>
    <w:rPr>
      <w:lang w:eastAsia="ja-JP"/>
    </w:rPr>
  </w:style>
  <w:style w:type="character" w:styleId="SubtleEmphasis">
    <w:name w:val="Subtle Emphasis"/>
    <w:rPr>
      <w:i/>
      <w:iCs/>
      <w:color w:val="7F7F7F"/>
      <w:w w:val="100"/>
      <w:position w:val="-1"/>
      <w:effect w:val="none"/>
      <w:vertAlign w:val="baseline"/>
      <w:cs w:val="0"/>
      <w:em w:val="none"/>
    </w:rPr>
  </w:style>
  <w:style w:type="table" w:styleId="LightShading-Accent1">
    <w:name w:val="Light Shading Accent 1"/>
    <w:basedOn w:val="TableNormal"/>
    <w:pPr>
      <w:suppressAutoHyphens/>
      <w:spacing w:after="0" w:line="240" w:lineRule="auto"/>
      <w:ind w:leftChars="-1" w:left="-1" w:hangingChars="1" w:hanging="1"/>
      <w:textDirection w:val="btLr"/>
      <w:textAlignment w:val="top"/>
      <w:outlineLvl w:val="0"/>
    </w:pPr>
    <w:rPr>
      <w:rFonts w:eastAsia="Times New Roman"/>
      <w:color w:val="365F91"/>
      <w:position w:val="-1"/>
      <w:lang w:eastAsia="ja-JP"/>
    </w:rPr>
    <w:tblPr>
      <w:tblStyleRowBandSize w:val="1"/>
      <w:tblStyleColBandSize w:val="1"/>
      <w:tblBorders>
        <w:top w:val="single" w:sz="8" w:space="0" w:color="4F81BD"/>
        <w:bottom w:val="single" w:sz="8" w:space="0" w:color="4F81BD"/>
      </w:tblBorders>
    </w:tblPr>
  </w:style>
  <w:style w:type="paragraph" w:styleId="HTMLPreformatted">
    <w:name w:val="HTML Preformatted"/>
    <w:basedOn w:val="Normal"/>
    <w:qFormat/>
    <w:pPr>
      <w:spacing w:after="0" w:line="240" w:lineRule="auto"/>
    </w:pPr>
    <w:rPr>
      <w:rFonts w:ascii="Courier New" w:eastAsia="Times New Roman" w:hAnsi="Courier New" w:cs="Courier New"/>
      <w:sz w:val="20"/>
      <w:szCs w:val="20"/>
    </w:rPr>
  </w:style>
  <w:style w:type="character" w:customStyle="1" w:styleId="HTMLPreformattedChar">
    <w:name w:val="HTML Preformatted Char"/>
    <w:rPr>
      <w:rFonts w:ascii="Courier New" w:eastAsia="Times New Roman" w:hAnsi="Courier New" w:cs="Courier New"/>
      <w:w w:val="100"/>
      <w:position w:val="-1"/>
      <w:effect w:val="none"/>
      <w:vertAlign w:val="baseline"/>
      <w:cs w:val="0"/>
      <w:em w:val="none"/>
      <w:lang w:val="en-US" w:eastAsia="en-US"/>
    </w:rPr>
  </w:style>
  <w:style w:type="table" w:customStyle="1" w:styleId="PlainTable41">
    <w:name w:val="Plain Table 41"/>
    <w:basedOn w:val="TableNormal"/>
    <w:pPr>
      <w:suppressAutoHyphens/>
      <w:spacing w:after="0" w:line="240" w:lineRule="auto"/>
      <w:ind w:leftChars="-1" w:left="-1" w:hangingChars="1" w:hanging="1"/>
      <w:textDirection w:val="btLr"/>
      <w:textAlignment w:val="top"/>
      <w:outlineLvl w:val="0"/>
    </w:pPr>
    <w:rPr>
      <w:position w:val="-1"/>
    </w:rPr>
    <w:tblPr>
      <w:tblStyleRowBandSize w:val="1"/>
      <w:tblStyleColBandSize w:val="1"/>
    </w:tblPr>
  </w:style>
  <w:style w:type="character" w:customStyle="1" w:styleId="UnresolvedMention1">
    <w:name w:val="Unresolved Mention1"/>
    <w:qFormat/>
    <w:rPr>
      <w:color w:val="808080"/>
      <w:w w:val="100"/>
      <w:position w:val="-1"/>
      <w:effect w:val="none"/>
      <w:shd w:val="clear" w:color="auto" w:fill="E6E6E6"/>
      <w:vertAlign w:val="baseline"/>
      <w:cs w:val="0"/>
      <w:em w:val="none"/>
    </w:rPr>
  </w:style>
  <w:style w:type="paragraph" w:customStyle="1" w:styleId="BodyA">
    <w:name w:val="Body A"/>
    <w:pPr>
      <w:pBdr>
        <w:top w:val="nil"/>
        <w:left w:val="nil"/>
        <w:bottom w:val="nil"/>
        <w:right w:val="nil"/>
        <w:between w:val="nil"/>
        <w:bar w:val="nil"/>
      </w:pBdr>
      <w:suppressAutoHyphens/>
      <w:spacing w:line="1" w:lineRule="atLeast"/>
      <w:ind w:leftChars="-1" w:left="-1" w:hangingChars="1" w:hanging="1"/>
      <w:textDirection w:val="btLr"/>
      <w:textAlignment w:val="top"/>
      <w:outlineLvl w:val="0"/>
    </w:pPr>
    <w:rPr>
      <w:rFonts w:ascii="Helvetica" w:eastAsia="Helvetica" w:hAnsi="Helvetica" w:cs="Helvetica"/>
      <w:color w:val="000000"/>
      <w:position w:val="-1"/>
      <w:bdr w:val="nil"/>
    </w:rPr>
  </w:style>
  <w:style w:type="paragraph" w:customStyle="1" w:styleId="TableStyle2">
    <w:name w:val="Table Style 2"/>
    <w:pPr>
      <w:pBdr>
        <w:top w:val="nil"/>
        <w:left w:val="nil"/>
        <w:bottom w:val="nil"/>
        <w:right w:val="nil"/>
        <w:between w:val="nil"/>
        <w:bar w:val="nil"/>
      </w:pBdr>
      <w:suppressAutoHyphens/>
      <w:spacing w:line="1" w:lineRule="atLeast"/>
      <w:ind w:leftChars="-1" w:left="-1" w:hangingChars="1" w:hanging="1"/>
      <w:textDirection w:val="btLr"/>
      <w:textAlignment w:val="top"/>
      <w:outlineLvl w:val="0"/>
    </w:pPr>
    <w:rPr>
      <w:rFonts w:ascii="Helvetica" w:eastAsia="Helvetica" w:hAnsi="Helvetica" w:cs="Helvetica"/>
      <w:color w:val="000000"/>
      <w:position w:val="-1"/>
      <w:bdr w:val="nil"/>
      <w:lang w:val="en-MY" w:eastAsia="en-MY"/>
    </w:rPr>
  </w:style>
  <w:style w:type="character" w:customStyle="1" w:styleId="UnresolvedMention">
    <w:name w:val="Unresolved Mention"/>
    <w:qFormat/>
    <w:rPr>
      <w:color w:val="808080"/>
      <w:w w:val="100"/>
      <w:position w:val="-1"/>
      <w:effect w:val="none"/>
      <w:shd w:val="clear" w:color="auto" w:fill="E6E6E6"/>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paragraph" w:customStyle="1" w:styleId="CitaviBibliographyEntry">
    <w:name w:val="Citavi Bibliography Entry"/>
    <w:basedOn w:val="Normal"/>
    <w:link w:val="CitaviBibliographyEntryChar"/>
    <w:uiPriority w:val="99"/>
    <w:rsid w:val="00556418"/>
    <w:pPr>
      <w:tabs>
        <w:tab w:val="left" w:pos="283"/>
      </w:tabs>
      <w:spacing w:after="60" w:line="240" w:lineRule="auto"/>
      <w:ind w:leftChars="0" w:left="283" w:firstLineChars="0" w:hanging="283"/>
      <w:jc w:val="both"/>
    </w:pPr>
    <w:rPr>
      <w:rFonts w:ascii="Times New Roman" w:hAnsi="Times New Roman"/>
      <w:sz w:val="24"/>
    </w:rPr>
  </w:style>
  <w:style w:type="character" w:customStyle="1" w:styleId="CitaviBibliographyEntryChar">
    <w:name w:val="Citavi Bibliography Entry Char"/>
    <w:basedOn w:val="DefaultParagraphFont"/>
    <w:link w:val="CitaviBibliographyEntry"/>
    <w:uiPriority w:val="99"/>
    <w:rsid w:val="00556418"/>
    <w:rPr>
      <w:rFonts w:ascii="Times New Roman" w:hAnsi="Times New Roman"/>
      <w:position w:val="-1"/>
      <w:sz w:val="24"/>
    </w:rPr>
  </w:style>
  <w:style w:type="paragraph" w:customStyle="1" w:styleId="CitaviBibliographyHeading">
    <w:name w:val="Citavi Bibliography Heading"/>
    <w:basedOn w:val="Heading1"/>
    <w:link w:val="CitaviBibliographyHeadingChar"/>
    <w:uiPriority w:val="99"/>
    <w:rsid w:val="00247D18"/>
  </w:style>
  <w:style w:type="character" w:customStyle="1" w:styleId="CitaviBibliographyHeadingChar">
    <w:name w:val="Citavi Bibliography Heading Char"/>
    <w:basedOn w:val="DefaultParagraphFont"/>
    <w:link w:val="CitaviBibliographyHeading"/>
    <w:uiPriority w:val="99"/>
    <w:rsid w:val="00247D18"/>
    <w:rPr>
      <w:rFonts w:ascii="Cambria" w:eastAsia="SimSun" w:hAnsi="Cambria" w:cs="Times New Roman"/>
      <w:color w:val="365F91"/>
      <w:position w:val="-1"/>
      <w:sz w:val="32"/>
      <w:szCs w:val="32"/>
    </w:rPr>
  </w:style>
  <w:style w:type="paragraph" w:customStyle="1" w:styleId="CitaviChapterBibliographyHeading">
    <w:name w:val="Citavi Chapter Bibliography Heading"/>
    <w:basedOn w:val="Heading2"/>
    <w:link w:val="CitaviChapterBibliographyHeadingChar"/>
    <w:uiPriority w:val="99"/>
    <w:rsid w:val="00247D18"/>
  </w:style>
  <w:style w:type="character" w:customStyle="1" w:styleId="CitaviChapterBibliographyHeadingChar">
    <w:name w:val="Citavi Chapter Bibliography Heading Char"/>
    <w:basedOn w:val="DefaultParagraphFont"/>
    <w:link w:val="CitaviChapterBibliographyHeading"/>
    <w:uiPriority w:val="99"/>
    <w:rsid w:val="00247D18"/>
    <w:rPr>
      <w:b/>
      <w:position w:val="-1"/>
      <w:sz w:val="36"/>
      <w:szCs w:val="36"/>
    </w:rPr>
  </w:style>
  <w:style w:type="paragraph" w:customStyle="1" w:styleId="CitaviBibliographySubheading1">
    <w:name w:val="Citavi Bibliography Subheading 1"/>
    <w:basedOn w:val="Heading2"/>
    <w:link w:val="CitaviBibliographySubheading1Char"/>
    <w:uiPriority w:val="99"/>
    <w:rsid w:val="00247D18"/>
    <w:pPr>
      <w:spacing w:after="0" w:line="240" w:lineRule="auto"/>
      <w:ind w:left="0" w:hanging="2"/>
      <w:outlineLvl w:val="9"/>
    </w:pPr>
    <w:rPr>
      <w:rFonts w:ascii="Times New Roman" w:eastAsia="Times New Roman" w:hAnsi="Times New Roman" w:cs="Times New Roman"/>
      <w:sz w:val="24"/>
      <w:szCs w:val="24"/>
    </w:rPr>
  </w:style>
  <w:style w:type="character" w:customStyle="1" w:styleId="CitaviBibliographySubheading1Char">
    <w:name w:val="Citavi Bibliography Subheading 1 Char"/>
    <w:basedOn w:val="DefaultParagraphFont"/>
    <w:link w:val="CitaviBibliographySubheading1"/>
    <w:uiPriority w:val="99"/>
    <w:rsid w:val="00247D18"/>
    <w:rPr>
      <w:rFonts w:ascii="Times New Roman" w:eastAsia="Times New Roman" w:hAnsi="Times New Roman" w:cs="Times New Roman"/>
      <w:b/>
      <w:position w:val="-1"/>
      <w:sz w:val="24"/>
      <w:szCs w:val="24"/>
    </w:rPr>
  </w:style>
  <w:style w:type="paragraph" w:customStyle="1" w:styleId="CitaviBibliographySubheading2">
    <w:name w:val="Citavi Bibliography Subheading 2"/>
    <w:basedOn w:val="Heading3"/>
    <w:link w:val="CitaviBibliographySubheading2Char"/>
    <w:uiPriority w:val="99"/>
    <w:rsid w:val="00247D18"/>
    <w:pPr>
      <w:spacing w:after="0" w:line="240" w:lineRule="auto"/>
      <w:ind w:left="0" w:hanging="2"/>
      <w:outlineLvl w:val="9"/>
    </w:pPr>
    <w:rPr>
      <w:rFonts w:ascii="Times New Roman" w:eastAsia="Times New Roman" w:hAnsi="Times New Roman" w:cs="Times New Roman"/>
      <w:sz w:val="24"/>
      <w:szCs w:val="24"/>
    </w:rPr>
  </w:style>
  <w:style w:type="character" w:customStyle="1" w:styleId="CitaviBibliographySubheading2Char">
    <w:name w:val="Citavi Bibliography Subheading 2 Char"/>
    <w:basedOn w:val="DefaultParagraphFont"/>
    <w:link w:val="CitaviBibliographySubheading2"/>
    <w:uiPriority w:val="99"/>
    <w:rsid w:val="00247D18"/>
    <w:rPr>
      <w:rFonts w:ascii="Times New Roman" w:eastAsia="Times New Roman" w:hAnsi="Times New Roman" w:cs="Times New Roman"/>
      <w:b/>
      <w:position w:val="-1"/>
      <w:sz w:val="24"/>
      <w:szCs w:val="24"/>
    </w:rPr>
  </w:style>
  <w:style w:type="paragraph" w:customStyle="1" w:styleId="CitaviBibliographySubheading3">
    <w:name w:val="Citavi Bibliography Subheading 3"/>
    <w:basedOn w:val="Heading4"/>
    <w:link w:val="CitaviBibliographySubheading3Char"/>
    <w:uiPriority w:val="99"/>
    <w:rsid w:val="00247D18"/>
    <w:pPr>
      <w:spacing w:after="0" w:line="240" w:lineRule="auto"/>
      <w:ind w:left="0" w:hanging="2"/>
      <w:outlineLvl w:val="9"/>
    </w:pPr>
    <w:rPr>
      <w:rFonts w:ascii="Times New Roman" w:eastAsia="Times New Roman" w:hAnsi="Times New Roman" w:cs="Times New Roman"/>
    </w:rPr>
  </w:style>
  <w:style w:type="character" w:customStyle="1" w:styleId="CitaviBibliographySubheading3Char">
    <w:name w:val="Citavi Bibliography Subheading 3 Char"/>
    <w:basedOn w:val="DefaultParagraphFont"/>
    <w:link w:val="CitaviBibliographySubheading3"/>
    <w:uiPriority w:val="99"/>
    <w:rsid w:val="00247D18"/>
    <w:rPr>
      <w:rFonts w:ascii="Times New Roman" w:eastAsia="Times New Roman" w:hAnsi="Times New Roman" w:cs="Times New Roman"/>
      <w:b/>
      <w:position w:val="-1"/>
      <w:sz w:val="24"/>
      <w:szCs w:val="24"/>
    </w:rPr>
  </w:style>
  <w:style w:type="paragraph" w:customStyle="1" w:styleId="CitaviBibliographySubheading4">
    <w:name w:val="Citavi Bibliography Subheading 4"/>
    <w:basedOn w:val="Heading5"/>
    <w:link w:val="CitaviBibliographySubheading4Char"/>
    <w:uiPriority w:val="99"/>
    <w:rsid w:val="00247D18"/>
    <w:pPr>
      <w:spacing w:after="0" w:line="240" w:lineRule="auto"/>
      <w:ind w:left="0" w:hanging="2"/>
      <w:outlineLvl w:val="9"/>
    </w:pPr>
    <w:rPr>
      <w:rFonts w:ascii="Times New Roman" w:eastAsia="Times New Roman" w:hAnsi="Times New Roman" w:cs="Times New Roman"/>
      <w:sz w:val="24"/>
      <w:szCs w:val="24"/>
    </w:rPr>
  </w:style>
  <w:style w:type="character" w:customStyle="1" w:styleId="CitaviBibliographySubheading4Char">
    <w:name w:val="Citavi Bibliography Subheading 4 Char"/>
    <w:basedOn w:val="DefaultParagraphFont"/>
    <w:link w:val="CitaviBibliographySubheading4"/>
    <w:uiPriority w:val="99"/>
    <w:rsid w:val="00247D18"/>
    <w:rPr>
      <w:rFonts w:ascii="Times New Roman" w:eastAsia="Times New Roman" w:hAnsi="Times New Roman" w:cs="Times New Roman"/>
      <w:b/>
      <w:position w:val="-1"/>
      <w:sz w:val="24"/>
      <w:szCs w:val="24"/>
    </w:rPr>
  </w:style>
  <w:style w:type="paragraph" w:customStyle="1" w:styleId="CitaviBibliographySubheading5">
    <w:name w:val="Citavi Bibliography Subheading 5"/>
    <w:basedOn w:val="Heading6"/>
    <w:link w:val="CitaviBibliographySubheading5Char"/>
    <w:uiPriority w:val="99"/>
    <w:rsid w:val="00247D18"/>
    <w:pPr>
      <w:spacing w:after="0" w:line="240" w:lineRule="auto"/>
      <w:ind w:left="0" w:hanging="2"/>
      <w:outlineLvl w:val="9"/>
    </w:pPr>
    <w:rPr>
      <w:rFonts w:ascii="Times New Roman" w:eastAsia="Times New Roman" w:hAnsi="Times New Roman" w:cs="Times New Roman"/>
      <w:sz w:val="24"/>
      <w:szCs w:val="24"/>
    </w:rPr>
  </w:style>
  <w:style w:type="character" w:customStyle="1" w:styleId="CitaviBibliographySubheading5Char">
    <w:name w:val="Citavi Bibliography Subheading 5 Char"/>
    <w:basedOn w:val="DefaultParagraphFont"/>
    <w:link w:val="CitaviBibliographySubheading5"/>
    <w:uiPriority w:val="99"/>
    <w:rsid w:val="00247D18"/>
    <w:rPr>
      <w:rFonts w:ascii="Times New Roman" w:eastAsia="Times New Roman" w:hAnsi="Times New Roman" w:cs="Times New Roman"/>
      <w:b/>
      <w:position w:val="-1"/>
      <w:sz w:val="24"/>
      <w:szCs w:val="24"/>
    </w:rPr>
  </w:style>
  <w:style w:type="paragraph" w:customStyle="1" w:styleId="CitaviBibliographySubheading6">
    <w:name w:val="Citavi Bibliography Subheading 6"/>
    <w:basedOn w:val="Heading7"/>
    <w:link w:val="CitaviBibliographySubheading6Char"/>
    <w:uiPriority w:val="99"/>
    <w:rsid w:val="00247D18"/>
    <w:pPr>
      <w:spacing w:line="240" w:lineRule="auto"/>
      <w:ind w:left="0" w:hanging="2"/>
      <w:outlineLvl w:val="9"/>
    </w:pPr>
    <w:rPr>
      <w:rFonts w:ascii="Times New Roman" w:eastAsia="Times New Roman" w:hAnsi="Times New Roman" w:cs="Times New Roman"/>
      <w:sz w:val="24"/>
      <w:szCs w:val="24"/>
    </w:rPr>
  </w:style>
  <w:style w:type="character" w:customStyle="1" w:styleId="CitaviBibliographySubheading6Char">
    <w:name w:val="Citavi Bibliography Subheading 6 Char"/>
    <w:basedOn w:val="DefaultParagraphFont"/>
    <w:link w:val="CitaviBibliographySubheading6"/>
    <w:uiPriority w:val="99"/>
    <w:rsid w:val="00247D18"/>
    <w:rPr>
      <w:rFonts w:ascii="Times New Roman" w:eastAsia="Times New Roman" w:hAnsi="Times New Roman" w:cs="Times New Roman"/>
      <w:i/>
      <w:iCs/>
      <w:color w:val="243F60" w:themeColor="accent1" w:themeShade="7F"/>
      <w:position w:val="-1"/>
      <w:sz w:val="24"/>
      <w:szCs w:val="24"/>
    </w:rPr>
  </w:style>
  <w:style w:type="character" w:customStyle="1" w:styleId="Heading7Char">
    <w:name w:val="Heading 7 Char"/>
    <w:basedOn w:val="DefaultParagraphFont"/>
    <w:link w:val="Heading7"/>
    <w:uiPriority w:val="9"/>
    <w:semiHidden/>
    <w:rsid w:val="00247D18"/>
    <w:rPr>
      <w:rFonts w:asciiTheme="majorHAnsi" w:eastAsiaTheme="majorEastAsia" w:hAnsiTheme="majorHAnsi" w:cstheme="majorBidi"/>
      <w:i/>
      <w:iCs/>
      <w:color w:val="243F60" w:themeColor="accent1" w:themeShade="7F"/>
      <w:position w:val="-1"/>
    </w:rPr>
  </w:style>
  <w:style w:type="paragraph" w:customStyle="1" w:styleId="CitaviBibliographySubheading7">
    <w:name w:val="Citavi Bibliography Subheading 7"/>
    <w:basedOn w:val="Heading8"/>
    <w:link w:val="CitaviBibliographySubheading7Char"/>
    <w:uiPriority w:val="99"/>
    <w:rsid w:val="00247D18"/>
    <w:pPr>
      <w:spacing w:line="240" w:lineRule="auto"/>
      <w:ind w:left="0" w:hanging="2"/>
      <w:outlineLvl w:val="9"/>
    </w:pPr>
    <w:rPr>
      <w:rFonts w:ascii="Times New Roman" w:eastAsia="Times New Roman" w:hAnsi="Times New Roman" w:cs="Times New Roman"/>
      <w:sz w:val="24"/>
      <w:szCs w:val="24"/>
    </w:rPr>
  </w:style>
  <w:style w:type="character" w:customStyle="1" w:styleId="CitaviBibliographySubheading7Char">
    <w:name w:val="Citavi Bibliography Subheading 7 Char"/>
    <w:basedOn w:val="DefaultParagraphFont"/>
    <w:link w:val="CitaviBibliographySubheading7"/>
    <w:uiPriority w:val="99"/>
    <w:rsid w:val="00247D18"/>
    <w:rPr>
      <w:rFonts w:ascii="Times New Roman" w:eastAsia="Times New Roman" w:hAnsi="Times New Roman" w:cs="Times New Roman"/>
      <w:color w:val="272727" w:themeColor="text1" w:themeTint="D8"/>
      <w:position w:val="-1"/>
      <w:sz w:val="24"/>
      <w:szCs w:val="24"/>
    </w:rPr>
  </w:style>
  <w:style w:type="character" w:customStyle="1" w:styleId="Heading8Char">
    <w:name w:val="Heading 8 Char"/>
    <w:basedOn w:val="DefaultParagraphFont"/>
    <w:link w:val="Heading8"/>
    <w:uiPriority w:val="9"/>
    <w:semiHidden/>
    <w:rsid w:val="00247D18"/>
    <w:rPr>
      <w:rFonts w:asciiTheme="majorHAnsi" w:eastAsiaTheme="majorEastAsia" w:hAnsiTheme="majorHAnsi" w:cstheme="majorBidi"/>
      <w:color w:val="272727" w:themeColor="text1" w:themeTint="D8"/>
      <w:position w:val="-1"/>
      <w:sz w:val="21"/>
      <w:szCs w:val="21"/>
    </w:rPr>
  </w:style>
  <w:style w:type="paragraph" w:customStyle="1" w:styleId="CitaviBibliographySubheading8">
    <w:name w:val="Citavi Bibliography Subheading 8"/>
    <w:basedOn w:val="Heading9"/>
    <w:link w:val="CitaviBibliographySubheading8Char"/>
    <w:uiPriority w:val="99"/>
    <w:rsid w:val="00247D18"/>
    <w:pPr>
      <w:spacing w:line="240" w:lineRule="auto"/>
      <w:ind w:left="0" w:hanging="2"/>
      <w:outlineLvl w:val="9"/>
    </w:pPr>
    <w:rPr>
      <w:rFonts w:ascii="Times New Roman" w:eastAsia="Times New Roman" w:hAnsi="Times New Roman" w:cs="Times New Roman"/>
      <w:sz w:val="24"/>
      <w:szCs w:val="24"/>
    </w:rPr>
  </w:style>
  <w:style w:type="character" w:customStyle="1" w:styleId="CitaviBibliographySubheading8Char">
    <w:name w:val="Citavi Bibliography Subheading 8 Char"/>
    <w:basedOn w:val="DefaultParagraphFont"/>
    <w:link w:val="CitaviBibliographySubheading8"/>
    <w:uiPriority w:val="99"/>
    <w:rsid w:val="00247D18"/>
    <w:rPr>
      <w:rFonts w:ascii="Times New Roman" w:eastAsia="Times New Roman" w:hAnsi="Times New Roman" w:cs="Times New Roman"/>
      <w:i/>
      <w:iCs/>
      <w:color w:val="272727" w:themeColor="text1" w:themeTint="D8"/>
      <w:position w:val="-1"/>
      <w:sz w:val="24"/>
      <w:szCs w:val="24"/>
    </w:rPr>
  </w:style>
  <w:style w:type="character" w:customStyle="1" w:styleId="Heading9Char">
    <w:name w:val="Heading 9 Char"/>
    <w:basedOn w:val="DefaultParagraphFont"/>
    <w:link w:val="Heading9"/>
    <w:uiPriority w:val="9"/>
    <w:semiHidden/>
    <w:rsid w:val="00247D18"/>
    <w:rPr>
      <w:rFonts w:asciiTheme="majorHAnsi" w:eastAsiaTheme="majorEastAsia" w:hAnsiTheme="majorHAnsi" w:cstheme="majorBidi"/>
      <w:i/>
      <w:iCs/>
      <w:color w:val="272727" w:themeColor="text1" w:themeTint="D8"/>
      <w:position w:val="-1"/>
      <w:sz w:val="21"/>
      <w:szCs w:val="21"/>
    </w:rPr>
  </w:style>
  <w:style w:type="paragraph" w:styleId="TOCHeading">
    <w:name w:val="TOC Heading"/>
    <w:basedOn w:val="Heading1"/>
    <w:next w:val="Normal"/>
    <w:uiPriority w:val="39"/>
    <w:semiHidden/>
    <w:unhideWhenUsed/>
    <w:qFormat/>
    <w:rsid w:val="005F4365"/>
    <w:pPr>
      <w:outlineLvl w:val="9"/>
    </w:pPr>
    <w:rPr>
      <w:rFonts w:asciiTheme="majorHAnsi" w:eastAsiaTheme="majorEastAsia" w:hAnsiTheme="majorHAnsi" w:cstheme="majorBidi"/>
      <w:color w:val="365F91" w:themeColor="accent1" w:themeShade="BF"/>
    </w:rPr>
  </w:style>
  <w:style w:type="paragraph" w:styleId="Bibliography">
    <w:name w:val="Bibliography"/>
    <w:basedOn w:val="Normal"/>
    <w:next w:val="Normal"/>
    <w:uiPriority w:val="37"/>
    <w:semiHidden/>
    <w:unhideWhenUsed/>
    <w:rsid w:val="005F4365"/>
  </w:style>
  <w:style w:type="character" w:styleId="BookTitle">
    <w:name w:val="Book Title"/>
    <w:basedOn w:val="DefaultParagraphFont"/>
    <w:uiPriority w:val="33"/>
    <w:qFormat/>
    <w:rsid w:val="005F4365"/>
    <w:rPr>
      <w:b/>
      <w:bCs/>
      <w:i/>
      <w:iCs/>
      <w:spacing w:val="5"/>
    </w:rPr>
  </w:style>
  <w:style w:type="character" w:styleId="IntenseReference">
    <w:name w:val="Intense Reference"/>
    <w:basedOn w:val="DefaultParagraphFont"/>
    <w:uiPriority w:val="32"/>
    <w:qFormat/>
    <w:rsid w:val="005F4365"/>
    <w:rPr>
      <w:b/>
      <w:bCs/>
      <w:smallCaps/>
      <w:color w:val="4F81BD" w:themeColor="accent1"/>
      <w:spacing w:val="5"/>
    </w:rPr>
  </w:style>
  <w:style w:type="character" w:styleId="SubtleReference">
    <w:name w:val="Subtle Reference"/>
    <w:basedOn w:val="DefaultParagraphFont"/>
    <w:uiPriority w:val="31"/>
    <w:qFormat/>
    <w:rsid w:val="005F4365"/>
    <w:rPr>
      <w:smallCaps/>
      <w:color w:val="5A5A5A" w:themeColor="text1" w:themeTint="A5"/>
    </w:rPr>
  </w:style>
  <w:style w:type="character" w:styleId="IntenseEmphasis">
    <w:name w:val="Intense Emphasis"/>
    <w:basedOn w:val="DefaultParagraphFont"/>
    <w:uiPriority w:val="21"/>
    <w:qFormat/>
    <w:rsid w:val="005F4365"/>
    <w:rPr>
      <w:i/>
      <w:iCs/>
      <w:color w:val="4F81BD" w:themeColor="accent1"/>
    </w:rPr>
  </w:style>
  <w:style w:type="paragraph" w:styleId="IntenseQuote">
    <w:name w:val="Intense Quote"/>
    <w:basedOn w:val="Normal"/>
    <w:next w:val="Normal"/>
    <w:link w:val="IntenseQuoteChar"/>
    <w:uiPriority w:val="30"/>
    <w:qFormat/>
    <w:rsid w:val="005F4365"/>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5F4365"/>
    <w:rPr>
      <w:i/>
      <w:iCs/>
      <w:color w:val="4F81BD" w:themeColor="accent1"/>
      <w:position w:val="-1"/>
    </w:rPr>
  </w:style>
  <w:style w:type="paragraph" w:styleId="Quote">
    <w:name w:val="Quote"/>
    <w:basedOn w:val="Normal"/>
    <w:next w:val="Normal"/>
    <w:link w:val="QuoteChar"/>
    <w:uiPriority w:val="29"/>
    <w:qFormat/>
    <w:rsid w:val="005F436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5F4365"/>
    <w:rPr>
      <w:i/>
      <w:iCs/>
      <w:color w:val="404040" w:themeColor="text1" w:themeTint="BF"/>
      <w:position w:val="-1"/>
    </w:rPr>
  </w:style>
  <w:style w:type="table" w:styleId="MediumList1-Accent1">
    <w:name w:val="Medium List 1 Accent 1"/>
    <w:basedOn w:val="TableNormal"/>
    <w:uiPriority w:val="65"/>
    <w:semiHidden/>
    <w:unhideWhenUsed/>
    <w:rsid w:val="005F4365"/>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Shading2-Accent1">
    <w:name w:val="Medium Shading 2 Accent 1"/>
    <w:basedOn w:val="TableNormal"/>
    <w:uiPriority w:val="64"/>
    <w:semiHidden/>
    <w:unhideWhenUsed/>
    <w:rsid w:val="005F436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1">
    <w:name w:val="Medium Shading 1 Accent 1"/>
    <w:basedOn w:val="TableNormal"/>
    <w:uiPriority w:val="63"/>
    <w:semiHidden/>
    <w:unhideWhenUsed/>
    <w:rsid w:val="005F4365"/>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ghtGrid-Accent1">
    <w:name w:val="Light Grid Accent 1"/>
    <w:basedOn w:val="TableNormal"/>
    <w:uiPriority w:val="62"/>
    <w:semiHidden/>
    <w:unhideWhenUsed/>
    <w:rsid w:val="005F4365"/>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List-Accent1">
    <w:name w:val="Light List Accent 1"/>
    <w:basedOn w:val="TableNormal"/>
    <w:uiPriority w:val="61"/>
    <w:semiHidden/>
    <w:unhideWhenUsed/>
    <w:rsid w:val="005F4365"/>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ColorfulGrid">
    <w:name w:val="Colorful Grid"/>
    <w:basedOn w:val="TableNormal"/>
    <w:uiPriority w:val="73"/>
    <w:semiHidden/>
    <w:unhideWhenUsed/>
    <w:rsid w:val="005F4365"/>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List">
    <w:name w:val="Colorful List"/>
    <w:basedOn w:val="TableNormal"/>
    <w:uiPriority w:val="72"/>
    <w:semiHidden/>
    <w:unhideWhenUsed/>
    <w:rsid w:val="005F4365"/>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Shading">
    <w:name w:val="Colorful Shading"/>
    <w:basedOn w:val="TableNormal"/>
    <w:uiPriority w:val="71"/>
    <w:semiHidden/>
    <w:unhideWhenUsed/>
    <w:rsid w:val="005F4365"/>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rsid w:val="005F4365"/>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MediumGrid3">
    <w:name w:val="Medium Grid 3"/>
    <w:basedOn w:val="TableNormal"/>
    <w:uiPriority w:val="69"/>
    <w:semiHidden/>
    <w:unhideWhenUsed/>
    <w:rsid w:val="005F436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2">
    <w:name w:val="Medium Grid 2"/>
    <w:basedOn w:val="TableNormal"/>
    <w:uiPriority w:val="68"/>
    <w:semiHidden/>
    <w:unhideWhenUsed/>
    <w:rsid w:val="005F436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1">
    <w:name w:val="Medium Grid 1"/>
    <w:basedOn w:val="TableNormal"/>
    <w:uiPriority w:val="67"/>
    <w:semiHidden/>
    <w:unhideWhenUsed/>
    <w:rsid w:val="005F4365"/>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List2">
    <w:name w:val="Medium List 2"/>
    <w:basedOn w:val="TableNormal"/>
    <w:uiPriority w:val="66"/>
    <w:semiHidden/>
    <w:unhideWhenUsed/>
    <w:rsid w:val="005F436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1">
    <w:name w:val="Medium List 1"/>
    <w:basedOn w:val="TableNormal"/>
    <w:uiPriority w:val="65"/>
    <w:semiHidden/>
    <w:unhideWhenUsed/>
    <w:rsid w:val="005F4365"/>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Shading2">
    <w:name w:val="Medium Shading 2"/>
    <w:basedOn w:val="TableNormal"/>
    <w:uiPriority w:val="64"/>
    <w:semiHidden/>
    <w:unhideWhenUsed/>
    <w:rsid w:val="005F436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
    <w:name w:val="Medium Shading 1"/>
    <w:basedOn w:val="TableNormal"/>
    <w:uiPriority w:val="63"/>
    <w:semiHidden/>
    <w:unhideWhenUsed/>
    <w:rsid w:val="005F4365"/>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LightGrid">
    <w:name w:val="Light Grid"/>
    <w:basedOn w:val="TableNormal"/>
    <w:uiPriority w:val="62"/>
    <w:semiHidden/>
    <w:unhideWhenUsed/>
    <w:rsid w:val="005F4365"/>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List">
    <w:name w:val="Light List"/>
    <w:basedOn w:val="TableNormal"/>
    <w:uiPriority w:val="61"/>
    <w:semiHidden/>
    <w:unhideWhenUsed/>
    <w:rsid w:val="005F4365"/>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HTMLVariable">
    <w:name w:val="HTML Variable"/>
    <w:basedOn w:val="DefaultParagraphFont"/>
    <w:uiPriority w:val="99"/>
    <w:semiHidden/>
    <w:unhideWhenUsed/>
    <w:rsid w:val="005F4365"/>
    <w:rPr>
      <w:i/>
      <w:iCs/>
    </w:rPr>
  </w:style>
  <w:style w:type="character" w:styleId="HTMLTypewriter">
    <w:name w:val="HTML Typewriter"/>
    <w:basedOn w:val="DefaultParagraphFont"/>
    <w:uiPriority w:val="99"/>
    <w:semiHidden/>
    <w:unhideWhenUsed/>
    <w:rsid w:val="005F4365"/>
    <w:rPr>
      <w:rFonts w:ascii="Consolas" w:hAnsi="Consolas"/>
      <w:sz w:val="20"/>
      <w:szCs w:val="20"/>
    </w:rPr>
  </w:style>
  <w:style w:type="character" w:styleId="HTMLSample">
    <w:name w:val="HTML Sample"/>
    <w:basedOn w:val="DefaultParagraphFont"/>
    <w:uiPriority w:val="99"/>
    <w:semiHidden/>
    <w:unhideWhenUsed/>
    <w:rsid w:val="005F4365"/>
    <w:rPr>
      <w:rFonts w:ascii="Consolas" w:hAnsi="Consolas"/>
      <w:sz w:val="24"/>
      <w:szCs w:val="24"/>
    </w:rPr>
  </w:style>
  <w:style w:type="character" w:styleId="HTMLKeyboard">
    <w:name w:val="HTML Keyboard"/>
    <w:basedOn w:val="DefaultParagraphFont"/>
    <w:uiPriority w:val="99"/>
    <w:semiHidden/>
    <w:unhideWhenUsed/>
    <w:rsid w:val="005F4365"/>
    <w:rPr>
      <w:rFonts w:ascii="Consolas" w:hAnsi="Consolas"/>
      <w:sz w:val="20"/>
      <w:szCs w:val="20"/>
    </w:rPr>
  </w:style>
  <w:style w:type="character" w:styleId="HTMLDefinition">
    <w:name w:val="HTML Definition"/>
    <w:basedOn w:val="DefaultParagraphFont"/>
    <w:uiPriority w:val="99"/>
    <w:semiHidden/>
    <w:unhideWhenUsed/>
    <w:rsid w:val="005F4365"/>
    <w:rPr>
      <w:i/>
      <w:iCs/>
    </w:rPr>
  </w:style>
  <w:style w:type="character" w:styleId="HTMLCode">
    <w:name w:val="HTML Code"/>
    <w:basedOn w:val="DefaultParagraphFont"/>
    <w:uiPriority w:val="99"/>
    <w:semiHidden/>
    <w:unhideWhenUsed/>
    <w:rsid w:val="005F4365"/>
    <w:rPr>
      <w:rFonts w:ascii="Consolas" w:hAnsi="Consolas"/>
      <w:sz w:val="20"/>
      <w:szCs w:val="20"/>
    </w:rPr>
  </w:style>
  <w:style w:type="character" w:styleId="HTMLCite">
    <w:name w:val="HTML Cite"/>
    <w:basedOn w:val="DefaultParagraphFont"/>
    <w:uiPriority w:val="99"/>
    <w:semiHidden/>
    <w:unhideWhenUsed/>
    <w:rsid w:val="005F4365"/>
    <w:rPr>
      <w:i/>
      <w:iCs/>
    </w:rPr>
  </w:style>
  <w:style w:type="paragraph" w:styleId="HTMLAddress">
    <w:name w:val="HTML Address"/>
    <w:basedOn w:val="Normal"/>
    <w:link w:val="HTMLAddressChar"/>
    <w:uiPriority w:val="99"/>
    <w:semiHidden/>
    <w:unhideWhenUsed/>
    <w:rsid w:val="005F4365"/>
    <w:pPr>
      <w:spacing w:after="0" w:line="240" w:lineRule="auto"/>
    </w:pPr>
    <w:rPr>
      <w:i/>
      <w:iCs/>
    </w:rPr>
  </w:style>
  <w:style w:type="character" w:customStyle="1" w:styleId="HTMLAddressChar">
    <w:name w:val="HTML Address Char"/>
    <w:basedOn w:val="DefaultParagraphFont"/>
    <w:link w:val="HTMLAddress"/>
    <w:uiPriority w:val="99"/>
    <w:semiHidden/>
    <w:rsid w:val="005F4365"/>
    <w:rPr>
      <w:i/>
      <w:iCs/>
      <w:position w:val="-1"/>
    </w:rPr>
  </w:style>
  <w:style w:type="character" w:styleId="HTMLAcronym">
    <w:name w:val="HTML Acronym"/>
    <w:basedOn w:val="DefaultParagraphFont"/>
    <w:uiPriority w:val="99"/>
    <w:semiHidden/>
    <w:unhideWhenUsed/>
    <w:rsid w:val="005F4365"/>
  </w:style>
  <w:style w:type="paragraph" w:styleId="NormalWeb">
    <w:name w:val="Normal (Web)"/>
    <w:basedOn w:val="Normal"/>
    <w:uiPriority w:val="99"/>
    <w:semiHidden/>
    <w:unhideWhenUsed/>
    <w:rsid w:val="005F4365"/>
    <w:rPr>
      <w:rFonts w:ascii="Times New Roman" w:hAnsi="Times New Roman" w:cs="Times New Roman"/>
      <w:sz w:val="24"/>
      <w:szCs w:val="24"/>
    </w:rPr>
  </w:style>
  <w:style w:type="paragraph" w:styleId="PlainText">
    <w:name w:val="Plain Text"/>
    <w:basedOn w:val="Normal"/>
    <w:link w:val="PlainTextChar"/>
    <w:uiPriority w:val="99"/>
    <w:semiHidden/>
    <w:unhideWhenUsed/>
    <w:rsid w:val="005F4365"/>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5F4365"/>
    <w:rPr>
      <w:rFonts w:ascii="Consolas" w:hAnsi="Consolas"/>
      <w:position w:val="-1"/>
      <w:sz w:val="21"/>
      <w:szCs w:val="21"/>
    </w:rPr>
  </w:style>
  <w:style w:type="paragraph" w:styleId="DocumentMap">
    <w:name w:val="Document Map"/>
    <w:basedOn w:val="Normal"/>
    <w:link w:val="DocumentMapChar"/>
    <w:uiPriority w:val="99"/>
    <w:semiHidden/>
    <w:unhideWhenUsed/>
    <w:rsid w:val="005F4365"/>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5F4365"/>
    <w:rPr>
      <w:rFonts w:ascii="Segoe UI" w:hAnsi="Segoe UI" w:cs="Segoe UI"/>
      <w:position w:val="-1"/>
      <w:sz w:val="16"/>
      <w:szCs w:val="16"/>
    </w:rPr>
  </w:style>
  <w:style w:type="character" w:styleId="Strong">
    <w:name w:val="Strong"/>
    <w:basedOn w:val="DefaultParagraphFont"/>
    <w:uiPriority w:val="22"/>
    <w:qFormat/>
    <w:rsid w:val="005F4365"/>
    <w:rPr>
      <w:b/>
      <w:bCs/>
    </w:rPr>
  </w:style>
  <w:style w:type="character" w:styleId="FollowedHyperlink">
    <w:name w:val="FollowedHyperlink"/>
    <w:basedOn w:val="DefaultParagraphFont"/>
    <w:uiPriority w:val="99"/>
    <w:semiHidden/>
    <w:unhideWhenUsed/>
    <w:rsid w:val="005F4365"/>
    <w:rPr>
      <w:color w:val="800080" w:themeColor="followedHyperlink"/>
      <w:u w:val="single"/>
    </w:rPr>
  </w:style>
  <w:style w:type="paragraph" w:styleId="BlockText">
    <w:name w:val="Block Text"/>
    <w:basedOn w:val="Normal"/>
    <w:uiPriority w:val="99"/>
    <w:semiHidden/>
    <w:unhideWhenUsed/>
    <w:rsid w:val="005F4365"/>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Indent3">
    <w:name w:val="Body Text Indent 3"/>
    <w:basedOn w:val="Normal"/>
    <w:link w:val="BodyTextIndent3Char"/>
    <w:uiPriority w:val="99"/>
    <w:semiHidden/>
    <w:unhideWhenUsed/>
    <w:rsid w:val="005F4365"/>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5F4365"/>
    <w:rPr>
      <w:position w:val="-1"/>
      <w:sz w:val="16"/>
      <w:szCs w:val="16"/>
    </w:rPr>
  </w:style>
  <w:style w:type="paragraph" w:styleId="BodyTextIndent2">
    <w:name w:val="Body Text Indent 2"/>
    <w:basedOn w:val="Normal"/>
    <w:link w:val="BodyTextIndent2Char"/>
    <w:uiPriority w:val="99"/>
    <w:semiHidden/>
    <w:unhideWhenUsed/>
    <w:rsid w:val="005F4365"/>
    <w:pPr>
      <w:spacing w:after="120" w:line="480" w:lineRule="auto"/>
      <w:ind w:left="360"/>
    </w:pPr>
  </w:style>
  <w:style w:type="character" w:customStyle="1" w:styleId="BodyTextIndent2Char">
    <w:name w:val="Body Text Indent 2 Char"/>
    <w:basedOn w:val="DefaultParagraphFont"/>
    <w:link w:val="BodyTextIndent2"/>
    <w:uiPriority w:val="99"/>
    <w:semiHidden/>
    <w:rsid w:val="005F4365"/>
    <w:rPr>
      <w:position w:val="-1"/>
    </w:rPr>
  </w:style>
  <w:style w:type="paragraph" w:styleId="BodyText3">
    <w:name w:val="Body Text 3"/>
    <w:basedOn w:val="Normal"/>
    <w:link w:val="BodyText3Char"/>
    <w:uiPriority w:val="99"/>
    <w:semiHidden/>
    <w:unhideWhenUsed/>
    <w:rsid w:val="005F4365"/>
    <w:pPr>
      <w:spacing w:after="120"/>
    </w:pPr>
    <w:rPr>
      <w:sz w:val="16"/>
      <w:szCs w:val="16"/>
    </w:rPr>
  </w:style>
  <w:style w:type="character" w:customStyle="1" w:styleId="BodyText3Char">
    <w:name w:val="Body Text 3 Char"/>
    <w:basedOn w:val="DefaultParagraphFont"/>
    <w:link w:val="BodyText3"/>
    <w:uiPriority w:val="99"/>
    <w:semiHidden/>
    <w:rsid w:val="005F4365"/>
    <w:rPr>
      <w:position w:val="-1"/>
      <w:sz w:val="16"/>
      <w:szCs w:val="16"/>
    </w:rPr>
  </w:style>
  <w:style w:type="paragraph" w:styleId="BodyText2">
    <w:name w:val="Body Text 2"/>
    <w:basedOn w:val="Normal"/>
    <w:link w:val="BodyText2Char"/>
    <w:uiPriority w:val="99"/>
    <w:semiHidden/>
    <w:unhideWhenUsed/>
    <w:rsid w:val="005F4365"/>
    <w:pPr>
      <w:spacing w:after="120" w:line="480" w:lineRule="auto"/>
    </w:pPr>
  </w:style>
  <w:style w:type="character" w:customStyle="1" w:styleId="BodyText2Char">
    <w:name w:val="Body Text 2 Char"/>
    <w:basedOn w:val="DefaultParagraphFont"/>
    <w:link w:val="BodyText2"/>
    <w:uiPriority w:val="99"/>
    <w:semiHidden/>
    <w:rsid w:val="005F4365"/>
    <w:rPr>
      <w:position w:val="-1"/>
    </w:rPr>
  </w:style>
  <w:style w:type="paragraph" w:styleId="NoteHeading">
    <w:name w:val="Note Heading"/>
    <w:basedOn w:val="Normal"/>
    <w:next w:val="Normal"/>
    <w:link w:val="NoteHeadingChar"/>
    <w:uiPriority w:val="99"/>
    <w:semiHidden/>
    <w:unhideWhenUsed/>
    <w:rsid w:val="005F4365"/>
    <w:pPr>
      <w:spacing w:after="0" w:line="240" w:lineRule="auto"/>
    </w:pPr>
  </w:style>
  <w:style w:type="character" w:customStyle="1" w:styleId="NoteHeadingChar">
    <w:name w:val="Note Heading Char"/>
    <w:basedOn w:val="DefaultParagraphFont"/>
    <w:link w:val="NoteHeading"/>
    <w:uiPriority w:val="99"/>
    <w:semiHidden/>
    <w:rsid w:val="005F4365"/>
    <w:rPr>
      <w:position w:val="-1"/>
    </w:rPr>
  </w:style>
  <w:style w:type="paragraph" w:styleId="BodyTextIndent">
    <w:name w:val="Body Text Indent"/>
    <w:basedOn w:val="Normal"/>
    <w:link w:val="BodyTextIndentChar"/>
    <w:uiPriority w:val="99"/>
    <w:semiHidden/>
    <w:unhideWhenUsed/>
    <w:rsid w:val="005F4365"/>
    <w:pPr>
      <w:spacing w:after="120"/>
      <w:ind w:left="360"/>
    </w:pPr>
  </w:style>
  <w:style w:type="character" w:customStyle="1" w:styleId="BodyTextIndentChar">
    <w:name w:val="Body Text Indent Char"/>
    <w:basedOn w:val="DefaultParagraphFont"/>
    <w:link w:val="BodyTextIndent"/>
    <w:uiPriority w:val="99"/>
    <w:semiHidden/>
    <w:rsid w:val="005F4365"/>
    <w:rPr>
      <w:position w:val="-1"/>
    </w:rPr>
  </w:style>
  <w:style w:type="paragraph" w:styleId="BodyTextFirstIndent2">
    <w:name w:val="Body Text First Indent 2"/>
    <w:basedOn w:val="BodyTextIndent"/>
    <w:link w:val="BodyTextFirstIndent2Char"/>
    <w:uiPriority w:val="99"/>
    <w:semiHidden/>
    <w:unhideWhenUsed/>
    <w:rsid w:val="005F4365"/>
    <w:pPr>
      <w:spacing w:after="200"/>
      <w:ind w:firstLine="360"/>
    </w:pPr>
  </w:style>
  <w:style w:type="character" w:customStyle="1" w:styleId="BodyTextFirstIndent2Char">
    <w:name w:val="Body Text First Indent 2 Char"/>
    <w:basedOn w:val="BodyTextIndentChar"/>
    <w:link w:val="BodyTextFirstIndent2"/>
    <w:uiPriority w:val="99"/>
    <w:semiHidden/>
    <w:rsid w:val="005F4365"/>
    <w:rPr>
      <w:position w:val="-1"/>
    </w:rPr>
  </w:style>
  <w:style w:type="paragraph" w:styleId="BodyText">
    <w:name w:val="Body Text"/>
    <w:basedOn w:val="Normal"/>
    <w:link w:val="BodyTextChar"/>
    <w:uiPriority w:val="99"/>
    <w:semiHidden/>
    <w:unhideWhenUsed/>
    <w:rsid w:val="005F4365"/>
    <w:pPr>
      <w:spacing w:after="120"/>
    </w:pPr>
  </w:style>
  <w:style w:type="character" w:customStyle="1" w:styleId="BodyTextChar">
    <w:name w:val="Body Text Char"/>
    <w:basedOn w:val="DefaultParagraphFont"/>
    <w:link w:val="BodyText"/>
    <w:uiPriority w:val="99"/>
    <w:semiHidden/>
    <w:rsid w:val="005F4365"/>
    <w:rPr>
      <w:position w:val="-1"/>
    </w:rPr>
  </w:style>
  <w:style w:type="paragraph" w:styleId="BodyTextFirstIndent">
    <w:name w:val="Body Text First Indent"/>
    <w:basedOn w:val="BodyText"/>
    <w:link w:val="BodyTextFirstIndentChar"/>
    <w:uiPriority w:val="99"/>
    <w:semiHidden/>
    <w:unhideWhenUsed/>
    <w:rsid w:val="005F4365"/>
    <w:pPr>
      <w:spacing w:after="200"/>
      <w:ind w:firstLine="360"/>
    </w:pPr>
  </w:style>
  <w:style w:type="character" w:customStyle="1" w:styleId="BodyTextFirstIndentChar">
    <w:name w:val="Body Text First Indent Char"/>
    <w:basedOn w:val="BodyTextChar"/>
    <w:link w:val="BodyTextFirstIndent"/>
    <w:uiPriority w:val="99"/>
    <w:semiHidden/>
    <w:rsid w:val="005F4365"/>
    <w:rPr>
      <w:position w:val="-1"/>
    </w:rPr>
  </w:style>
  <w:style w:type="paragraph" w:styleId="Date">
    <w:name w:val="Date"/>
    <w:basedOn w:val="Normal"/>
    <w:next w:val="Normal"/>
    <w:link w:val="DateChar"/>
    <w:uiPriority w:val="99"/>
    <w:semiHidden/>
    <w:unhideWhenUsed/>
    <w:rsid w:val="005F4365"/>
  </w:style>
  <w:style w:type="character" w:customStyle="1" w:styleId="DateChar">
    <w:name w:val="Date Char"/>
    <w:basedOn w:val="DefaultParagraphFont"/>
    <w:link w:val="Date"/>
    <w:uiPriority w:val="99"/>
    <w:semiHidden/>
    <w:rsid w:val="005F4365"/>
    <w:rPr>
      <w:position w:val="-1"/>
    </w:rPr>
  </w:style>
  <w:style w:type="paragraph" w:styleId="Salutation">
    <w:name w:val="Salutation"/>
    <w:basedOn w:val="Normal"/>
    <w:next w:val="Normal"/>
    <w:link w:val="SalutationChar"/>
    <w:uiPriority w:val="99"/>
    <w:semiHidden/>
    <w:unhideWhenUsed/>
    <w:rsid w:val="005F4365"/>
  </w:style>
  <w:style w:type="character" w:customStyle="1" w:styleId="SalutationChar">
    <w:name w:val="Salutation Char"/>
    <w:basedOn w:val="DefaultParagraphFont"/>
    <w:link w:val="Salutation"/>
    <w:uiPriority w:val="99"/>
    <w:semiHidden/>
    <w:rsid w:val="005F4365"/>
    <w:rPr>
      <w:position w:val="-1"/>
    </w:rPr>
  </w:style>
  <w:style w:type="paragraph" w:styleId="MessageHeader">
    <w:name w:val="Message Header"/>
    <w:basedOn w:val="Normal"/>
    <w:link w:val="MessageHeaderChar"/>
    <w:uiPriority w:val="99"/>
    <w:semiHidden/>
    <w:unhideWhenUsed/>
    <w:rsid w:val="005F4365"/>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5F4365"/>
    <w:rPr>
      <w:rFonts w:asciiTheme="majorHAnsi" w:eastAsiaTheme="majorEastAsia" w:hAnsiTheme="majorHAnsi" w:cstheme="majorBidi"/>
      <w:position w:val="-1"/>
      <w:sz w:val="24"/>
      <w:szCs w:val="24"/>
      <w:shd w:val="pct20" w:color="auto" w:fill="auto"/>
    </w:rPr>
  </w:style>
  <w:style w:type="paragraph" w:styleId="ListContinue5">
    <w:name w:val="List Continue 5"/>
    <w:basedOn w:val="Normal"/>
    <w:uiPriority w:val="99"/>
    <w:semiHidden/>
    <w:unhideWhenUsed/>
    <w:rsid w:val="005F4365"/>
    <w:pPr>
      <w:spacing w:after="120"/>
      <w:ind w:left="1800"/>
      <w:contextualSpacing/>
    </w:pPr>
  </w:style>
  <w:style w:type="paragraph" w:styleId="ListContinue4">
    <w:name w:val="List Continue 4"/>
    <w:basedOn w:val="Normal"/>
    <w:uiPriority w:val="99"/>
    <w:semiHidden/>
    <w:unhideWhenUsed/>
    <w:rsid w:val="005F4365"/>
    <w:pPr>
      <w:spacing w:after="120"/>
      <w:ind w:left="1440"/>
      <w:contextualSpacing/>
    </w:pPr>
  </w:style>
  <w:style w:type="paragraph" w:styleId="ListContinue3">
    <w:name w:val="List Continue 3"/>
    <w:basedOn w:val="Normal"/>
    <w:uiPriority w:val="99"/>
    <w:semiHidden/>
    <w:unhideWhenUsed/>
    <w:rsid w:val="005F4365"/>
    <w:pPr>
      <w:spacing w:after="120"/>
      <w:ind w:left="1080"/>
      <w:contextualSpacing/>
    </w:pPr>
  </w:style>
  <w:style w:type="paragraph" w:styleId="ListContinue2">
    <w:name w:val="List Continue 2"/>
    <w:basedOn w:val="Normal"/>
    <w:uiPriority w:val="99"/>
    <w:semiHidden/>
    <w:unhideWhenUsed/>
    <w:rsid w:val="005F4365"/>
    <w:pPr>
      <w:spacing w:after="120"/>
      <w:ind w:left="720"/>
      <w:contextualSpacing/>
    </w:pPr>
  </w:style>
  <w:style w:type="paragraph" w:styleId="ListContinue">
    <w:name w:val="List Continue"/>
    <w:basedOn w:val="Normal"/>
    <w:uiPriority w:val="99"/>
    <w:semiHidden/>
    <w:unhideWhenUsed/>
    <w:rsid w:val="005F4365"/>
    <w:pPr>
      <w:spacing w:after="120"/>
      <w:ind w:left="360"/>
      <w:contextualSpacing/>
    </w:pPr>
  </w:style>
  <w:style w:type="paragraph" w:styleId="Signature">
    <w:name w:val="Signature"/>
    <w:basedOn w:val="Normal"/>
    <w:link w:val="SignatureChar"/>
    <w:uiPriority w:val="99"/>
    <w:semiHidden/>
    <w:unhideWhenUsed/>
    <w:rsid w:val="005F4365"/>
    <w:pPr>
      <w:spacing w:after="0" w:line="240" w:lineRule="auto"/>
      <w:ind w:left="4320"/>
    </w:pPr>
  </w:style>
  <w:style w:type="character" w:customStyle="1" w:styleId="SignatureChar">
    <w:name w:val="Signature Char"/>
    <w:basedOn w:val="DefaultParagraphFont"/>
    <w:link w:val="Signature"/>
    <w:uiPriority w:val="99"/>
    <w:semiHidden/>
    <w:rsid w:val="005F4365"/>
    <w:rPr>
      <w:position w:val="-1"/>
    </w:rPr>
  </w:style>
  <w:style w:type="paragraph" w:styleId="Closing">
    <w:name w:val="Closing"/>
    <w:basedOn w:val="Normal"/>
    <w:link w:val="ClosingChar"/>
    <w:uiPriority w:val="99"/>
    <w:semiHidden/>
    <w:unhideWhenUsed/>
    <w:rsid w:val="005F4365"/>
    <w:pPr>
      <w:spacing w:after="0" w:line="240" w:lineRule="auto"/>
      <w:ind w:left="4320"/>
    </w:pPr>
  </w:style>
  <w:style w:type="character" w:customStyle="1" w:styleId="ClosingChar">
    <w:name w:val="Closing Char"/>
    <w:basedOn w:val="DefaultParagraphFont"/>
    <w:link w:val="Closing"/>
    <w:uiPriority w:val="99"/>
    <w:semiHidden/>
    <w:rsid w:val="005F4365"/>
    <w:rPr>
      <w:position w:val="-1"/>
    </w:rPr>
  </w:style>
  <w:style w:type="paragraph" w:styleId="ListNumber5">
    <w:name w:val="List Number 5"/>
    <w:basedOn w:val="Normal"/>
    <w:uiPriority w:val="99"/>
    <w:semiHidden/>
    <w:unhideWhenUsed/>
    <w:rsid w:val="005F4365"/>
    <w:pPr>
      <w:numPr>
        <w:numId w:val="1"/>
      </w:numPr>
      <w:contextualSpacing/>
    </w:pPr>
  </w:style>
  <w:style w:type="paragraph" w:styleId="ListNumber4">
    <w:name w:val="List Number 4"/>
    <w:basedOn w:val="Normal"/>
    <w:uiPriority w:val="99"/>
    <w:semiHidden/>
    <w:unhideWhenUsed/>
    <w:rsid w:val="005F4365"/>
    <w:pPr>
      <w:numPr>
        <w:numId w:val="2"/>
      </w:numPr>
      <w:contextualSpacing/>
    </w:pPr>
  </w:style>
  <w:style w:type="paragraph" w:styleId="ListNumber3">
    <w:name w:val="List Number 3"/>
    <w:basedOn w:val="Normal"/>
    <w:uiPriority w:val="99"/>
    <w:semiHidden/>
    <w:unhideWhenUsed/>
    <w:rsid w:val="005F4365"/>
    <w:pPr>
      <w:numPr>
        <w:numId w:val="3"/>
      </w:numPr>
      <w:contextualSpacing/>
    </w:pPr>
  </w:style>
  <w:style w:type="paragraph" w:styleId="ListNumber2">
    <w:name w:val="List Number 2"/>
    <w:basedOn w:val="Normal"/>
    <w:uiPriority w:val="99"/>
    <w:semiHidden/>
    <w:unhideWhenUsed/>
    <w:rsid w:val="005F4365"/>
    <w:pPr>
      <w:numPr>
        <w:numId w:val="4"/>
      </w:numPr>
      <w:contextualSpacing/>
    </w:pPr>
  </w:style>
  <w:style w:type="paragraph" w:styleId="ListBullet5">
    <w:name w:val="List Bullet 5"/>
    <w:basedOn w:val="Normal"/>
    <w:uiPriority w:val="99"/>
    <w:semiHidden/>
    <w:unhideWhenUsed/>
    <w:rsid w:val="005F4365"/>
    <w:pPr>
      <w:numPr>
        <w:numId w:val="5"/>
      </w:numPr>
      <w:contextualSpacing/>
    </w:pPr>
  </w:style>
  <w:style w:type="paragraph" w:styleId="ListBullet4">
    <w:name w:val="List Bullet 4"/>
    <w:basedOn w:val="Normal"/>
    <w:uiPriority w:val="99"/>
    <w:semiHidden/>
    <w:unhideWhenUsed/>
    <w:rsid w:val="005F4365"/>
    <w:pPr>
      <w:numPr>
        <w:numId w:val="6"/>
      </w:numPr>
      <w:contextualSpacing/>
    </w:pPr>
  </w:style>
  <w:style w:type="paragraph" w:styleId="ListBullet3">
    <w:name w:val="List Bullet 3"/>
    <w:basedOn w:val="Normal"/>
    <w:uiPriority w:val="99"/>
    <w:semiHidden/>
    <w:unhideWhenUsed/>
    <w:rsid w:val="005F4365"/>
    <w:pPr>
      <w:numPr>
        <w:numId w:val="7"/>
      </w:numPr>
      <w:contextualSpacing/>
    </w:pPr>
  </w:style>
  <w:style w:type="paragraph" w:styleId="ListBullet2">
    <w:name w:val="List Bullet 2"/>
    <w:basedOn w:val="Normal"/>
    <w:uiPriority w:val="99"/>
    <w:semiHidden/>
    <w:unhideWhenUsed/>
    <w:rsid w:val="005F4365"/>
    <w:pPr>
      <w:numPr>
        <w:numId w:val="8"/>
      </w:numPr>
      <w:contextualSpacing/>
    </w:pPr>
  </w:style>
  <w:style w:type="paragraph" w:styleId="List5">
    <w:name w:val="List 5"/>
    <w:basedOn w:val="Normal"/>
    <w:uiPriority w:val="99"/>
    <w:semiHidden/>
    <w:unhideWhenUsed/>
    <w:rsid w:val="005F4365"/>
    <w:pPr>
      <w:ind w:left="1800" w:hanging="360"/>
      <w:contextualSpacing/>
    </w:pPr>
  </w:style>
  <w:style w:type="paragraph" w:styleId="List4">
    <w:name w:val="List 4"/>
    <w:basedOn w:val="Normal"/>
    <w:uiPriority w:val="99"/>
    <w:semiHidden/>
    <w:unhideWhenUsed/>
    <w:rsid w:val="005F4365"/>
    <w:pPr>
      <w:ind w:left="1440" w:hanging="360"/>
      <w:contextualSpacing/>
    </w:pPr>
  </w:style>
  <w:style w:type="paragraph" w:styleId="List3">
    <w:name w:val="List 3"/>
    <w:basedOn w:val="Normal"/>
    <w:uiPriority w:val="99"/>
    <w:semiHidden/>
    <w:unhideWhenUsed/>
    <w:rsid w:val="005F4365"/>
    <w:pPr>
      <w:ind w:left="1080" w:hanging="360"/>
      <w:contextualSpacing/>
    </w:pPr>
  </w:style>
  <w:style w:type="paragraph" w:styleId="List2">
    <w:name w:val="List 2"/>
    <w:basedOn w:val="Normal"/>
    <w:uiPriority w:val="99"/>
    <w:semiHidden/>
    <w:unhideWhenUsed/>
    <w:rsid w:val="005F4365"/>
    <w:pPr>
      <w:ind w:left="720" w:hanging="360"/>
      <w:contextualSpacing/>
    </w:pPr>
  </w:style>
  <w:style w:type="paragraph" w:styleId="ListNumber">
    <w:name w:val="List Number"/>
    <w:basedOn w:val="Normal"/>
    <w:uiPriority w:val="99"/>
    <w:semiHidden/>
    <w:unhideWhenUsed/>
    <w:rsid w:val="005F4365"/>
    <w:pPr>
      <w:numPr>
        <w:numId w:val="9"/>
      </w:numPr>
      <w:contextualSpacing/>
    </w:pPr>
  </w:style>
  <w:style w:type="paragraph" w:styleId="ListBullet">
    <w:name w:val="List Bullet"/>
    <w:basedOn w:val="Normal"/>
    <w:uiPriority w:val="99"/>
    <w:semiHidden/>
    <w:unhideWhenUsed/>
    <w:rsid w:val="005F4365"/>
    <w:pPr>
      <w:numPr>
        <w:numId w:val="10"/>
      </w:numPr>
      <w:contextualSpacing/>
    </w:pPr>
  </w:style>
  <w:style w:type="paragraph" w:styleId="List">
    <w:name w:val="List"/>
    <w:basedOn w:val="Normal"/>
    <w:uiPriority w:val="99"/>
    <w:semiHidden/>
    <w:unhideWhenUsed/>
    <w:rsid w:val="005F4365"/>
    <w:pPr>
      <w:ind w:left="360" w:hanging="360"/>
      <w:contextualSpacing/>
    </w:pPr>
  </w:style>
  <w:style w:type="paragraph" w:styleId="TOAHeading">
    <w:name w:val="toa heading"/>
    <w:basedOn w:val="Normal"/>
    <w:next w:val="Normal"/>
    <w:uiPriority w:val="99"/>
    <w:semiHidden/>
    <w:unhideWhenUsed/>
    <w:rsid w:val="005F4365"/>
    <w:pPr>
      <w:spacing w:before="120"/>
    </w:pPr>
    <w:rPr>
      <w:rFonts w:asciiTheme="majorHAnsi" w:eastAsiaTheme="majorEastAsia" w:hAnsiTheme="majorHAnsi" w:cstheme="majorBidi"/>
      <w:b/>
      <w:bCs/>
      <w:sz w:val="24"/>
      <w:szCs w:val="24"/>
    </w:rPr>
  </w:style>
  <w:style w:type="paragraph" w:styleId="MacroText">
    <w:name w:val="macro"/>
    <w:link w:val="MacroTextChar"/>
    <w:uiPriority w:val="99"/>
    <w:semiHidden/>
    <w:unhideWhenUsed/>
    <w:rsid w:val="005F4365"/>
    <w:pPr>
      <w:tabs>
        <w:tab w:val="left" w:pos="480"/>
        <w:tab w:val="left" w:pos="960"/>
        <w:tab w:val="left" w:pos="1440"/>
        <w:tab w:val="left" w:pos="1920"/>
        <w:tab w:val="left" w:pos="2400"/>
        <w:tab w:val="left" w:pos="2880"/>
        <w:tab w:val="left" w:pos="3360"/>
        <w:tab w:val="left" w:pos="3840"/>
        <w:tab w:val="left" w:pos="4320"/>
      </w:tabs>
      <w:suppressAutoHyphens/>
      <w:spacing w:after="0"/>
      <w:ind w:leftChars="-1" w:left="-1" w:hangingChars="1" w:hanging="1"/>
      <w:textDirection w:val="btLr"/>
      <w:textAlignment w:val="top"/>
      <w:outlineLvl w:val="0"/>
    </w:pPr>
    <w:rPr>
      <w:rFonts w:ascii="Consolas" w:hAnsi="Consolas"/>
      <w:position w:val="-1"/>
      <w:sz w:val="20"/>
      <w:szCs w:val="20"/>
    </w:rPr>
  </w:style>
  <w:style w:type="character" w:customStyle="1" w:styleId="MacroTextChar">
    <w:name w:val="Macro Text Char"/>
    <w:basedOn w:val="DefaultParagraphFont"/>
    <w:link w:val="MacroText"/>
    <w:uiPriority w:val="99"/>
    <w:semiHidden/>
    <w:rsid w:val="005F4365"/>
    <w:rPr>
      <w:rFonts w:ascii="Consolas" w:hAnsi="Consolas"/>
      <w:position w:val="-1"/>
      <w:sz w:val="20"/>
      <w:szCs w:val="20"/>
    </w:rPr>
  </w:style>
  <w:style w:type="paragraph" w:styleId="TableofAuthorities">
    <w:name w:val="table of authorities"/>
    <w:basedOn w:val="Normal"/>
    <w:next w:val="Normal"/>
    <w:uiPriority w:val="99"/>
    <w:semiHidden/>
    <w:unhideWhenUsed/>
    <w:rsid w:val="005F4365"/>
    <w:pPr>
      <w:spacing w:after="0"/>
      <w:ind w:left="220" w:hanging="220"/>
    </w:pPr>
  </w:style>
  <w:style w:type="character" w:styleId="PageNumber">
    <w:name w:val="page number"/>
    <w:basedOn w:val="DefaultParagraphFont"/>
    <w:uiPriority w:val="99"/>
    <w:semiHidden/>
    <w:unhideWhenUsed/>
    <w:rsid w:val="005F4365"/>
  </w:style>
  <w:style w:type="character" w:styleId="LineNumber">
    <w:name w:val="line number"/>
    <w:basedOn w:val="DefaultParagraphFont"/>
    <w:uiPriority w:val="99"/>
    <w:semiHidden/>
    <w:unhideWhenUsed/>
    <w:rsid w:val="005F4365"/>
  </w:style>
  <w:style w:type="paragraph" w:styleId="EnvelopeReturn">
    <w:name w:val="envelope return"/>
    <w:basedOn w:val="Normal"/>
    <w:uiPriority w:val="99"/>
    <w:semiHidden/>
    <w:unhideWhenUsed/>
    <w:rsid w:val="005F4365"/>
    <w:pPr>
      <w:spacing w:after="0" w:line="240" w:lineRule="auto"/>
    </w:pPr>
    <w:rPr>
      <w:rFonts w:asciiTheme="majorHAnsi" w:eastAsiaTheme="majorEastAsia" w:hAnsiTheme="majorHAnsi" w:cstheme="majorBidi"/>
      <w:sz w:val="20"/>
      <w:szCs w:val="20"/>
    </w:rPr>
  </w:style>
  <w:style w:type="paragraph" w:styleId="EnvelopeAddress">
    <w:name w:val="envelope address"/>
    <w:basedOn w:val="Normal"/>
    <w:uiPriority w:val="99"/>
    <w:semiHidden/>
    <w:unhideWhenUsed/>
    <w:rsid w:val="005F4365"/>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TableofFigures">
    <w:name w:val="table of figures"/>
    <w:basedOn w:val="Normal"/>
    <w:next w:val="Normal"/>
    <w:uiPriority w:val="99"/>
    <w:semiHidden/>
    <w:unhideWhenUsed/>
    <w:rsid w:val="005F4365"/>
    <w:pPr>
      <w:spacing w:after="0"/>
      <w:ind w:left="0"/>
    </w:pPr>
  </w:style>
  <w:style w:type="paragraph" w:styleId="Caption">
    <w:name w:val="caption"/>
    <w:basedOn w:val="Normal"/>
    <w:next w:val="Normal"/>
    <w:uiPriority w:val="35"/>
    <w:semiHidden/>
    <w:unhideWhenUsed/>
    <w:qFormat/>
    <w:rsid w:val="005F4365"/>
    <w:pPr>
      <w:spacing w:line="240" w:lineRule="auto"/>
    </w:pPr>
    <w:rPr>
      <w:i/>
      <w:iCs/>
      <w:color w:val="1F497D" w:themeColor="text2"/>
      <w:sz w:val="18"/>
      <w:szCs w:val="18"/>
    </w:rPr>
  </w:style>
  <w:style w:type="paragraph" w:styleId="Index1">
    <w:name w:val="index 1"/>
    <w:basedOn w:val="Normal"/>
    <w:next w:val="Normal"/>
    <w:autoRedefine/>
    <w:uiPriority w:val="99"/>
    <w:semiHidden/>
    <w:unhideWhenUsed/>
    <w:rsid w:val="005F4365"/>
    <w:pPr>
      <w:spacing w:after="0" w:line="240" w:lineRule="auto"/>
      <w:ind w:left="220" w:hanging="220"/>
    </w:pPr>
  </w:style>
  <w:style w:type="paragraph" w:styleId="IndexHeading">
    <w:name w:val="index heading"/>
    <w:basedOn w:val="Normal"/>
    <w:next w:val="Index1"/>
    <w:uiPriority w:val="99"/>
    <w:semiHidden/>
    <w:unhideWhenUsed/>
    <w:rsid w:val="005F4365"/>
    <w:rPr>
      <w:rFonts w:asciiTheme="majorHAnsi" w:eastAsiaTheme="majorEastAsia" w:hAnsiTheme="majorHAnsi" w:cstheme="majorBidi"/>
      <w:b/>
      <w:bCs/>
    </w:rPr>
  </w:style>
  <w:style w:type="paragraph" w:styleId="NormalIndent">
    <w:name w:val="Normal Indent"/>
    <w:basedOn w:val="Normal"/>
    <w:uiPriority w:val="99"/>
    <w:semiHidden/>
    <w:unhideWhenUsed/>
    <w:rsid w:val="005F4365"/>
    <w:pPr>
      <w:ind w:left="720"/>
    </w:pPr>
  </w:style>
  <w:style w:type="paragraph" w:styleId="TOC9">
    <w:name w:val="toc 9"/>
    <w:basedOn w:val="Normal"/>
    <w:next w:val="Normal"/>
    <w:autoRedefine/>
    <w:uiPriority w:val="39"/>
    <w:semiHidden/>
    <w:unhideWhenUsed/>
    <w:rsid w:val="005F4365"/>
    <w:pPr>
      <w:spacing w:after="100"/>
      <w:ind w:left="1760"/>
    </w:pPr>
  </w:style>
  <w:style w:type="paragraph" w:styleId="TOC8">
    <w:name w:val="toc 8"/>
    <w:basedOn w:val="Normal"/>
    <w:next w:val="Normal"/>
    <w:autoRedefine/>
    <w:uiPriority w:val="39"/>
    <w:semiHidden/>
    <w:unhideWhenUsed/>
    <w:rsid w:val="005F4365"/>
    <w:pPr>
      <w:spacing w:after="100"/>
      <w:ind w:left="1540"/>
    </w:pPr>
  </w:style>
  <w:style w:type="paragraph" w:styleId="TOC7">
    <w:name w:val="toc 7"/>
    <w:basedOn w:val="Normal"/>
    <w:next w:val="Normal"/>
    <w:autoRedefine/>
    <w:uiPriority w:val="39"/>
    <w:semiHidden/>
    <w:unhideWhenUsed/>
    <w:rsid w:val="005F4365"/>
    <w:pPr>
      <w:spacing w:after="100"/>
      <w:ind w:left="1320"/>
    </w:pPr>
  </w:style>
  <w:style w:type="paragraph" w:styleId="TOC6">
    <w:name w:val="toc 6"/>
    <w:basedOn w:val="Normal"/>
    <w:next w:val="Normal"/>
    <w:autoRedefine/>
    <w:uiPriority w:val="39"/>
    <w:semiHidden/>
    <w:unhideWhenUsed/>
    <w:rsid w:val="005F4365"/>
    <w:pPr>
      <w:spacing w:after="100"/>
      <w:ind w:left="1100"/>
    </w:pPr>
  </w:style>
  <w:style w:type="paragraph" w:styleId="TOC5">
    <w:name w:val="toc 5"/>
    <w:basedOn w:val="Normal"/>
    <w:next w:val="Normal"/>
    <w:autoRedefine/>
    <w:uiPriority w:val="39"/>
    <w:semiHidden/>
    <w:unhideWhenUsed/>
    <w:rsid w:val="005F4365"/>
    <w:pPr>
      <w:spacing w:after="100"/>
      <w:ind w:left="880"/>
    </w:pPr>
  </w:style>
  <w:style w:type="paragraph" w:styleId="TOC4">
    <w:name w:val="toc 4"/>
    <w:basedOn w:val="Normal"/>
    <w:next w:val="Normal"/>
    <w:autoRedefine/>
    <w:uiPriority w:val="39"/>
    <w:semiHidden/>
    <w:unhideWhenUsed/>
    <w:rsid w:val="005F4365"/>
    <w:pPr>
      <w:spacing w:after="100"/>
      <w:ind w:left="660"/>
    </w:pPr>
  </w:style>
  <w:style w:type="paragraph" w:styleId="TOC3">
    <w:name w:val="toc 3"/>
    <w:basedOn w:val="Normal"/>
    <w:next w:val="Normal"/>
    <w:autoRedefine/>
    <w:uiPriority w:val="39"/>
    <w:semiHidden/>
    <w:unhideWhenUsed/>
    <w:rsid w:val="005F4365"/>
    <w:pPr>
      <w:spacing w:after="100"/>
      <w:ind w:left="440"/>
    </w:pPr>
  </w:style>
  <w:style w:type="paragraph" w:styleId="TOC2">
    <w:name w:val="toc 2"/>
    <w:basedOn w:val="Normal"/>
    <w:next w:val="Normal"/>
    <w:autoRedefine/>
    <w:uiPriority w:val="39"/>
    <w:semiHidden/>
    <w:unhideWhenUsed/>
    <w:rsid w:val="005F4365"/>
    <w:pPr>
      <w:spacing w:after="100"/>
      <w:ind w:left="220"/>
    </w:pPr>
  </w:style>
  <w:style w:type="paragraph" w:styleId="TOC1">
    <w:name w:val="toc 1"/>
    <w:basedOn w:val="Normal"/>
    <w:next w:val="Normal"/>
    <w:autoRedefine/>
    <w:uiPriority w:val="39"/>
    <w:semiHidden/>
    <w:unhideWhenUsed/>
    <w:rsid w:val="005F4365"/>
    <w:pPr>
      <w:spacing w:after="100"/>
      <w:ind w:left="0"/>
    </w:pPr>
  </w:style>
  <w:style w:type="paragraph" w:styleId="Index9">
    <w:name w:val="index 9"/>
    <w:basedOn w:val="Normal"/>
    <w:next w:val="Normal"/>
    <w:autoRedefine/>
    <w:uiPriority w:val="99"/>
    <w:semiHidden/>
    <w:unhideWhenUsed/>
    <w:rsid w:val="005F4365"/>
    <w:pPr>
      <w:spacing w:after="0" w:line="240" w:lineRule="auto"/>
      <w:ind w:left="1980" w:hanging="220"/>
    </w:pPr>
  </w:style>
  <w:style w:type="paragraph" w:styleId="Index8">
    <w:name w:val="index 8"/>
    <w:basedOn w:val="Normal"/>
    <w:next w:val="Normal"/>
    <w:autoRedefine/>
    <w:uiPriority w:val="99"/>
    <w:semiHidden/>
    <w:unhideWhenUsed/>
    <w:rsid w:val="005F4365"/>
    <w:pPr>
      <w:spacing w:after="0" w:line="240" w:lineRule="auto"/>
      <w:ind w:left="1760" w:hanging="220"/>
    </w:pPr>
  </w:style>
  <w:style w:type="paragraph" w:styleId="Index7">
    <w:name w:val="index 7"/>
    <w:basedOn w:val="Normal"/>
    <w:next w:val="Normal"/>
    <w:autoRedefine/>
    <w:uiPriority w:val="99"/>
    <w:semiHidden/>
    <w:unhideWhenUsed/>
    <w:rsid w:val="005F4365"/>
    <w:pPr>
      <w:spacing w:after="0" w:line="240" w:lineRule="auto"/>
      <w:ind w:left="1540" w:hanging="220"/>
    </w:pPr>
  </w:style>
  <w:style w:type="paragraph" w:styleId="Index6">
    <w:name w:val="index 6"/>
    <w:basedOn w:val="Normal"/>
    <w:next w:val="Normal"/>
    <w:autoRedefine/>
    <w:uiPriority w:val="99"/>
    <w:semiHidden/>
    <w:unhideWhenUsed/>
    <w:rsid w:val="005F4365"/>
    <w:pPr>
      <w:spacing w:after="0" w:line="240" w:lineRule="auto"/>
      <w:ind w:left="1320" w:hanging="220"/>
    </w:pPr>
  </w:style>
  <w:style w:type="paragraph" w:styleId="Index5">
    <w:name w:val="index 5"/>
    <w:basedOn w:val="Normal"/>
    <w:next w:val="Normal"/>
    <w:autoRedefine/>
    <w:uiPriority w:val="99"/>
    <w:semiHidden/>
    <w:unhideWhenUsed/>
    <w:rsid w:val="005F4365"/>
    <w:pPr>
      <w:spacing w:after="0" w:line="240" w:lineRule="auto"/>
      <w:ind w:left="1100" w:hanging="220"/>
    </w:pPr>
  </w:style>
  <w:style w:type="paragraph" w:styleId="Index4">
    <w:name w:val="index 4"/>
    <w:basedOn w:val="Normal"/>
    <w:next w:val="Normal"/>
    <w:autoRedefine/>
    <w:uiPriority w:val="99"/>
    <w:semiHidden/>
    <w:unhideWhenUsed/>
    <w:rsid w:val="005F4365"/>
    <w:pPr>
      <w:spacing w:after="0" w:line="240" w:lineRule="auto"/>
      <w:ind w:left="880" w:hanging="220"/>
    </w:pPr>
  </w:style>
  <w:style w:type="paragraph" w:styleId="Index3">
    <w:name w:val="index 3"/>
    <w:basedOn w:val="Normal"/>
    <w:next w:val="Normal"/>
    <w:autoRedefine/>
    <w:uiPriority w:val="99"/>
    <w:semiHidden/>
    <w:unhideWhenUsed/>
    <w:rsid w:val="005F4365"/>
    <w:pPr>
      <w:spacing w:after="0" w:line="240" w:lineRule="auto"/>
      <w:ind w:left="660" w:hanging="220"/>
    </w:pPr>
  </w:style>
  <w:style w:type="paragraph" w:styleId="Index2">
    <w:name w:val="index 2"/>
    <w:basedOn w:val="Normal"/>
    <w:next w:val="Normal"/>
    <w:autoRedefine/>
    <w:uiPriority w:val="99"/>
    <w:semiHidden/>
    <w:unhideWhenUsed/>
    <w:rsid w:val="005F4365"/>
    <w:pPr>
      <w:spacing w:after="0" w:line="240" w:lineRule="auto"/>
      <w:ind w:left="440" w:hanging="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oleObject" Target="embeddings/oleObject53.bin"/><Relationship Id="rId21" Type="http://schemas.openxmlformats.org/officeDocument/2006/relationships/oleObject" Target="embeddings/oleObject6.bin"/><Relationship Id="rId42" Type="http://schemas.openxmlformats.org/officeDocument/2006/relationships/image" Target="media/image18.wmf"/><Relationship Id="rId63" Type="http://schemas.openxmlformats.org/officeDocument/2006/relationships/image" Target="media/image29.wmf"/><Relationship Id="rId84" Type="http://schemas.openxmlformats.org/officeDocument/2006/relationships/oleObject" Target="embeddings/oleObject37.bin"/><Relationship Id="rId138" Type="http://schemas.openxmlformats.org/officeDocument/2006/relationships/oleObject" Target="embeddings/oleObject63.bin"/><Relationship Id="rId107" Type="http://schemas.openxmlformats.org/officeDocument/2006/relationships/oleObject" Target="embeddings/oleObject48.bin"/><Relationship Id="rId11" Type="http://schemas.openxmlformats.org/officeDocument/2006/relationships/oleObject" Target="embeddings/oleObject1.bin"/><Relationship Id="rId32" Type="http://schemas.openxmlformats.org/officeDocument/2006/relationships/image" Target="media/image13.wmf"/><Relationship Id="rId53" Type="http://schemas.openxmlformats.org/officeDocument/2006/relationships/oleObject" Target="embeddings/oleObject22.bin"/><Relationship Id="rId74" Type="http://schemas.openxmlformats.org/officeDocument/2006/relationships/oleObject" Target="embeddings/oleObject32.bin"/><Relationship Id="rId128" Type="http://schemas.openxmlformats.org/officeDocument/2006/relationships/oleObject" Target="embeddings/oleObject58.bin"/><Relationship Id="rId5" Type="http://schemas.openxmlformats.org/officeDocument/2006/relationships/settings" Target="settings.xml"/><Relationship Id="rId90" Type="http://schemas.openxmlformats.org/officeDocument/2006/relationships/oleObject" Target="embeddings/oleObject40.bin"/><Relationship Id="rId95" Type="http://schemas.openxmlformats.org/officeDocument/2006/relationships/image" Target="media/image45.wmf"/><Relationship Id="rId22" Type="http://schemas.openxmlformats.org/officeDocument/2006/relationships/image" Target="media/image8.wmf"/><Relationship Id="rId27" Type="http://schemas.openxmlformats.org/officeDocument/2006/relationships/oleObject" Target="embeddings/oleObject9.bin"/><Relationship Id="rId43" Type="http://schemas.openxmlformats.org/officeDocument/2006/relationships/oleObject" Target="embeddings/oleObject17.bin"/><Relationship Id="rId48" Type="http://schemas.openxmlformats.org/officeDocument/2006/relationships/image" Target="media/image21.wmf"/><Relationship Id="rId64" Type="http://schemas.openxmlformats.org/officeDocument/2006/relationships/oleObject" Target="embeddings/oleObject27.bin"/><Relationship Id="rId69" Type="http://schemas.openxmlformats.org/officeDocument/2006/relationships/image" Target="media/image32.wmf"/><Relationship Id="rId113" Type="http://schemas.openxmlformats.org/officeDocument/2006/relationships/oleObject" Target="embeddings/oleObject51.bin"/><Relationship Id="rId118" Type="http://schemas.openxmlformats.org/officeDocument/2006/relationships/image" Target="media/image57.wmf"/><Relationship Id="rId134" Type="http://schemas.openxmlformats.org/officeDocument/2006/relationships/oleObject" Target="embeddings/oleObject61.bin"/><Relationship Id="rId139" Type="http://schemas.openxmlformats.org/officeDocument/2006/relationships/header" Target="header1.xml"/><Relationship Id="rId80" Type="http://schemas.openxmlformats.org/officeDocument/2006/relationships/oleObject" Target="embeddings/oleObject35.bin"/><Relationship Id="rId85" Type="http://schemas.openxmlformats.org/officeDocument/2006/relationships/image" Target="media/image40.wmf"/><Relationship Id="rId12" Type="http://schemas.openxmlformats.org/officeDocument/2006/relationships/image" Target="media/image3.wmf"/><Relationship Id="rId17" Type="http://schemas.openxmlformats.org/officeDocument/2006/relationships/oleObject" Target="embeddings/oleObject4.bin"/><Relationship Id="rId33" Type="http://schemas.openxmlformats.org/officeDocument/2006/relationships/oleObject" Target="embeddings/oleObject12.bin"/><Relationship Id="rId38" Type="http://schemas.openxmlformats.org/officeDocument/2006/relationships/image" Target="media/image16.wmf"/><Relationship Id="rId59" Type="http://schemas.openxmlformats.org/officeDocument/2006/relationships/oleObject" Target="embeddings/oleObject25.bin"/><Relationship Id="rId103" Type="http://schemas.openxmlformats.org/officeDocument/2006/relationships/oleObject" Target="embeddings/oleObject46.bin"/><Relationship Id="rId108" Type="http://schemas.openxmlformats.org/officeDocument/2006/relationships/image" Target="media/image52.wmf"/><Relationship Id="rId124" Type="http://schemas.openxmlformats.org/officeDocument/2006/relationships/oleObject" Target="embeddings/oleObject56.bin"/><Relationship Id="rId129" Type="http://schemas.openxmlformats.org/officeDocument/2006/relationships/image" Target="media/image63.wmf"/><Relationship Id="rId54" Type="http://schemas.openxmlformats.org/officeDocument/2006/relationships/image" Target="media/image24.wmf"/><Relationship Id="rId70" Type="http://schemas.openxmlformats.org/officeDocument/2006/relationships/oleObject" Target="embeddings/oleObject30.bin"/><Relationship Id="rId75" Type="http://schemas.openxmlformats.org/officeDocument/2006/relationships/image" Target="media/image35.wmf"/><Relationship Id="rId91" Type="http://schemas.openxmlformats.org/officeDocument/2006/relationships/image" Target="media/image43.wmf"/><Relationship Id="rId96" Type="http://schemas.openxmlformats.org/officeDocument/2006/relationships/oleObject" Target="embeddings/oleObject43.bin"/><Relationship Id="rId140" Type="http://schemas.openxmlformats.org/officeDocument/2006/relationships/header" Target="header2.xml"/><Relationship Id="rId14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oleObject" Target="embeddings/oleObject7.bin"/><Relationship Id="rId28" Type="http://schemas.openxmlformats.org/officeDocument/2006/relationships/image" Target="media/image11.wmf"/><Relationship Id="rId49" Type="http://schemas.openxmlformats.org/officeDocument/2006/relationships/oleObject" Target="embeddings/oleObject20.bin"/><Relationship Id="rId114" Type="http://schemas.openxmlformats.org/officeDocument/2006/relationships/image" Target="media/image55.wmf"/><Relationship Id="rId119" Type="http://schemas.openxmlformats.org/officeDocument/2006/relationships/oleObject" Target="embeddings/oleObject54.bin"/><Relationship Id="rId44" Type="http://schemas.openxmlformats.org/officeDocument/2006/relationships/image" Target="media/image19.wmf"/><Relationship Id="rId60" Type="http://schemas.openxmlformats.org/officeDocument/2006/relationships/image" Target="media/image27.png"/><Relationship Id="rId65" Type="http://schemas.openxmlformats.org/officeDocument/2006/relationships/image" Target="media/image30.wmf"/><Relationship Id="rId81" Type="http://schemas.openxmlformats.org/officeDocument/2006/relationships/image" Target="media/image38.wmf"/><Relationship Id="rId86" Type="http://schemas.openxmlformats.org/officeDocument/2006/relationships/oleObject" Target="embeddings/oleObject38.bin"/><Relationship Id="rId130" Type="http://schemas.openxmlformats.org/officeDocument/2006/relationships/oleObject" Target="embeddings/oleObject59.bin"/><Relationship Id="rId135" Type="http://schemas.openxmlformats.org/officeDocument/2006/relationships/image" Target="media/image66.wmf"/><Relationship Id="rId13" Type="http://schemas.openxmlformats.org/officeDocument/2006/relationships/oleObject" Target="embeddings/oleObject2.bin"/><Relationship Id="rId18" Type="http://schemas.openxmlformats.org/officeDocument/2006/relationships/image" Target="media/image6.wmf"/><Relationship Id="rId39" Type="http://schemas.openxmlformats.org/officeDocument/2006/relationships/oleObject" Target="embeddings/oleObject15.bin"/><Relationship Id="rId109" Type="http://schemas.openxmlformats.org/officeDocument/2006/relationships/oleObject" Target="embeddings/oleObject49.bin"/><Relationship Id="rId34" Type="http://schemas.openxmlformats.org/officeDocument/2006/relationships/image" Target="media/image14.wmf"/><Relationship Id="rId50" Type="http://schemas.openxmlformats.org/officeDocument/2006/relationships/image" Target="media/image22.wmf"/><Relationship Id="rId55" Type="http://schemas.openxmlformats.org/officeDocument/2006/relationships/oleObject" Target="embeddings/oleObject23.bin"/><Relationship Id="rId76" Type="http://schemas.openxmlformats.org/officeDocument/2006/relationships/oleObject" Target="embeddings/oleObject33.bin"/><Relationship Id="rId97" Type="http://schemas.openxmlformats.org/officeDocument/2006/relationships/image" Target="media/image46.png"/><Relationship Id="rId104" Type="http://schemas.openxmlformats.org/officeDocument/2006/relationships/image" Target="media/image50.wmf"/><Relationship Id="rId120" Type="http://schemas.openxmlformats.org/officeDocument/2006/relationships/image" Target="media/image58.png"/><Relationship Id="rId125" Type="http://schemas.openxmlformats.org/officeDocument/2006/relationships/image" Target="media/image61.wmf"/><Relationship Id="rId141" Type="http://schemas.openxmlformats.org/officeDocument/2006/relationships/footer" Target="footer1.xml"/><Relationship Id="rId14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33.wmf"/><Relationship Id="rId92" Type="http://schemas.openxmlformats.org/officeDocument/2006/relationships/oleObject" Target="embeddings/oleObject41.bin"/><Relationship Id="rId2" Type="http://schemas.openxmlformats.org/officeDocument/2006/relationships/customXml" Target="../customXml/item2.xml"/><Relationship Id="rId29" Type="http://schemas.openxmlformats.org/officeDocument/2006/relationships/oleObject" Target="embeddings/oleObject10.bin"/><Relationship Id="rId24" Type="http://schemas.openxmlformats.org/officeDocument/2006/relationships/image" Target="media/image9.wmf"/><Relationship Id="rId40" Type="http://schemas.openxmlformats.org/officeDocument/2006/relationships/image" Target="media/image17.wmf"/><Relationship Id="rId45" Type="http://schemas.openxmlformats.org/officeDocument/2006/relationships/oleObject" Target="embeddings/oleObject18.bin"/><Relationship Id="rId66" Type="http://schemas.openxmlformats.org/officeDocument/2006/relationships/oleObject" Target="embeddings/oleObject28.bin"/><Relationship Id="rId87" Type="http://schemas.openxmlformats.org/officeDocument/2006/relationships/image" Target="media/image41.wmf"/><Relationship Id="rId110" Type="http://schemas.openxmlformats.org/officeDocument/2006/relationships/image" Target="media/image53.wmf"/><Relationship Id="rId115" Type="http://schemas.openxmlformats.org/officeDocument/2006/relationships/oleObject" Target="embeddings/oleObject52.bin"/><Relationship Id="rId131" Type="http://schemas.openxmlformats.org/officeDocument/2006/relationships/image" Target="media/image64.wmf"/><Relationship Id="rId136" Type="http://schemas.openxmlformats.org/officeDocument/2006/relationships/oleObject" Target="embeddings/oleObject62.bin"/><Relationship Id="rId61" Type="http://schemas.openxmlformats.org/officeDocument/2006/relationships/image" Target="media/image28.wmf"/><Relationship Id="rId82" Type="http://schemas.openxmlformats.org/officeDocument/2006/relationships/oleObject" Target="embeddings/oleObject36.bin"/><Relationship Id="rId19" Type="http://schemas.openxmlformats.org/officeDocument/2006/relationships/oleObject" Target="embeddings/oleObject5.bin"/><Relationship Id="rId14" Type="http://schemas.openxmlformats.org/officeDocument/2006/relationships/image" Target="media/image4.wmf"/><Relationship Id="rId30" Type="http://schemas.openxmlformats.org/officeDocument/2006/relationships/image" Target="media/image12.wmf"/><Relationship Id="rId35" Type="http://schemas.openxmlformats.org/officeDocument/2006/relationships/oleObject" Target="embeddings/oleObject13.bin"/><Relationship Id="rId56" Type="http://schemas.openxmlformats.org/officeDocument/2006/relationships/image" Target="media/image25.wmf"/><Relationship Id="rId77" Type="http://schemas.openxmlformats.org/officeDocument/2006/relationships/image" Target="media/image36.wmf"/><Relationship Id="rId100" Type="http://schemas.openxmlformats.org/officeDocument/2006/relationships/image" Target="media/image48.wmf"/><Relationship Id="rId105" Type="http://schemas.openxmlformats.org/officeDocument/2006/relationships/oleObject" Target="embeddings/oleObject47.bin"/><Relationship Id="rId126" Type="http://schemas.openxmlformats.org/officeDocument/2006/relationships/oleObject" Target="embeddings/oleObject57.bin"/><Relationship Id="rId8" Type="http://schemas.openxmlformats.org/officeDocument/2006/relationships/endnotes" Target="endnotes.xml"/><Relationship Id="rId51" Type="http://schemas.openxmlformats.org/officeDocument/2006/relationships/oleObject" Target="embeddings/oleObject21.bin"/><Relationship Id="rId72" Type="http://schemas.openxmlformats.org/officeDocument/2006/relationships/oleObject" Target="embeddings/oleObject31.bin"/><Relationship Id="rId93" Type="http://schemas.openxmlformats.org/officeDocument/2006/relationships/image" Target="media/image44.wmf"/><Relationship Id="rId98" Type="http://schemas.openxmlformats.org/officeDocument/2006/relationships/image" Target="media/image47.wmf"/><Relationship Id="rId121" Type="http://schemas.openxmlformats.org/officeDocument/2006/relationships/image" Target="media/image59.wmf"/><Relationship Id="rId142" Type="http://schemas.openxmlformats.org/officeDocument/2006/relationships/footer" Target="footer2.xml"/><Relationship Id="rId3" Type="http://schemas.openxmlformats.org/officeDocument/2006/relationships/numbering" Target="numbering.xml"/><Relationship Id="rId25" Type="http://schemas.openxmlformats.org/officeDocument/2006/relationships/oleObject" Target="embeddings/oleObject8.bin"/><Relationship Id="rId46" Type="http://schemas.openxmlformats.org/officeDocument/2006/relationships/image" Target="media/image20.wmf"/><Relationship Id="rId67" Type="http://schemas.openxmlformats.org/officeDocument/2006/relationships/image" Target="media/image31.wmf"/><Relationship Id="rId116" Type="http://schemas.openxmlformats.org/officeDocument/2006/relationships/image" Target="media/image56.wmf"/><Relationship Id="rId137" Type="http://schemas.openxmlformats.org/officeDocument/2006/relationships/image" Target="media/image67.wmf"/><Relationship Id="rId20" Type="http://schemas.openxmlformats.org/officeDocument/2006/relationships/image" Target="media/image7.wmf"/><Relationship Id="rId41" Type="http://schemas.openxmlformats.org/officeDocument/2006/relationships/oleObject" Target="embeddings/oleObject16.bin"/><Relationship Id="rId62" Type="http://schemas.openxmlformats.org/officeDocument/2006/relationships/oleObject" Target="embeddings/oleObject26.bin"/><Relationship Id="rId83" Type="http://schemas.openxmlformats.org/officeDocument/2006/relationships/image" Target="media/image39.wmf"/><Relationship Id="rId88" Type="http://schemas.openxmlformats.org/officeDocument/2006/relationships/oleObject" Target="embeddings/oleObject39.bin"/><Relationship Id="rId111" Type="http://schemas.openxmlformats.org/officeDocument/2006/relationships/oleObject" Target="embeddings/oleObject50.bin"/><Relationship Id="rId132" Type="http://schemas.openxmlformats.org/officeDocument/2006/relationships/oleObject" Target="embeddings/oleObject60.bin"/><Relationship Id="rId15" Type="http://schemas.openxmlformats.org/officeDocument/2006/relationships/oleObject" Target="embeddings/oleObject3.bin"/><Relationship Id="rId36" Type="http://schemas.openxmlformats.org/officeDocument/2006/relationships/image" Target="media/image15.wmf"/><Relationship Id="rId57" Type="http://schemas.openxmlformats.org/officeDocument/2006/relationships/oleObject" Target="embeddings/oleObject24.bin"/><Relationship Id="rId106" Type="http://schemas.openxmlformats.org/officeDocument/2006/relationships/image" Target="media/image51.wmf"/><Relationship Id="rId127" Type="http://schemas.openxmlformats.org/officeDocument/2006/relationships/image" Target="media/image62.wmf"/><Relationship Id="rId10" Type="http://schemas.openxmlformats.org/officeDocument/2006/relationships/image" Target="media/image2.wmf"/><Relationship Id="rId31" Type="http://schemas.openxmlformats.org/officeDocument/2006/relationships/oleObject" Target="embeddings/oleObject11.bin"/><Relationship Id="rId52" Type="http://schemas.openxmlformats.org/officeDocument/2006/relationships/image" Target="media/image23.wmf"/><Relationship Id="rId73" Type="http://schemas.openxmlformats.org/officeDocument/2006/relationships/image" Target="media/image34.wmf"/><Relationship Id="rId78" Type="http://schemas.openxmlformats.org/officeDocument/2006/relationships/oleObject" Target="embeddings/oleObject34.bin"/><Relationship Id="rId94" Type="http://schemas.openxmlformats.org/officeDocument/2006/relationships/oleObject" Target="embeddings/oleObject42.bin"/><Relationship Id="rId99" Type="http://schemas.openxmlformats.org/officeDocument/2006/relationships/oleObject" Target="embeddings/oleObject44.bin"/><Relationship Id="rId101" Type="http://schemas.openxmlformats.org/officeDocument/2006/relationships/oleObject" Target="embeddings/oleObject45.bin"/><Relationship Id="rId122" Type="http://schemas.openxmlformats.org/officeDocument/2006/relationships/oleObject" Target="embeddings/oleObject55.bin"/><Relationship Id="rId143" Type="http://schemas.openxmlformats.org/officeDocument/2006/relationships/header" Target="header3.xml"/><Relationship Id="rId4" Type="http://schemas.openxmlformats.org/officeDocument/2006/relationships/styles" Target="styles.xml"/><Relationship Id="rId9" Type="http://schemas.openxmlformats.org/officeDocument/2006/relationships/image" Target="media/image1.jpg"/><Relationship Id="rId26" Type="http://schemas.openxmlformats.org/officeDocument/2006/relationships/image" Target="media/image10.wmf"/><Relationship Id="rId47" Type="http://schemas.openxmlformats.org/officeDocument/2006/relationships/oleObject" Target="embeddings/oleObject19.bin"/><Relationship Id="rId68" Type="http://schemas.openxmlformats.org/officeDocument/2006/relationships/oleObject" Target="embeddings/oleObject29.bin"/><Relationship Id="rId89" Type="http://schemas.openxmlformats.org/officeDocument/2006/relationships/image" Target="media/image42.wmf"/><Relationship Id="rId112" Type="http://schemas.openxmlformats.org/officeDocument/2006/relationships/image" Target="media/image54.wmf"/><Relationship Id="rId133" Type="http://schemas.openxmlformats.org/officeDocument/2006/relationships/image" Target="media/image65.wmf"/><Relationship Id="rId16" Type="http://schemas.openxmlformats.org/officeDocument/2006/relationships/image" Target="media/image5.wmf"/><Relationship Id="rId37" Type="http://schemas.openxmlformats.org/officeDocument/2006/relationships/oleObject" Target="embeddings/oleObject14.bin"/><Relationship Id="rId58" Type="http://schemas.openxmlformats.org/officeDocument/2006/relationships/image" Target="media/image26.wmf"/><Relationship Id="rId79" Type="http://schemas.openxmlformats.org/officeDocument/2006/relationships/image" Target="media/image37.wmf"/><Relationship Id="rId102" Type="http://schemas.openxmlformats.org/officeDocument/2006/relationships/image" Target="media/image49.wmf"/><Relationship Id="rId123" Type="http://schemas.openxmlformats.org/officeDocument/2006/relationships/image" Target="media/image60.wmf"/><Relationship Id="rId14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bt3nDB3ZiZGGfORXwtLP3XffA/w==">AMUW2mW1lU1Hcx+FN7Gx0P5byBOeYdx/0c7XQuNCR2p8PVJymOsIEg/7weCWjdPyZ99eri88n05a0ex031gFxOZVo3czOdMEkSSapM3n59BgZLKCzXji6uiqjSc9rGHVKSRYPrRLsdFw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F6073FA-2D7C-4A75-BE80-CCE4383518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12</Pages>
  <Words>5372</Words>
  <Characters>30625</Characters>
  <Application>Microsoft Office Word</Application>
  <DocSecurity>0</DocSecurity>
  <Lines>255</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5</cp:revision>
  <cp:lastPrinted>2021-11-30T10:03:00Z</cp:lastPrinted>
  <dcterms:created xsi:type="dcterms:W3CDTF">2021-11-30T09:55:00Z</dcterms:created>
  <dcterms:modified xsi:type="dcterms:W3CDTF">2021-11-30T10:04:00Z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1033-10.2.0.5934</vt:lpwstr>
  </property>
  <property fmtid="{D5CDD505-2E9C-101B-9397-08002B2CF9AE}" pid="3" name="MTWinEqns">
    <vt:bool>true</vt:bool>
  </property>
</Properties>
</file>