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5728C" w14:textId="77777777" w:rsidR="00E67EE2" w:rsidRPr="00DD4419" w:rsidRDefault="00986FD0"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DD4419">
        <w:rPr>
          <w:rFonts w:ascii="Times New Roman" w:eastAsia="Times New Roman" w:hAnsi="Times New Roman" w:cs="Times New Roman"/>
          <w:b/>
          <w:noProof/>
          <w:color w:val="000000"/>
          <w:lang w:val="en-MY" w:eastAsia="en-MY"/>
        </w:rPr>
        <w:drawing>
          <wp:inline distT="0" distB="0" distL="114300" distR="114300" wp14:anchorId="1C20BD22" wp14:editId="4691E600">
            <wp:extent cx="5953125" cy="495300"/>
            <wp:effectExtent l="0" t="0" r="9525"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53125" cy="495300"/>
                    </a:xfrm>
                    <a:prstGeom prst="rect">
                      <a:avLst/>
                    </a:prstGeom>
                    <a:ln/>
                  </pic:spPr>
                </pic:pic>
              </a:graphicData>
            </a:graphic>
          </wp:inline>
        </w:drawing>
      </w:r>
    </w:p>
    <w:p w14:paraId="56B82E37" w14:textId="77777777" w:rsidR="00E67EE2" w:rsidRPr="00DD4419" w:rsidRDefault="00E67EE2"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72D1C726" w14:textId="41E15B7D" w:rsidR="00E67EE2" w:rsidRPr="00DD4419" w:rsidRDefault="00E81704" w:rsidP="00C86F7B">
      <w:pPr>
        <w:pBdr>
          <w:top w:val="nil"/>
          <w:left w:val="nil"/>
          <w:bottom w:val="nil"/>
          <w:right w:val="nil"/>
          <w:between w:val="nil"/>
        </w:pBdr>
        <w:spacing w:after="0" w:line="240" w:lineRule="auto"/>
        <w:ind w:left="1" w:hanging="3"/>
        <w:jc w:val="center"/>
        <w:rPr>
          <w:rFonts w:ascii="Times New Roman" w:eastAsia="Times New Roman" w:hAnsi="Times New Roman" w:cs="Times New Roman"/>
          <w:b/>
          <w:bCs/>
          <w:color w:val="000000"/>
          <w:sz w:val="28"/>
          <w:szCs w:val="28"/>
        </w:rPr>
      </w:pPr>
      <w:bookmarkStart w:id="0" w:name="_GoBack"/>
      <w:r w:rsidRPr="00DD4419">
        <w:rPr>
          <w:rFonts w:ascii="Times New Roman" w:eastAsia="Times New Roman" w:hAnsi="Times New Roman" w:cs="Times New Roman"/>
          <w:b/>
          <w:bCs/>
          <w:color w:val="000000"/>
          <w:sz w:val="28"/>
          <w:szCs w:val="28"/>
        </w:rPr>
        <w:t xml:space="preserve">The </w:t>
      </w:r>
      <w:r w:rsidR="00C86F7B">
        <w:rPr>
          <w:rFonts w:ascii="Times New Roman" w:eastAsia="Times New Roman" w:hAnsi="Times New Roman" w:cs="Times New Roman"/>
          <w:b/>
          <w:bCs/>
          <w:color w:val="000000"/>
          <w:sz w:val="28"/>
          <w:szCs w:val="28"/>
        </w:rPr>
        <w:t>i</w:t>
      </w:r>
      <w:r w:rsidRPr="00DD4419">
        <w:rPr>
          <w:rFonts w:ascii="Times New Roman" w:eastAsia="Times New Roman" w:hAnsi="Times New Roman" w:cs="Times New Roman"/>
          <w:b/>
          <w:bCs/>
          <w:color w:val="000000"/>
          <w:sz w:val="28"/>
          <w:szCs w:val="28"/>
        </w:rPr>
        <w:t>nfluence</w:t>
      </w:r>
      <w:r w:rsidR="00BF4047" w:rsidRPr="00DD4419">
        <w:rPr>
          <w:rFonts w:ascii="Times New Roman" w:eastAsia="Times New Roman" w:hAnsi="Times New Roman" w:cs="Times New Roman"/>
          <w:b/>
          <w:bCs/>
          <w:color w:val="000000"/>
          <w:sz w:val="28"/>
          <w:szCs w:val="28"/>
        </w:rPr>
        <w:t xml:space="preserve"> of </w:t>
      </w:r>
      <w:r w:rsidR="00460013" w:rsidRPr="00DD4419">
        <w:rPr>
          <w:rFonts w:ascii="Times New Roman" w:eastAsia="Times New Roman" w:hAnsi="Times New Roman" w:cs="Times New Roman"/>
          <w:b/>
          <w:bCs/>
          <w:color w:val="000000"/>
          <w:sz w:val="28"/>
          <w:szCs w:val="28"/>
        </w:rPr>
        <w:t>Free</w:t>
      </w:r>
      <w:bookmarkEnd w:id="0"/>
      <w:r w:rsidR="00460013" w:rsidRPr="00DD4419">
        <w:rPr>
          <w:rFonts w:ascii="Times New Roman" w:eastAsia="Times New Roman" w:hAnsi="Times New Roman" w:cs="Times New Roman"/>
          <w:b/>
          <w:bCs/>
          <w:color w:val="000000"/>
          <w:sz w:val="28"/>
          <w:szCs w:val="28"/>
        </w:rPr>
        <w:t xml:space="preserve"> and </w:t>
      </w:r>
      <w:r w:rsidR="00C86F7B" w:rsidRPr="00DD4419">
        <w:rPr>
          <w:rFonts w:ascii="Times New Roman" w:eastAsia="Times New Roman" w:hAnsi="Times New Roman" w:cs="Times New Roman"/>
          <w:b/>
          <w:bCs/>
          <w:color w:val="000000"/>
          <w:sz w:val="28"/>
          <w:szCs w:val="28"/>
        </w:rPr>
        <w:t>Open-Source</w:t>
      </w:r>
      <w:r w:rsidR="00460013" w:rsidRPr="00DD4419">
        <w:rPr>
          <w:rFonts w:ascii="Times New Roman" w:eastAsia="Times New Roman" w:hAnsi="Times New Roman" w:cs="Times New Roman"/>
          <w:b/>
          <w:bCs/>
          <w:color w:val="000000"/>
          <w:sz w:val="28"/>
          <w:szCs w:val="28"/>
        </w:rPr>
        <w:t xml:space="preserve"> Software-Geographic Information System </w:t>
      </w:r>
      <w:r w:rsidR="00BF4047" w:rsidRPr="00DD4419">
        <w:rPr>
          <w:rFonts w:ascii="Times New Roman" w:eastAsia="Times New Roman" w:hAnsi="Times New Roman" w:cs="Times New Roman"/>
          <w:b/>
          <w:bCs/>
          <w:color w:val="000000"/>
          <w:sz w:val="28"/>
          <w:szCs w:val="28"/>
        </w:rPr>
        <w:t>online training on spatial habits, knowledge and skills</w:t>
      </w:r>
    </w:p>
    <w:p w14:paraId="74D1EE78" w14:textId="77777777" w:rsidR="00E67EE2" w:rsidRPr="00DD4419" w:rsidRDefault="00986FD0" w:rsidP="00DC59C4">
      <w:pPr>
        <w:pBdr>
          <w:top w:val="nil"/>
          <w:left w:val="nil"/>
          <w:bottom w:val="nil"/>
          <w:right w:val="nil"/>
          <w:between w:val="nil"/>
        </w:pBdr>
        <w:spacing w:after="0" w:line="240" w:lineRule="auto"/>
        <w:ind w:left="0" w:hanging="2"/>
        <w:jc w:val="center"/>
        <w:rPr>
          <w:rFonts w:ascii="Verdana" w:eastAsia="Verdana" w:hAnsi="Verdana" w:cs="Verdana"/>
          <w:color w:val="111111"/>
          <w:sz w:val="17"/>
          <w:szCs w:val="17"/>
          <w:shd w:val="clear" w:color="auto" w:fill="FBFBF3"/>
        </w:rPr>
      </w:pPr>
      <w:r w:rsidRPr="00DD4419">
        <w:rPr>
          <w:rFonts w:ascii="Times New Roman" w:eastAsia="Times New Roman" w:hAnsi="Times New Roman" w:cs="Times New Roman"/>
          <w:color w:val="000000"/>
        </w:rPr>
        <w:t xml:space="preserve"> </w:t>
      </w:r>
    </w:p>
    <w:p w14:paraId="44EF60A9" w14:textId="77777777" w:rsidR="007264CB" w:rsidRPr="00DD4419" w:rsidRDefault="007264CB" w:rsidP="007264C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roofErr w:type="spellStart"/>
      <w:r w:rsidRPr="00DD4419">
        <w:rPr>
          <w:rFonts w:ascii="Times New Roman" w:eastAsia="Times New Roman" w:hAnsi="Times New Roman" w:cs="Times New Roman"/>
          <w:color w:val="000000"/>
        </w:rPr>
        <w:t>Arif</w:t>
      </w:r>
      <w:proofErr w:type="spellEnd"/>
      <w:r w:rsidRPr="00DD4419">
        <w:rPr>
          <w:rFonts w:ascii="Times New Roman" w:eastAsia="Times New Roman" w:hAnsi="Times New Roman" w:cs="Times New Roman"/>
          <w:color w:val="000000"/>
        </w:rPr>
        <w:t xml:space="preserve"> Ismail</w:t>
      </w:r>
      <w:r w:rsidRPr="00DD4419">
        <w:rPr>
          <w:rFonts w:ascii="Times New Roman" w:eastAsia="Times New Roman" w:hAnsi="Times New Roman" w:cs="Times New Roman"/>
          <w:color w:val="000000"/>
          <w:vertAlign w:val="superscript"/>
        </w:rPr>
        <w:t>1,2</w:t>
      </w:r>
      <w:r w:rsidRPr="00DD4419">
        <w:rPr>
          <w:rFonts w:ascii="Times New Roman" w:eastAsia="Times New Roman" w:hAnsi="Times New Roman" w:cs="Times New Roman"/>
          <w:color w:val="000000"/>
        </w:rPr>
        <w:t xml:space="preserve">, </w:t>
      </w:r>
      <w:proofErr w:type="spellStart"/>
      <w:r w:rsidRPr="00DD4419">
        <w:rPr>
          <w:rFonts w:ascii="Times New Roman" w:eastAsia="Times New Roman" w:hAnsi="Times New Roman" w:cs="Times New Roman"/>
          <w:color w:val="000000"/>
        </w:rPr>
        <w:t>Millary</w:t>
      </w:r>
      <w:proofErr w:type="spellEnd"/>
      <w:r w:rsidRPr="00DD4419">
        <w:rPr>
          <w:rFonts w:ascii="Times New Roman" w:eastAsia="Times New Roman" w:hAnsi="Times New Roman" w:cs="Times New Roman"/>
          <w:color w:val="000000"/>
        </w:rPr>
        <w:t xml:space="preserve"> </w:t>
      </w:r>
      <w:proofErr w:type="spellStart"/>
      <w:r w:rsidRPr="00DD4419">
        <w:rPr>
          <w:rFonts w:ascii="Times New Roman" w:eastAsia="Times New Roman" w:hAnsi="Times New Roman" w:cs="Times New Roman"/>
          <w:color w:val="000000"/>
        </w:rPr>
        <w:t>Agung</w:t>
      </w:r>
      <w:proofErr w:type="spellEnd"/>
      <w:r w:rsidRPr="00DD4419">
        <w:rPr>
          <w:rFonts w:ascii="Times New Roman" w:eastAsia="Times New Roman" w:hAnsi="Times New Roman" w:cs="Times New Roman"/>
          <w:color w:val="000000"/>
        </w:rPr>
        <w:t xml:space="preserve"> Widiawaty</w:t>
      </w:r>
      <w:r w:rsidRPr="00DD4419">
        <w:rPr>
          <w:rFonts w:ascii="Times New Roman" w:eastAsia="Times New Roman" w:hAnsi="Times New Roman" w:cs="Times New Roman"/>
          <w:color w:val="000000"/>
          <w:vertAlign w:val="superscript"/>
        </w:rPr>
        <w:t>3</w:t>
      </w:r>
      <w:r w:rsidRPr="00DD4419">
        <w:rPr>
          <w:rFonts w:ascii="Times New Roman" w:eastAsia="Times New Roman" w:hAnsi="Times New Roman" w:cs="Times New Roman"/>
          <w:color w:val="000000"/>
        </w:rPr>
        <w:t xml:space="preserve">, </w:t>
      </w:r>
      <w:proofErr w:type="spellStart"/>
      <w:r w:rsidRPr="00DD4419">
        <w:rPr>
          <w:rFonts w:ascii="Times New Roman" w:eastAsia="Times New Roman" w:hAnsi="Times New Roman" w:cs="Times New Roman"/>
          <w:color w:val="000000"/>
        </w:rPr>
        <w:t>Jupri</w:t>
      </w:r>
      <w:proofErr w:type="spellEnd"/>
      <w:r w:rsidRPr="00DD4419">
        <w:rPr>
          <w:rFonts w:ascii="Times New Roman" w:eastAsia="Times New Roman" w:hAnsi="Times New Roman" w:cs="Times New Roman"/>
          <w:color w:val="000000"/>
        </w:rPr>
        <w:t xml:space="preserve"> Jupri</w:t>
      </w:r>
      <w:r w:rsidRPr="00DD4419">
        <w:rPr>
          <w:rFonts w:ascii="Times New Roman" w:eastAsia="Times New Roman" w:hAnsi="Times New Roman" w:cs="Times New Roman"/>
          <w:color w:val="000000"/>
          <w:vertAlign w:val="superscript"/>
        </w:rPr>
        <w:t>2</w:t>
      </w:r>
      <w:r w:rsidRPr="00DD4419">
        <w:rPr>
          <w:rFonts w:ascii="Times New Roman" w:eastAsia="Times New Roman" w:hAnsi="Times New Roman" w:cs="Times New Roman"/>
          <w:color w:val="000000"/>
        </w:rPr>
        <w:t xml:space="preserve">, </w:t>
      </w:r>
      <w:r w:rsidRPr="00DD4419">
        <w:rPr>
          <w:rFonts w:ascii="Times New Roman" w:eastAsia="Times New Roman" w:hAnsi="Times New Roman" w:cs="Times New Roman"/>
          <w:color w:val="000000"/>
        </w:rPr>
        <w:br/>
      </w:r>
      <w:proofErr w:type="spellStart"/>
      <w:r w:rsidRPr="00DD4419">
        <w:rPr>
          <w:rFonts w:ascii="Times New Roman" w:eastAsia="Times New Roman" w:hAnsi="Times New Roman" w:cs="Times New Roman"/>
          <w:color w:val="000000"/>
        </w:rPr>
        <w:t>Iwan</w:t>
      </w:r>
      <w:proofErr w:type="spellEnd"/>
      <w:r w:rsidRPr="00DD4419">
        <w:rPr>
          <w:rFonts w:ascii="Times New Roman" w:eastAsia="Times New Roman" w:hAnsi="Times New Roman" w:cs="Times New Roman"/>
          <w:color w:val="000000"/>
        </w:rPr>
        <w:t xml:space="preserve"> Setiawan</w:t>
      </w:r>
      <w:r w:rsidRPr="00DD4419">
        <w:rPr>
          <w:rFonts w:ascii="Times New Roman" w:eastAsia="Times New Roman" w:hAnsi="Times New Roman" w:cs="Times New Roman"/>
          <w:color w:val="000000"/>
          <w:vertAlign w:val="superscript"/>
        </w:rPr>
        <w:t>2</w:t>
      </w:r>
      <w:r w:rsidRPr="00DD4419">
        <w:rPr>
          <w:rFonts w:ascii="Times New Roman" w:eastAsia="Times New Roman" w:hAnsi="Times New Roman" w:cs="Times New Roman"/>
          <w:color w:val="000000"/>
        </w:rPr>
        <w:t xml:space="preserve">, </w:t>
      </w:r>
      <w:proofErr w:type="spellStart"/>
      <w:r w:rsidRPr="00DD4419">
        <w:rPr>
          <w:rFonts w:ascii="Times New Roman" w:eastAsia="Times New Roman" w:hAnsi="Times New Roman" w:cs="Times New Roman"/>
          <w:color w:val="000000"/>
        </w:rPr>
        <w:t>Nanin</w:t>
      </w:r>
      <w:proofErr w:type="spellEnd"/>
      <w:r w:rsidRPr="00DD4419">
        <w:rPr>
          <w:rFonts w:ascii="Times New Roman" w:eastAsia="Times New Roman" w:hAnsi="Times New Roman" w:cs="Times New Roman"/>
          <w:color w:val="000000"/>
        </w:rPr>
        <w:t xml:space="preserve"> </w:t>
      </w:r>
      <w:proofErr w:type="spellStart"/>
      <w:r w:rsidRPr="00DD4419">
        <w:rPr>
          <w:rFonts w:ascii="Times New Roman" w:eastAsia="Times New Roman" w:hAnsi="Times New Roman" w:cs="Times New Roman"/>
          <w:color w:val="000000"/>
        </w:rPr>
        <w:t>Trianawati</w:t>
      </w:r>
      <w:proofErr w:type="spellEnd"/>
      <w:r w:rsidRPr="00DD4419">
        <w:rPr>
          <w:rFonts w:ascii="Times New Roman" w:eastAsia="Times New Roman" w:hAnsi="Times New Roman" w:cs="Times New Roman"/>
          <w:color w:val="000000"/>
        </w:rPr>
        <w:t xml:space="preserve"> Sugito</w:t>
      </w:r>
      <w:r w:rsidRPr="00DD4419">
        <w:rPr>
          <w:rFonts w:ascii="Times New Roman" w:eastAsia="Times New Roman" w:hAnsi="Times New Roman" w:cs="Times New Roman"/>
          <w:color w:val="000000"/>
          <w:vertAlign w:val="superscript"/>
        </w:rPr>
        <w:t>1</w:t>
      </w:r>
      <w:r w:rsidRPr="00DD4419">
        <w:rPr>
          <w:rFonts w:ascii="Times New Roman" w:eastAsia="Times New Roman" w:hAnsi="Times New Roman" w:cs="Times New Roman"/>
          <w:color w:val="000000"/>
        </w:rPr>
        <w:t xml:space="preserve">, </w:t>
      </w:r>
      <w:proofErr w:type="spellStart"/>
      <w:r w:rsidRPr="00DD4419">
        <w:rPr>
          <w:rFonts w:ascii="Times New Roman" w:eastAsia="Times New Roman" w:hAnsi="Times New Roman" w:cs="Times New Roman"/>
          <w:color w:val="000000"/>
        </w:rPr>
        <w:t>Moh</w:t>
      </w:r>
      <w:proofErr w:type="spellEnd"/>
      <w:r w:rsidRPr="00DD4419">
        <w:rPr>
          <w:rFonts w:ascii="Times New Roman" w:eastAsia="Times New Roman" w:hAnsi="Times New Roman" w:cs="Times New Roman"/>
          <w:color w:val="000000"/>
        </w:rPr>
        <w:t>. Dede</w:t>
      </w:r>
      <w:r w:rsidRPr="00DD4419">
        <w:rPr>
          <w:rFonts w:ascii="Times New Roman" w:eastAsia="Times New Roman" w:hAnsi="Times New Roman" w:cs="Times New Roman"/>
          <w:color w:val="000000"/>
          <w:vertAlign w:val="superscript"/>
        </w:rPr>
        <w:t>3,4</w:t>
      </w:r>
    </w:p>
    <w:p w14:paraId="2E5C0A76" w14:textId="77777777" w:rsidR="007264CB" w:rsidRPr="00DD4419" w:rsidRDefault="007264CB" w:rsidP="007264C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1C0A2D42" w14:textId="77777777" w:rsidR="007264CB" w:rsidRPr="00DD4419" w:rsidRDefault="007264CB" w:rsidP="007264C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DD4419">
        <w:rPr>
          <w:rFonts w:ascii="Times New Roman" w:eastAsia="Times New Roman" w:hAnsi="Times New Roman" w:cs="Times New Roman"/>
          <w:color w:val="000000"/>
          <w:vertAlign w:val="superscript"/>
        </w:rPr>
        <w:t>1</w:t>
      </w:r>
      <w:r w:rsidRPr="00DD4419">
        <w:rPr>
          <w:rFonts w:ascii="Times New Roman" w:eastAsia="Times New Roman" w:hAnsi="Times New Roman" w:cs="Times New Roman"/>
          <w:color w:val="000000"/>
        </w:rPr>
        <w:t>Vocational Program on Survey Mapping and Information Geographic,</w:t>
      </w:r>
      <w:r w:rsidRPr="00DD4419">
        <w:rPr>
          <w:rFonts w:ascii="Times New Roman" w:eastAsia="Times New Roman" w:hAnsi="Times New Roman" w:cs="Times New Roman"/>
          <w:color w:val="000000"/>
        </w:rPr>
        <w:br/>
        <w:t>Faculty of Social Sciences Education (FPIPS), Universitas Pendidikan Indonesia</w:t>
      </w:r>
    </w:p>
    <w:p w14:paraId="4D76EF07" w14:textId="77777777" w:rsidR="007264CB" w:rsidRPr="00DD4419" w:rsidRDefault="007264CB" w:rsidP="007264C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DD4419">
        <w:rPr>
          <w:rFonts w:ascii="Times New Roman" w:eastAsia="Times New Roman" w:hAnsi="Times New Roman" w:cs="Times New Roman"/>
          <w:color w:val="000000"/>
          <w:vertAlign w:val="superscript"/>
        </w:rPr>
        <w:t>2</w:t>
      </w:r>
      <w:r w:rsidRPr="00DD4419">
        <w:rPr>
          <w:rFonts w:ascii="Times New Roman" w:eastAsia="Times New Roman" w:hAnsi="Times New Roman" w:cs="Times New Roman"/>
          <w:color w:val="000000"/>
        </w:rPr>
        <w:t>Department of Geography Education, Faculty of Social Sciences Education (FPIPS),</w:t>
      </w:r>
      <w:r w:rsidRPr="00DD4419">
        <w:rPr>
          <w:rFonts w:ascii="Times New Roman" w:eastAsia="Times New Roman" w:hAnsi="Times New Roman" w:cs="Times New Roman"/>
          <w:color w:val="000000"/>
        </w:rPr>
        <w:br/>
        <w:t xml:space="preserve"> Universitas Pendidikan Indonesia</w:t>
      </w:r>
    </w:p>
    <w:p w14:paraId="66BCC645" w14:textId="77777777" w:rsidR="007264CB" w:rsidRPr="00DD4419" w:rsidRDefault="007264CB" w:rsidP="007264C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sidRPr="00DD4419">
        <w:rPr>
          <w:rFonts w:ascii="Times New Roman" w:eastAsia="Times New Roman" w:hAnsi="Times New Roman" w:cs="Times New Roman"/>
          <w:color w:val="000000"/>
          <w:vertAlign w:val="superscript"/>
        </w:rPr>
        <w:t>3</w:t>
      </w:r>
      <w:r w:rsidRPr="00DD4419">
        <w:rPr>
          <w:rFonts w:ascii="Times New Roman" w:eastAsia="Times New Roman" w:hAnsi="Times New Roman" w:cs="Times New Roman"/>
          <w:color w:val="000000"/>
        </w:rPr>
        <w:t>Research Center for Nuclear Energy System (PKSEN), National Nuclear Energy Agency of Indonesia</w:t>
      </w:r>
    </w:p>
    <w:p w14:paraId="730F2007" w14:textId="77777777" w:rsidR="007264CB" w:rsidRPr="00DD4419" w:rsidRDefault="007264CB" w:rsidP="007264C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DD4419">
        <w:rPr>
          <w:rFonts w:ascii="Times New Roman" w:eastAsia="Times New Roman" w:hAnsi="Times New Roman" w:cs="Times New Roman"/>
          <w:color w:val="000000"/>
          <w:vertAlign w:val="superscript"/>
        </w:rPr>
        <w:t>4</w:t>
      </w:r>
      <w:r w:rsidRPr="00DD4419">
        <w:rPr>
          <w:rFonts w:ascii="Times New Roman" w:eastAsia="Times New Roman" w:hAnsi="Times New Roman" w:cs="Times New Roman"/>
          <w:color w:val="000000"/>
        </w:rPr>
        <w:t xml:space="preserve">Center for Environment and Sustainability Science, </w:t>
      </w:r>
      <w:proofErr w:type="spellStart"/>
      <w:r w:rsidRPr="00DD4419">
        <w:rPr>
          <w:rFonts w:ascii="Times New Roman" w:eastAsia="Times New Roman" w:hAnsi="Times New Roman" w:cs="Times New Roman"/>
          <w:color w:val="000000"/>
        </w:rPr>
        <w:t>Universitas</w:t>
      </w:r>
      <w:proofErr w:type="spellEnd"/>
      <w:r w:rsidRPr="00DD4419">
        <w:rPr>
          <w:rFonts w:ascii="Times New Roman" w:eastAsia="Times New Roman" w:hAnsi="Times New Roman" w:cs="Times New Roman"/>
          <w:color w:val="000000"/>
        </w:rPr>
        <w:t xml:space="preserve"> </w:t>
      </w:r>
      <w:proofErr w:type="spellStart"/>
      <w:r w:rsidRPr="00DD4419">
        <w:rPr>
          <w:rFonts w:ascii="Times New Roman" w:eastAsia="Times New Roman" w:hAnsi="Times New Roman" w:cs="Times New Roman"/>
          <w:color w:val="000000"/>
        </w:rPr>
        <w:t>Padjadjaran</w:t>
      </w:r>
      <w:proofErr w:type="spellEnd"/>
    </w:p>
    <w:p w14:paraId="264C9A04" w14:textId="77777777" w:rsidR="007264CB" w:rsidRPr="00DD4419" w:rsidRDefault="007264CB" w:rsidP="007264C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63BD4D77" w14:textId="56F48481" w:rsidR="007264CB" w:rsidRPr="00DD4419" w:rsidRDefault="007264C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DD4419">
        <w:rPr>
          <w:rFonts w:ascii="Times New Roman" w:eastAsia="Times New Roman" w:hAnsi="Times New Roman" w:cs="Times New Roman"/>
          <w:color w:val="000000"/>
        </w:rPr>
        <w:t xml:space="preserve">Correspondence: </w:t>
      </w:r>
      <w:proofErr w:type="spellStart"/>
      <w:r w:rsidR="0059486D">
        <w:rPr>
          <w:rFonts w:ascii="Times New Roman" w:eastAsia="Times New Roman" w:hAnsi="Times New Roman" w:cs="Times New Roman"/>
          <w:color w:val="000000"/>
        </w:rPr>
        <w:t>Arif</w:t>
      </w:r>
      <w:proofErr w:type="spellEnd"/>
      <w:r w:rsidR="0059486D">
        <w:rPr>
          <w:rFonts w:ascii="Times New Roman" w:eastAsia="Times New Roman" w:hAnsi="Times New Roman" w:cs="Times New Roman"/>
          <w:color w:val="000000"/>
        </w:rPr>
        <w:t xml:space="preserve"> Ismail</w:t>
      </w:r>
      <w:r w:rsidRPr="00DD4419">
        <w:rPr>
          <w:rFonts w:ascii="Times New Roman" w:eastAsia="Times New Roman" w:hAnsi="Times New Roman" w:cs="Times New Roman"/>
          <w:color w:val="000000"/>
        </w:rPr>
        <w:t xml:space="preserve"> (email: </w:t>
      </w:r>
      <w:r w:rsidR="0059486D">
        <w:rPr>
          <w:rFonts w:ascii="Times New Roman" w:eastAsia="Times New Roman" w:hAnsi="Times New Roman" w:cs="Times New Roman"/>
          <w:color w:val="000000"/>
        </w:rPr>
        <w:t>ari</w:t>
      </w:r>
      <w:r w:rsidR="000120DC">
        <w:rPr>
          <w:rFonts w:ascii="Times New Roman" w:eastAsia="Times New Roman" w:hAnsi="Times New Roman" w:cs="Times New Roman"/>
          <w:color w:val="000000"/>
        </w:rPr>
        <w:t>f</w:t>
      </w:r>
      <w:r w:rsidR="0059486D">
        <w:rPr>
          <w:rFonts w:ascii="Times New Roman" w:eastAsia="Times New Roman" w:hAnsi="Times New Roman" w:cs="Times New Roman"/>
          <w:color w:val="000000"/>
        </w:rPr>
        <w:t>ismail@upi.edu)</w:t>
      </w:r>
    </w:p>
    <w:p w14:paraId="7051A90A" w14:textId="77777777" w:rsidR="007264CB" w:rsidRPr="00DD4419" w:rsidRDefault="007264CB" w:rsidP="007264CB">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07CEEA89" w14:textId="77777777" w:rsidR="007264CB" w:rsidRPr="00DD4419" w:rsidRDefault="007264CB" w:rsidP="007264CB">
      <w:pPr>
        <w:spacing w:after="0" w:line="240" w:lineRule="auto"/>
        <w:ind w:left="0" w:hanging="2"/>
        <w:jc w:val="both"/>
        <w:rPr>
          <w:rFonts w:ascii="Times New Roman" w:eastAsia="Times New Roman" w:hAnsi="Times New Roman" w:cs="Times New Roman"/>
        </w:rPr>
      </w:pPr>
      <w:r w:rsidRPr="00DD4419">
        <w:rPr>
          <w:rFonts w:ascii="Times New Roman" w:eastAsia="Times New Roman" w:hAnsi="Times New Roman" w:cs="Times New Roman"/>
        </w:rPr>
        <w:t xml:space="preserve">Received:  </w:t>
      </w:r>
      <w:r w:rsidRPr="00DD4419">
        <w:rPr>
          <w:rFonts w:ascii="Times New Roman" w:eastAsia="Times New Roman" w:hAnsi="Times New Roman" w:cs="Times New Roman"/>
        </w:rPr>
        <w:tab/>
        <w:t xml:space="preserve">; Accepted:     </w:t>
      </w:r>
      <w:r w:rsidRPr="00DD4419">
        <w:rPr>
          <w:rFonts w:ascii="Times New Roman" w:eastAsia="Times New Roman" w:hAnsi="Times New Roman" w:cs="Times New Roman"/>
        </w:rPr>
        <w:tab/>
        <w:t>; Published:</w:t>
      </w:r>
    </w:p>
    <w:p w14:paraId="55CC3DCB" w14:textId="77777777" w:rsidR="007264CB" w:rsidRPr="00DD4419" w:rsidRDefault="007264CB" w:rsidP="00C86F7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53A34E9A" w14:textId="77777777" w:rsidR="00E67EE2" w:rsidRPr="00DD4419" w:rsidRDefault="00E67EE2"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397F2FD7" w14:textId="77777777" w:rsidR="00E67EE2" w:rsidRPr="00DD4419" w:rsidRDefault="00986FD0"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D4419">
        <w:rPr>
          <w:rFonts w:ascii="Times New Roman" w:eastAsia="Times New Roman" w:hAnsi="Times New Roman" w:cs="Times New Roman"/>
          <w:b/>
          <w:color w:val="000000"/>
          <w:sz w:val="24"/>
          <w:szCs w:val="24"/>
        </w:rPr>
        <w:t xml:space="preserve">Abstract </w:t>
      </w:r>
    </w:p>
    <w:p w14:paraId="5F5B1B94" w14:textId="77777777" w:rsidR="004045BE" w:rsidRPr="00DD4419" w:rsidRDefault="004045BE"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53DD9C0" w14:textId="1697C21C" w:rsidR="00E67EE2" w:rsidRPr="00DD4419" w:rsidRDefault="00C84D09" w:rsidP="006F7CD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D4419">
        <w:rPr>
          <w:rFonts w:ascii="Times New Roman" w:eastAsia="Times New Roman" w:hAnsi="Times New Roman" w:cs="Times New Roman"/>
          <w:color w:val="000000"/>
          <w:sz w:val="24"/>
          <w:szCs w:val="24"/>
        </w:rPr>
        <w:t xml:space="preserve">The era of regional autonomy after the 1998 reformation prompted the formation of a new formal administrative area in Indonesia as an effort to encourage the national development. </w:t>
      </w:r>
      <w:proofErr w:type="spellStart"/>
      <w:r w:rsidRPr="00DD4419">
        <w:rPr>
          <w:rFonts w:ascii="Times New Roman" w:eastAsia="Times New Roman" w:hAnsi="Times New Roman" w:cs="Times New Roman"/>
          <w:color w:val="000000"/>
          <w:sz w:val="24"/>
          <w:szCs w:val="24"/>
        </w:rPr>
        <w:t>Pangandaran</w:t>
      </w:r>
      <w:proofErr w:type="spellEnd"/>
      <w:r w:rsidRPr="00DD4419">
        <w:rPr>
          <w:rFonts w:ascii="Times New Roman" w:eastAsia="Times New Roman" w:hAnsi="Times New Roman" w:cs="Times New Roman"/>
          <w:color w:val="000000"/>
          <w:sz w:val="24"/>
          <w:szCs w:val="24"/>
        </w:rPr>
        <w:t xml:space="preserve"> Regency, after divided from </w:t>
      </w:r>
      <w:proofErr w:type="spellStart"/>
      <w:r w:rsidRPr="00DD4419">
        <w:rPr>
          <w:rFonts w:ascii="Times New Roman" w:eastAsia="Times New Roman" w:hAnsi="Times New Roman" w:cs="Times New Roman"/>
          <w:color w:val="000000"/>
          <w:sz w:val="24"/>
          <w:szCs w:val="24"/>
        </w:rPr>
        <w:t>Ciamis</w:t>
      </w:r>
      <w:proofErr w:type="spellEnd"/>
      <w:r w:rsidRPr="00DD4419">
        <w:rPr>
          <w:rFonts w:ascii="Times New Roman" w:eastAsia="Times New Roman" w:hAnsi="Times New Roman" w:cs="Times New Roman"/>
          <w:color w:val="000000"/>
          <w:sz w:val="24"/>
          <w:szCs w:val="24"/>
        </w:rPr>
        <w:t xml:space="preserve"> Regency, requires attention from higher education stakeholders in the spatial field </w:t>
      </w:r>
      <w:r w:rsidR="00C86F7B" w:rsidRPr="00DD4419">
        <w:rPr>
          <w:rFonts w:ascii="Times New Roman" w:eastAsia="Times New Roman" w:hAnsi="Times New Roman" w:cs="Times New Roman"/>
          <w:color w:val="000000"/>
          <w:sz w:val="24"/>
          <w:szCs w:val="24"/>
        </w:rPr>
        <w:t>to</w:t>
      </w:r>
      <w:r w:rsidRPr="00DD4419">
        <w:rPr>
          <w:rFonts w:ascii="Times New Roman" w:eastAsia="Times New Roman" w:hAnsi="Times New Roman" w:cs="Times New Roman"/>
          <w:color w:val="000000"/>
          <w:sz w:val="24"/>
          <w:szCs w:val="24"/>
        </w:rPr>
        <w:t xml:space="preserve"> manage its natural and social-economic resources. </w:t>
      </w:r>
      <w:r w:rsidR="008371F8" w:rsidRPr="00DD4419">
        <w:rPr>
          <w:rFonts w:ascii="Times New Roman" w:eastAsia="Times New Roman" w:hAnsi="Times New Roman" w:cs="Times New Roman"/>
          <w:color w:val="000000"/>
          <w:sz w:val="24"/>
          <w:szCs w:val="24"/>
        </w:rPr>
        <w:t xml:space="preserve">Free and </w:t>
      </w:r>
      <w:r w:rsidR="00C86F7B" w:rsidRPr="00DD4419">
        <w:rPr>
          <w:rFonts w:ascii="Times New Roman" w:eastAsia="Times New Roman" w:hAnsi="Times New Roman" w:cs="Times New Roman"/>
          <w:color w:val="000000"/>
          <w:sz w:val="24"/>
          <w:szCs w:val="24"/>
        </w:rPr>
        <w:t>Open-Source</w:t>
      </w:r>
      <w:r w:rsidR="008371F8" w:rsidRPr="00DD4419">
        <w:rPr>
          <w:rFonts w:ascii="Times New Roman" w:eastAsia="Times New Roman" w:hAnsi="Times New Roman" w:cs="Times New Roman"/>
          <w:color w:val="000000"/>
          <w:sz w:val="24"/>
          <w:szCs w:val="24"/>
        </w:rPr>
        <w:t xml:space="preserve"> Software-Geographic Information System (</w:t>
      </w:r>
      <w:r w:rsidRPr="00DD4419">
        <w:rPr>
          <w:rFonts w:ascii="Times New Roman" w:eastAsia="Times New Roman" w:hAnsi="Times New Roman" w:cs="Times New Roman"/>
          <w:color w:val="000000"/>
          <w:sz w:val="24"/>
          <w:szCs w:val="24"/>
        </w:rPr>
        <w:t>FOSS-GIS</w:t>
      </w:r>
      <w:r w:rsidR="008371F8" w:rsidRPr="00DD4419">
        <w:rPr>
          <w:rFonts w:ascii="Times New Roman" w:eastAsia="Times New Roman" w:hAnsi="Times New Roman" w:cs="Times New Roman"/>
          <w:color w:val="000000"/>
          <w:sz w:val="24"/>
          <w:szCs w:val="24"/>
        </w:rPr>
        <w:t>)</w:t>
      </w:r>
      <w:r w:rsidRPr="00DD4419">
        <w:rPr>
          <w:rFonts w:ascii="Times New Roman" w:eastAsia="Times New Roman" w:hAnsi="Times New Roman" w:cs="Times New Roman"/>
          <w:color w:val="000000"/>
          <w:sz w:val="24"/>
          <w:szCs w:val="24"/>
        </w:rPr>
        <w:t xml:space="preserve"> training is the appropriate solution through the community service and empowerment program from university. This study aims to determine the effect of FOSS-GIS training on spatial habits, spatial knowledge, and spatial skills. The online training was attended by 24 participants who are officials from the government of </w:t>
      </w:r>
      <w:proofErr w:type="spellStart"/>
      <w:r w:rsidRPr="00DD4419">
        <w:rPr>
          <w:rFonts w:ascii="Times New Roman" w:eastAsia="Times New Roman" w:hAnsi="Times New Roman" w:cs="Times New Roman"/>
          <w:color w:val="000000"/>
          <w:sz w:val="24"/>
          <w:szCs w:val="24"/>
        </w:rPr>
        <w:t>Pangandaran</w:t>
      </w:r>
      <w:proofErr w:type="spellEnd"/>
      <w:r w:rsidRPr="00DD4419">
        <w:rPr>
          <w:rFonts w:ascii="Times New Roman" w:eastAsia="Times New Roman" w:hAnsi="Times New Roman" w:cs="Times New Roman"/>
          <w:color w:val="000000"/>
          <w:sz w:val="24"/>
          <w:szCs w:val="24"/>
        </w:rPr>
        <w:t xml:space="preserve"> Regency. To determine the effect, we used Wilcoxon's Test and Paired Sample T-Test on spatial habits and spatial knowledge. We analyzed the spatial skills of self-paced tasks and presentation of results by the participants. This study shows a positive effect of FOSS-GIS training which can be seen from the increase in scores between pre-test and post-test. </w:t>
      </w:r>
      <w:r w:rsidR="00B538D4" w:rsidRPr="00DD4419">
        <w:rPr>
          <w:rFonts w:ascii="Times New Roman" w:eastAsia="Times New Roman" w:hAnsi="Times New Roman" w:cs="Times New Roman"/>
          <w:color w:val="000000"/>
          <w:sz w:val="24"/>
          <w:szCs w:val="24"/>
        </w:rPr>
        <w:t>The s</w:t>
      </w:r>
      <w:r w:rsidRPr="00DD4419">
        <w:rPr>
          <w:rFonts w:ascii="Times New Roman" w:eastAsia="Times New Roman" w:hAnsi="Times New Roman" w:cs="Times New Roman"/>
          <w:color w:val="000000"/>
          <w:sz w:val="24"/>
          <w:szCs w:val="24"/>
        </w:rPr>
        <w:t>patial habits incr</w:t>
      </w:r>
      <w:r w:rsidR="006F7CDB" w:rsidRPr="00DD4419">
        <w:rPr>
          <w:rFonts w:ascii="Times New Roman" w:eastAsia="Times New Roman" w:hAnsi="Times New Roman" w:cs="Times New Roman"/>
          <w:color w:val="000000"/>
          <w:sz w:val="24"/>
          <w:szCs w:val="24"/>
        </w:rPr>
        <w:t>eased 5.4 percent</w:t>
      </w:r>
      <w:r w:rsidR="00EE34D9" w:rsidRPr="00DD4419">
        <w:rPr>
          <w:rFonts w:ascii="Times New Roman" w:eastAsia="Times New Roman" w:hAnsi="Times New Roman" w:cs="Times New Roman"/>
          <w:color w:val="000000"/>
          <w:sz w:val="24"/>
          <w:szCs w:val="24"/>
        </w:rPr>
        <w:t xml:space="preserve">, </w:t>
      </w:r>
      <w:r w:rsidR="00B538D4" w:rsidRPr="00DD4419">
        <w:rPr>
          <w:rFonts w:ascii="Times New Roman" w:eastAsia="Times New Roman" w:hAnsi="Times New Roman" w:cs="Times New Roman"/>
          <w:color w:val="000000"/>
          <w:sz w:val="24"/>
          <w:szCs w:val="24"/>
        </w:rPr>
        <w:t xml:space="preserve">whereas the </w:t>
      </w:r>
      <w:r w:rsidRPr="00DD4419">
        <w:rPr>
          <w:rFonts w:ascii="Times New Roman" w:eastAsia="Times New Roman" w:hAnsi="Times New Roman" w:cs="Times New Roman"/>
          <w:color w:val="000000"/>
          <w:sz w:val="24"/>
          <w:szCs w:val="24"/>
        </w:rPr>
        <w:t xml:space="preserve">spatial knowledge </w:t>
      </w:r>
      <w:r w:rsidR="006F7CDB" w:rsidRPr="00DD4419">
        <w:rPr>
          <w:rFonts w:ascii="Times New Roman" w:eastAsia="Times New Roman" w:hAnsi="Times New Roman" w:cs="Times New Roman"/>
          <w:color w:val="000000"/>
          <w:sz w:val="24"/>
          <w:szCs w:val="24"/>
        </w:rPr>
        <w:t>increased 6.1 percent</w:t>
      </w:r>
      <w:r w:rsidRPr="00DD4419">
        <w:rPr>
          <w:rFonts w:ascii="Times New Roman" w:eastAsia="Times New Roman" w:hAnsi="Times New Roman" w:cs="Times New Roman"/>
          <w:color w:val="000000"/>
          <w:sz w:val="24"/>
          <w:szCs w:val="24"/>
        </w:rPr>
        <w:t xml:space="preserve">. Participants were also able to demonstrate </w:t>
      </w:r>
      <w:r w:rsidR="00C86F7B" w:rsidRPr="00DD4419">
        <w:rPr>
          <w:rFonts w:ascii="Times New Roman" w:eastAsia="Times New Roman" w:hAnsi="Times New Roman" w:cs="Times New Roman"/>
          <w:color w:val="000000"/>
          <w:sz w:val="24"/>
          <w:szCs w:val="24"/>
        </w:rPr>
        <w:t>all</w:t>
      </w:r>
      <w:r w:rsidRPr="00DD4419">
        <w:rPr>
          <w:rFonts w:ascii="Times New Roman" w:eastAsia="Times New Roman" w:hAnsi="Times New Roman" w:cs="Times New Roman"/>
          <w:color w:val="000000"/>
          <w:sz w:val="24"/>
          <w:szCs w:val="24"/>
        </w:rPr>
        <w:t xml:space="preserve"> their spatial skills to make a tsunami hazard map and present it. FOSS-GIS online training is effective for improving spatial habits, spatial knowledge, and spatial skills for participants in any background.</w:t>
      </w:r>
      <w:r w:rsidR="00B30F42" w:rsidRPr="00DD4419">
        <w:rPr>
          <w:rFonts w:ascii="Times New Roman" w:eastAsia="Times New Roman" w:hAnsi="Times New Roman" w:cs="Times New Roman"/>
          <w:color w:val="000000"/>
          <w:sz w:val="24"/>
          <w:szCs w:val="24"/>
        </w:rPr>
        <w:t xml:space="preserve"> </w:t>
      </w:r>
    </w:p>
    <w:p w14:paraId="70D7848C" w14:textId="74D6F57B" w:rsidR="00E67EE2" w:rsidRPr="00DD4419" w:rsidRDefault="00E67EE2"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704DAFC" w14:textId="56FE7154" w:rsidR="00E67EE2" w:rsidRPr="00DD4419" w:rsidRDefault="00986FD0"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1" w:name="_heading=h.gjdgxs" w:colFirst="0" w:colLast="0"/>
      <w:bookmarkEnd w:id="1"/>
      <w:r w:rsidRPr="00DD4419">
        <w:rPr>
          <w:rFonts w:ascii="Times New Roman" w:eastAsia="Times New Roman" w:hAnsi="Times New Roman" w:cs="Times New Roman"/>
          <w:b/>
          <w:color w:val="000000"/>
          <w:sz w:val="24"/>
          <w:szCs w:val="24"/>
        </w:rPr>
        <w:t xml:space="preserve">Keywords: </w:t>
      </w:r>
      <w:r w:rsidR="00C84D09" w:rsidRPr="00DD4419">
        <w:rPr>
          <w:rFonts w:ascii="Times New Roman" w:eastAsia="Times New Roman" w:hAnsi="Times New Roman" w:cs="Times New Roman"/>
          <w:color w:val="000000"/>
          <w:sz w:val="24"/>
          <w:szCs w:val="24"/>
        </w:rPr>
        <w:t>FOSS-GIS, online course, spatial habits, spatial knowledge, spatial skill</w:t>
      </w:r>
    </w:p>
    <w:p w14:paraId="3051AD38" w14:textId="77777777" w:rsidR="00E67EE2" w:rsidRPr="00DD4419" w:rsidRDefault="00986FD0"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D4419">
        <w:rPr>
          <w:rFonts w:ascii="Times New Roman" w:eastAsia="Times New Roman" w:hAnsi="Times New Roman" w:cs="Times New Roman"/>
          <w:b/>
          <w:color w:val="000000"/>
          <w:sz w:val="24"/>
          <w:szCs w:val="24"/>
        </w:rPr>
        <w:t xml:space="preserve"> </w:t>
      </w:r>
    </w:p>
    <w:p w14:paraId="486F159C" w14:textId="77777777" w:rsidR="00E67EE2" w:rsidRPr="00DD4419" w:rsidRDefault="00986FD0"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D4419">
        <w:rPr>
          <w:rFonts w:ascii="Times New Roman" w:eastAsia="Times New Roman" w:hAnsi="Times New Roman" w:cs="Times New Roman"/>
          <w:b/>
          <w:color w:val="000000"/>
          <w:sz w:val="24"/>
          <w:szCs w:val="24"/>
        </w:rPr>
        <w:t xml:space="preserve"> </w:t>
      </w:r>
    </w:p>
    <w:p w14:paraId="689CDA76" w14:textId="77777777" w:rsidR="00E67EE2" w:rsidRPr="00DD4419" w:rsidRDefault="003C0A2E"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D4419">
        <w:rPr>
          <w:rFonts w:ascii="Times New Roman" w:eastAsia="Times New Roman" w:hAnsi="Times New Roman" w:cs="Times New Roman"/>
          <w:b/>
          <w:color w:val="000000"/>
          <w:sz w:val="24"/>
          <w:szCs w:val="24"/>
        </w:rPr>
        <w:t>Introduction</w:t>
      </w:r>
      <w:r w:rsidR="00986FD0" w:rsidRPr="00DD4419">
        <w:rPr>
          <w:rFonts w:ascii="Times New Roman" w:eastAsia="Times New Roman" w:hAnsi="Times New Roman" w:cs="Times New Roman"/>
          <w:b/>
          <w:color w:val="000000"/>
          <w:sz w:val="24"/>
          <w:szCs w:val="24"/>
        </w:rPr>
        <w:t xml:space="preserve"> </w:t>
      </w:r>
    </w:p>
    <w:p w14:paraId="6475C412" w14:textId="77777777" w:rsidR="00E67EE2" w:rsidRPr="00DD4419" w:rsidRDefault="00986FD0"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D4419">
        <w:rPr>
          <w:rFonts w:ascii="Times New Roman" w:eastAsia="Times New Roman" w:hAnsi="Times New Roman" w:cs="Times New Roman"/>
          <w:b/>
          <w:color w:val="000000"/>
          <w:sz w:val="24"/>
          <w:szCs w:val="24"/>
        </w:rPr>
        <w:t xml:space="preserve"> </w:t>
      </w:r>
    </w:p>
    <w:p w14:paraId="14EFD343" w14:textId="020D74B2" w:rsidR="00384D14" w:rsidRPr="00C86F7B" w:rsidRDefault="00384D14">
      <w:pPr>
        <w:spacing w:after="0"/>
        <w:ind w:left="0" w:hanging="2"/>
        <w:jc w:val="both"/>
        <w:rPr>
          <w:rFonts w:asciiTheme="majorBidi" w:hAnsiTheme="majorBidi" w:cstheme="majorBidi"/>
          <w:sz w:val="24"/>
          <w:szCs w:val="24"/>
        </w:rPr>
      </w:pPr>
      <w:r w:rsidRPr="00DD4419">
        <w:rPr>
          <w:rFonts w:asciiTheme="majorBidi" w:hAnsiTheme="majorBidi" w:cstheme="majorBidi"/>
          <w:sz w:val="24"/>
          <w:szCs w:val="24"/>
        </w:rPr>
        <w:t xml:space="preserve">Regional development planning in Indonesia requires the availability of geospatial data and information according to the Law Number 4 of 2011 concerning Geospatial Information </w:t>
      </w:r>
      <w:r w:rsidRPr="00C86F7B">
        <w:rPr>
          <w:rFonts w:asciiTheme="majorBidi" w:hAnsiTheme="majorBidi" w:cstheme="majorBidi"/>
          <w:sz w:val="24"/>
          <w:szCs w:val="24"/>
        </w:rPr>
        <w:fldChar w:fldCharType="begin"/>
      </w:r>
      <w:r w:rsidR="002122C9" w:rsidRPr="00C86F7B">
        <w:rPr>
          <w:rFonts w:asciiTheme="majorBidi" w:hAnsiTheme="majorBidi" w:cstheme="majorBidi"/>
          <w:sz w:val="24"/>
          <w:szCs w:val="24"/>
        </w:rPr>
        <w:instrText xml:space="preserve"> ADDIN ZOTERO_ITEM CSL_CITATION {"citationID":"a2j93hn3lh6","properties":{"formattedCitation":"(W. K. E. Putra, 2017; Riqqi et al., 2018)","plainCitation":"(W. K. E. Putra, 2017; Riqqi et al., 2018)","noteIndex":0},"citationItems":[{"id":565,"uris":["http://zotero.org/users/local/eLG7HXo0/items/B4QHZIRI"],"uri":["http://zotero.org/users/local/eLG7HXo0/items/B4QHZIRI"],"itemData":{"id":565,"type":"article-journal","abstract":"Asas keterbukaan yang tertuang pada asas UU No. 4 Tahun 2011 serta perkembangan teknologi dan komunikasi memberikan akses yang mudah kepada masyarakat untuk mendapatkan informasi geospasial. Terlebih lagi dengan adanya IDSN akan memberikan kemudahan layanan pertukaran dan penyebarluasan  data geospasial melalui jaringan internet. Tetapi kenyataannya sering kali data yang dibutuhkan user tidak bisa diakses dan user disarankan untuk memperoleh informasi data yang diinginkan pada metadata. Peran metadata dalam hal ini akan menjadi kunci penting, karena melalui metadata akan mengarahkan user bagaimana cara memperoleh data serta informasi detail dari data yang dimaksud.","container-title":"Media Komunikasi Geografi","DOI":"10.23887/mkg.v16i1.10170","ISSN":"2580-0183","issue":"1","language":"en-US","note":"number: 1","source":"ejournal.undiksha.ac.id","title":"Peran metadata dalam pencarian data geospasial melalui Infrastruktur Data Spasial Nasional (ISDN)","URL":"https://ejournal.undiksha.ac.id/index.php/MKG/article/view/10170","volume":"16","author":[{"family":"Putra","given":"Wayan Krisna Eka"}],"accessed":{"date-parts":[["2022",1,16]]},"issued":{"date-parts":[["2017"]]}}},{"id":496,"uris":["http://zotero.org/users/local/eLG7HXo0/items/3EFXI3NC"],"uri":["http://zotero.org/users/local/eLG7HXo0/items/3EFXI3NC"],"itemData":{"id":496,"type":"paper-conference","abstract":"Kualitas informasi geospasial pada peta dasar RBI, LPI, dan LLN merupakan informasi yang harus diketahui dan dinyatakan secara jelas untuk menjamin kualitas IG turunannya, yaitu peta tematik. Berdasarkan standar kualitas data geospasial ISO 19157:2013, terdapat 6 elemen kualitas data. Setiap elemen tersebut memiliki jenis dan ukuran kualitas masing-masing, sehingga informasi kualitas yang melibatkan keseluruhan elemen menjadi tidak sederhana. Dibutuhkan suatu pernyataan sederhana untuk menyatakan informasi kualitas yang mudah dipahami oleh pengguna peta. Penelitian ini mengembangkan metode untuk menyusun kelas kualitas peta dasar, dengan melakukan agregasi elemen kualitas pada setiap kategori unsur. Metode agregasi kualitas meliputi perhitungan tanpa bobot dan perhitungan dengan bobot. Pada perhitungan tanpa bobot, setiap elemen kualitas data dan kategori unsur memiliki tingkat kepentingan yang sama; sedangkan pada perhitungan dengan bobot, elemen kualitas data dan kategori unsur yang lebih penting memiliki bobot yang lebih besar dibandingkan dengan elemen kualitas data dan kategori unsur yang lainnya. Peta dasar hasil evaluasi kualitas (QE) memiliki informasi berupa kelas (antara A+, A, AB, B, BC, dan C) yang menunjukkan tingkat kualitas peta dasar. nilai kelas ini digunakan untuk memudahkan pengguna peta dalam memahami kulitas peta dasar. \nKata kunci: kualitas data geospasial, kelas, peta dasar","container-title":"Seminar Nasional Geomatika","DOI":"10.24895/JIG.2018.24-1.773","page":"13","source":"ResearchGate","title":"Pemodelan kualitas Informasi Geospasial Dasar di Indonesia","volume":"24","author":[{"family":"Riqqi","given":"Akhmad"},{"family":"Taradini","given":"Jesika"},{"family":"Effendi","given":"Arief"}],"issued":{"date-parts":[["2018"]]}}}],"schema":"https://github.com/citation-style-language/schema/raw/master/csl-citation.json"} </w:instrText>
      </w:r>
      <w:r w:rsidRPr="00C86F7B">
        <w:rPr>
          <w:rFonts w:asciiTheme="majorBidi" w:hAnsiTheme="majorBidi" w:cstheme="majorBidi"/>
          <w:sz w:val="24"/>
          <w:szCs w:val="24"/>
        </w:rPr>
        <w:fldChar w:fldCharType="separate"/>
      </w:r>
      <w:r w:rsidR="002122C9" w:rsidRPr="00C86F7B">
        <w:rPr>
          <w:rFonts w:ascii="Times New Roman" w:hAnsi="Times New Roman" w:cs="Times New Roman"/>
          <w:sz w:val="24"/>
        </w:rPr>
        <w:t xml:space="preserve">(Putra, </w:t>
      </w:r>
      <w:r w:rsidR="002122C9" w:rsidRPr="00C86F7B">
        <w:rPr>
          <w:rFonts w:ascii="Times New Roman" w:hAnsi="Times New Roman" w:cs="Times New Roman"/>
          <w:sz w:val="24"/>
        </w:rPr>
        <w:lastRenderedPageBreak/>
        <w:t>2017; Riqqi et al., 2018)</w:t>
      </w:r>
      <w:r w:rsidRPr="00C86F7B">
        <w:rPr>
          <w:rFonts w:asciiTheme="majorBidi" w:hAnsiTheme="majorBidi" w:cstheme="majorBidi"/>
          <w:sz w:val="24"/>
          <w:szCs w:val="24"/>
        </w:rPr>
        <w:fldChar w:fldCharType="end"/>
      </w:r>
      <w:r w:rsidRPr="00C86F7B">
        <w:rPr>
          <w:rFonts w:asciiTheme="majorBidi" w:hAnsiTheme="majorBidi" w:cstheme="majorBidi"/>
          <w:sz w:val="24"/>
          <w:szCs w:val="24"/>
        </w:rPr>
        <w:t xml:space="preserve">. The regulation regulates basic geospatial information (IGD) and thematic geospatial information (IGT). Both the IGD and IGT can serve as a basis for government stakeholders to plan, develop and control areas, accelerate the process of delineating regional boundaries and spatial planning, also monitoring development programs/interventions in order that they can be monitored spatially to the smallest administrative unit in Indonesia. – village/urban village </w:t>
      </w:r>
      <w:r w:rsidRPr="00C86F7B">
        <w:rPr>
          <w:rFonts w:asciiTheme="majorBidi" w:hAnsiTheme="majorBidi" w:cstheme="majorBidi"/>
          <w:sz w:val="24"/>
          <w:szCs w:val="24"/>
        </w:rPr>
        <w:fldChar w:fldCharType="begin"/>
      </w:r>
      <w:r w:rsidRPr="00C86F7B">
        <w:rPr>
          <w:rFonts w:asciiTheme="majorBidi" w:hAnsiTheme="majorBidi" w:cstheme="majorBidi"/>
          <w:sz w:val="24"/>
          <w:szCs w:val="24"/>
        </w:rPr>
        <w:instrText xml:space="preserve"> ADDIN ZOTERO_ITEM CSL_CITATION {"citationID":"ViFRud71","properties":{"formattedCitation":"(Siswanto &amp; Hamidah, 2019)","plainCitation":"(Siswanto &amp; Hamidah, 2019)","noteIndex":0},"citationItems":[{"id":498,"uris":["http://zotero.org/users/local/eLG7HXo0/items/PGQ6ABFB"],"uri":["http://zotero.org/users/local/eLG7HXo0/items/PGQ6ABFB"],"itemData":{"id":498,"type":"paper-conference","abstract":"Peta merupakan kebutuhan utama dalam melaksanakan perencanaan pembangunan, tidak terkecuali dalam bidang transportasi. Kementerian Perhubungan mempunyai tugas untuk menghubungkan tiap wilayah di Negara Kesatuan Republik Indonesia baik dengan moda darat, laut maupun udara. Peta dapat membuat perencanaan pembangunan prasarana di masing-masing titik menjadi lebih optimal dan efisien. Pembuatan peta yang tidak sesuai standar mengakibatkan peta yang dihasilkan tidak dapat diberbagipakaikan dengan kementerian/lembaga lain yang juga membutuhkan. Kebijakan Satu Peta mendorong setiap Unit Produksi Peta tematik untuk menyamakan stadar yang digunakan, agar peta yang dihasilkan oleh tiap-tiap kementerian/lembaga dapat di overlay dengan instansi lainnya. Kementerian Perhubungan memilik enam peta tematik transportasi: 1) Sebaran bandara; 2) Sebaran Pelabuhan Umum; 3) Sebaran Tersus/TUKS; 4) Sebaran Pelabuhan Penyeberangan; 5) Sebaran Stasiun KA; dan 6) Jaringan rel KA. Verifikasi dilakukan pada masing-masing peta tematik tersebut. Penilaian dilihat dari perkembangan masing-masing peta tematik sebelum dan setelah diterbitkannya Kebijakan Satu Peta terutama dari kualitas data sesuai dengan standar minimal agar peta tematik yang dihasilkan dapat diberbagipakaikan. Diakhir penulisan ini ditemukan bahwa terdapat banyak peningkatan setelah diadakan Kebijakan Satu Peta yang mendorong terciptanya pembangunan yang lebih baik.","container-title":"Seminar Nasional Geomatika","DOI":"10.24895/SNG.2018.3-0.935","page":"117","source":"ResearchGate","title":"Perkembangan Informasi Geospasial Tematik tema transportasi setelah penetapan kebijakan satu peta (studi kasus tematik kementerian perhubungan)","volume":"3","author":[{"family":"Siswanto","given":"Firdaus"},{"family":"Hamidah","given":"Ilda"}],"issued":{"date-parts":[["2019"]]}}}],"schema":"https://github.com/citation-style-language/schema/raw/master/csl-citation.json"} </w:instrText>
      </w:r>
      <w:r w:rsidRPr="00C86F7B">
        <w:rPr>
          <w:rFonts w:asciiTheme="majorBidi" w:hAnsiTheme="majorBidi" w:cstheme="majorBidi"/>
          <w:sz w:val="24"/>
          <w:szCs w:val="24"/>
        </w:rPr>
        <w:fldChar w:fldCharType="separate"/>
      </w:r>
      <w:r w:rsidRPr="00C86F7B">
        <w:rPr>
          <w:rFonts w:asciiTheme="majorBidi" w:hAnsiTheme="majorBidi" w:cstheme="majorBidi"/>
          <w:sz w:val="24"/>
          <w:szCs w:val="24"/>
        </w:rPr>
        <w:t>(Siswanto &amp; Hamidah, 2019)</w:t>
      </w:r>
      <w:r w:rsidRPr="00C86F7B">
        <w:rPr>
          <w:rFonts w:asciiTheme="majorBidi" w:hAnsiTheme="majorBidi" w:cstheme="majorBidi"/>
          <w:sz w:val="24"/>
          <w:szCs w:val="24"/>
        </w:rPr>
        <w:fldChar w:fldCharType="end"/>
      </w:r>
      <w:r w:rsidRPr="00C86F7B">
        <w:rPr>
          <w:rFonts w:asciiTheme="majorBidi" w:hAnsiTheme="majorBidi" w:cstheme="majorBidi"/>
          <w:sz w:val="24"/>
          <w:szCs w:val="24"/>
        </w:rPr>
        <w:t>. Currently, the availability of competent human-resources in the</w:t>
      </w:r>
      <w:r w:rsidR="00975AB8" w:rsidRPr="00C86F7B">
        <w:rPr>
          <w:rFonts w:asciiTheme="majorBidi" w:hAnsiTheme="majorBidi" w:cstheme="majorBidi"/>
          <w:sz w:val="24"/>
          <w:szCs w:val="24"/>
        </w:rPr>
        <w:t xml:space="preserve"> </w:t>
      </w:r>
      <w:r w:rsidRPr="00C86F7B">
        <w:rPr>
          <w:rFonts w:asciiTheme="majorBidi" w:hAnsiTheme="majorBidi" w:cstheme="majorBidi"/>
          <w:sz w:val="24"/>
          <w:szCs w:val="24"/>
        </w:rPr>
        <w:t xml:space="preserve">geospatial field is still lacking. The geospatial field must </w:t>
      </w:r>
      <w:r w:rsidR="00EE34D9" w:rsidRPr="00C86F7B">
        <w:rPr>
          <w:rFonts w:asciiTheme="majorBidi" w:hAnsiTheme="majorBidi" w:cstheme="majorBidi"/>
          <w:sz w:val="24"/>
          <w:szCs w:val="24"/>
        </w:rPr>
        <w:t xml:space="preserve">have </w:t>
      </w:r>
      <w:r w:rsidRPr="00C86F7B">
        <w:rPr>
          <w:rFonts w:asciiTheme="majorBidi" w:hAnsiTheme="majorBidi" w:cstheme="majorBidi"/>
          <w:sz w:val="24"/>
          <w:szCs w:val="24"/>
        </w:rPr>
        <w:t xml:space="preserve">competence in data acquisition, data processing, and presenting data in each task unit, which is </w:t>
      </w:r>
      <w:r w:rsidR="00EE34D9" w:rsidRPr="00C86F7B">
        <w:rPr>
          <w:rFonts w:asciiTheme="majorBidi" w:hAnsiTheme="majorBidi" w:cstheme="majorBidi"/>
          <w:sz w:val="24"/>
          <w:szCs w:val="24"/>
        </w:rPr>
        <w:t xml:space="preserve">necessary to ensure the proper management of regional potential </w:t>
      </w:r>
      <w:r w:rsidRPr="00C86F7B">
        <w:rPr>
          <w:rFonts w:asciiTheme="majorBidi" w:hAnsiTheme="majorBidi" w:cstheme="majorBidi"/>
          <w:sz w:val="24"/>
          <w:szCs w:val="24"/>
        </w:rPr>
        <w:t xml:space="preserve"> </w:t>
      </w:r>
      <w:r w:rsidRPr="00C86F7B">
        <w:rPr>
          <w:rFonts w:asciiTheme="majorBidi" w:hAnsiTheme="majorBidi" w:cstheme="majorBidi"/>
          <w:sz w:val="24"/>
          <w:szCs w:val="24"/>
        </w:rPr>
        <w:fldChar w:fldCharType="begin"/>
      </w:r>
      <w:r w:rsidR="00866384" w:rsidRPr="00C86F7B">
        <w:rPr>
          <w:rFonts w:asciiTheme="majorBidi" w:hAnsiTheme="majorBidi" w:cstheme="majorBidi"/>
          <w:sz w:val="24"/>
          <w:szCs w:val="24"/>
        </w:rPr>
        <w:instrText xml:space="preserve"> ADDIN ZOTERO_ITEM CSL_CITATION {"citationID":"nzBczNCC","properties":{"formattedCitation":"(T. Y. D. Putra et al., 2019; Smirnov, 2021)","plainCitation":"(T. Y. D. Putra et al., 2019; Smirnov, 2021)","dontUpdate":true,"noteIndex":0},"citationItems":[{"id":504,"uris":["http://zotero.org/users/local/eLG7HXo0/items/ATNGF9GU"],"uri":["http://zotero.org/users/local/eLG7HXo0/items/ATNGF9GU"],"itemData":{"id":504,"type":"article-journal","abstract":"Over the last 25 years, the potential benefits of sharing and reusing geographic information for national development programs have led many countries to establish their own national spatial data infrastructure (NSDI). Indonesia is among the early adopters; however, despite its early introduction of NSDI concepts, the implementation has encountered some difficulties. The main objective of this study is to understand the evolution of NSDI development in Indonesia and then develop strategic directions for future implementation. We first characterized periods of current NSDI development based on the use of technology and identified problems that have occurred. To understand the problems&amp;rsquo; causes, we conducted a stakeholder analysis utilizing questionnaire surveys. In addition, we analyzed cost components allocated for NSDI operation. The results showed that stakeholders&amp;rsquo; low participation was caused by insufficient technological, financial, and human resources to manage geographic information. Subsequently, a strengths-weaknesses-opportunities-threats analysis was conducted to determine proposed directions of the institutional and technical aspects. This research provides the framework for analyzing NSDI evolution in one country&amp;mdash;Indonesia. The proposed directions can be applied in other countries to ensure effective NSDI development and implementation.","container-title":"ISPRS International Journal of Geo-Information","DOI":"10.3390/ijgi8060263","issue":"6","language":"en","page":"263","source":"www.mdpi.com","title":"Toward the evolution of national spatial data infrastructure development in indonesia","volume":"8","author":[{"family":"Putra","given":"T Y D"},{"family":"Sekimoto","given":"Yoshihide"},{"family":"Shibasaki","given":"Ryosuke"}],"issued":{"date-parts":[["2019"]]}}},{"id":558,"uris":["http://zotero.org/users/local/eLG7HXo0/items/3QC7SVSN"],"uri":["http://zotero.org/users/local/eLG7HXo0/items/3QC7SVSN"],"itemData":{"id":558,"type":"article-journal","abstract":"The design is considered, involving the use of instrumental and analytical apparatus of GIS (geographic information systems) in order to provide monitoring and support for decision-making by government authorities. For these purposes, the basic models and methods for solving problems that arise before the administration of governing bodies have been analyzed. The design of a graphical-analytical model of a thematic layer of an electronic GIS map using a quadratomic tree is also described. A graph of conceptual-meaningful features and a graph diagram of the formation of graphic means for the design of signs are considered. The advantages and disadvantages of the quadratic tree model are described. In addition, the assessment of the temporal and capacitive complexity of information extraction, which is the main component of clarifying a clear algorithm for setting the problem during the functioning of the system being developed, is analyzed.","container-title":"IOP Conference Series: Earth and Environmental Science","DOI":"10.1088/1755-1315/839/3/032031","ISSN":"1755-1315","issue":"3","journalAbbreviation":"IOP Conf. Ser.: Earth Environ. Sci.","language":"en","note":"publisher: IOP Publishing","page":"032031","source":"Institute of Physics","title":"Design and application of a specialized information system for monitoring and decision support","volume":"839","author":[{"family":"Smirnov","given":"S. V."}],"issued":{"date-parts":[["2021"]]}}}],"schema":"https://github.com/citation-style-language/schema/raw/master/csl-citation.json"} </w:instrText>
      </w:r>
      <w:r w:rsidRPr="00C86F7B">
        <w:rPr>
          <w:rFonts w:asciiTheme="majorBidi" w:hAnsiTheme="majorBidi" w:cstheme="majorBidi"/>
          <w:sz w:val="24"/>
          <w:szCs w:val="24"/>
        </w:rPr>
        <w:fldChar w:fldCharType="separate"/>
      </w:r>
      <w:r w:rsidR="00975AB8" w:rsidRPr="00C86F7B">
        <w:rPr>
          <w:rFonts w:ascii="Times New Roman" w:hAnsi="Times New Roman" w:cs="Times New Roman"/>
          <w:sz w:val="24"/>
        </w:rPr>
        <w:t>(Putra et al., 2019; Smirnov, 2021)</w:t>
      </w:r>
      <w:r w:rsidRPr="00C86F7B">
        <w:rPr>
          <w:rFonts w:asciiTheme="majorBidi" w:hAnsiTheme="majorBidi" w:cstheme="majorBidi"/>
          <w:sz w:val="24"/>
          <w:szCs w:val="24"/>
        </w:rPr>
        <w:fldChar w:fldCharType="end"/>
      </w:r>
      <w:r w:rsidRPr="00C86F7B">
        <w:rPr>
          <w:rFonts w:asciiTheme="majorBidi" w:hAnsiTheme="majorBidi" w:cstheme="majorBidi"/>
          <w:sz w:val="24"/>
          <w:szCs w:val="24"/>
        </w:rPr>
        <w:t>.</w:t>
      </w:r>
    </w:p>
    <w:p w14:paraId="4F887A52" w14:textId="33EED268" w:rsidR="00384D14" w:rsidRPr="00C86F7B" w:rsidRDefault="00C86F7B" w:rsidP="00DC59C4">
      <w:pPr>
        <w:spacing w:after="0"/>
        <w:ind w:left="0" w:hanging="2"/>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384D14" w:rsidRPr="00C86F7B">
        <w:rPr>
          <w:rFonts w:asciiTheme="majorBidi" w:hAnsiTheme="majorBidi" w:cstheme="majorBidi"/>
          <w:sz w:val="24"/>
          <w:szCs w:val="24"/>
        </w:rPr>
        <w:t>GIS training is often a pragmatic choice for individuals and institutions to improve their knowledge and skills in the geospatial field. Based on previous research, GIS training has been carried out by various educational institutions and professionals have succeeded in improving spatial thinking and spatial skills</w:t>
      </w:r>
      <w:r w:rsidR="0091025D" w:rsidRPr="00C86F7B">
        <w:rPr>
          <w:rFonts w:asciiTheme="majorBidi" w:hAnsiTheme="majorBidi" w:cstheme="majorBidi"/>
          <w:sz w:val="24"/>
          <w:szCs w:val="24"/>
        </w:rPr>
        <w:t xml:space="preserve"> </w:t>
      </w:r>
      <w:r w:rsidR="0091025D" w:rsidRPr="00C86F7B">
        <w:rPr>
          <w:rFonts w:asciiTheme="majorBidi" w:hAnsiTheme="majorBidi" w:cstheme="majorBidi"/>
          <w:sz w:val="24"/>
          <w:szCs w:val="24"/>
        </w:rPr>
        <w:fldChar w:fldCharType="begin"/>
      </w:r>
      <w:r w:rsidR="0091025D" w:rsidRPr="00C86F7B">
        <w:rPr>
          <w:rFonts w:asciiTheme="majorBidi" w:hAnsiTheme="majorBidi" w:cstheme="majorBidi"/>
          <w:sz w:val="24"/>
          <w:szCs w:val="24"/>
        </w:rPr>
        <w:instrText xml:space="preserve"> ADDIN ZOTERO_ITEM CSL_CITATION {"citationID":"PnZwQ8fz","properties":{"formattedCitation":"(Romadlon et al., 2021)","plainCitation":"(Romadlon et al., 2021)","noteIndex":0},"citationItems":[{"id":560,"uris":["http://zotero.org/users/local/eLG7HXo0/items/9XVULFNT"],"uri":["http://zotero.org/users/local/eLG7HXo0/items/9XVULFNT"],"itemData":{"id":560,"type":"article-journal","abstract":"Developing students in geographic information technologies is the main reason for describing things like models and approaches, which is based on classroom learning and focus on theories of teaching and learning technical. This research used quasi experimental True Experimental Design model with pretest-posttest control group design and 45 students of 12th grades of MAS AL ISLAM in academic year 2018/2019 as the population. Purposive sampling with initial data values First Final Assessment were used based on 12th grades Social 1 as the control class and Social 2 as the experimental class. In the control class, GIS learning is applied conventionally while the experimental class is applied Learning Project Based Learning Model-GIS. The data method were analyzed by SPSS 16 software through observation, documentation, and testing STAT (pretest and posttest) with quantitative data analysis techniques. The results showed that the Project Based Learning Model Learning-GIS affecting spatial thinking abilities 12th grades Social 1 students by tests Independent Samples T-test posttest score STAT students who demonstrate the significant value of 0.02 (&lt;0.05). This is consistent with the study of theory about project-based learning model in GIS material as a model approach that is effective to increase the spatial analysis techniques.","container-title":"IOP Conference Series: Earth and Environmental Science","DOI":"10.1088/1755-1315/683/1/012045","journalAbbreviation":"IOP Conference Series: Earth and Environmental Science","page":"012045","source":"ResearchGate","title":"Effect of learning project model-based learning on GIS spatial thinking skills students","volume":"683","author":[{"family":"Romadlon","given":"R"},{"family":"Yusuf","given":"Y"},{"literal":"Sarwono"}],"issued":{"date-parts":[["2021"]]}}}],"schema":"https://github.com/citation-style-language/schema/raw/master/csl-citation.json"} </w:instrText>
      </w:r>
      <w:r w:rsidR="0091025D" w:rsidRPr="00C86F7B">
        <w:rPr>
          <w:rFonts w:asciiTheme="majorBidi" w:hAnsiTheme="majorBidi" w:cstheme="majorBidi"/>
          <w:sz w:val="24"/>
          <w:szCs w:val="24"/>
        </w:rPr>
        <w:fldChar w:fldCharType="separate"/>
      </w:r>
      <w:r w:rsidR="0091025D" w:rsidRPr="00C86F7B">
        <w:rPr>
          <w:rFonts w:ascii="Times New Roman" w:hAnsi="Times New Roman" w:cs="Times New Roman"/>
          <w:sz w:val="24"/>
        </w:rPr>
        <w:t>(Romadlon et al., 2021)</w:t>
      </w:r>
      <w:r w:rsidR="0091025D" w:rsidRPr="00C86F7B">
        <w:rPr>
          <w:rFonts w:asciiTheme="majorBidi" w:hAnsiTheme="majorBidi" w:cstheme="majorBidi"/>
          <w:sz w:val="24"/>
          <w:szCs w:val="24"/>
        </w:rPr>
        <w:fldChar w:fldCharType="end"/>
      </w:r>
      <w:r w:rsidR="00384D14" w:rsidRPr="00C86F7B">
        <w:rPr>
          <w:rFonts w:asciiTheme="majorBidi" w:hAnsiTheme="majorBidi" w:cstheme="majorBidi"/>
          <w:sz w:val="24"/>
          <w:szCs w:val="24"/>
        </w:rPr>
        <w:t xml:space="preserve">. This condition was observed from the changes in the test scores of participants that GIS learning helps spatial thinking. GIS training encourage a strong correlation between participants' spatial thinking and their achievements in geospatial skills </w:t>
      </w:r>
      <w:r w:rsidR="00384D14" w:rsidRPr="00C86F7B">
        <w:rPr>
          <w:rFonts w:asciiTheme="majorBidi" w:hAnsiTheme="majorBidi" w:cstheme="majorBidi"/>
          <w:sz w:val="24"/>
          <w:szCs w:val="24"/>
        </w:rPr>
        <w:fldChar w:fldCharType="begin"/>
      </w:r>
      <w:r w:rsidR="00384D14" w:rsidRPr="00C86F7B">
        <w:rPr>
          <w:rFonts w:asciiTheme="majorBidi" w:hAnsiTheme="majorBidi" w:cstheme="majorBidi"/>
          <w:sz w:val="24"/>
          <w:szCs w:val="24"/>
        </w:rPr>
        <w:instrText xml:space="preserve"> ADDIN ZOTERO_ITEM CSL_CITATION {"citationID":"fkyPVRcA","properties":{"formattedCitation":"(Lee &amp; Bednarz, 2009)","plainCitation":"(Lee &amp; Bednarz, 2009)","noteIndex":0},"citationItems":[{"id":471,"uris":["http://zotero.org/users/local/eLG7HXo0/items/U2BGEPWV"],"uri":["http://zotero.org/users/local/eLG7HXo0/items/U2BGEPWV"],"itemData":{"id":471,"type":"article-journal","abstract":"A spatial-skills test is used to examine the effect of GIS learning on the spatial thinking ability of college students. Eighty students at a large state university completed pre- and post- spatial-skills tests administered during the 2003 fall semester. Analysis of changes in the students' test scores revealed that GIS learning helped students think spatially. These improvements were the result of the connection between students' GIS activities and experiences and the tested spatial thinking skills. Strong correlations were observed between the participants' spatial thinking and their achievement in the GIS course.","container-title":"Journal of Geography in Higher Education","DOI":"10.1080/03098260802276714","ISSN":"0309-8265","issue":"2","page":"183-198","source":"Taylor and Francis+NEJM","title":"Effect of GIS learning on spatial thinking","volume":"33","author":[{"family":"Lee","given":"Jongwon"},{"family":"Bednarz","given":"Robert"}],"issued":{"date-parts":[["2009"]]}}}],"schema":"https://github.com/citation-style-language/schema/raw/master/csl-citation.json"} </w:instrText>
      </w:r>
      <w:r w:rsidR="00384D14" w:rsidRPr="00C86F7B">
        <w:rPr>
          <w:rFonts w:asciiTheme="majorBidi" w:hAnsiTheme="majorBidi" w:cstheme="majorBidi"/>
          <w:sz w:val="24"/>
          <w:szCs w:val="24"/>
        </w:rPr>
        <w:fldChar w:fldCharType="separate"/>
      </w:r>
      <w:r w:rsidR="00384D14" w:rsidRPr="00C86F7B">
        <w:rPr>
          <w:rFonts w:asciiTheme="majorBidi" w:hAnsiTheme="majorBidi" w:cstheme="majorBidi"/>
          <w:sz w:val="24"/>
          <w:szCs w:val="24"/>
        </w:rPr>
        <w:t>(Lee &amp; Bednarz, 2009)</w:t>
      </w:r>
      <w:r w:rsidR="00384D14" w:rsidRPr="00C86F7B">
        <w:rPr>
          <w:rFonts w:asciiTheme="majorBidi" w:hAnsiTheme="majorBidi" w:cstheme="majorBidi"/>
          <w:sz w:val="24"/>
          <w:szCs w:val="24"/>
        </w:rPr>
        <w:fldChar w:fldCharType="end"/>
      </w:r>
      <w:r w:rsidR="00384D14" w:rsidRPr="00C86F7B">
        <w:rPr>
          <w:rFonts w:asciiTheme="majorBidi" w:hAnsiTheme="majorBidi" w:cstheme="majorBidi"/>
          <w:sz w:val="24"/>
          <w:szCs w:val="24"/>
        </w:rPr>
        <w:t xml:space="preserve">. </w:t>
      </w:r>
      <w:r w:rsidR="00EE34D9" w:rsidRPr="00C86F7B">
        <w:rPr>
          <w:rFonts w:asciiTheme="majorBidi" w:hAnsiTheme="majorBidi" w:cstheme="majorBidi"/>
          <w:sz w:val="24"/>
          <w:szCs w:val="24"/>
        </w:rPr>
        <w:t>Through this training, the assessment can be done to measure the effectiveness of the adapted approach</w:t>
      </w:r>
      <w:r w:rsidR="00384D14" w:rsidRPr="00C86F7B">
        <w:rPr>
          <w:rFonts w:asciiTheme="majorBidi" w:hAnsiTheme="majorBidi" w:cstheme="majorBidi"/>
          <w:sz w:val="24"/>
          <w:szCs w:val="24"/>
        </w:rPr>
        <w:t xml:space="preserve">. GIS training can also provide an overview of appropriate steps in improving the system and curriculum </w:t>
      </w:r>
      <w:r w:rsidR="00384D14" w:rsidRPr="00C86F7B">
        <w:rPr>
          <w:rFonts w:asciiTheme="majorBidi" w:hAnsiTheme="majorBidi" w:cstheme="majorBidi"/>
          <w:sz w:val="24"/>
          <w:szCs w:val="24"/>
        </w:rPr>
        <w:fldChar w:fldCharType="begin"/>
      </w:r>
      <w:r w:rsidR="00384D14" w:rsidRPr="00C86F7B">
        <w:rPr>
          <w:rFonts w:asciiTheme="majorBidi" w:hAnsiTheme="majorBidi" w:cstheme="majorBidi"/>
          <w:sz w:val="24"/>
          <w:szCs w:val="24"/>
        </w:rPr>
        <w:instrText xml:space="preserve"> ADDIN ZOTERO_ITEM CSL_CITATION {"citationID":"0BoGXTIH","properties":{"formattedCitation":"(Ciolli et al., 2017)","plainCitation":"(Ciolli et al., 2017)","noteIndex":0},"citationItems":[{"id":411,"uris":["http://zotero.org/users/local/eLG7HXo0/items/MLIZHZCS"],"uri":["http://zotero.org/users/local/eLG7HXo0/items/MLIZHZCS"],"itemData":{"id":411,"type":"article-journal","abstract":"While the theory and implementation of geographic information systems (GIS) have a history of more than 50 years, the development of dedicated educational tools and applications in this field is more recent. This paper presents a free and open source software (FOSS) approach for education in the geospatial disciplines, which has been used over the last 20 years at two Italian universities. The motivations behind the choice of FOSS are discussed with respect to software availability and development, as well as educational material licensing. Following this philosophy, a wide range of educational tools have been developed, covering topics from numerical cartography and GIS principles to the specifics regarding different systems for the management and analysis of spatial data. Various courses have been implemented for diverse recipients, ranging from professional training workshops to PhD courses. Feedback from the students of those courses provides an invaluable assessment of the effectiveness of the approach, supplying at the same time directions for further improvement. Finally, lessons learned after 20 years are discussed, highlighting how the management of educational materials can be difficult even with a very open approach to licensing. Overall, the use of free and open source software for geospatial (FOSS4G) science provides a clear advantage over other approaches, not only simplifying software and data management, but also ensuring that all of the information related to system design and implementation is available.","container-title":"ISPRS International Journal of Geo-Information","DOI":"10.3390/ijgi6070225","issue":"7","language":"en","page":"225","source":"www.mdpi.com","title":"FOSS Tools and Applications for Education in Geospatial Sciences","volume":"6","author":[{"family":"Ciolli","given":"Marco"},{"family":"Federici","given":"Bianca"},{"family":"Ferrando","given":"Ilaria"},{"family":"Marzocchi","given":"Roberto"},{"family":"Sguerso","given":"Domenico"},{"family":"Tattoni","given":"Clara"},{"family":"Vitti","given":"Alfonso"},{"family":"Zatelli","given":"Paolo"}],"issued":{"date-parts":[["2017"]]}}}],"schema":"https://github.com/citation-style-language/schema/raw/master/csl-citation.json"} </w:instrText>
      </w:r>
      <w:r w:rsidR="00384D14" w:rsidRPr="00C86F7B">
        <w:rPr>
          <w:rFonts w:asciiTheme="majorBidi" w:hAnsiTheme="majorBidi" w:cstheme="majorBidi"/>
          <w:sz w:val="24"/>
          <w:szCs w:val="24"/>
        </w:rPr>
        <w:fldChar w:fldCharType="separate"/>
      </w:r>
      <w:r w:rsidR="00384D14" w:rsidRPr="00C86F7B">
        <w:rPr>
          <w:rFonts w:asciiTheme="majorBidi" w:hAnsiTheme="majorBidi" w:cstheme="majorBidi"/>
          <w:sz w:val="24"/>
          <w:szCs w:val="24"/>
        </w:rPr>
        <w:t>(Ciolli et al., 2017)</w:t>
      </w:r>
      <w:r w:rsidR="00384D14" w:rsidRPr="00C86F7B">
        <w:rPr>
          <w:rFonts w:asciiTheme="majorBidi" w:hAnsiTheme="majorBidi" w:cstheme="majorBidi"/>
          <w:sz w:val="24"/>
          <w:szCs w:val="24"/>
        </w:rPr>
        <w:fldChar w:fldCharType="end"/>
      </w:r>
      <w:r w:rsidR="00384D14" w:rsidRPr="00C86F7B">
        <w:rPr>
          <w:rFonts w:asciiTheme="majorBidi" w:hAnsiTheme="majorBidi" w:cstheme="majorBidi"/>
          <w:sz w:val="24"/>
          <w:szCs w:val="24"/>
        </w:rPr>
        <w:t xml:space="preserve">. </w:t>
      </w:r>
      <w:r w:rsidR="00F1736F" w:rsidRPr="00C86F7B">
        <w:rPr>
          <w:rFonts w:asciiTheme="majorBidi" w:hAnsiTheme="majorBidi" w:cstheme="majorBidi"/>
          <w:sz w:val="24"/>
          <w:szCs w:val="24"/>
        </w:rPr>
        <w:t>Besides human resources, we have another constraint related to geospatial software which is not affordable</w:t>
      </w:r>
      <w:r w:rsidR="00384D14" w:rsidRPr="00C86F7B">
        <w:rPr>
          <w:rFonts w:asciiTheme="majorBidi" w:hAnsiTheme="majorBidi" w:cstheme="majorBidi"/>
          <w:sz w:val="24"/>
          <w:szCs w:val="24"/>
        </w:rPr>
        <w:t xml:space="preserve">. Quantum GIS (QGIS) is one of the free and open source software (FOSS-GIS) which has many advantages including </w:t>
      </w:r>
      <w:r w:rsidR="002019E0" w:rsidRPr="00C86F7B">
        <w:rPr>
          <w:rFonts w:asciiTheme="majorBidi" w:hAnsiTheme="majorBidi" w:cstheme="majorBidi"/>
          <w:sz w:val="24"/>
          <w:szCs w:val="24"/>
        </w:rPr>
        <w:t>user-friendly</w:t>
      </w:r>
      <w:r w:rsidR="00384D14" w:rsidRPr="00C86F7B">
        <w:rPr>
          <w:rFonts w:asciiTheme="majorBidi" w:hAnsiTheme="majorBidi" w:cstheme="majorBidi"/>
          <w:sz w:val="24"/>
          <w:szCs w:val="24"/>
        </w:rPr>
        <w:t xml:space="preserve">, complete features and provides results </w:t>
      </w:r>
      <w:r w:rsidR="002019E0" w:rsidRPr="00C86F7B">
        <w:rPr>
          <w:rFonts w:asciiTheme="majorBidi" w:hAnsiTheme="majorBidi" w:cstheme="majorBidi"/>
          <w:sz w:val="24"/>
          <w:szCs w:val="24"/>
        </w:rPr>
        <w:t xml:space="preserve">equivalent to </w:t>
      </w:r>
      <w:r w:rsidR="00B508EE" w:rsidRPr="00C86F7B">
        <w:rPr>
          <w:rFonts w:asciiTheme="majorBidi" w:hAnsiTheme="majorBidi" w:cstheme="majorBidi"/>
          <w:sz w:val="24"/>
          <w:szCs w:val="24"/>
        </w:rPr>
        <w:t xml:space="preserve">the </w:t>
      </w:r>
      <w:r w:rsidR="002019E0" w:rsidRPr="00C86F7B">
        <w:rPr>
          <w:rFonts w:asciiTheme="majorBidi" w:hAnsiTheme="majorBidi" w:cstheme="majorBidi"/>
          <w:sz w:val="24"/>
          <w:szCs w:val="24"/>
        </w:rPr>
        <w:t xml:space="preserve">quality of </w:t>
      </w:r>
      <w:r w:rsidR="00384D14" w:rsidRPr="00C86F7B">
        <w:rPr>
          <w:rFonts w:asciiTheme="majorBidi" w:hAnsiTheme="majorBidi" w:cstheme="majorBidi"/>
          <w:sz w:val="24"/>
          <w:szCs w:val="24"/>
        </w:rPr>
        <w:t>paid applications for vector and raster data analysis</w:t>
      </w:r>
      <w:r w:rsidR="008E12E9" w:rsidRPr="00C86F7B">
        <w:rPr>
          <w:rFonts w:asciiTheme="majorBidi" w:hAnsiTheme="majorBidi" w:cstheme="majorBidi"/>
          <w:sz w:val="24"/>
          <w:szCs w:val="24"/>
        </w:rPr>
        <w:t xml:space="preserve"> </w:t>
      </w:r>
      <w:r w:rsidR="00384D14" w:rsidRPr="00C86F7B">
        <w:rPr>
          <w:rFonts w:asciiTheme="majorBidi" w:hAnsiTheme="majorBidi" w:cstheme="majorBidi"/>
          <w:sz w:val="24"/>
          <w:szCs w:val="24"/>
        </w:rPr>
        <w:fldChar w:fldCharType="begin"/>
      </w:r>
      <w:r w:rsidR="00384D14" w:rsidRPr="00C86F7B">
        <w:rPr>
          <w:rFonts w:asciiTheme="majorBidi" w:hAnsiTheme="majorBidi" w:cstheme="majorBidi"/>
          <w:sz w:val="24"/>
          <w:szCs w:val="24"/>
        </w:rPr>
        <w:instrText xml:space="preserve"> ADDIN ZOTERO_ITEM CSL_CITATION {"citationID":"Tgr0L8u2","properties":{"formattedCitation":"(Flenniken et al., 2020)","plainCitation":"(Flenniken et al., 2020)","noteIndex":0},"citationItems":[{"id":393,"uris":["http://zotero.org/users/local/eLG7HXo0/items/DB3XWMDC"],"uri":["http://zotero.org/users/local/eLG7HXo0/items/DB3XWMDC"],"itemData":{"id":393,"type":"article-journal","abstract":"Geographic information system (GIS) software packages can be prohibitively expensive, causing many to shy away from mapping and spatial analysis. In this fact sheet, we introduce the reader to a free GIS software package called Quantum GIS (QGIS). We illustrate the utility of this package by walking the reader through simple GIS processes that can be used to visualize spatial patterns of importance to a variety of fields, including natural resources, agriculture, and urban planning, to name but a few. The reader will learn how to create a land-cover map for a county of interest (Alachua County for this example) and create heatmaps that illustrate the density of a given attribute (Florida Springs for this example). This document will benefit those interested in incorporating GIS into their work but who are unable to afford expensive proprietary GIS software packages, as well as anyone interested in learning a new GIS software package.","container-title":"EDIS","DOI":"10.32473/edis-fr428-2020","ISSN":"2576-0009","issue":"2","language":"en","page":"7","source":"DOI Content Negotiation","title":"Quantum GIS (QGIS): An introduction to a free alternative to more costly GIS platforms","title-short":"Quantum GIS (QGIS)","volume":"2020","author":[{"family":"Flenniken","given":"Jeffry M."},{"family":"Stuglik","given":"Steven"},{"family":"Iannone","given":"Basil V."}],"issued":{"date-parts":[["2020"]]}}}],"schema":"https://github.com/citation-style-language/schema/raw/master/csl-citation.json"} </w:instrText>
      </w:r>
      <w:r w:rsidR="00384D14" w:rsidRPr="00C86F7B">
        <w:rPr>
          <w:rFonts w:asciiTheme="majorBidi" w:hAnsiTheme="majorBidi" w:cstheme="majorBidi"/>
          <w:sz w:val="24"/>
          <w:szCs w:val="24"/>
        </w:rPr>
        <w:fldChar w:fldCharType="separate"/>
      </w:r>
      <w:r w:rsidR="00384D14" w:rsidRPr="00C86F7B">
        <w:rPr>
          <w:rFonts w:asciiTheme="majorBidi" w:hAnsiTheme="majorBidi" w:cstheme="majorBidi"/>
          <w:sz w:val="24"/>
          <w:szCs w:val="24"/>
        </w:rPr>
        <w:t>(Flenniken et al., 2020)</w:t>
      </w:r>
      <w:r w:rsidR="00384D14" w:rsidRPr="00C86F7B">
        <w:rPr>
          <w:rFonts w:asciiTheme="majorBidi" w:hAnsiTheme="majorBidi" w:cstheme="majorBidi"/>
          <w:sz w:val="24"/>
          <w:szCs w:val="24"/>
        </w:rPr>
        <w:fldChar w:fldCharType="end"/>
      </w:r>
      <w:r w:rsidR="00384D14" w:rsidRPr="00C86F7B">
        <w:rPr>
          <w:rFonts w:asciiTheme="majorBidi" w:hAnsiTheme="majorBidi" w:cstheme="majorBidi"/>
          <w:sz w:val="24"/>
          <w:szCs w:val="24"/>
        </w:rPr>
        <w:t>. The use of FOSS-GIS in GIS</w:t>
      </w:r>
      <w:r w:rsidR="00384D14" w:rsidRPr="00DD4419">
        <w:rPr>
          <w:rFonts w:asciiTheme="majorBidi" w:hAnsiTheme="majorBidi" w:cstheme="majorBidi"/>
          <w:sz w:val="24"/>
          <w:szCs w:val="24"/>
        </w:rPr>
        <w:t xml:space="preserve"> training can be the best solution to gain geospatial knowledge and skills that is inexpensive, reliable and effective. The use of FOSS-GIS is problematic for those who are previously familiar with the</w:t>
      </w:r>
      <w:r w:rsidR="00920F9C" w:rsidRPr="00DD4419">
        <w:rPr>
          <w:rFonts w:asciiTheme="majorBidi" w:hAnsiTheme="majorBidi" w:cstheme="majorBidi"/>
          <w:sz w:val="24"/>
          <w:szCs w:val="24"/>
        </w:rPr>
        <w:t xml:space="preserve"> subscribed geospatial software</w:t>
      </w:r>
      <w:r w:rsidR="00384D14" w:rsidRPr="00DD4419">
        <w:rPr>
          <w:rFonts w:asciiTheme="majorBidi" w:hAnsiTheme="majorBidi" w:cstheme="majorBidi"/>
          <w:sz w:val="24"/>
          <w:szCs w:val="24"/>
        </w:rPr>
        <w:t xml:space="preserve">, even though the application is obtained under an illegal </w:t>
      </w:r>
      <w:r w:rsidR="00384D14" w:rsidRPr="00C86F7B">
        <w:rPr>
          <w:rFonts w:asciiTheme="majorBidi" w:hAnsiTheme="majorBidi" w:cstheme="majorBidi"/>
          <w:sz w:val="24"/>
          <w:szCs w:val="24"/>
        </w:rPr>
        <w:t xml:space="preserve">license </w:t>
      </w:r>
      <w:r w:rsidR="00384D14" w:rsidRPr="00C86F7B">
        <w:rPr>
          <w:rFonts w:asciiTheme="majorBidi" w:hAnsiTheme="majorBidi" w:cstheme="majorBidi"/>
          <w:sz w:val="24"/>
          <w:szCs w:val="24"/>
        </w:rPr>
        <w:fldChar w:fldCharType="begin"/>
      </w:r>
      <w:r w:rsidR="00384D14" w:rsidRPr="00C86F7B">
        <w:rPr>
          <w:rFonts w:asciiTheme="majorBidi" w:hAnsiTheme="majorBidi" w:cstheme="majorBidi"/>
          <w:sz w:val="24"/>
          <w:szCs w:val="24"/>
        </w:rPr>
        <w:instrText xml:space="preserve"> ADDIN ZOTERO_ITEM CSL_CITATION {"citationID":"7fumqCzK","properties":{"formattedCitation":"(Mattivi et al., 2019; Maurya et al., 2015)","plainCitation":"(Mattivi et al., 2019; Maurya et al., 2015)","noteIndex":0},"citationItems":[{"id":523,"uris":["http://zotero.org/users/local/eLG7HXo0/items/RK6FUA6N"],"uri":["http://zotero.org/users/local/eLG7HXo0/items/RK6FUA6N"],"itemData":{"id":523,"type":"article-journal","abstract":"The opportunities of retrieving geospatial datasets as open data and the reliability of Free and Open Source Software (FOSS) GIS increased the possibilities of performing a large number of geospatial analyses. In particular, the worldwide availability of Digital Elevation Model (DEM) permits to compute several topographic indexes able to characterize the land morphology.\nIn this paper, we evaluate the performances of different open source GIS in the calculation of the Topographic Wetness Index (TWI), a widespread index in hydrological analysis that describes the tendency of an area to accumulate water. Nowadays, there is a large number of available open source desktop GIS, maintained as FOSS projects, each of them focusing on developing specific goals. Therefore, from user point of view, the choice of the best software in solving a particular task is influenced by the GIS specific features.\nThe test was performed computing the TWI for the Rio Sinigo basin, in northern Italy. The DEM of the test area has been processed with GRASS GIS, Whitebox GAT and SAGA GIS. In order to identify equal workflows, all the combinations of available algorithms and parameters have been studied for each considered GIS. The final TWI maps produced as output were compared and discussed.","container-title":"Open Geospatial Data, Software and Standards","DOI":"10.1186/s40965-019-0066-y","journalAbbreviation":"Open Geospatial Data, Software and Standards","page":"6","source":"ResearchGate","title":"TWI computation: a comparison of different open source GISs","title-short":"TWI computation","volume":"4","author":[{"family":"Mattivi","given":"Pietro"},{"family":"Franci","given":"Francesca"},{"family":"Lambertini","given":"Alessandro"},{"family":"Bitelli","given":"Gabriele"}],"issued":{"date-parts":[["2019"]]}}},{"id":414,"uris":["http://zotero.org/users/local/eLG7HXo0/items/WQ4AEAWP"],"uri":["http://zotero.org/users/local/eLG7HXo0/items/WQ4AEAWP"],"itemData":{"id":414,"type":"paper-conference","abstract":"Open source software is computer software that can be freely used, changed, and distribute by anyone. Open source software is made by many people or organizations and distributed under licenses that comply with the Open Source Definition. Recently open source software start playing vital role in industry, academics and research. In last few decades, field of GIS has witnessed a very high growth rate and is encompassed with various proprietary and open source GIS software. In this paper we will explore open source GIS software and present an analysis of open source software against the proprietary software available for GIS. Strengths, weaknesses and future scope of open source GIS software will be discussed in detail. In the last, salient comparison between two most popular proprietary and open source GIS software namely ArcGIS and QGIS will be done.","event":"National Conference on Open Source GIS: Opportunities and Challenges","source":"ResearchGate","title":"Open Source GIS: A Review","title-short":"Open Source GIS","author":[{"family":"Maurya","given":"Satya"},{"family":"Ohri","given":"Anurag"},{"family":"Mishra","given":"Sachin"}],"issued":{"date-parts":[["2015"]]}}}],"schema":"https://github.com/citation-style-language/schema/raw/master/csl-citation.json"} </w:instrText>
      </w:r>
      <w:r w:rsidR="00384D14" w:rsidRPr="00C86F7B">
        <w:rPr>
          <w:rFonts w:asciiTheme="majorBidi" w:hAnsiTheme="majorBidi" w:cstheme="majorBidi"/>
          <w:sz w:val="24"/>
          <w:szCs w:val="24"/>
        </w:rPr>
        <w:fldChar w:fldCharType="separate"/>
      </w:r>
      <w:r w:rsidR="00384D14" w:rsidRPr="00C86F7B">
        <w:rPr>
          <w:rFonts w:asciiTheme="majorBidi" w:hAnsiTheme="majorBidi" w:cstheme="majorBidi"/>
          <w:sz w:val="24"/>
          <w:szCs w:val="24"/>
        </w:rPr>
        <w:t>(Mattivi et al., 2019; Maurya et al., 2015)</w:t>
      </w:r>
      <w:r w:rsidR="00384D14" w:rsidRPr="00C86F7B">
        <w:rPr>
          <w:rFonts w:asciiTheme="majorBidi" w:hAnsiTheme="majorBidi" w:cstheme="majorBidi"/>
          <w:sz w:val="24"/>
          <w:szCs w:val="24"/>
        </w:rPr>
        <w:fldChar w:fldCharType="end"/>
      </w:r>
      <w:r w:rsidR="00384D14" w:rsidRPr="00C86F7B">
        <w:rPr>
          <w:rFonts w:asciiTheme="majorBidi" w:hAnsiTheme="majorBidi" w:cstheme="majorBidi"/>
          <w:sz w:val="24"/>
          <w:szCs w:val="24"/>
        </w:rPr>
        <w:t>.</w:t>
      </w:r>
      <w:r w:rsidR="00384D14" w:rsidRPr="00C86F7B">
        <w:rPr>
          <w:sz w:val="24"/>
          <w:szCs w:val="24"/>
        </w:rPr>
        <w:t xml:space="preserve"> </w:t>
      </w:r>
      <w:r w:rsidR="00384D14" w:rsidRPr="00C86F7B">
        <w:rPr>
          <w:rFonts w:asciiTheme="majorBidi" w:hAnsiTheme="majorBidi" w:cstheme="majorBidi"/>
          <w:sz w:val="24"/>
          <w:szCs w:val="24"/>
        </w:rPr>
        <w:t>Therefore, FOSS-GIS should be intensified so that the pra</w:t>
      </w:r>
      <w:r w:rsidR="00920F9C" w:rsidRPr="00C86F7B">
        <w:rPr>
          <w:rFonts w:asciiTheme="majorBidi" w:hAnsiTheme="majorBidi" w:cstheme="majorBidi"/>
          <w:sz w:val="24"/>
          <w:szCs w:val="24"/>
        </w:rPr>
        <w:t>ctice of using pirated software</w:t>
      </w:r>
      <w:r w:rsidR="00384D14" w:rsidRPr="00C86F7B">
        <w:rPr>
          <w:rFonts w:asciiTheme="majorBidi" w:hAnsiTheme="majorBidi" w:cstheme="majorBidi"/>
          <w:sz w:val="24"/>
          <w:szCs w:val="24"/>
        </w:rPr>
        <w:t xml:space="preserve"> is no</w:t>
      </w:r>
      <w:r w:rsidR="00920F9C" w:rsidRPr="00C86F7B">
        <w:rPr>
          <w:rFonts w:asciiTheme="majorBidi" w:hAnsiTheme="majorBidi" w:cstheme="majorBidi"/>
          <w:sz w:val="24"/>
          <w:szCs w:val="24"/>
        </w:rPr>
        <w:t xml:space="preserve"> longer used. </w:t>
      </w:r>
    </w:p>
    <w:p w14:paraId="41C9727B" w14:textId="0CC1294A" w:rsidR="00E67EE2" w:rsidRDefault="00C86F7B" w:rsidP="00C86F7B">
      <w:pPr>
        <w:spacing w:after="0" w:line="240" w:lineRule="auto"/>
        <w:ind w:left="0" w:hanging="2"/>
        <w:jc w:val="both"/>
        <w:rPr>
          <w:rFonts w:asciiTheme="majorBidi" w:hAnsiTheme="majorBidi" w:cstheme="majorBidi"/>
          <w:sz w:val="24"/>
          <w:szCs w:val="24"/>
        </w:rPr>
      </w:pPr>
      <w:r w:rsidRPr="00C86F7B">
        <w:rPr>
          <w:rFonts w:asciiTheme="majorBidi" w:hAnsiTheme="majorBidi" w:cstheme="majorBidi"/>
          <w:sz w:val="24"/>
          <w:szCs w:val="24"/>
        </w:rPr>
        <w:tab/>
      </w:r>
      <w:r w:rsidRPr="00C86F7B">
        <w:rPr>
          <w:rFonts w:asciiTheme="majorBidi" w:hAnsiTheme="majorBidi" w:cstheme="majorBidi"/>
          <w:sz w:val="24"/>
          <w:szCs w:val="24"/>
        </w:rPr>
        <w:tab/>
      </w:r>
      <w:r w:rsidR="00384D14" w:rsidRPr="00C86F7B">
        <w:rPr>
          <w:rFonts w:asciiTheme="majorBidi" w:hAnsiTheme="majorBidi" w:cstheme="majorBidi"/>
          <w:sz w:val="24"/>
          <w:szCs w:val="24"/>
        </w:rPr>
        <w:t xml:space="preserve">This study aims to analyze the effect of FOSS-GIS training on spatial knowledge and skills. We also measured the spatial habits of the participants before they participated in this training, both from visualization, interpretation, and application of geospatial information in everyday life. The subjects of this FOSS-GIS training came from employees in the </w:t>
      </w:r>
      <w:proofErr w:type="spellStart"/>
      <w:r w:rsidR="00384D14" w:rsidRPr="00C86F7B">
        <w:rPr>
          <w:rFonts w:asciiTheme="majorBidi" w:hAnsiTheme="majorBidi" w:cstheme="majorBidi"/>
          <w:sz w:val="24"/>
          <w:szCs w:val="24"/>
        </w:rPr>
        <w:t>Pangandaran</w:t>
      </w:r>
      <w:proofErr w:type="spellEnd"/>
      <w:r w:rsidR="00384D14" w:rsidRPr="00C86F7B">
        <w:rPr>
          <w:rFonts w:asciiTheme="majorBidi" w:hAnsiTheme="majorBidi" w:cstheme="majorBidi"/>
          <w:sz w:val="24"/>
          <w:szCs w:val="24"/>
        </w:rPr>
        <w:t xml:space="preserve"> Regency government. This area is one of the district/city-level administrations in Indonesia that requires attention from higher education stakeholders in the spatial field </w:t>
      </w:r>
      <w:r w:rsidR="00384D14" w:rsidRPr="00C86F7B">
        <w:rPr>
          <w:rFonts w:asciiTheme="majorBidi" w:hAnsiTheme="majorBidi" w:cstheme="majorBidi"/>
          <w:sz w:val="24"/>
          <w:szCs w:val="24"/>
        </w:rPr>
        <w:fldChar w:fldCharType="begin"/>
      </w:r>
      <w:r w:rsidR="00384D14" w:rsidRPr="00C86F7B">
        <w:rPr>
          <w:rFonts w:asciiTheme="majorBidi" w:hAnsiTheme="majorBidi" w:cstheme="majorBidi"/>
          <w:sz w:val="24"/>
          <w:szCs w:val="24"/>
        </w:rPr>
        <w:instrText xml:space="preserve"> ADDIN ZOTERO_ITEM CSL_CITATION {"citationID":"Vzv0teuh","properties":{"formattedCitation":"(ICMA, 2017)","plainCitation":"(ICMA, 2017)","noteIndex":0},"citationItems":[{"id":539,"uris":["http://zotero.org/users/local/eLG7HXo0/items/BBWZSC5X"],"uri":["http://zotero.org/users/local/eLG7HXo0/items/BBWZSC5X"],"itemData":{"id":539,"type":"report","publisher":"The International City/County Management Association","title":"A guide for smart communities: using GIS technology for local government management","author":[{"family":"ICMA","given":""}],"issued":{"date-parts":[["2017"]]}}}],"schema":"https://github.com/citation-style-language/schema/raw/master/csl-citation.json"} </w:instrText>
      </w:r>
      <w:r w:rsidR="00384D14" w:rsidRPr="00C86F7B">
        <w:rPr>
          <w:rFonts w:asciiTheme="majorBidi" w:hAnsiTheme="majorBidi" w:cstheme="majorBidi"/>
          <w:sz w:val="24"/>
          <w:szCs w:val="24"/>
        </w:rPr>
        <w:fldChar w:fldCharType="separate"/>
      </w:r>
      <w:r w:rsidR="00384D14" w:rsidRPr="00C86F7B">
        <w:rPr>
          <w:rFonts w:asciiTheme="majorBidi" w:hAnsiTheme="majorBidi" w:cstheme="majorBidi"/>
          <w:sz w:val="24"/>
          <w:szCs w:val="24"/>
        </w:rPr>
        <w:t>(ICMA, 2017)</w:t>
      </w:r>
      <w:r w:rsidR="00384D14" w:rsidRPr="00C86F7B">
        <w:rPr>
          <w:rFonts w:asciiTheme="majorBidi" w:hAnsiTheme="majorBidi" w:cstheme="majorBidi"/>
          <w:sz w:val="24"/>
          <w:szCs w:val="24"/>
        </w:rPr>
        <w:fldChar w:fldCharType="end"/>
      </w:r>
      <w:r w:rsidR="00384D14" w:rsidRPr="00C86F7B">
        <w:rPr>
          <w:rFonts w:asciiTheme="majorBidi" w:hAnsiTheme="majorBidi" w:cstheme="majorBidi"/>
          <w:sz w:val="24"/>
          <w:szCs w:val="24"/>
        </w:rPr>
        <w:t>. Our FOSS-GIS training is presented as the community service and empowerment programs.</w:t>
      </w:r>
    </w:p>
    <w:p w14:paraId="6959A9A9" w14:textId="2FCEB7EC" w:rsidR="00C86F7B" w:rsidRDefault="00C86F7B" w:rsidP="00C86F7B">
      <w:pPr>
        <w:spacing w:after="0" w:line="240" w:lineRule="auto"/>
        <w:ind w:left="0" w:hanging="2"/>
        <w:jc w:val="both"/>
        <w:rPr>
          <w:rFonts w:asciiTheme="majorBidi" w:hAnsiTheme="majorBidi" w:cstheme="majorBidi"/>
          <w:sz w:val="24"/>
          <w:szCs w:val="24"/>
        </w:rPr>
      </w:pPr>
    </w:p>
    <w:p w14:paraId="2872B86B" w14:textId="77777777" w:rsidR="00C86F7B" w:rsidRPr="00C86F7B" w:rsidRDefault="00C86F7B" w:rsidP="00C86F7B">
      <w:pPr>
        <w:spacing w:after="0" w:line="240" w:lineRule="auto"/>
        <w:ind w:left="0" w:hanging="2"/>
        <w:jc w:val="both"/>
        <w:rPr>
          <w:rFonts w:asciiTheme="majorBidi" w:hAnsiTheme="majorBidi" w:cstheme="majorBidi"/>
          <w:sz w:val="24"/>
          <w:szCs w:val="24"/>
        </w:rPr>
      </w:pPr>
    </w:p>
    <w:p w14:paraId="6839B897" w14:textId="77777777" w:rsidR="00E67EE2" w:rsidRPr="00DD4419" w:rsidRDefault="00986FD0"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D4419">
        <w:rPr>
          <w:rFonts w:ascii="Times New Roman" w:eastAsia="Times New Roman" w:hAnsi="Times New Roman" w:cs="Times New Roman"/>
          <w:b/>
          <w:color w:val="000000"/>
          <w:sz w:val="24"/>
          <w:szCs w:val="24"/>
        </w:rPr>
        <w:t>Method</w:t>
      </w:r>
      <w:r w:rsidR="0032262E" w:rsidRPr="00DD4419">
        <w:rPr>
          <w:rFonts w:ascii="Times New Roman" w:eastAsia="Times New Roman" w:hAnsi="Times New Roman" w:cs="Times New Roman"/>
          <w:b/>
          <w:color w:val="000000"/>
          <w:sz w:val="24"/>
          <w:szCs w:val="24"/>
        </w:rPr>
        <w:t>s</w:t>
      </w:r>
      <w:r w:rsidRPr="00DD4419">
        <w:rPr>
          <w:rFonts w:ascii="Times New Roman" w:eastAsia="Times New Roman" w:hAnsi="Times New Roman" w:cs="Times New Roman"/>
          <w:b/>
          <w:color w:val="000000"/>
          <w:sz w:val="24"/>
          <w:szCs w:val="24"/>
        </w:rPr>
        <w:t xml:space="preserve"> </w:t>
      </w:r>
    </w:p>
    <w:p w14:paraId="096B65E1" w14:textId="77777777" w:rsidR="00E67EE2" w:rsidRPr="00DD4419" w:rsidRDefault="00986FD0"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D4419">
        <w:rPr>
          <w:rFonts w:ascii="Times New Roman" w:eastAsia="Times New Roman" w:hAnsi="Times New Roman" w:cs="Times New Roman"/>
          <w:b/>
          <w:color w:val="000000"/>
          <w:sz w:val="24"/>
          <w:szCs w:val="24"/>
        </w:rPr>
        <w:t xml:space="preserve"> </w:t>
      </w:r>
    </w:p>
    <w:p w14:paraId="7830273A" w14:textId="77777777" w:rsidR="003C0A2E" w:rsidRPr="00DD4419" w:rsidRDefault="003C0A2E"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D4419">
        <w:rPr>
          <w:rFonts w:ascii="Times New Roman" w:eastAsia="Times New Roman" w:hAnsi="Times New Roman" w:cs="Times New Roman"/>
          <w:i/>
          <w:iCs/>
          <w:color w:val="000000"/>
          <w:sz w:val="24"/>
          <w:szCs w:val="24"/>
        </w:rPr>
        <w:t>Participants and training setting</w:t>
      </w:r>
    </w:p>
    <w:p w14:paraId="6A5DC8A4" w14:textId="77777777" w:rsidR="002C2789" w:rsidRPr="00DD4419" w:rsidRDefault="002C2789"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AE71D10" w14:textId="55B67556" w:rsidR="00E67EE2" w:rsidRPr="00DD4419" w:rsidRDefault="003C0A2E" w:rsidP="00DC59C4">
      <w:pPr>
        <w:spacing w:after="0"/>
        <w:ind w:left="0" w:hanging="2"/>
        <w:jc w:val="both"/>
        <w:rPr>
          <w:rFonts w:asciiTheme="majorBidi" w:hAnsiTheme="majorBidi" w:cstheme="majorBidi"/>
          <w:sz w:val="24"/>
          <w:szCs w:val="24"/>
        </w:rPr>
      </w:pPr>
      <w:r w:rsidRPr="00DD4419">
        <w:rPr>
          <w:rFonts w:asciiTheme="majorBidi" w:hAnsiTheme="majorBidi" w:cstheme="majorBidi"/>
          <w:sz w:val="24"/>
          <w:szCs w:val="24"/>
        </w:rPr>
        <w:t>This research was conducted in live-online using Zoom Meeting platform due to limited physical-social mobility during the COVID-19 pandemic</w:t>
      </w:r>
      <w:r w:rsidR="00F2321F" w:rsidRPr="00DD4419">
        <w:rPr>
          <w:rFonts w:asciiTheme="majorBidi" w:hAnsiTheme="majorBidi" w:cstheme="majorBidi"/>
          <w:sz w:val="24"/>
          <w:szCs w:val="24"/>
        </w:rPr>
        <w:t xml:space="preserve"> (</w:t>
      </w:r>
      <w:r w:rsidR="00F2321F" w:rsidRPr="00C86F7B">
        <w:rPr>
          <w:rFonts w:asciiTheme="majorBidi" w:hAnsiTheme="majorBidi" w:cstheme="majorBidi"/>
          <w:sz w:val="24"/>
          <w:szCs w:val="24"/>
        </w:rPr>
        <w:t>Figure 1</w:t>
      </w:r>
      <w:r w:rsidR="00F2321F" w:rsidRPr="00DD4419">
        <w:rPr>
          <w:rFonts w:asciiTheme="majorBidi" w:hAnsiTheme="majorBidi" w:cstheme="majorBidi"/>
          <w:sz w:val="24"/>
          <w:szCs w:val="24"/>
        </w:rPr>
        <w:t>)</w:t>
      </w:r>
      <w:r w:rsidRPr="00DD4419">
        <w:rPr>
          <w:rFonts w:asciiTheme="majorBidi" w:hAnsiTheme="majorBidi" w:cstheme="majorBidi"/>
          <w:sz w:val="24"/>
          <w:szCs w:val="24"/>
        </w:rPr>
        <w:t xml:space="preserve">. The training participants were in the </w:t>
      </w:r>
      <w:r w:rsidRPr="00DD4419">
        <w:rPr>
          <w:rFonts w:asciiTheme="majorBidi" w:hAnsiTheme="majorBidi" w:cstheme="majorBidi"/>
          <w:sz w:val="24"/>
          <w:szCs w:val="24"/>
        </w:rPr>
        <w:lastRenderedPageBreak/>
        <w:t xml:space="preserve">office/district offices </w:t>
      </w:r>
      <w:r w:rsidR="008E12E9" w:rsidRPr="00DD4419">
        <w:rPr>
          <w:rFonts w:asciiTheme="majorBidi" w:hAnsiTheme="majorBidi" w:cstheme="majorBidi"/>
          <w:sz w:val="24"/>
          <w:szCs w:val="24"/>
        </w:rPr>
        <w:t>located</w:t>
      </w:r>
      <w:r w:rsidRPr="00DD4419">
        <w:rPr>
          <w:rFonts w:asciiTheme="majorBidi" w:hAnsiTheme="majorBidi" w:cstheme="majorBidi"/>
          <w:sz w:val="24"/>
          <w:szCs w:val="24"/>
        </w:rPr>
        <w:t xml:space="preserve"> across </w:t>
      </w:r>
      <w:proofErr w:type="spellStart"/>
      <w:r w:rsidRPr="00DD4419">
        <w:rPr>
          <w:rFonts w:asciiTheme="majorBidi" w:hAnsiTheme="majorBidi" w:cstheme="majorBidi"/>
          <w:sz w:val="24"/>
          <w:szCs w:val="24"/>
        </w:rPr>
        <w:t>Pangandaran</w:t>
      </w:r>
      <w:proofErr w:type="spellEnd"/>
      <w:r w:rsidRPr="00DD4419">
        <w:rPr>
          <w:rFonts w:asciiTheme="majorBidi" w:hAnsiTheme="majorBidi" w:cstheme="majorBidi"/>
          <w:sz w:val="24"/>
          <w:szCs w:val="24"/>
        </w:rPr>
        <w:t xml:space="preserve"> Regency, while the trainers are at their respective campuses or residences. This training was attended by 24 participants from the Regional Apparatus Work Unit (SKPD) in </w:t>
      </w:r>
      <w:proofErr w:type="spellStart"/>
      <w:r w:rsidRPr="00DD4419">
        <w:rPr>
          <w:rFonts w:asciiTheme="majorBidi" w:hAnsiTheme="majorBidi" w:cstheme="majorBidi"/>
          <w:sz w:val="24"/>
          <w:szCs w:val="24"/>
        </w:rPr>
        <w:t>Pangandaran</w:t>
      </w:r>
      <w:proofErr w:type="spellEnd"/>
      <w:r w:rsidRPr="00DD4419">
        <w:rPr>
          <w:rFonts w:asciiTheme="majorBidi" w:hAnsiTheme="majorBidi" w:cstheme="majorBidi"/>
          <w:sz w:val="24"/>
          <w:szCs w:val="24"/>
        </w:rPr>
        <w:t xml:space="preserve"> Regency, </w:t>
      </w:r>
      <w:r w:rsidR="00A64C92" w:rsidRPr="00DD4419">
        <w:rPr>
          <w:rFonts w:asciiTheme="majorBidi" w:hAnsiTheme="majorBidi" w:cstheme="majorBidi"/>
          <w:sz w:val="24"/>
          <w:szCs w:val="24"/>
        </w:rPr>
        <w:t>whom</w:t>
      </w:r>
      <w:r w:rsidRPr="00DD4419">
        <w:rPr>
          <w:rFonts w:asciiTheme="majorBidi" w:hAnsiTheme="majorBidi" w:cstheme="majorBidi"/>
          <w:sz w:val="24"/>
          <w:szCs w:val="24"/>
        </w:rPr>
        <w:t xml:space="preserve"> have an interest in the use of spatial data for various development purposes. </w:t>
      </w:r>
      <w:r w:rsidR="00A53EC6" w:rsidRPr="00DD4419">
        <w:rPr>
          <w:rFonts w:asciiTheme="majorBidi" w:hAnsiTheme="majorBidi" w:cstheme="majorBidi"/>
          <w:sz w:val="24"/>
          <w:szCs w:val="24"/>
        </w:rPr>
        <w:t xml:space="preserve">The software version that has been used is QGIS </w:t>
      </w:r>
      <w:r w:rsidRPr="00DD4419">
        <w:rPr>
          <w:rFonts w:asciiTheme="majorBidi" w:hAnsiTheme="majorBidi" w:cstheme="majorBidi"/>
          <w:sz w:val="24"/>
          <w:szCs w:val="24"/>
        </w:rPr>
        <w:t>3.16 (Hannover). This training was held for 3 (days) consisting of GIS theory and its usage, QGIS practices, and implementation of local-case studies by participants (</w:t>
      </w:r>
      <w:r w:rsidR="00BC34C4" w:rsidRPr="00C6175C">
        <w:rPr>
          <w:rFonts w:asciiTheme="majorBidi" w:hAnsiTheme="majorBidi" w:cstheme="majorBidi"/>
          <w:sz w:val="24"/>
          <w:szCs w:val="24"/>
        </w:rPr>
        <w:t xml:space="preserve">Table </w:t>
      </w:r>
      <w:r w:rsidRPr="00C6175C">
        <w:rPr>
          <w:rFonts w:asciiTheme="majorBidi" w:hAnsiTheme="majorBidi" w:cstheme="majorBidi"/>
          <w:sz w:val="24"/>
          <w:szCs w:val="24"/>
        </w:rPr>
        <w:t>1</w:t>
      </w:r>
      <w:r w:rsidRPr="00DD4419">
        <w:rPr>
          <w:rFonts w:asciiTheme="majorBidi" w:hAnsiTheme="majorBidi" w:cstheme="majorBidi"/>
          <w:sz w:val="24"/>
          <w:szCs w:val="24"/>
        </w:rPr>
        <w:t xml:space="preserve">). For the case study, we adjusted the characteristics of </w:t>
      </w:r>
      <w:proofErr w:type="spellStart"/>
      <w:r w:rsidRPr="00DD4419">
        <w:rPr>
          <w:rFonts w:asciiTheme="majorBidi" w:hAnsiTheme="majorBidi" w:cstheme="majorBidi"/>
          <w:sz w:val="24"/>
          <w:szCs w:val="24"/>
        </w:rPr>
        <w:t>Pangandaran</w:t>
      </w:r>
      <w:proofErr w:type="spellEnd"/>
      <w:r w:rsidRPr="00DD4419">
        <w:rPr>
          <w:rFonts w:asciiTheme="majorBidi" w:hAnsiTheme="majorBidi" w:cstheme="majorBidi"/>
          <w:sz w:val="24"/>
          <w:szCs w:val="24"/>
        </w:rPr>
        <w:t xml:space="preserve"> Regency as a tourism destination, agro-maritime resource development, and prone to </w:t>
      </w:r>
      <w:proofErr w:type="spellStart"/>
      <w:r w:rsidRPr="00DD4419">
        <w:rPr>
          <w:rFonts w:asciiTheme="majorBidi" w:hAnsiTheme="majorBidi" w:cstheme="majorBidi"/>
          <w:sz w:val="24"/>
          <w:szCs w:val="24"/>
        </w:rPr>
        <w:t>hydrometerological</w:t>
      </w:r>
      <w:proofErr w:type="spellEnd"/>
      <w:r w:rsidRPr="00DD4419">
        <w:rPr>
          <w:rFonts w:asciiTheme="majorBidi" w:hAnsiTheme="majorBidi" w:cstheme="majorBidi"/>
          <w:sz w:val="24"/>
          <w:szCs w:val="24"/>
        </w:rPr>
        <w:t xml:space="preserve"> disaster, earthquake and tsunami. </w:t>
      </w:r>
      <w:r w:rsidRPr="00C6175C">
        <w:rPr>
          <w:rFonts w:asciiTheme="majorBidi" w:hAnsiTheme="majorBidi" w:cstheme="majorBidi"/>
          <w:sz w:val="24"/>
          <w:szCs w:val="24"/>
        </w:rPr>
        <w:fldChar w:fldCharType="begin"/>
      </w:r>
      <w:r w:rsidRPr="00C6175C">
        <w:rPr>
          <w:rFonts w:asciiTheme="majorBidi" w:hAnsiTheme="majorBidi" w:cstheme="majorBidi"/>
          <w:sz w:val="24"/>
          <w:szCs w:val="24"/>
        </w:rPr>
        <w:instrText xml:space="preserve"> ADDIN ZOTERO_ITEM CSL_CITATION {"citationID":"ZpeoSH8B","properties":{"formattedCitation":"(Nurhayati et al., 2019; Pancasilawan, 2020)","plainCitation":"(Nurhayati et al., 2019; Pancasilawan, 2020)","noteIndex":0},"citationItems":[{"id":420,"uris":["http://zotero.org/users/local/eLG7HXo0/items/4WINPWUZ"],"uri":["http://zotero.org/users/local/eLG7HXo0/items/4WINPWUZ"],"itemData":{"id":420,"type":"article-journal","abstract":"Coastal areas in the South Coast of West Java Province, Indonesia, have potential to develop marine ecotourism. One specific case is the Pangandaran area which must be transferred into economic value by not damaging natural resources. Marine ecotourism development is not only intended to raise foreign exchange for the local government, but is also expected to play a role in maintaining natural resources sustainably. This research aims to analyze the sustainable synergistic marine ecotourism development model. The method used in this research is the quantitative descriptive method. The quantitative descriptive method is used to describe the general condition of the research area, using primary and secondary data. The technique includes the taking of respondents using accidental sampling as many as 50 respondents, consisting of tourists, public figures, and fishermen who have side jobs as providers of marine ecotourism services. The analysis is carried out through the Rapfish modeling approach to measure the synergistic elements of sustainable development of marine ecotourism. Based on the results of the research the ecological dimension of environmental services are the most influential conditions, the economic dimension of marine ecotourism is a less influential condition. Meanwhile, marine ecotourism technology and the social dimension of marine ecotourism are least influential conditions. In regard to infrastructure and regulatory dimensions, the use of information technology is recommended to promote marine ecotourism optimally. It is also concluded that regulations are needed to establish marine ecotourism zoning rules and infrastructure improvements.","container-title":"Sustainability","DOI":"10.3390/su11123418","issue":"12","language":"en","page":"3418","source":"www.mdpi.com","title":"Model development of a synergistic sustainable marine ecotourism—a case study in Pangandaran Region, West Java Province, Indonesia","volume":"11","author":[{"family":"Nurhayati","given":"Atikah"},{"family":"Aisah","given":"Isah"},{"family":"Supriatna","given":"Asep K."}],"issued":{"date-parts":[["2019"]]}}},{"id":425,"uris":["http://zotero.org/users/local/eLG7HXo0/items/JRAZRQXW"],"uri":["http://zotero.org/users/local/eLG7HXo0/items/JRAZRQXW"],"itemData":{"id":425,"type":"article-journal","abstract":"The government has a function to protect its people, including managing the disaster. The function of government in natural disaster management is a function that is expected to be carried out with full commitment. Disaster management is an activity carried out comprehensively and there is a need for active stakeholder involvement. Pangandaran Regency is a disaster-prone area. This article aims to describe the mitigation launched by the Pangandaran Regency government to reduce disaster risk using a Qualitative approach and observation, interview and literature study. Pangandaran Regency has been stretched to get out of the tsunami disaster that had occurred. Even mitigation efforts have been carried out with the involvement of various stakeholders in Pangandaran Regency. With mitigation, disaster risk reduction can be done. Therefore the government should make efforts to overcome disaster risk through the Mitigation Program by the Regional Disaster Management Agency (BPBD). The disaster mitigation program consists of two types namely Mitigation with a Structural approach and namely mitigation by focusing on physical development, such as the construction of temporary evacuation sites or the construction of an early warning system (EAS). Then the other form is Non-Structural mitigation which is mitigation carried out in the form of non-physical development, such as disaster education to school children and also to the community through activities carried out by mothers. Disaster training is given to private parties to understand disaster in Pangandaran.Keywords: Disaster, Mitigation, Risk Reduction, Management Disaster, Pangandaran","container-title":"Sosiohumaniora","DOI":"10.24198/sosiohumaniora.v22i2.25774","journalAbbreviation":"Sosiohumaniora","source":"ResearchGate","title":"Mitigation of disaster risk reduction in Pangandaran Regency","volume":"22","author":[{"family":"Pancasilawan","given":"Ramadhan"}],"issued":{"date-parts":[["2020"]]}}}],"schema":"https://github.com/citation-style-language/schema/raw/master/csl-citation.json"} </w:instrText>
      </w:r>
      <w:r w:rsidRPr="00C6175C">
        <w:rPr>
          <w:rFonts w:asciiTheme="majorBidi" w:hAnsiTheme="majorBidi" w:cstheme="majorBidi"/>
          <w:sz w:val="24"/>
          <w:szCs w:val="24"/>
        </w:rPr>
        <w:fldChar w:fldCharType="separate"/>
      </w:r>
      <w:r w:rsidRPr="00C6175C">
        <w:rPr>
          <w:rFonts w:asciiTheme="majorBidi" w:hAnsiTheme="majorBidi" w:cstheme="majorBidi"/>
          <w:sz w:val="24"/>
          <w:szCs w:val="24"/>
        </w:rPr>
        <w:t>(Nurhayati et al., 2019; Pancasilawan, 2020)</w:t>
      </w:r>
      <w:r w:rsidRPr="00C6175C">
        <w:rPr>
          <w:rFonts w:asciiTheme="majorBidi" w:hAnsiTheme="majorBidi" w:cstheme="majorBidi"/>
          <w:sz w:val="24"/>
          <w:szCs w:val="24"/>
        </w:rPr>
        <w:fldChar w:fldCharType="end"/>
      </w:r>
      <w:r w:rsidRPr="00C6175C">
        <w:rPr>
          <w:rFonts w:asciiTheme="majorBidi" w:hAnsiTheme="majorBidi" w:cstheme="majorBidi"/>
          <w:sz w:val="24"/>
          <w:szCs w:val="24"/>
        </w:rPr>
        <w:t>.</w:t>
      </w:r>
      <w:r w:rsidRPr="00DD4419">
        <w:rPr>
          <w:rFonts w:asciiTheme="majorBidi" w:hAnsiTheme="majorBidi" w:cstheme="majorBidi"/>
          <w:color w:val="0070C0"/>
          <w:sz w:val="24"/>
          <w:szCs w:val="24"/>
        </w:rPr>
        <w:t xml:space="preserve"> </w:t>
      </w:r>
      <w:r w:rsidRPr="00DD4419">
        <w:rPr>
          <w:rFonts w:asciiTheme="majorBidi" w:hAnsiTheme="majorBidi" w:cstheme="majorBidi"/>
          <w:sz w:val="24"/>
          <w:szCs w:val="24"/>
        </w:rPr>
        <w:t>All training materials and videos during practice can be accessed through Google Classroom.</w:t>
      </w:r>
    </w:p>
    <w:p w14:paraId="7F52AE59" w14:textId="77777777" w:rsidR="00F2321F" w:rsidRPr="00DD4419" w:rsidRDefault="00F2321F" w:rsidP="00DC59C4">
      <w:pPr>
        <w:spacing w:after="0"/>
        <w:ind w:left="0" w:hanging="2"/>
        <w:jc w:val="both"/>
        <w:rPr>
          <w:rFonts w:asciiTheme="majorBidi" w:hAnsiTheme="majorBidi" w:cstheme="majorBidi"/>
          <w:sz w:val="24"/>
          <w:szCs w:val="24"/>
        </w:rPr>
      </w:pPr>
    </w:p>
    <w:p w14:paraId="21F78DBC" w14:textId="77777777" w:rsidR="00F2321F" w:rsidRPr="00DD4419" w:rsidRDefault="00F2321F" w:rsidP="00DC59C4">
      <w:pPr>
        <w:spacing w:after="0"/>
        <w:ind w:left="0" w:hanging="2"/>
        <w:jc w:val="center"/>
        <w:rPr>
          <w:rFonts w:asciiTheme="majorBidi" w:hAnsiTheme="majorBidi" w:cstheme="majorBidi"/>
        </w:rPr>
      </w:pPr>
      <w:r w:rsidRPr="00DD4419">
        <w:rPr>
          <w:rFonts w:asciiTheme="majorBidi" w:hAnsiTheme="majorBidi" w:cstheme="majorBidi"/>
          <w:noProof/>
          <w:lang w:val="en-MY" w:eastAsia="en-MY"/>
        </w:rPr>
        <w:drawing>
          <wp:inline distT="0" distB="0" distL="0" distR="0" wp14:anchorId="59111A0A" wp14:editId="0020DCC9">
            <wp:extent cx="4013614" cy="2762250"/>
            <wp:effectExtent l="0" t="0" r="6350" b="0"/>
            <wp:docPr id="7" name="Picture 7" descr="D:\P2M Pangandaran 2021\Dokumentasi Zoom\H k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2M Pangandaran 2021\Dokumentasi Zoom\H k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7662" cy="2771918"/>
                    </a:xfrm>
                    <a:prstGeom prst="rect">
                      <a:avLst/>
                    </a:prstGeom>
                    <a:noFill/>
                    <a:ln>
                      <a:noFill/>
                    </a:ln>
                  </pic:spPr>
                </pic:pic>
              </a:graphicData>
            </a:graphic>
          </wp:inline>
        </w:drawing>
      </w:r>
    </w:p>
    <w:p w14:paraId="31053373" w14:textId="77777777" w:rsidR="00F2321F" w:rsidRPr="00DD4419" w:rsidRDefault="00F2321F" w:rsidP="00C6175C">
      <w:pPr>
        <w:spacing w:after="0" w:line="240" w:lineRule="auto"/>
        <w:ind w:left="0" w:hanging="2"/>
        <w:jc w:val="center"/>
        <w:rPr>
          <w:rFonts w:asciiTheme="majorBidi" w:hAnsiTheme="majorBidi" w:cstheme="majorBidi"/>
          <w:sz w:val="20"/>
          <w:szCs w:val="20"/>
        </w:rPr>
      </w:pPr>
      <w:r w:rsidRPr="00DD4419">
        <w:rPr>
          <w:rFonts w:asciiTheme="majorBidi" w:eastAsiaTheme="majorEastAsia" w:hAnsiTheme="majorBidi" w:cstheme="majorBidi"/>
          <w:b/>
          <w:bCs/>
          <w:sz w:val="20"/>
          <w:szCs w:val="20"/>
        </w:rPr>
        <w:t xml:space="preserve">Figure 1. </w:t>
      </w:r>
      <w:r w:rsidRPr="00DD4419">
        <w:rPr>
          <w:rFonts w:asciiTheme="majorBidi" w:eastAsiaTheme="majorEastAsia" w:hAnsiTheme="majorBidi" w:cstheme="majorBidi"/>
          <w:sz w:val="20"/>
          <w:szCs w:val="20"/>
        </w:rPr>
        <w:t>FOSS-GIS trainers and the participants in Zoom Meeting.</w:t>
      </w:r>
    </w:p>
    <w:p w14:paraId="75753606" w14:textId="77777777" w:rsidR="00C6175C" w:rsidRDefault="00C6175C" w:rsidP="00DC59C4">
      <w:pPr>
        <w:spacing w:after="0"/>
        <w:ind w:left="0" w:hanging="2"/>
        <w:jc w:val="center"/>
        <w:rPr>
          <w:rFonts w:asciiTheme="majorBidi" w:hAnsiTheme="majorBidi" w:cstheme="majorBidi"/>
          <w:b/>
          <w:bCs/>
          <w:sz w:val="20"/>
          <w:szCs w:val="20"/>
        </w:rPr>
      </w:pPr>
    </w:p>
    <w:p w14:paraId="08B0721E" w14:textId="77777777" w:rsidR="00C6175C" w:rsidRDefault="00C6175C" w:rsidP="00DC59C4">
      <w:pPr>
        <w:spacing w:after="0"/>
        <w:ind w:left="0" w:hanging="2"/>
        <w:jc w:val="center"/>
        <w:rPr>
          <w:rFonts w:asciiTheme="majorBidi" w:hAnsiTheme="majorBidi" w:cstheme="majorBidi"/>
          <w:b/>
          <w:bCs/>
          <w:sz w:val="20"/>
          <w:szCs w:val="20"/>
        </w:rPr>
      </w:pPr>
    </w:p>
    <w:p w14:paraId="2F938790" w14:textId="2CA673AD" w:rsidR="003C0A2E" w:rsidRDefault="003C0A2E" w:rsidP="00DC59C4">
      <w:pPr>
        <w:spacing w:after="0"/>
        <w:ind w:left="0" w:hanging="2"/>
        <w:jc w:val="center"/>
        <w:rPr>
          <w:rFonts w:asciiTheme="majorBidi" w:hAnsiTheme="majorBidi" w:cstheme="majorBidi"/>
          <w:sz w:val="20"/>
          <w:szCs w:val="20"/>
        </w:rPr>
      </w:pPr>
      <w:r w:rsidRPr="00DD4419">
        <w:rPr>
          <w:rFonts w:asciiTheme="majorBidi" w:hAnsiTheme="majorBidi" w:cstheme="majorBidi"/>
          <w:b/>
          <w:bCs/>
          <w:sz w:val="20"/>
          <w:szCs w:val="20"/>
        </w:rPr>
        <w:t xml:space="preserve">Table 1. </w:t>
      </w:r>
      <w:r w:rsidRPr="00DD4419">
        <w:rPr>
          <w:rFonts w:asciiTheme="majorBidi" w:hAnsiTheme="majorBidi" w:cstheme="majorBidi"/>
          <w:sz w:val="20"/>
          <w:szCs w:val="20"/>
        </w:rPr>
        <w:t>Training activities.</w:t>
      </w:r>
    </w:p>
    <w:p w14:paraId="0083CDD9" w14:textId="77777777" w:rsidR="00C6175C" w:rsidRPr="00DD4419" w:rsidRDefault="00C6175C" w:rsidP="00DC59C4">
      <w:pPr>
        <w:spacing w:after="0"/>
        <w:ind w:left="0" w:hanging="2"/>
        <w:jc w:val="center"/>
        <w:rPr>
          <w:rFonts w:asciiTheme="majorBidi" w:hAnsiTheme="majorBidi" w:cstheme="majorBid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2981"/>
      </w:tblGrid>
      <w:tr w:rsidR="003C0A2E" w:rsidRPr="00DD4419" w14:paraId="480E5701" w14:textId="77777777" w:rsidTr="00986FD0">
        <w:tc>
          <w:tcPr>
            <w:tcW w:w="3116" w:type="dxa"/>
            <w:tcBorders>
              <w:top w:val="single" w:sz="4" w:space="0" w:color="000000"/>
              <w:bottom w:val="single" w:sz="4" w:space="0" w:color="000000"/>
            </w:tcBorders>
            <w:shd w:val="clear" w:color="auto" w:fill="B8CCE4"/>
            <w:vAlign w:val="center"/>
          </w:tcPr>
          <w:p w14:paraId="49C46F69" w14:textId="77777777" w:rsidR="003C0A2E" w:rsidRPr="00DD4419" w:rsidRDefault="003C0A2E" w:rsidP="00DC59C4">
            <w:pPr>
              <w:ind w:left="0" w:hanging="2"/>
              <w:jc w:val="center"/>
              <w:rPr>
                <w:rFonts w:asciiTheme="majorBidi" w:hAnsiTheme="majorBidi" w:cstheme="majorBidi"/>
                <w:b/>
                <w:bCs/>
                <w:sz w:val="20"/>
                <w:szCs w:val="20"/>
              </w:rPr>
            </w:pPr>
            <w:r w:rsidRPr="00DD4419">
              <w:rPr>
                <w:rFonts w:asciiTheme="majorBidi" w:hAnsiTheme="majorBidi" w:cstheme="majorBidi"/>
                <w:b/>
                <w:bCs/>
                <w:sz w:val="20"/>
                <w:szCs w:val="20"/>
              </w:rPr>
              <w:t>First day</w:t>
            </w:r>
          </w:p>
        </w:tc>
        <w:tc>
          <w:tcPr>
            <w:tcW w:w="3117" w:type="dxa"/>
            <w:tcBorders>
              <w:top w:val="single" w:sz="4" w:space="0" w:color="000000"/>
              <w:bottom w:val="single" w:sz="4" w:space="0" w:color="000000"/>
            </w:tcBorders>
            <w:shd w:val="clear" w:color="auto" w:fill="B8CCE4"/>
            <w:vAlign w:val="center"/>
          </w:tcPr>
          <w:p w14:paraId="0FF2EFA8" w14:textId="77777777" w:rsidR="003C0A2E" w:rsidRPr="00DD4419" w:rsidRDefault="003C0A2E" w:rsidP="00DC59C4">
            <w:pPr>
              <w:ind w:left="0" w:hanging="2"/>
              <w:jc w:val="center"/>
              <w:rPr>
                <w:rFonts w:asciiTheme="majorBidi" w:hAnsiTheme="majorBidi" w:cstheme="majorBidi"/>
                <w:b/>
                <w:bCs/>
                <w:sz w:val="20"/>
                <w:szCs w:val="20"/>
              </w:rPr>
            </w:pPr>
            <w:r w:rsidRPr="00DD4419">
              <w:rPr>
                <w:rFonts w:asciiTheme="majorBidi" w:hAnsiTheme="majorBidi" w:cstheme="majorBidi"/>
                <w:b/>
                <w:bCs/>
                <w:sz w:val="20"/>
                <w:szCs w:val="20"/>
              </w:rPr>
              <w:t>Second day</w:t>
            </w:r>
          </w:p>
        </w:tc>
        <w:tc>
          <w:tcPr>
            <w:tcW w:w="2981" w:type="dxa"/>
            <w:tcBorders>
              <w:top w:val="single" w:sz="4" w:space="0" w:color="000000"/>
              <w:bottom w:val="single" w:sz="4" w:space="0" w:color="000000"/>
            </w:tcBorders>
            <w:shd w:val="clear" w:color="auto" w:fill="B8CCE4"/>
            <w:vAlign w:val="center"/>
          </w:tcPr>
          <w:p w14:paraId="75E0B1B5" w14:textId="77777777" w:rsidR="003C0A2E" w:rsidRPr="00DD4419" w:rsidRDefault="003C0A2E" w:rsidP="00DC59C4">
            <w:pPr>
              <w:ind w:left="0" w:hanging="2"/>
              <w:jc w:val="center"/>
              <w:rPr>
                <w:rFonts w:asciiTheme="majorBidi" w:hAnsiTheme="majorBidi" w:cstheme="majorBidi"/>
                <w:b/>
                <w:bCs/>
                <w:sz w:val="20"/>
                <w:szCs w:val="20"/>
              </w:rPr>
            </w:pPr>
            <w:r w:rsidRPr="00DD4419">
              <w:rPr>
                <w:rFonts w:asciiTheme="majorBidi" w:hAnsiTheme="majorBidi" w:cstheme="majorBidi"/>
                <w:b/>
                <w:bCs/>
                <w:sz w:val="20"/>
                <w:szCs w:val="20"/>
              </w:rPr>
              <w:t>Third day</w:t>
            </w:r>
          </w:p>
        </w:tc>
      </w:tr>
      <w:tr w:rsidR="003C0A2E" w:rsidRPr="00DD4419" w14:paraId="28273212" w14:textId="77777777" w:rsidTr="00986FD0">
        <w:trPr>
          <w:trHeight w:val="1893"/>
        </w:trPr>
        <w:tc>
          <w:tcPr>
            <w:tcW w:w="3116" w:type="dxa"/>
            <w:tcBorders>
              <w:top w:val="single" w:sz="4" w:space="0" w:color="000000"/>
              <w:bottom w:val="single" w:sz="4" w:space="0" w:color="000000"/>
            </w:tcBorders>
          </w:tcPr>
          <w:p w14:paraId="692C8AB7" w14:textId="77777777" w:rsidR="003C0A2E" w:rsidRPr="00DD4419" w:rsidRDefault="003C0A2E" w:rsidP="00DC59C4">
            <w:pPr>
              <w:pStyle w:val="ListParagraph"/>
              <w:numPr>
                <w:ilvl w:val="0"/>
                <w:numId w:val="1"/>
              </w:numPr>
              <w:suppressAutoHyphens w:val="0"/>
              <w:ind w:leftChars="0" w:left="321" w:firstLineChars="0" w:hanging="323"/>
              <w:textDirection w:val="lrTb"/>
              <w:textAlignment w:val="auto"/>
              <w:outlineLvl w:val="9"/>
              <w:rPr>
                <w:rFonts w:asciiTheme="majorBidi" w:hAnsiTheme="majorBidi" w:cstheme="majorBidi"/>
                <w:sz w:val="20"/>
                <w:szCs w:val="20"/>
              </w:rPr>
            </w:pPr>
            <w:r w:rsidRPr="00DD4419">
              <w:rPr>
                <w:rFonts w:asciiTheme="majorBidi" w:hAnsiTheme="majorBidi" w:cstheme="majorBidi"/>
                <w:sz w:val="20"/>
                <w:szCs w:val="20"/>
              </w:rPr>
              <w:t>The role of spatial data in regional development.</w:t>
            </w:r>
          </w:p>
          <w:p w14:paraId="6CD28803" w14:textId="77777777" w:rsidR="003C0A2E" w:rsidRPr="00DD4419" w:rsidRDefault="003C0A2E" w:rsidP="00DC59C4">
            <w:pPr>
              <w:pStyle w:val="ListParagraph"/>
              <w:numPr>
                <w:ilvl w:val="0"/>
                <w:numId w:val="1"/>
              </w:numPr>
              <w:suppressAutoHyphens w:val="0"/>
              <w:ind w:leftChars="0" w:left="321" w:firstLineChars="0" w:hanging="323"/>
              <w:textDirection w:val="lrTb"/>
              <w:textAlignment w:val="auto"/>
              <w:outlineLvl w:val="9"/>
              <w:rPr>
                <w:rFonts w:asciiTheme="majorBidi" w:hAnsiTheme="majorBidi" w:cstheme="majorBidi"/>
                <w:sz w:val="20"/>
                <w:szCs w:val="20"/>
              </w:rPr>
            </w:pPr>
            <w:r w:rsidRPr="00DD4419">
              <w:rPr>
                <w:rFonts w:asciiTheme="majorBidi" w:hAnsiTheme="majorBidi" w:cstheme="majorBidi"/>
                <w:sz w:val="20"/>
                <w:szCs w:val="20"/>
              </w:rPr>
              <w:t>Basic concept and GIS analysis.</w:t>
            </w:r>
          </w:p>
          <w:p w14:paraId="63B8CCC1" w14:textId="77777777" w:rsidR="003C0A2E" w:rsidRPr="00DD4419" w:rsidRDefault="003C0A2E" w:rsidP="00DC59C4">
            <w:pPr>
              <w:pStyle w:val="ListParagraph"/>
              <w:numPr>
                <w:ilvl w:val="0"/>
                <w:numId w:val="1"/>
              </w:numPr>
              <w:suppressAutoHyphens w:val="0"/>
              <w:ind w:leftChars="0" w:left="321" w:firstLineChars="0" w:hanging="323"/>
              <w:textDirection w:val="lrTb"/>
              <w:textAlignment w:val="auto"/>
              <w:outlineLvl w:val="9"/>
              <w:rPr>
                <w:rFonts w:asciiTheme="majorBidi" w:hAnsiTheme="majorBidi" w:cstheme="majorBidi"/>
                <w:sz w:val="20"/>
                <w:szCs w:val="20"/>
              </w:rPr>
            </w:pPr>
            <w:r w:rsidRPr="00DD4419">
              <w:rPr>
                <w:rFonts w:asciiTheme="majorBidi" w:hAnsiTheme="majorBidi" w:cstheme="majorBidi"/>
                <w:sz w:val="20"/>
                <w:szCs w:val="20"/>
              </w:rPr>
              <w:t>GIS application for spatial planning and land value.</w:t>
            </w:r>
          </w:p>
        </w:tc>
        <w:tc>
          <w:tcPr>
            <w:tcW w:w="3117" w:type="dxa"/>
            <w:tcBorders>
              <w:top w:val="single" w:sz="4" w:space="0" w:color="000000"/>
              <w:bottom w:val="single" w:sz="4" w:space="0" w:color="000000"/>
            </w:tcBorders>
          </w:tcPr>
          <w:p w14:paraId="4393F715" w14:textId="77777777" w:rsidR="003C0A2E" w:rsidRPr="00DD4419" w:rsidRDefault="003C0A2E" w:rsidP="00DC59C4">
            <w:pPr>
              <w:pStyle w:val="ListParagraph"/>
              <w:numPr>
                <w:ilvl w:val="0"/>
                <w:numId w:val="2"/>
              </w:numPr>
              <w:suppressAutoHyphens w:val="0"/>
              <w:ind w:leftChars="0" w:left="321" w:firstLineChars="0" w:hanging="323"/>
              <w:textDirection w:val="lrTb"/>
              <w:textAlignment w:val="auto"/>
              <w:outlineLvl w:val="9"/>
              <w:rPr>
                <w:rFonts w:asciiTheme="majorBidi" w:hAnsiTheme="majorBidi" w:cstheme="majorBidi"/>
                <w:sz w:val="20"/>
                <w:szCs w:val="20"/>
              </w:rPr>
            </w:pPr>
            <w:r w:rsidRPr="00DD4419">
              <w:rPr>
                <w:rFonts w:asciiTheme="majorBidi" w:hAnsiTheme="majorBidi" w:cstheme="majorBidi"/>
                <w:sz w:val="20"/>
                <w:szCs w:val="20"/>
              </w:rPr>
              <w:t>Introduction to FOSS-GIS software and the QGIS installation process.</w:t>
            </w:r>
          </w:p>
          <w:p w14:paraId="1E7ABAD8" w14:textId="77777777" w:rsidR="003C0A2E" w:rsidRPr="00DD4419" w:rsidRDefault="003C0A2E" w:rsidP="00DC59C4">
            <w:pPr>
              <w:pStyle w:val="ListParagraph"/>
              <w:numPr>
                <w:ilvl w:val="0"/>
                <w:numId w:val="2"/>
              </w:numPr>
              <w:suppressAutoHyphens w:val="0"/>
              <w:ind w:leftChars="0" w:left="321" w:firstLineChars="0" w:hanging="323"/>
              <w:textDirection w:val="lrTb"/>
              <w:textAlignment w:val="auto"/>
              <w:outlineLvl w:val="9"/>
              <w:rPr>
                <w:rFonts w:asciiTheme="majorBidi" w:hAnsiTheme="majorBidi" w:cstheme="majorBidi"/>
                <w:sz w:val="20"/>
                <w:szCs w:val="20"/>
              </w:rPr>
            </w:pPr>
            <w:r w:rsidRPr="00DD4419">
              <w:rPr>
                <w:rFonts w:asciiTheme="majorBidi" w:hAnsiTheme="majorBidi" w:cstheme="majorBidi"/>
                <w:sz w:val="20"/>
                <w:szCs w:val="20"/>
              </w:rPr>
              <w:t>Inventory and download spatial data.</w:t>
            </w:r>
          </w:p>
          <w:p w14:paraId="655EBE9E" w14:textId="77777777" w:rsidR="003C0A2E" w:rsidRPr="00DD4419" w:rsidRDefault="003C0A2E" w:rsidP="00DC59C4">
            <w:pPr>
              <w:pStyle w:val="ListParagraph"/>
              <w:numPr>
                <w:ilvl w:val="0"/>
                <w:numId w:val="2"/>
              </w:numPr>
              <w:suppressAutoHyphens w:val="0"/>
              <w:ind w:leftChars="0" w:left="321" w:firstLineChars="0" w:hanging="323"/>
              <w:textDirection w:val="lrTb"/>
              <w:textAlignment w:val="auto"/>
              <w:outlineLvl w:val="9"/>
              <w:rPr>
                <w:rFonts w:asciiTheme="majorBidi" w:hAnsiTheme="majorBidi" w:cstheme="majorBidi"/>
                <w:sz w:val="20"/>
                <w:szCs w:val="20"/>
              </w:rPr>
            </w:pPr>
            <w:r w:rsidRPr="00DD4419">
              <w:rPr>
                <w:rFonts w:asciiTheme="majorBidi" w:hAnsiTheme="majorBidi" w:cstheme="majorBidi"/>
                <w:sz w:val="20"/>
                <w:szCs w:val="20"/>
              </w:rPr>
              <w:t>Georeferencing of data.</w:t>
            </w:r>
          </w:p>
          <w:p w14:paraId="7EC39E8B" w14:textId="77777777" w:rsidR="003C0A2E" w:rsidRPr="00DD4419" w:rsidRDefault="003C0A2E" w:rsidP="00DC59C4">
            <w:pPr>
              <w:pStyle w:val="ListParagraph"/>
              <w:numPr>
                <w:ilvl w:val="0"/>
                <w:numId w:val="2"/>
              </w:numPr>
              <w:suppressAutoHyphens w:val="0"/>
              <w:ind w:leftChars="0" w:left="321" w:firstLineChars="0" w:hanging="323"/>
              <w:textDirection w:val="lrTb"/>
              <w:textAlignment w:val="auto"/>
              <w:outlineLvl w:val="9"/>
              <w:rPr>
                <w:rFonts w:asciiTheme="majorBidi" w:hAnsiTheme="majorBidi" w:cstheme="majorBidi"/>
                <w:sz w:val="20"/>
                <w:szCs w:val="20"/>
              </w:rPr>
            </w:pPr>
            <w:r w:rsidRPr="00DD4419">
              <w:rPr>
                <w:rFonts w:asciiTheme="majorBidi" w:hAnsiTheme="majorBidi" w:cstheme="majorBidi"/>
                <w:sz w:val="20"/>
                <w:szCs w:val="20"/>
              </w:rPr>
              <w:t>Digitizing the data (point, line, polygon).</w:t>
            </w:r>
          </w:p>
          <w:p w14:paraId="31A630F5" w14:textId="77777777" w:rsidR="003C0A2E" w:rsidRPr="00DD4419" w:rsidRDefault="003C0A2E" w:rsidP="00DC59C4">
            <w:pPr>
              <w:pStyle w:val="ListParagraph"/>
              <w:numPr>
                <w:ilvl w:val="0"/>
                <w:numId w:val="2"/>
              </w:numPr>
              <w:suppressAutoHyphens w:val="0"/>
              <w:ind w:leftChars="0" w:left="321" w:firstLineChars="0" w:hanging="323"/>
              <w:textDirection w:val="lrTb"/>
              <w:textAlignment w:val="auto"/>
              <w:outlineLvl w:val="9"/>
              <w:rPr>
                <w:rFonts w:asciiTheme="majorBidi" w:hAnsiTheme="majorBidi" w:cstheme="majorBidi"/>
                <w:sz w:val="20"/>
                <w:szCs w:val="20"/>
              </w:rPr>
            </w:pPr>
            <w:r w:rsidRPr="00DD4419">
              <w:rPr>
                <w:rFonts w:asciiTheme="majorBidi" w:hAnsiTheme="majorBidi" w:cstheme="majorBidi"/>
                <w:sz w:val="20"/>
                <w:szCs w:val="20"/>
              </w:rPr>
              <w:t>Filling attribute data.</w:t>
            </w:r>
          </w:p>
        </w:tc>
        <w:tc>
          <w:tcPr>
            <w:tcW w:w="2981" w:type="dxa"/>
            <w:tcBorders>
              <w:top w:val="single" w:sz="4" w:space="0" w:color="000000"/>
              <w:bottom w:val="single" w:sz="4" w:space="0" w:color="000000"/>
            </w:tcBorders>
          </w:tcPr>
          <w:p w14:paraId="4FB10796" w14:textId="77777777" w:rsidR="003C0A2E" w:rsidRPr="00DD4419" w:rsidRDefault="003C0A2E" w:rsidP="00DC59C4">
            <w:pPr>
              <w:pStyle w:val="ListParagraph"/>
              <w:numPr>
                <w:ilvl w:val="0"/>
                <w:numId w:val="3"/>
              </w:numPr>
              <w:suppressAutoHyphens w:val="0"/>
              <w:ind w:leftChars="0" w:left="321" w:firstLineChars="0" w:hanging="323"/>
              <w:textDirection w:val="lrTb"/>
              <w:textAlignment w:val="auto"/>
              <w:outlineLvl w:val="9"/>
              <w:rPr>
                <w:rFonts w:asciiTheme="majorBidi" w:hAnsiTheme="majorBidi" w:cstheme="majorBidi"/>
                <w:sz w:val="20"/>
                <w:szCs w:val="20"/>
              </w:rPr>
            </w:pPr>
            <w:r w:rsidRPr="00DD4419">
              <w:rPr>
                <w:rFonts w:asciiTheme="majorBidi" w:hAnsiTheme="majorBidi" w:cstheme="majorBidi"/>
                <w:sz w:val="20"/>
                <w:szCs w:val="20"/>
              </w:rPr>
              <w:t>Geoprocessing and spatial data analysis (vector/raster).</w:t>
            </w:r>
          </w:p>
          <w:p w14:paraId="557CE480" w14:textId="77777777" w:rsidR="003C0A2E" w:rsidRPr="00DD4419" w:rsidRDefault="003C0A2E" w:rsidP="00DC59C4">
            <w:pPr>
              <w:pStyle w:val="ListParagraph"/>
              <w:numPr>
                <w:ilvl w:val="0"/>
                <w:numId w:val="3"/>
              </w:numPr>
              <w:suppressAutoHyphens w:val="0"/>
              <w:ind w:leftChars="0" w:left="321" w:firstLineChars="0" w:hanging="323"/>
              <w:textDirection w:val="lrTb"/>
              <w:textAlignment w:val="auto"/>
              <w:outlineLvl w:val="9"/>
              <w:rPr>
                <w:rFonts w:asciiTheme="majorBidi" w:hAnsiTheme="majorBidi" w:cstheme="majorBidi"/>
                <w:sz w:val="20"/>
                <w:szCs w:val="20"/>
              </w:rPr>
            </w:pPr>
            <w:r w:rsidRPr="00DD4419">
              <w:rPr>
                <w:rFonts w:asciiTheme="majorBidi" w:hAnsiTheme="majorBidi" w:cstheme="majorBidi"/>
                <w:sz w:val="20"/>
                <w:szCs w:val="20"/>
              </w:rPr>
              <w:t>Application/case study using QGIS.</w:t>
            </w:r>
          </w:p>
          <w:p w14:paraId="3356E8A1" w14:textId="77777777" w:rsidR="003C0A2E" w:rsidRPr="00DD4419" w:rsidRDefault="003C0A2E" w:rsidP="00DC59C4">
            <w:pPr>
              <w:pStyle w:val="ListParagraph"/>
              <w:numPr>
                <w:ilvl w:val="0"/>
                <w:numId w:val="3"/>
              </w:numPr>
              <w:suppressAutoHyphens w:val="0"/>
              <w:ind w:leftChars="0" w:left="321" w:firstLineChars="0" w:hanging="323"/>
              <w:textDirection w:val="lrTb"/>
              <w:textAlignment w:val="auto"/>
              <w:outlineLvl w:val="9"/>
              <w:rPr>
                <w:rFonts w:asciiTheme="majorBidi" w:hAnsiTheme="majorBidi" w:cstheme="majorBidi"/>
                <w:sz w:val="20"/>
                <w:szCs w:val="20"/>
              </w:rPr>
            </w:pPr>
            <w:r w:rsidRPr="00DD4419">
              <w:rPr>
                <w:rFonts w:asciiTheme="majorBidi" w:hAnsiTheme="majorBidi" w:cstheme="majorBidi"/>
                <w:sz w:val="20"/>
                <w:szCs w:val="20"/>
              </w:rPr>
              <w:t>Independent work and presentation of result by participants.</w:t>
            </w:r>
          </w:p>
        </w:tc>
      </w:tr>
    </w:tbl>
    <w:p w14:paraId="02B89E41" w14:textId="77777777" w:rsidR="003C0A2E" w:rsidRPr="00DD4419" w:rsidRDefault="003C0A2E" w:rsidP="00DC59C4">
      <w:pPr>
        <w:spacing w:after="0"/>
        <w:ind w:left="0" w:hanging="2"/>
        <w:jc w:val="both"/>
        <w:rPr>
          <w:rFonts w:asciiTheme="majorBidi" w:hAnsiTheme="majorBidi" w:cstheme="majorBidi"/>
          <w:sz w:val="24"/>
          <w:szCs w:val="24"/>
        </w:rPr>
      </w:pPr>
    </w:p>
    <w:p w14:paraId="7F9BE28D" w14:textId="5746B0EB" w:rsidR="00F2321F" w:rsidRPr="00DD4419" w:rsidRDefault="00C6175C" w:rsidP="0062564C">
      <w:pPr>
        <w:spacing w:after="0"/>
        <w:ind w:left="0" w:hanging="2"/>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F2321F" w:rsidRPr="00DD4419">
        <w:rPr>
          <w:rFonts w:asciiTheme="majorBidi" w:hAnsiTheme="majorBidi" w:cstheme="majorBidi"/>
          <w:sz w:val="24"/>
          <w:szCs w:val="24"/>
        </w:rPr>
        <w:t>Before starting th</w:t>
      </w:r>
      <w:r w:rsidR="00181E5F" w:rsidRPr="00DD4419">
        <w:rPr>
          <w:rFonts w:asciiTheme="majorBidi" w:hAnsiTheme="majorBidi" w:cstheme="majorBidi"/>
          <w:sz w:val="24"/>
          <w:szCs w:val="24"/>
        </w:rPr>
        <w:t xml:space="preserve">is training, </w:t>
      </w:r>
      <w:r w:rsidR="00A53EC6" w:rsidRPr="00DD4419">
        <w:rPr>
          <w:rFonts w:asciiTheme="majorBidi" w:hAnsiTheme="majorBidi" w:cstheme="majorBidi"/>
          <w:sz w:val="24"/>
          <w:szCs w:val="24"/>
        </w:rPr>
        <w:t xml:space="preserve">allocated 30 minutes for participants </w:t>
      </w:r>
      <w:r w:rsidR="00F2321F" w:rsidRPr="00DD4419">
        <w:rPr>
          <w:rFonts w:asciiTheme="majorBidi" w:hAnsiTheme="majorBidi" w:cstheme="majorBidi"/>
          <w:sz w:val="24"/>
          <w:szCs w:val="24"/>
        </w:rPr>
        <w:t>to fill out the pre-test items</w:t>
      </w:r>
      <w:r w:rsidR="00181E5F" w:rsidRPr="00DD4419">
        <w:rPr>
          <w:rFonts w:asciiTheme="majorBidi" w:hAnsiTheme="majorBidi" w:cstheme="majorBidi"/>
          <w:sz w:val="24"/>
          <w:szCs w:val="24"/>
        </w:rPr>
        <w:t xml:space="preserve"> on </w:t>
      </w:r>
      <w:r w:rsidR="00F2321F" w:rsidRPr="00DD4419">
        <w:rPr>
          <w:rFonts w:asciiTheme="majorBidi" w:hAnsiTheme="majorBidi" w:cstheme="majorBidi"/>
          <w:sz w:val="24"/>
          <w:szCs w:val="24"/>
        </w:rPr>
        <w:t xml:space="preserve">Google Form. </w:t>
      </w:r>
      <w:r w:rsidR="006239C7" w:rsidRPr="00DD4419">
        <w:rPr>
          <w:rFonts w:asciiTheme="majorBidi" w:hAnsiTheme="majorBidi" w:cstheme="majorBidi"/>
          <w:sz w:val="24"/>
          <w:szCs w:val="24"/>
        </w:rPr>
        <w:t>These</w:t>
      </w:r>
      <w:r w:rsidR="00F2321F" w:rsidRPr="00DD4419">
        <w:rPr>
          <w:rFonts w:asciiTheme="majorBidi" w:hAnsiTheme="majorBidi" w:cstheme="majorBidi"/>
          <w:sz w:val="24"/>
          <w:szCs w:val="24"/>
        </w:rPr>
        <w:t xml:space="preserve"> items </w:t>
      </w:r>
      <w:r w:rsidR="00181E5F" w:rsidRPr="00DD4419">
        <w:rPr>
          <w:rFonts w:asciiTheme="majorBidi" w:hAnsiTheme="majorBidi" w:cstheme="majorBidi"/>
          <w:sz w:val="24"/>
          <w:szCs w:val="24"/>
        </w:rPr>
        <w:t>consist of 2 parts,</w:t>
      </w:r>
      <w:r w:rsidR="00F2321F" w:rsidRPr="00DD4419">
        <w:rPr>
          <w:rFonts w:asciiTheme="majorBidi" w:hAnsiTheme="majorBidi" w:cstheme="majorBidi"/>
          <w:sz w:val="24"/>
          <w:szCs w:val="24"/>
        </w:rPr>
        <w:t xml:space="preserve"> 1) spatial habits (pattern recognition, spatial description, visualization, </w:t>
      </w:r>
      <w:r w:rsidR="00EE6722" w:rsidRPr="00DD4419">
        <w:rPr>
          <w:rFonts w:asciiTheme="majorBidi" w:hAnsiTheme="majorBidi" w:cstheme="majorBidi"/>
          <w:sz w:val="24"/>
          <w:szCs w:val="24"/>
        </w:rPr>
        <w:t xml:space="preserve">usage of spatial </w:t>
      </w:r>
      <w:r w:rsidR="008B0749" w:rsidRPr="00DD4419">
        <w:rPr>
          <w:rFonts w:asciiTheme="majorBidi" w:hAnsiTheme="majorBidi" w:cstheme="majorBidi"/>
          <w:sz w:val="24"/>
          <w:szCs w:val="24"/>
        </w:rPr>
        <w:t>concept</w:t>
      </w:r>
      <w:r w:rsidR="00F2321F" w:rsidRPr="00DD4419">
        <w:rPr>
          <w:rFonts w:asciiTheme="majorBidi" w:hAnsiTheme="majorBidi" w:cstheme="majorBidi"/>
          <w:sz w:val="24"/>
          <w:szCs w:val="24"/>
        </w:rPr>
        <w:t xml:space="preserve">, and </w:t>
      </w:r>
      <w:r w:rsidR="00EE6722" w:rsidRPr="00DD4419">
        <w:rPr>
          <w:rFonts w:asciiTheme="majorBidi" w:hAnsiTheme="majorBidi" w:cstheme="majorBidi"/>
          <w:sz w:val="24"/>
          <w:szCs w:val="24"/>
        </w:rPr>
        <w:t>usage of spatial tools</w:t>
      </w:r>
      <w:r w:rsidR="00181E5F" w:rsidRPr="00DD4419">
        <w:rPr>
          <w:rFonts w:asciiTheme="majorBidi" w:hAnsiTheme="majorBidi" w:cstheme="majorBidi"/>
          <w:sz w:val="24"/>
          <w:szCs w:val="24"/>
        </w:rPr>
        <w:t xml:space="preserve">); 2) spatial </w:t>
      </w:r>
      <w:r w:rsidR="00181E5F" w:rsidRPr="00DD4419">
        <w:rPr>
          <w:rFonts w:asciiTheme="majorBidi" w:hAnsiTheme="majorBidi" w:cstheme="majorBidi"/>
          <w:sz w:val="24"/>
          <w:szCs w:val="24"/>
        </w:rPr>
        <w:lastRenderedPageBreak/>
        <w:t>knowledge in multiple choice</w:t>
      </w:r>
      <w:r w:rsidR="00F2321F" w:rsidRPr="00DD4419">
        <w:rPr>
          <w:rFonts w:asciiTheme="majorBidi" w:hAnsiTheme="majorBidi" w:cstheme="majorBidi"/>
          <w:sz w:val="24"/>
          <w:szCs w:val="24"/>
        </w:rPr>
        <w:t xml:space="preserve">. </w:t>
      </w:r>
      <w:r w:rsidR="00181E5F" w:rsidRPr="00DD4419">
        <w:rPr>
          <w:rFonts w:asciiTheme="majorBidi" w:hAnsiTheme="majorBidi" w:cstheme="majorBidi"/>
          <w:sz w:val="24"/>
          <w:szCs w:val="24"/>
        </w:rPr>
        <w:t>A</w:t>
      </w:r>
      <w:r w:rsidR="00F2321F" w:rsidRPr="00DD4419">
        <w:rPr>
          <w:rFonts w:asciiTheme="majorBidi" w:hAnsiTheme="majorBidi" w:cstheme="majorBidi"/>
          <w:sz w:val="24"/>
          <w:szCs w:val="24"/>
        </w:rPr>
        <w:t xml:space="preserve">fter the training was completed, participants were again given post-test items similar to the pre-test. We completed the evaluation by observing participants' skills using QGIS through self-paced assignments and </w:t>
      </w:r>
      <w:r w:rsidR="00181E5F" w:rsidRPr="00DD4419">
        <w:rPr>
          <w:rFonts w:asciiTheme="majorBidi" w:hAnsiTheme="majorBidi" w:cstheme="majorBidi"/>
          <w:sz w:val="24"/>
          <w:szCs w:val="24"/>
        </w:rPr>
        <w:t xml:space="preserve">results </w:t>
      </w:r>
      <w:r w:rsidR="00F2321F" w:rsidRPr="00DD4419">
        <w:rPr>
          <w:rFonts w:asciiTheme="majorBidi" w:hAnsiTheme="majorBidi" w:cstheme="majorBidi"/>
          <w:sz w:val="24"/>
          <w:szCs w:val="24"/>
        </w:rPr>
        <w:t>presentation</w:t>
      </w:r>
      <w:r w:rsidR="00181E5F" w:rsidRPr="00DD4419">
        <w:rPr>
          <w:rFonts w:asciiTheme="majorBidi" w:hAnsiTheme="majorBidi" w:cstheme="majorBidi"/>
          <w:sz w:val="24"/>
          <w:szCs w:val="24"/>
        </w:rPr>
        <w:t xml:space="preserve">. </w:t>
      </w:r>
      <w:r w:rsidR="0062564C" w:rsidRPr="00DD4419">
        <w:rPr>
          <w:rFonts w:asciiTheme="majorBidi" w:hAnsiTheme="majorBidi" w:cstheme="majorBidi"/>
          <w:sz w:val="24"/>
          <w:szCs w:val="24"/>
        </w:rPr>
        <w:t xml:space="preserve">QGIS provides geospatial processing algorithms from other tools, such as GDAL, GRASS, and SAGA </w:t>
      </w:r>
      <w:r w:rsidR="0062564C" w:rsidRPr="00C6175C">
        <w:rPr>
          <w:rFonts w:asciiTheme="majorBidi" w:hAnsiTheme="majorBidi" w:cstheme="majorBidi"/>
          <w:sz w:val="24"/>
          <w:szCs w:val="24"/>
        </w:rPr>
        <w:fldChar w:fldCharType="begin"/>
      </w:r>
      <w:r w:rsidR="0062564C" w:rsidRPr="00C6175C">
        <w:rPr>
          <w:rFonts w:asciiTheme="majorBidi" w:hAnsiTheme="majorBidi" w:cstheme="majorBidi"/>
          <w:sz w:val="24"/>
          <w:szCs w:val="24"/>
        </w:rPr>
        <w:instrText xml:space="preserve"> ADDIN ZOTERO_ITEM CSL_CITATION {"citationID":"FnQSEGYd","properties":{"formattedCitation":"(Vitalis et al., 2020)","plainCitation":"(Vitalis et al., 2020)","noteIndex":0},"citationItems":[{"id":562,"uris":["http://zotero.org/users/local/eLG7HXo0/items/7YJX6FSX"],"uri":["http://zotero.org/users/local/eLG7HXo0/items/7YJX6FSX"],"itemData":{"id":562,"type":"article-journal","abstract":"When QGIS 3.0 was released in 2018, it added support for 3D visualisation. At the same time, CityJSON has been developing as an easy-to-use JavaScript Object Notation (JSON) encoding for 3D city models using the CityGML 2.0 data model. Together, this opened the possibility to support semantic 3D city models in the popular open-source GIS software for the first time. In order to add support for 3D city models in QGIS, we have developed a plugin that enables CityJSON datasets to be loaded. The plugin parses a CityJSON file and analyses its tree structure to identify all city objects. Then, the geometry and attributes of every city object are transformed into QGIS features and divided into layers according to user preferences. CityJSON parsing was proven to be straightforward and consistent when tested against several open datasets. One of the biggest challenges we faced, though, was mapping CityJSON’s hierarchical data structure to the relational model of QGIS. We undertook this issue by providing various methods on how geometries from the model are loaded as QGIS features. We intend to use the plugin for educational purposes in our university and we believe it can be proven a worthy tool for researchers and practitioners.","container-title":"Transactions in GIS","DOI":"10.1111/tgis.12657","ISSN":"1467-9671","issue":"5","language":"en","note":"_eprint: https://onlinelibrary.wiley.com/doi/pdf/10.1111/tgis.12657","page":"1147-1164","source":"Wiley Online Library","title":"CityJSON in QGIS: Development of an open-source plugin","title-short":"CityJSON in QGIS","volume":"24","author":[{"family":"Vitalis","given":"Stelios"},{"family":"Arroyo Ohori","given":"Ken"},{"family":"Stoter","given":"Jantien"}],"issued":{"date-parts":[["2020"]]}}}],"schema":"https://github.com/citation-style-language/schema/raw/master/csl-citation.json"} </w:instrText>
      </w:r>
      <w:r w:rsidR="0062564C" w:rsidRPr="00C6175C">
        <w:rPr>
          <w:rFonts w:asciiTheme="majorBidi" w:hAnsiTheme="majorBidi" w:cstheme="majorBidi"/>
          <w:sz w:val="24"/>
          <w:szCs w:val="24"/>
        </w:rPr>
        <w:fldChar w:fldCharType="separate"/>
      </w:r>
      <w:r w:rsidR="0062564C" w:rsidRPr="00C6175C">
        <w:rPr>
          <w:rFonts w:ascii="Times New Roman" w:hAnsi="Times New Roman" w:cs="Times New Roman"/>
          <w:sz w:val="24"/>
        </w:rPr>
        <w:t>(Vitalis et al., 2020)</w:t>
      </w:r>
      <w:r w:rsidR="0062564C" w:rsidRPr="00C6175C">
        <w:rPr>
          <w:rFonts w:asciiTheme="majorBidi" w:hAnsiTheme="majorBidi" w:cstheme="majorBidi"/>
          <w:sz w:val="24"/>
          <w:szCs w:val="24"/>
        </w:rPr>
        <w:fldChar w:fldCharType="end"/>
      </w:r>
      <w:r w:rsidR="0062564C" w:rsidRPr="00C6175C">
        <w:rPr>
          <w:rFonts w:asciiTheme="majorBidi" w:hAnsiTheme="majorBidi" w:cstheme="majorBidi"/>
          <w:sz w:val="24"/>
          <w:szCs w:val="24"/>
        </w:rPr>
        <w:t xml:space="preserve">. </w:t>
      </w:r>
      <w:r w:rsidR="00181E5F" w:rsidRPr="00C6175C">
        <w:rPr>
          <w:rFonts w:asciiTheme="majorBidi" w:hAnsiTheme="majorBidi" w:cstheme="majorBidi"/>
          <w:sz w:val="24"/>
          <w:szCs w:val="24"/>
        </w:rPr>
        <w:t xml:space="preserve">To trigger their enthusiasm in participating in our training, there are </w:t>
      </w:r>
      <w:r w:rsidR="00F2321F" w:rsidRPr="00C6175C">
        <w:rPr>
          <w:rFonts w:asciiTheme="majorBidi" w:hAnsiTheme="majorBidi" w:cstheme="majorBidi"/>
          <w:sz w:val="24"/>
          <w:szCs w:val="24"/>
        </w:rPr>
        <w:t>reward scheme</w:t>
      </w:r>
      <w:r w:rsidR="00181E5F" w:rsidRPr="00C6175C">
        <w:rPr>
          <w:rFonts w:asciiTheme="majorBidi" w:hAnsiTheme="majorBidi" w:cstheme="majorBidi"/>
          <w:sz w:val="24"/>
          <w:szCs w:val="24"/>
        </w:rPr>
        <w:t>s</w:t>
      </w:r>
      <w:r w:rsidR="00F2321F" w:rsidRPr="00C6175C">
        <w:rPr>
          <w:rFonts w:asciiTheme="majorBidi" w:hAnsiTheme="majorBidi" w:cstheme="majorBidi"/>
          <w:sz w:val="24"/>
          <w:szCs w:val="24"/>
        </w:rPr>
        <w:t xml:space="preserve"> for the best and most active participants </w:t>
      </w:r>
      <w:r w:rsidR="00F2321F" w:rsidRPr="00C6175C">
        <w:rPr>
          <w:rFonts w:asciiTheme="majorBidi" w:hAnsiTheme="majorBidi" w:cstheme="majorBidi"/>
          <w:sz w:val="24"/>
          <w:szCs w:val="24"/>
        </w:rPr>
        <w:fldChar w:fldCharType="begin"/>
      </w:r>
      <w:r w:rsidR="00F2321F" w:rsidRPr="00C6175C">
        <w:rPr>
          <w:rFonts w:asciiTheme="majorBidi" w:hAnsiTheme="majorBidi" w:cstheme="majorBidi"/>
          <w:sz w:val="24"/>
          <w:szCs w:val="24"/>
        </w:rPr>
        <w:instrText xml:space="preserve"> ADDIN ZOTERO_ITEM CSL_CITATION {"citationID":"oT6zIrd9","properties":{"formattedCitation":"(Jovanovic &amp; Matejevic, 2014)","plainCitation":"(Jovanovic &amp; Matejevic, 2014)","noteIndex":0},"citationItems":[{"id":432,"uris":["http://zotero.org/users/local/eLG7HXo0/items/ZPYFQSUL"],"uri":["http://zotero.org/users/local/eLG7HXo0/items/ZPYFQSUL"],"itemData":{"id":432,"type":"article-journal","abstract":"In this paper, we review some of the initial researches, conducted during the 70’s and later, about the potential role of external rewards on intrinsic motivation for learning. This is considered from different theoretical approaches such as self-determination theory, cognitive approach, attribution theory, general interest theory, behaviorist approach. The review is divided into three parts. Firstly, we review researches related to the effect of external reward on reducing internal motivation for learning and some research which is opposite to them. Secondly, we discuss the benefits of motivation for improving creative achievements. Thirdly, a significant part of this paper refers to analyzing the interests, as a part of students' intrinsic motivation, which are not given enough attention in literature. Finally, we draw conclusions from the researches review. In the summary, analyzing these early researches, we can say that there is a good evidence that rewards have a strong influence on the students’ motivation for learning and high creative outcomes which is opposite to some initial researches (although this depends on the type of undertaking rewards). Considering these early researches indicates that producing negative effects requires combining specific conditions that are not characteristic for activities in everyday life, especially in school life and the idea that rewards disturb intrinsic motivation of individual requires a more detailed analysis. We believe that rewards are not harmful, which is proved by some researches, and that there is a certain interrelation between external motivators and task-oriented motivation which is confirmed by the cognitive approach. Future researches should be oriented towards the examination of the impact of different types of interests on learning and the variety of personal motives, examining the interactions between motivation and cognitive constructs, but also on how to develop personal interests and motivational constructs.","container-title":"Procedia - Social and Behavioral Sciences","DOI":"10.1016/j.sbspro.2014.08.287","ISSN":"18770428","language":"en","page":"456-460","source":"DOI Content Negotiation","title":"Relationship between rewards and intrinsic motivation for learning – researches review","volume":"149","author":[{"family":"Jovanovic","given":"Dragana"},{"family":"Matejevic","given":"Marina"}],"issued":{"date-parts":[["2014"]]}}}],"schema":"https://github.com/citation-style-language/schema/raw/master/csl-citation.json"} </w:instrText>
      </w:r>
      <w:r w:rsidR="00F2321F" w:rsidRPr="00C6175C">
        <w:rPr>
          <w:rFonts w:asciiTheme="majorBidi" w:hAnsiTheme="majorBidi" w:cstheme="majorBidi"/>
          <w:sz w:val="24"/>
          <w:szCs w:val="24"/>
        </w:rPr>
        <w:fldChar w:fldCharType="separate"/>
      </w:r>
      <w:r w:rsidR="00F2321F" w:rsidRPr="00C6175C">
        <w:rPr>
          <w:rFonts w:asciiTheme="majorBidi" w:hAnsiTheme="majorBidi" w:cstheme="majorBidi"/>
          <w:sz w:val="24"/>
          <w:szCs w:val="24"/>
        </w:rPr>
        <w:t>(Jovanovic &amp; Matejevic, 2014)</w:t>
      </w:r>
      <w:r w:rsidR="00F2321F" w:rsidRPr="00C6175C">
        <w:rPr>
          <w:rFonts w:asciiTheme="majorBidi" w:hAnsiTheme="majorBidi" w:cstheme="majorBidi"/>
          <w:sz w:val="24"/>
          <w:szCs w:val="24"/>
        </w:rPr>
        <w:fldChar w:fldCharType="end"/>
      </w:r>
      <w:r w:rsidR="00F2321F" w:rsidRPr="00C6175C">
        <w:rPr>
          <w:rFonts w:asciiTheme="majorBidi" w:hAnsiTheme="majorBidi" w:cstheme="majorBidi"/>
          <w:sz w:val="24"/>
          <w:szCs w:val="24"/>
        </w:rPr>
        <w:t>.</w:t>
      </w:r>
      <w:r w:rsidR="0062564C" w:rsidRPr="00DD4419">
        <w:rPr>
          <w:rFonts w:asciiTheme="majorBidi" w:hAnsiTheme="majorBidi" w:cstheme="majorBidi"/>
          <w:sz w:val="24"/>
          <w:szCs w:val="24"/>
        </w:rPr>
        <w:t xml:space="preserve"> </w:t>
      </w:r>
    </w:p>
    <w:p w14:paraId="1A4F2B3F" w14:textId="77777777" w:rsidR="00181E5F" w:rsidRPr="00DD4419" w:rsidRDefault="00181E5F" w:rsidP="00DC59C4">
      <w:pPr>
        <w:spacing w:after="0"/>
        <w:ind w:left="0" w:hanging="2"/>
        <w:jc w:val="both"/>
        <w:rPr>
          <w:rFonts w:asciiTheme="majorBidi" w:hAnsiTheme="majorBidi" w:cstheme="majorBidi"/>
          <w:sz w:val="24"/>
          <w:szCs w:val="24"/>
        </w:rPr>
      </w:pPr>
    </w:p>
    <w:p w14:paraId="6A3AC934" w14:textId="77777777" w:rsidR="00181E5F" w:rsidRPr="00DD4419" w:rsidRDefault="00181E5F"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D4419">
        <w:rPr>
          <w:rFonts w:ascii="Times New Roman" w:eastAsia="Times New Roman" w:hAnsi="Times New Roman" w:cs="Times New Roman"/>
          <w:i/>
          <w:color w:val="000000"/>
          <w:sz w:val="24"/>
          <w:szCs w:val="24"/>
        </w:rPr>
        <w:t xml:space="preserve">Data analysis  </w:t>
      </w:r>
    </w:p>
    <w:p w14:paraId="6C45CE5E" w14:textId="77777777" w:rsidR="002C2789" w:rsidRPr="00DD4419" w:rsidRDefault="002C2789"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D0ADD5D" w14:textId="77777777" w:rsidR="002C2789" w:rsidRPr="00DD4419" w:rsidRDefault="00C16BDE"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D4419">
        <w:rPr>
          <w:rFonts w:ascii="Times New Roman" w:eastAsia="Times New Roman" w:hAnsi="Times New Roman" w:cs="Times New Roman"/>
          <w:color w:val="000000"/>
          <w:sz w:val="24"/>
          <w:szCs w:val="24"/>
        </w:rPr>
        <w:t>a. T</w:t>
      </w:r>
      <w:r w:rsidR="002C2789" w:rsidRPr="00DD4419">
        <w:rPr>
          <w:rFonts w:ascii="Times New Roman" w:eastAsia="Times New Roman" w:hAnsi="Times New Roman" w:cs="Times New Roman"/>
          <w:color w:val="000000"/>
          <w:sz w:val="24"/>
          <w:szCs w:val="24"/>
        </w:rPr>
        <w:t>est items</w:t>
      </w:r>
      <w:r w:rsidRPr="00DD4419">
        <w:rPr>
          <w:rFonts w:ascii="Times New Roman" w:eastAsia="Times New Roman" w:hAnsi="Times New Roman" w:cs="Times New Roman"/>
          <w:color w:val="000000"/>
          <w:sz w:val="24"/>
          <w:szCs w:val="24"/>
        </w:rPr>
        <w:t xml:space="preserve"> analysis</w:t>
      </w:r>
    </w:p>
    <w:p w14:paraId="34DB244F" w14:textId="77777777" w:rsidR="002C2789" w:rsidRPr="00DD4419" w:rsidRDefault="002C2789"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60CB746" w14:textId="78F12A0D" w:rsidR="00850014" w:rsidRDefault="00850014" w:rsidP="00C6175C">
      <w:pPr>
        <w:spacing w:after="0" w:line="240" w:lineRule="auto"/>
        <w:ind w:left="0" w:hanging="2"/>
        <w:jc w:val="both"/>
        <w:rPr>
          <w:rFonts w:asciiTheme="majorBidi" w:hAnsiTheme="majorBidi" w:cstheme="majorBidi"/>
          <w:sz w:val="24"/>
          <w:szCs w:val="24"/>
        </w:rPr>
      </w:pPr>
      <w:r w:rsidRPr="00DD4419">
        <w:rPr>
          <w:rFonts w:asciiTheme="majorBidi" w:hAnsiTheme="majorBidi" w:cstheme="majorBidi"/>
          <w:sz w:val="24"/>
          <w:szCs w:val="24"/>
        </w:rPr>
        <w:t xml:space="preserve">Item analysis on spatial habits only includes </w:t>
      </w:r>
      <w:r w:rsidR="008263A2" w:rsidRPr="00DD4419">
        <w:rPr>
          <w:rFonts w:asciiTheme="majorBidi" w:hAnsiTheme="majorBidi" w:cstheme="majorBidi"/>
          <w:sz w:val="24"/>
          <w:szCs w:val="24"/>
        </w:rPr>
        <w:t>validity and reliability tests. S</w:t>
      </w:r>
      <w:r w:rsidRPr="00DD4419">
        <w:rPr>
          <w:rFonts w:asciiTheme="majorBidi" w:hAnsiTheme="majorBidi" w:cstheme="majorBidi"/>
          <w:sz w:val="24"/>
          <w:szCs w:val="24"/>
        </w:rPr>
        <w:t>pecifically on spatial knowledge</w:t>
      </w:r>
      <w:r w:rsidR="00D165E8" w:rsidRPr="00DD4419">
        <w:rPr>
          <w:rFonts w:asciiTheme="majorBidi" w:hAnsiTheme="majorBidi" w:cstheme="majorBidi"/>
          <w:sz w:val="24"/>
          <w:szCs w:val="24"/>
        </w:rPr>
        <w:t xml:space="preserve"> on spatial knowledge improvement</w:t>
      </w:r>
      <w:r w:rsidRPr="00DD4419">
        <w:rPr>
          <w:rFonts w:asciiTheme="majorBidi" w:hAnsiTheme="majorBidi" w:cstheme="majorBidi"/>
          <w:sz w:val="24"/>
          <w:szCs w:val="24"/>
        </w:rPr>
        <w:t xml:space="preserve"> added to the difficulty </w:t>
      </w:r>
      <w:r w:rsidR="00E13A86" w:rsidRPr="00DD4419">
        <w:rPr>
          <w:rFonts w:asciiTheme="majorBidi" w:hAnsiTheme="majorBidi" w:cstheme="majorBidi"/>
          <w:sz w:val="24"/>
          <w:szCs w:val="24"/>
        </w:rPr>
        <w:t xml:space="preserve">level </w:t>
      </w:r>
      <w:r w:rsidRPr="00DD4419">
        <w:rPr>
          <w:rFonts w:asciiTheme="majorBidi" w:hAnsiTheme="majorBidi" w:cstheme="majorBidi"/>
          <w:sz w:val="24"/>
          <w:szCs w:val="24"/>
        </w:rPr>
        <w:t xml:space="preserve">and </w:t>
      </w:r>
      <w:r w:rsidR="00E13A86" w:rsidRPr="00DD4419">
        <w:rPr>
          <w:rFonts w:asciiTheme="majorBidi" w:hAnsiTheme="majorBidi" w:cstheme="majorBidi"/>
          <w:sz w:val="24"/>
          <w:szCs w:val="24"/>
        </w:rPr>
        <w:t xml:space="preserve">discrimination </w:t>
      </w:r>
      <w:r w:rsidRPr="00DD4419">
        <w:rPr>
          <w:rFonts w:asciiTheme="majorBidi" w:hAnsiTheme="majorBidi" w:cstheme="majorBidi"/>
          <w:sz w:val="24"/>
          <w:szCs w:val="24"/>
        </w:rPr>
        <w:t xml:space="preserve">tests. The validity test is useful for measuring the accuracy of items presented, while the reliability can measure the consistency of a test </w:t>
      </w:r>
      <w:r w:rsidRPr="00C6175C">
        <w:rPr>
          <w:rFonts w:asciiTheme="majorBidi" w:hAnsiTheme="majorBidi" w:cstheme="majorBidi"/>
          <w:sz w:val="24"/>
          <w:szCs w:val="24"/>
        </w:rPr>
        <w:fldChar w:fldCharType="begin"/>
      </w:r>
      <w:r w:rsidRPr="00C6175C">
        <w:rPr>
          <w:rFonts w:asciiTheme="majorBidi" w:hAnsiTheme="majorBidi" w:cstheme="majorBidi"/>
          <w:sz w:val="24"/>
          <w:szCs w:val="24"/>
        </w:rPr>
        <w:instrText xml:space="preserve"> ADDIN ZOTERO_ITEM CSL_CITATION {"citationID":"wd8U5Odw","properties":{"formattedCitation":"(Taherdoost, 2016)","plainCitation":"(Taherdoost, 2016)","noteIndex":0},"citationItems":[{"id":434,"uris":["http://zotero.org/users/local/eLG7HXo0/items/LTY2SE26"],"uri":["http://zotero.org/users/local/eLG7HXo0/items/LTY2SE26"],"itemData":{"id":434,"type":"article-journal","abstract":"Questionnaire is one of the most widely used tools to collect data in especially social science research. The main objective of questionnaire in research is to obtain relevant information in most reliable and valid manner. Thus the accuracy and consistency of survey/questionnaire forms a significant aspect of research methodology which are known as validity and reliability. Often new researchers are confused with selection and conducting of proper validity type to test their research instrument (questionnaire/survey). This review article explores and describes the validity and reliability of a questionnaire/survey and also discusses various forms of validity and reliability tests.","container-title":"International Journal of Academic Research in Management","DOI":"10.2139/ssrn.3205040","journalAbbreviation":"International Journal of Academic Research in Management","page":"28-36","source":"ResearchGate","title":"Validity and reliability of the research instrument; how to test the validation of a questionnaire/survey in a research","volume":"5","author":[{"family":"Taherdoost","given":"Hamed"}],"issued":{"date-parts":[["2016"]]}}}],"schema":"https://github.com/citation-style-language/schema/raw/master/csl-citation.json"} </w:instrText>
      </w:r>
      <w:r w:rsidRPr="00C6175C">
        <w:rPr>
          <w:rFonts w:asciiTheme="majorBidi" w:hAnsiTheme="majorBidi" w:cstheme="majorBidi"/>
          <w:sz w:val="24"/>
          <w:szCs w:val="24"/>
        </w:rPr>
        <w:fldChar w:fldCharType="separate"/>
      </w:r>
      <w:r w:rsidRPr="00C6175C">
        <w:rPr>
          <w:rFonts w:asciiTheme="majorBidi" w:hAnsiTheme="majorBidi" w:cstheme="majorBidi"/>
          <w:sz w:val="24"/>
          <w:szCs w:val="24"/>
        </w:rPr>
        <w:t>(Taherdoost, 2016)</w:t>
      </w:r>
      <w:r w:rsidRPr="00C6175C">
        <w:rPr>
          <w:rFonts w:asciiTheme="majorBidi" w:hAnsiTheme="majorBidi" w:cstheme="majorBidi"/>
          <w:sz w:val="24"/>
          <w:szCs w:val="24"/>
        </w:rPr>
        <w:fldChar w:fldCharType="end"/>
      </w:r>
      <w:r w:rsidRPr="00C6175C">
        <w:rPr>
          <w:rFonts w:asciiTheme="majorBidi" w:hAnsiTheme="majorBidi" w:cstheme="majorBidi"/>
          <w:sz w:val="24"/>
          <w:szCs w:val="24"/>
        </w:rPr>
        <w:t xml:space="preserve">. Difficulty level can indicate whether the item is classified as hard, moderate or easy </w:t>
      </w:r>
      <w:r w:rsidRPr="00C6175C">
        <w:rPr>
          <w:rFonts w:asciiTheme="majorBidi" w:hAnsiTheme="majorBidi" w:cstheme="majorBidi"/>
          <w:sz w:val="24"/>
          <w:szCs w:val="24"/>
        </w:rPr>
        <w:fldChar w:fldCharType="begin"/>
      </w:r>
      <w:r w:rsidRPr="00C6175C">
        <w:rPr>
          <w:rFonts w:asciiTheme="majorBidi" w:hAnsiTheme="majorBidi" w:cstheme="majorBidi"/>
          <w:sz w:val="24"/>
          <w:szCs w:val="24"/>
        </w:rPr>
        <w:instrText xml:space="preserve"> ADDIN ZOTERO_ITEM CSL_CITATION {"citationID":"tKI7AReS","properties":{"formattedCitation":"(Johari et al., 2011)","plainCitation":"(Johari et al., 2011)","noteIndex":0},"citationItems":[{"id":407,"uris":["http://zotero.org/users/local/eLG7HXo0/items/HPNK847K"],"uri":["http://zotero.org/users/local/eLG7HXo0/items/HPNK847K"],"itemData":{"id":407,"type":"article-journal","abstract":"Verifications on the achievement of programme outcomes in engineering programmes is a key requirement in the accreditation of such programmes. Various methods have been used to assess student’s performance, for example, through assignments, tests, laboratory work, final examinations and group assignment. An issue that often arises is whether the assessment methods are actually testing the abilities of the students, in other words, whether the tasks or questions formulated are too easy or too difficult for academicians to ascertain whether students have achieved the stated programme outcomes. It will be necessary to verify the achievement through a quantitative and systematic assessment system. This paper reports a preliminary study on the assessment of the final examination questions of KJ4953 and KP4213 courses at the Department of Mechanical and Materials Engineering, Universiti Kebangsaan Malaysia for determining the difficulty index of examinations and how the index can be related to the achievement of programme outcomes (PO). For both KJ4953 and KP4213 courses in the 2009/2010 session, it is found that all the exams questions are appropriate to measure the programme outcomes for both courses as it can be classified as moderate and too hard with regards to their difficulty levels.","container-title":"Procedia - Social and Behavioral Sciences","DOI":"10.1016/j.sbspro.2011.05.011","ISSN":"18770428","language":"en","page":"71-80","source":"DOI Content Negotiation","title":"Difficulty index of examinations and their relation to the achievement of programme outcomes","volume":"18","author":[{"family":"Johari","given":"Juridah"},{"family":"Sahari","given":"Jaafar"},{"family":"Wahab","given":"Dzuraidah Abd"},{"family":"Abdullah","given":"Shahrum"},{"family":"Abdullah","given":"Shahrir"},{"family":"Omar","given":"Mohd Zaidi"},{"family":"Muhamad","given":"Norhamidi"}],"issued":{"date-parts":[["2011"]]}}}],"schema":"https://github.com/citation-style-language/schema/raw/master/csl-citation.json"} </w:instrText>
      </w:r>
      <w:r w:rsidRPr="00C6175C">
        <w:rPr>
          <w:rFonts w:asciiTheme="majorBidi" w:hAnsiTheme="majorBidi" w:cstheme="majorBidi"/>
          <w:sz w:val="24"/>
          <w:szCs w:val="24"/>
        </w:rPr>
        <w:fldChar w:fldCharType="separate"/>
      </w:r>
      <w:r w:rsidRPr="00C6175C">
        <w:rPr>
          <w:rFonts w:asciiTheme="majorBidi" w:hAnsiTheme="majorBidi" w:cstheme="majorBidi"/>
          <w:sz w:val="24"/>
          <w:szCs w:val="24"/>
        </w:rPr>
        <w:t>(Johari et al., 2011)</w:t>
      </w:r>
      <w:r w:rsidRPr="00C6175C">
        <w:rPr>
          <w:rFonts w:asciiTheme="majorBidi" w:hAnsiTheme="majorBidi" w:cstheme="majorBidi"/>
          <w:sz w:val="24"/>
          <w:szCs w:val="24"/>
        </w:rPr>
        <w:fldChar w:fldCharType="end"/>
      </w:r>
      <w:r w:rsidRPr="00C6175C">
        <w:rPr>
          <w:rFonts w:asciiTheme="majorBidi" w:hAnsiTheme="majorBidi" w:cstheme="majorBidi"/>
          <w:sz w:val="24"/>
          <w:szCs w:val="24"/>
        </w:rPr>
        <w:t>. On the other hand, discrimination</w:t>
      </w:r>
      <w:r w:rsidR="00E13A86" w:rsidRPr="00C6175C">
        <w:rPr>
          <w:rFonts w:asciiTheme="majorBidi" w:hAnsiTheme="majorBidi" w:cstheme="majorBidi"/>
          <w:sz w:val="24"/>
          <w:szCs w:val="24"/>
        </w:rPr>
        <w:t xml:space="preserve"> test</w:t>
      </w:r>
      <w:r w:rsidRPr="00C6175C">
        <w:rPr>
          <w:rFonts w:asciiTheme="majorBidi" w:hAnsiTheme="majorBidi" w:cstheme="majorBidi"/>
          <w:sz w:val="24"/>
          <w:szCs w:val="24"/>
        </w:rPr>
        <w:t xml:space="preserve"> is useful </w:t>
      </w:r>
      <w:r w:rsidR="000E4EC9" w:rsidRPr="00C6175C">
        <w:rPr>
          <w:rFonts w:asciiTheme="majorBidi" w:hAnsiTheme="majorBidi" w:cstheme="majorBidi"/>
          <w:sz w:val="24"/>
          <w:szCs w:val="24"/>
        </w:rPr>
        <w:t xml:space="preserve">to differentiate among students based on how well they know the material being tested </w:t>
      </w:r>
      <w:r w:rsidRPr="00C6175C">
        <w:rPr>
          <w:rFonts w:asciiTheme="majorBidi" w:hAnsiTheme="majorBidi" w:cstheme="majorBidi"/>
          <w:sz w:val="24"/>
          <w:szCs w:val="24"/>
        </w:rPr>
        <w:t>(</w:t>
      </w:r>
      <w:r w:rsidRPr="00C6175C">
        <w:rPr>
          <w:rFonts w:asciiTheme="majorBidi" w:hAnsiTheme="majorBidi" w:cstheme="majorBidi"/>
          <w:sz w:val="24"/>
          <w:szCs w:val="24"/>
        </w:rPr>
        <w:fldChar w:fldCharType="begin"/>
      </w:r>
      <w:r w:rsidRPr="00C6175C">
        <w:rPr>
          <w:rFonts w:asciiTheme="majorBidi" w:hAnsiTheme="majorBidi" w:cstheme="majorBidi"/>
          <w:sz w:val="24"/>
          <w:szCs w:val="24"/>
        </w:rPr>
        <w:instrText xml:space="preserve"> ADDIN ZOTERO_ITEM CSL_CITATION {"citationID":"pF5rix0Q","properties":{"formattedCitation":"(Friatma &amp; Anhar, 2019)","plainCitation":"(Friatma &amp; Anhar, 2019)","dontUpdate":true,"noteIndex":0},"citationItems":[{"id":405,"uris":["http://zotero.org/users/local/eLG7HXo0/items/AXTZ5RMY"],"uri":["http://zotero.org/users/local/eLG7HXo0/items/AXTZ5RMY"],"itemData":{"id":405,"type":"article-journal","abstract":"Assessment is not only to measure learning progress, but also allows educators use information of student condition to improve learning. Result of students final exam eight grade in science subjects at SMPN 2 Lembah Gumanti are low. Items of question that are not qualified can be a factor that makes the results of the assessment low. Quality of items is not yet known because the teacher has not carried out the analysis. Therefore, need to analyze the quality of items in several aspects. This type of research is descriptive research. Sample are items on biology topics. Data are item sheet, answer key and answer sheets which is taken through documentation. Analysis is carried out with a program was name Anates version 4.0.9. The results of data analysis were obtained: 1) validity, 65.38 % invalid, 2) reliability of 0.67 classified as sufficient, 3) level of difficulty, 11.53 % very easy, 7.69 % easy, 50% medium, 19.23% difficult, and 11.53 % very difficult, 4) discrimination, 15% very bad, 15 % bad, 30% enough, and 40% good, 5) distraction effectiveness, 24.36 % does not work. It can be concluded that the item does not match the criteria either.","container-title":"Journal of Physics: Conference Series","DOI":"10.1088/1742-6596/1387/1/012063","ISSN":"1742-6588, 1742-6596","language":"en","page":"012063","source":"DOI Content Negotiation","title":"Analysis of validity, reliability, discrimination, difficulty and distraction effectiveness in learning assessment","volume":"1387","author":[{"family":"Friatma","given":"A"},{"family":"Anhar","given":"A"}],"issued":{"date-parts":[["2019"]]}}}],"schema":"https://github.com/citation-style-language/schema/raw/master/csl-citation.json"} </w:instrText>
      </w:r>
      <w:r w:rsidRPr="00C6175C">
        <w:rPr>
          <w:rFonts w:asciiTheme="majorBidi" w:hAnsiTheme="majorBidi" w:cstheme="majorBidi"/>
          <w:sz w:val="24"/>
          <w:szCs w:val="24"/>
        </w:rPr>
        <w:fldChar w:fldCharType="separate"/>
      </w:r>
      <w:r w:rsidRPr="00C6175C">
        <w:rPr>
          <w:rFonts w:asciiTheme="majorBidi" w:hAnsiTheme="majorBidi" w:cstheme="majorBidi"/>
          <w:sz w:val="24"/>
          <w:szCs w:val="24"/>
        </w:rPr>
        <w:t>Friatma &amp; Anhar, 2019)</w:t>
      </w:r>
      <w:r w:rsidRPr="00C6175C">
        <w:rPr>
          <w:rFonts w:asciiTheme="majorBidi" w:hAnsiTheme="majorBidi" w:cstheme="majorBidi"/>
          <w:sz w:val="24"/>
          <w:szCs w:val="24"/>
        </w:rPr>
        <w:fldChar w:fldCharType="end"/>
      </w:r>
      <w:r w:rsidRPr="00C6175C">
        <w:rPr>
          <w:rFonts w:asciiTheme="majorBidi" w:hAnsiTheme="majorBidi" w:cstheme="majorBidi"/>
          <w:sz w:val="24"/>
          <w:szCs w:val="24"/>
        </w:rPr>
        <w:t xml:space="preserve">. </w:t>
      </w:r>
      <w:r w:rsidR="005D0C87" w:rsidRPr="00C6175C">
        <w:rPr>
          <w:rFonts w:asciiTheme="majorBidi" w:hAnsiTheme="majorBidi" w:cstheme="majorBidi"/>
          <w:sz w:val="24"/>
          <w:szCs w:val="24"/>
        </w:rPr>
        <w:t xml:space="preserve">The validity test adapt the Spearman-Rank correlation method to observe the spatial habit type, meanwhile Pearson correlation has been used for spatial knowledge type, and Cronbach's Alpha to measure the reliability </w:t>
      </w:r>
      <w:r w:rsidRPr="00C6175C">
        <w:rPr>
          <w:rFonts w:asciiTheme="majorBidi" w:hAnsiTheme="majorBidi" w:cstheme="majorBidi"/>
          <w:sz w:val="24"/>
          <w:szCs w:val="24"/>
        </w:rPr>
        <w:fldChar w:fldCharType="begin"/>
      </w:r>
      <w:r w:rsidR="00814A95" w:rsidRPr="00C6175C">
        <w:rPr>
          <w:rFonts w:asciiTheme="majorBidi" w:hAnsiTheme="majorBidi" w:cstheme="majorBidi"/>
          <w:sz w:val="24"/>
          <w:szCs w:val="24"/>
        </w:rPr>
        <w:instrText xml:space="preserve"> ADDIN ZOTERO_ITEM CSL_CITATION {"citationID":"av4cjg7uu9","properties":{"formattedCitation":"(Bonett &amp; Wright, 2014; de Barros Ahrens et al., 2020)","plainCitation":"(Bonett &amp; Wright, 2014; de Barros Ahrens et al., 2020)","noteIndex":0},"citationItems":[{"id":437,"uris":["http://zotero.org/users/local/eLG7HXo0/items/CV4R4BBI"],"uri":["http://zotero.org/users/local/eLG7HXo0/items/CV4R4BBI"],"itemData":{"id":437,"type":"article-journal","abstract":"Cronbach's alpha is one of the most widely used measures of reliability in the social and organizational sciences. Current practice is to report the sample value of Cronbach's alpha reliability, but a confidence interval for the population reliability value also should be reported. The traditional confidence interval for the population value of Cronbach's alpha makes an unnecessarily restrictive assumption that the multiple measurements have equal variances and equal covariances. We propose a confidence interval that does not require equal variances or equal covariances. The results of a simulation study demonstrated that the proposed method performed better than alternative methods. We also present some sample size formulas that approximate the sample size requirements for desired power or desired confidence interval precision. R functions are provided that can be used to implement the proposed confidence interval and sample size methods. Copyright © 2014 John Wiley &amp; Sons, Ltd.","container-title":"Journal of Organizational Behavior","DOI":"10.1002/job.1960","journalAbbreviation":"Journal of Organizational Behavior","source":"ResearchGate","title":"Cronbach's alpha reliability: Interval estimation, hypothesis testing, and sample size planning","title-short":"Cronbach's alpha reliability","volume":"36","author":[{"family":"Bonett","given":"Douglas"},{"family":"Wright","given":"Thomas"}],"issued":{"date-parts":[["2014"]]}}},{"id":485,"uris":["http://zotero.org/users/local/eLG7HXo0/items/K2SLP93Z"],"uri":["http://zotero.org/users/local/eLG7HXo0/items/K2SLP93Z"],"itemData":{"id":485,"type":"article-journal","abstract":"The purpose of this study was to validate the construct and reliability of an instrument to assess the work environment as a single tool based on quality of life (QL), quality of work life (QWL), and organizational climate (OC). The methodology tested the construct validity through Exploratory Factor Analysis (EFA) and reliability through Cronbach&amp;rsquo;s alpha. The EFA returned a Kaiser&amp;ndash;Meyer&amp;ndash;Olkin (KMO) value of 0.917; which demonstrated that the data were adequate for the factor analysis; and a significant Bartlett&amp;rsquo;s test of sphericity (&amp;chi;&amp;sup2; = 7465.349; Df = 1225; p &amp;le; 0.000). After the EFA; the varimax rotation method was employed for a factor through commonality analysis; reducing the 14 initial factors to 10. Only question 30 presented commonality lower than 0.5; and the other questions returned values higher than 0.5 in the commonality analysis. Regarding the reliability of the instrument; all of the questions presented reliability as the values varied between 0.953 and 0.956. Thus; the instrument demonstrated construct validity and reliability","container-title":"International Journal of Environmental Research and Public Health","DOI":"10.3390/ijerph17207364","issue":"20","language":"en","page":"7364","source":"www.mdpi.com","title":"Construct validity and reliability of the work environment assessment instrument WE-10","volume":"17","author":[{"family":"Barros Ahrens","given":"Rudy","non-dropping-particle":"de"},{"family":"Silva Lirani","given":"Luciana","non-dropping-particle":"da"},{"family":"Francisco","given":"Antonio Carlos","non-dropping-particle":"de"}],"issued":{"date-parts":[["2020"]]}}}],"schema":"https://github.com/citation-style-language/schema/raw/master/csl-citation.json"} </w:instrText>
      </w:r>
      <w:r w:rsidRPr="00C6175C">
        <w:rPr>
          <w:rFonts w:asciiTheme="majorBidi" w:hAnsiTheme="majorBidi" w:cstheme="majorBidi"/>
          <w:sz w:val="24"/>
          <w:szCs w:val="24"/>
        </w:rPr>
        <w:fldChar w:fldCharType="separate"/>
      </w:r>
      <w:r w:rsidR="00814A95" w:rsidRPr="00C6175C">
        <w:rPr>
          <w:rFonts w:ascii="Times New Roman" w:hAnsi="Times New Roman" w:cs="Times New Roman"/>
          <w:sz w:val="24"/>
          <w:szCs w:val="24"/>
        </w:rPr>
        <w:t>(Bonett &amp; Wright, 2014; de Barros Ahrens et al., 2020)</w:t>
      </w:r>
      <w:r w:rsidRPr="00C6175C">
        <w:rPr>
          <w:rFonts w:asciiTheme="majorBidi" w:hAnsiTheme="majorBidi" w:cstheme="majorBidi"/>
          <w:sz w:val="24"/>
          <w:szCs w:val="24"/>
        </w:rPr>
        <w:fldChar w:fldCharType="end"/>
      </w:r>
      <w:r w:rsidRPr="00C6175C">
        <w:rPr>
          <w:rFonts w:asciiTheme="majorBidi" w:hAnsiTheme="majorBidi" w:cstheme="majorBidi"/>
          <w:sz w:val="24"/>
          <w:szCs w:val="24"/>
        </w:rPr>
        <w:t xml:space="preserve">. </w:t>
      </w:r>
      <w:r w:rsidR="00282E79" w:rsidRPr="00C6175C">
        <w:rPr>
          <w:rFonts w:asciiTheme="majorBidi" w:hAnsiTheme="majorBidi" w:cstheme="majorBidi"/>
          <w:sz w:val="24"/>
          <w:szCs w:val="24"/>
        </w:rPr>
        <w:t>The</w:t>
      </w:r>
      <w:r w:rsidR="00DC59C4" w:rsidRPr="00C6175C">
        <w:rPr>
          <w:rFonts w:asciiTheme="majorBidi" w:hAnsiTheme="majorBidi" w:cstheme="majorBidi"/>
          <w:sz w:val="24"/>
          <w:szCs w:val="24"/>
        </w:rPr>
        <w:t xml:space="preserve"> items </w:t>
      </w:r>
      <w:r w:rsidR="00BC0DC5" w:rsidRPr="00C6175C">
        <w:rPr>
          <w:rFonts w:asciiTheme="majorBidi" w:hAnsiTheme="majorBidi" w:cstheme="majorBidi"/>
          <w:sz w:val="24"/>
          <w:szCs w:val="24"/>
        </w:rPr>
        <w:t xml:space="preserve">are </w:t>
      </w:r>
      <w:r w:rsidR="00DC59C4" w:rsidRPr="00C6175C">
        <w:rPr>
          <w:rFonts w:asciiTheme="majorBidi" w:hAnsiTheme="majorBidi" w:cstheme="majorBidi"/>
          <w:sz w:val="24"/>
          <w:szCs w:val="24"/>
        </w:rPr>
        <w:t xml:space="preserve">considered </w:t>
      </w:r>
      <w:r w:rsidR="00282E79" w:rsidRPr="00C6175C">
        <w:rPr>
          <w:rFonts w:asciiTheme="majorBidi" w:hAnsiTheme="majorBidi" w:cstheme="majorBidi"/>
          <w:sz w:val="24"/>
          <w:szCs w:val="24"/>
        </w:rPr>
        <w:t xml:space="preserve">appropriate if they meet the criteria for item analysis as presented in the </w:t>
      </w:r>
      <w:r w:rsidRPr="00C6175C">
        <w:rPr>
          <w:rFonts w:asciiTheme="majorBidi" w:hAnsiTheme="majorBidi" w:cstheme="majorBidi"/>
          <w:sz w:val="24"/>
          <w:szCs w:val="24"/>
        </w:rPr>
        <w:t>Table 2</w:t>
      </w:r>
      <w:r w:rsidR="00DC59C4" w:rsidRPr="00C6175C">
        <w:rPr>
          <w:rFonts w:asciiTheme="majorBidi" w:hAnsiTheme="majorBidi" w:cstheme="majorBidi"/>
          <w:sz w:val="24"/>
          <w:szCs w:val="24"/>
        </w:rPr>
        <w:t xml:space="preserve">. The validity test </w:t>
      </w:r>
      <w:r w:rsidR="00DC59C4" w:rsidRPr="00DD4419">
        <w:rPr>
          <w:rFonts w:asciiTheme="majorBidi" w:hAnsiTheme="majorBidi" w:cstheme="majorBidi"/>
          <w:sz w:val="24"/>
          <w:szCs w:val="24"/>
        </w:rPr>
        <w:t>on all subcategories of spatial habit items showed a high level. Likewise, the reliability of all spatial habit items reached 0.797 (very high), thus the test items were consistent (</w:t>
      </w:r>
      <w:r w:rsidR="00DC59C4" w:rsidRPr="00C6175C">
        <w:rPr>
          <w:rFonts w:asciiTheme="majorBidi" w:hAnsiTheme="majorBidi" w:cstheme="majorBidi"/>
          <w:sz w:val="24"/>
          <w:szCs w:val="24"/>
        </w:rPr>
        <w:t>Table 3</w:t>
      </w:r>
      <w:r w:rsidR="00DC59C4" w:rsidRPr="00DD4419">
        <w:rPr>
          <w:rFonts w:asciiTheme="majorBidi" w:hAnsiTheme="majorBidi" w:cstheme="majorBidi"/>
          <w:sz w:val="24"/>
          <w:szCs w:val="24"/>
        </w:rPr>
        <w:t>). Meanwhile, items of spatial knowledge have varying validity with Cronbach's Alpha of 0.685 (high).</w:t>
      </w:r>
    </w:p>
    <w:p w14:paraId="56E71D2C" w14:textId="77777777" w:rsidR="00C6175C" w:rsidRPr="00DD4419" w:rsidRDefault="00C6175C" w:rsidP="00C6175C">
      <w:pPr>
        <w:spacing w:after="0" w:line="240" w:lineRule="auto"/>
        <w:ind w:left="0" w:hanging="2"/>
        <w:jc w:val="both"/>
        <w:rPr>
          <w:rFonts w:asciiTheme="majorBidi" w:hAnsiTheme="majorBidi" w:cstheme="majorBidi"/>
          <w:sz w:val="24"/>
          <w:szCs w:val="24"/>
        </w:rPr>
      </w:pPr>
    </w:p>
    <w:p w14:paraId="40DFEAB2" w14:textId="74169A33" w:rsidR="002A7C2B" w:rsidRDefault="002A7C2B" w:rsidP="00DC59C4">
      <w:pPr>
        <w:suppressAutoHyphens w:val="0"/>
        <w:spacing w:after="0" w:line="240" w:lineRule="auto"/>
        <w:ind w:leftChars="0" w:left="0" w:firstLineChars="0" w:firstLine="567"/>
        <w:jc w:val="center"/>
        <w:textDirection w:val="lrTb"/>
        <w:textAlignment w:val="auto"/>
        <w:outlineLvl w:val="9"/>
        <w:rPr>
          <w:rFonts w:ascii="Times New Roman" w:hAnsi="Times New Roman" w:cs="Times New Roman"/>
          <w:position w:val="0"/>
          <w:sz w:val="20"/>
          <w:szCs w:val="20"/>
        </w:rPr>
      </w:pPr>
      <w:r w:rsidRPr="00DD4419">
        <w:rPr>
          <w:rFonts w:ascii="Times New Roman" w:hAnsi="Times New Roman" w:cs="Times New Roman"/>
          <w:b/>
          <w:bCs/>
          <w:position w:val="0"/>
          <w:sz w:val="20"/>
          <w:szCs w:val="20"/>
        </w:rPr>
        <w:t xml:space="preserve">Table 2. </w:t>
      </w:r>
      <w:r w:rsidR="006D2B18" w:rsidRPr="00DD4419">
        <w:rPr>
          <w:rFonts w:ascii="Times New Roman" w:hAnsi="Times New Roman" w:cs="Times New Roman"/>
          <w:position w:val="0"/>
          <w:sz w:val="20"/>
          <w:szCs w:val="20"/>
        </w:rPr>
        <w:t>Criteria of t</w:t>
      </w:r>
      <w:r w:rsidRPr="00DD4419">
        <w:rPr>
          <w:rFonts w:ascii="Times New Roman" w:hAnsi="Times New Roman" w:cs="Times New Roman"/>
          <w:position w:val="0"/>
          <w:sz w:val="20"/>
          <w:szCs w:val="20"/>
        </w:rPr>
        <w:t>est items.</w:t>
      </w:r>
    </w:p>
    <w:p w14:paraId="2226844D" w14:textId="77777777" w:rsidR="00C6175C" w:rsidRPr="00C6175C" w:rsidRDefault="00C6175C" w:rsidP="00DC59C4">
      <w:pPr>
        <w:suppressAutoHyphens w:val="0"/>
        <w:spacing w:after="0" w:line="240" w:lineRule="auto"/>
        <w:ind w:leftChars="0" w:left="0" w:firstLineChars="0" w:firstLine="567"/>
        <w:jc w:val="center"/>
        <w:textDirection w:val="lrTb"/>
        <w:textAlignment w:val="auto"/>
        <w:outlineLvl w:val="9"/>
        <w:rPr>
          <w:rFonts w:ascii="Times New Roman" w:hAnsi="Times New Roman" w:cs="Times New Roman"/>
          <w:position w:val="0"/>
          <w:sz w:val="16"/>
          <w:szCs w:val="16"/>
        </w:rPr>
      </w:pPr>
    </w:p>
    <w:tbl>
      <w:tblPr>
        <w:tblStyle w:val="TableGrid3"/>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557"/>
        <w:gridCol w:w="2126"/>
        <w:gridCol w:w="2409"/>
      </w:tblGrid>
      <w:tr w:rsidR="002A7C2B" w:rsidRPr="00DD4419" w14:paraId="6D1B7E61" w14:textId="77777777" w:rsidTr="00986FD0">
        <w:trPr>
          <w:trHeight w:val="300"/>
        </w:trPr>
        <w:tc>
          <w:tcPr>
            <w:tcW w:w="2263" w:type="dxa"/>
            <w:tcBorders>
              <w:top w:val="single" w:sz="4" w:space="0" w:color="000000"/>
              <w:bottom w:val="single" w:sz="4" w:space="0" w:color="000000"/>
            </w:tcBorders>
            <w:shd w:val="clear" w:color="auto" w:fill="B8CCE4"/>
            <w:vAlign w:val="center"/>
          </w:tcPr>
          <w:p w14:paraId="693B8893" w14:textId="77777777" w:rsidR="002A7C2B" w:rsidRPr="00DD4419" w:rsidRDefault="002A7C2B" w:rsidP="00DC59C4">
            <w:pPr>
              <w:suppressAutoHyphens w:val="0"/>
              <w:ind w:leftChars="0" w:left="0" w:firstLineChars="0" w:firstLine="0"/>
              <w:textDirection w:val="lrTb"/>
              <w:textAlignment w:val="auto"/>
              <w:outlineLvl w:val="9"/>
              <w:rPr>
                <w:rFonts w:eastAsia="Times New Roman"/>
                <w:b/>
                <w:bCs/>
                <w:position w:val="0"/>
                <w:sz w:val="20"/>
                <w:szCs w:val="20"/>
              </w:rPr>
            </w:pPr>
            <w:r w:rsidRPr="00DD4419">
              <w:rPr>
                <w:rFonts w:eastAsia="Times New Roman"/>
                <w:b/>
                <w:bCs/>
                <w:position w:val="0"/>
                <w:sz w:val="20"/>
                <w:szCs w:val="20"/>
              </w:rPr>
              <w:t>Validity</w:t>
            </w:r>
          </w:p>
        </w:tc>
        <w:tc>
          <w:tcPr>
            <w:tcW w:w="2557" w:type="dxa"/>
            <w:tcBorders>
              <w:top w:val="single" w:sz="4" w:space="0" w:color="000000"/>
              <w:bottom w:val="single" w:sz="4" w:space="0" w:color="000000"/>
            </w:tcBorders>
            <w:shd w:val="clear" w:color="auto" w:fill="B8CCE4"/>
            <w:noWrap/>
            <w:vAlign w:val="center"/>
            <w:hideMark/>
          </w:tcPr>
          <w:p w14:paraId="2BF36E68" w14:textId="77777777" w:rsidR="002A7C2B" w:rsidRPr="00DD4419" w:rsidRDefault="002A7C2B" w:rsidP="00DC59C4">
            <w:pPr>
              <w:suppressAutoHyphens w:val="0"/>
              <w:ind w:leftChars="0" w:left="0" w:firstLineChars="0" w:firstLine="0"/>
              <w:textDirection w:val="lrTb"/>
              <w:textAlignment w:val="auto"/>
              <w:outlineLvl w:val="9"/>
              <w:rPr>
                <w:rFonts w:eastAsia="Times New Roman"/>
                <w:b/>
                <w:bCs/>
                <w:position w:val="0"/>
                <w:sz w:val="20"/>
                <w:szCs w:val="20"/>
              </w:rPr>
            </w:pPr>
            <w:r w:rsidRPr="00DD4419">
              <w:rPr>
                <w:rFonts w:eastAsia="Times New Roman"/>
                <w:b/>
                <w:bCs/>
                <w:position w:val="0"/>
                <w:sz w:val="20"/>
                <w:szCs w:val="20"/>
              </w:rPr>
              <w:t>Reliability</w:t>
            </w:r>
          </w:p>
        </w:tc>
        <w:tc>
          <w:tcPr>
            <w:tcW w:w="2126" w:type="dxa"/>
            <w:tcBorders>
              <w:top w:val="single" w:sz="4" w:space="0" w:color="000000"/>
              <w:bottom w:val="single" w:sz="4" w:space="0" w:color="000000"/>
            </w:tcBorders>
            <w:shd w:val="clear" w:color="auto" w:fill="B8CCE4"/>
            <w:noWrap/>
            <w:vAlign w:val="center"/>
            <w:hideMark/>
          </w:tcPr>
          <w:p w14:paraId="34DF610D" w14:textId="77777777" w:rsidR="002A7C2B" w:rsidRPr="00DD4419" w:rsidRDefault="002A7C2B" w:rsidP="00DC59C4">
            <w:pPr>
              <w:suppressAutoHyphens w:val="0"/>
              <w:ind w:leftChars="0" w:left="0" w:firstLineChars="0" w:firstLine="0"/>
              <w:textDirection w:val="lrTb"/>
              <w:textAlignment w:val="auto"/>
              <w:outlineLvl w:val="9"/>
              <w:rPr>
                <w:rFonts w:eastAsia="Times New Roman"/>
                <w:b/>
                <w:bCs/>
                <w:position w:val="0"/>
                <w:sz w:val="20"/>
                <w:szCs w:val="20"/>
              </w:rPr>
            </w:pPr>
            <w:r w:rsidRPr="00DD4419">
              <w:rPr>
                <w:rFonts w:eastAsia="Times New Roman"/>
                <w:b/>
                <w:bCs/>
                <w:position w:val="0"/>
                <w:sz w:val="20"/>
                <w:szCs w:val="20"/>
              </w:rPr>
              <w:t>Difficulty Level</w:t>
            </w:r>
          </w:p>
        </w:tc>
        <w:tc>
          <w:tcPr>
            <w:tcW w:w="2409" w:type="dxa"/>
            <w:tcBorders>
              <w:top w:val="single" w:sz="4" w:space="0" w:color="000000"/>
              <w:bottom w:val="single" w:sz="4" w:space="0" w:color="000000"/>
            </w:tcBorders>
            <w:shd w:val="clear" w:color="auto" w:fill="B8CCE4"/>
            <w:noWrap/>
            <w:vAlign w:val="center"/>
            <w:hideMark/>
          </w:tcPr>
          <w:p w14:paraId="789AFE52" w14:textId="77777777" w:rsidR="002A7C2B" w:rsidRPr="00DD4419" w:rsidRDefault="002A7C2B" w:rsidP="00DC59C4">
            <w:pPr>
              <w:suppressAutoHyphens w:val="0"/>
              <w:ind w:leftChars="0" w:left="0" w:firstLineChars="0" w:firstLine="0"/>
              <w:textDirection w:val="lrTb"/>
              <w:textAlignment w:val="auto"/>
              <w:outlineLvl w:val="9"/>
              <w:rPr>
                <w:rFonts w:eastAsia="Times New Roman"/>
                <w:b/>
                <w:bCs/>
                <w:position w:val="0"/>
                <w:sz w:val="20"/>
                <w:szCs w:val="20"/>
              </w:rPr>
            </w:pPr>
            <w:r w:rsidRPr="00DD4419">
              <w:rPr>
                <w:rFonts w:eastAsia="Times New Roman"/>
                <w:b/>
                <w:bCs/>
                <w:position w:val="0"/>
                <w:sz w:val="20"/>
                <w:szCs w:val="20"/>
              </w:rPr>
              <w:t>Discrimination</w:t>
            </w:r>
          </w:p>
        </w:tc>
      </w:tr>
      <w:tr w:rsidR="002A7C2B" w:rsidRPr="00DD4419" w14:paraId="07AFB059" w14:textId="77777777" w:rsidTr="00986FD0">
        <w:trPr>
          <w:trHeight w:val="300"/>
        </w:trPr>
        <w:tc>
          <w:tcPr>
            <w:tcW w:w="2263" w:type="dxa"/>
            <w:tcBorders>
              <w:top w:val="single" w:sz="4" w:space="0" w:color="000000"/>
            </w:tcBorders>
          </w:tcPr>
          <w:p w14:paraId="52CC5356"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0-0.25 (Very low)</w:t>
            </w:r>
          </w:p>
        </w:tc>
        <w:tc>
          <w:tcPr>
            <w:tcW w:w="2557" w:type="dxa"/>
            <w:tcBorders>
              <w:top w:val="single" w:sz="4" w:space="0" w:color="000000"/>
            </w:tcBorders>
            <w:noWrap/>
            <w:hideMark/>
          </w:tcPr>
          <w:p w14:paraId="03A5ED14"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0.80 - 1.00 (Very reliable)</w:t>
            </w:r>
          </w:p>
        </w:tc>
        <w:tc>
          <w:tcPr>
            <w:tcW w:w="2126" w:type="dxa"/>
            <w:tcBorders>
              <w:top w:val="single" w:sz="4" w:space="0" w:color="000000"/>
            </w:tcBorders>
            <w:noWrap/>
            <w:hideMark/>
          </w:tcPr>
          <w:p w14:paraId="0F84BBC9"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0.00 - 0.20 (Hard)</w:t>
            </w:r>
          </w:p>
        </w:tc>
        <w:tc>
          <w:tcPr>
            <w:tcW w:w="2409" w:type="dxa"/>
            <w:tcBorders>
              <w:top w:val="single" w:sz="4" w:space="0" w:color="000000"/>
            </w:tcBorders>
            <w:noWrap/>
          </w:tcPr>
          <w:p w14:paraId="7224C53D"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0.40-1.00 (Excellent)</w:t>
            </w:r>
          </w:p>
        </w:tc>
      </w:tr>
      <w:tr w:rsidR="002A7C2B" w:rsidRPr="00DD4419" w14:paraId="50367927" w14:textId="77777777" w:rsidTr="00986FD0">
        <w:trPr>
          <w:trHeight w:val="300"/>
        </w:trPr>
        <w:tc>
          <w:tcPr>
            <w:tcW w:w="2263" w:type="dxa"/>
          </w:tcPr>
          <w:p w14:paraId="7A0CEB1E"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0.26-0.49 (Low)</w:t>
            </w:r>
          </w:p>
        </w:tc>
        <w:tc>
          <w:tcPr>
            <w:tcW w:w="2557" w:type="dxa"/>
            <w:noWrap/>
            <w:hideMark/>
          </w:tcPr>
          <w:p w14:paraId="5CA4E538"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0.60 - 0.79 (Reliable)</w:t>
            </w:r>
          </w:p>
        </w:tc>
        <w:tc>
          <w:tcPr>
            <w:tcW w:w="2126" w:type="dxa"/>
            <w:noWrap/>
            <w:hideMark/>
          </w:tcPr>
          <w:p w14:paraId="3CFA70FB"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0.20 - 0.55 (Moderate)</w:t>
            </w:r>
          </w:p>
        </w:tc>
        <w:tc>
          <w:tcPr>
            <w:tcW w:w="2409" w:type="dxa"/>
            <w:noWrap/>
          </w:tcPr>
          <w:p w14:paraId="6ECD2CA4"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0.30-0.39 (Good)</w:t>
            </w:r>
          </w:p>
        </w:tc>
      </w:tr>
      <w:tr w:rsidR="002A7C2B" w:rsidRPr="00DD4419" w14:paraId="5163DAEF" w14:textId="77777777" w:rsidTr="00986FD0">
        <w:trPr>
          <w:trHeight w:val="300"/>
        </w:trPr>
        <w:tc>
          <w:tcPr>
            <w:tcW w:w="2263" w:type="dxa"/>
          </w:tcPr>
          <w:p w14:paraId="54D2A475"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0.50-0.69 (Moderate)</w:t>
            </w:r>
          </w:p>
        </w:tc>
        <w:tc>
          <w:tcPr>
            <w:tcW w:w="2557" w:type="dxa"/>
            <w:noWrap/>
            <w:hideMark/>
          </w:tcPr>
          <w:p w14:paraId="2FFC0DCC"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0.40 - 0.50 (Quite reliable)</w:t>
            </w:r>
          </w:p>
        </w:tc>
        <w:tc>
          <w:tcPr>
            <w:tcW w:w="2126" w:type="dxa"/>
            <w:noWrap/>
            <w:hideMark/>
          </w:tcPr>
          <w:p w14:paraId="73AA1729"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 xml:space="preserve"> &gt; 0.55 (Easy)</w:t>
            </w:r>
          </w:p>
        </w:tc>
        <w:tc>
          <w:tcPr>
            <w:tcW w:w="2409" w:type="dxa"/>
            <w:noWrap/>
          </w:tcPr>
          <w:p w14:paraId="5F4767BE"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0.20-0.29 (Acceptable)</w:t>
            </w:r>
          </w:p>
        </w:tc>
      </w:tr>
      <w:tr w:rsidR="002A7C2B" w:rsidRPr="00DD4419" w14:paraId="489DB810" w14:textId="77777777" w:rsidTr="00986FD0">
        <w:trPr>
          <w:trHeight w:val="300"/>
        </w:trPr>
        <w:tc>
          <w:tcPr>
            <w:tcW w:w="2263" w:type="dxa"/>
          </w:tcPr>
          <w:p w14:paraId="7ED2E6C6"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0.70-0.89 (High)</w:t>
            </w:r>
          </w:p>
        </w:tc>
        <w:tc>
          <w:tcPr>
            <w:tcW w:w="2557" w:type="dxa"/>
            <w:noWrap/>
            <w:hideMark/>
          </w:tcPr>
          <w:p w14:paraId="7BEC45F8"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0.20 - 0.39 (Rather reliable)</w:t>
            </w:r>
          </w:p>
        </w:tc>
        <w:tc>
          <w:tcPr>
            <w:tcW w:w="2126" w:type="dxa"/>
            <w:noWrap/>
            <w:hideMark/>
          </w:tcPr>
          <w:p w14:paraId="324527AA"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p>
        </w:tc>
        <w:tc>
          <w:tcPr>
            <w:tcW w:w="2409" w:type="dxa"/>
            <w:noWrap/>
          </w:tcPr>
          <w:p w14:paraId="220F863E"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&lt; 0.19 (Poor)</w:t>
            </w:r>
          </w:p>
        </w:tc>
      </w:tr>
      <w:tr w:rsidR="002A7C2B" w:rsidRPr="00DD4419" w14:paraId="51F724D0" w14:textId="77777777" w:rsidTr="00986FD0">
        <w:trPr>
          <w:trHeight w:val="300"/>
        </w:trPr>
        <w:tc>
          <w:tcPr>
            <w:tcW w:w="2263" w:type="dxa"/>
            <w:tcBorders>
              <w:bottom w:val="single" w:sz="4" w:space="0" w:color="000000"/>
            </w:tcBorders>
          </w:tcPr>
          <w:p w14:paraId="65AB18D9"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0.90-1.0 (Very high)</w:t>
            </w:r>
          </w:p>
        </w:tc>
        <w:tc>
          <w:tcPr>
            <w:tcW w:w="2557" w:type="dxa"/>
            <w:tcBorders>
              <w:bottom w:val="single" w:sz="4" w:space="0" w:color="000000"/>
            </w:tcBorders>
            <w:noWrap/>
            <w:hideMark/>
          </w:tcPr>
          <w:p w14:paraId="6FE53145"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r w:rsidRPr="00DD4419">
              <w:rPr>
                <w:rFonts w:eastAsia="Times New Roman"/>
                <w:position w:val="0"/>
                <w:sz w:val="20"/>
                <w:szCs w:val="20"/>
              </w:rPr>
              <w:t>&lt; 0.20 (Less reliable)</w:t>
            </w:r>
          </w:p>
        </w:tc>
        <w:tc>
          <w:tcPr>
            <w:tcW w:w="2126" w:type="dxa"/>
            <w:tcBorders>
              <w:bottom w:val="single" w:sz="4" w:space="0" w:color="000000"/>
            </w:tcBorders>
            <w:noWrap/>
            <w:hideMark/>
          </w:tcPr>
          <w:p w14:paraId="46A0083F"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p>
        </w:tc>
        <w:tc>
          <w:tcPr>
            <w:tcW w:w="2409" w:type="dxa"/>
            <w:tcBorders>
              <w:bottom w:val="single" w:sz="4" w:space="0" w:color="000000"/>
            </w:tcBorders>
            <w:noWrap/>
            <w:hideMark/>
          </w:tcPr>
          <w:p w14:paraId="04692D2F" w14:textId="77777777" w:rsidR="002A7C2B" w:rsidRPr="00DD4419" w:rsidRDefault="002A7C2B" w:rsidP="00DC59C4">
            <w:pPr>
              <w:suppressAutoHyphens w:val="0"/>
              <w:ind w:leftChars="0" w:left="0" w:firstLineChars="0" w:firstLine="0"/>
              <w:textDirection w:val="lrTb"/>
              <w:textAlignment w:val="auto"/>
              <w:outlineLvl w:val="9"/>
              <w:rPr>
                <w:rFonts w:eastAsia="Times New Roman"/>
                <w:position w:val="0"/>
                <w:sz w:val="20"/>
                <w:szCs w:val="20"/>
              </w:rPr>
            </w:pPr>
          </w:p>
        </w:tc>
      </w:tr>
    </w:tbl>
    <w:p w14:paraId="114C1702" w14:textId="50BEB645" w:rsidR="002A7C2B" w:rsidRDefault="002A7C2B" w:rsidP="00DC59C4">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3F635739" w14:textId="77777777" w:rsidR="00C6175C" w:rsidRPr="00C6175C" w:rsidRDefault="00C6175C" w:rsidP="00DC59C4">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48471377" w14:textId="77777777" w:rsidR="00C6175C" w:rsidRDefault="002A7C2B" w:rsidP="00DC59C4">
      <w:pPr>
        <w:suppressAutoHyphens w:val="0"/>
        <w:spacing w:after="0" w:line="240" w:lineRule="auto"/>
        <w:ind w:leftChars="0" w:left="0" w:firstLineChars="0" w:firstLine="567"/>
        <w:jc w:val="center"/>
        <w:textDirection w:val="lrTb"/>
        <w:textAlignment w:val="auto"/>
        <w:outlineLvl w:val="9"/>
        <w:rPr>
          <w:rFonts w:ascii="Times New Roman" w:hAnsi="Times New Roman" w:cs="Times New Roman"/>
          <w:position w:val="0"/>
          <w:sz w:val="20"/>
          <w:szCs w:val="20"/>
        </w:rPr>
      </w:pPr>
      <w:r w:rsidRPr="00DD4419">
        <w:rPr>
          <w:rFonts w:ascii="Times New Roman" w:hAnsi="Times New Roman" w:cs="Times New Roman"/>
          <w:b/>
          <w:bCs/>
          <w:position w:val="0"/>
          <w:sz w:val="20"/>
          <w:szCs w:val="20"/>
        </w:rPr>
        <w:t>Table 3.</w:t>
      </w:r>
      <w:r w:rsidRPr="00DD4419">
        <w:rPr>
          <w:rFonts w:ascii="Times New Roman" w:hAnsi="Times New Roman" w:cs="Times New Roman"/>
          <w:position w:val="0"/>
          <w:sz w:val="20"/>
          <w:szCs w:val="20"/>
        </w:rPr>
        <w:t xml:space="preserve"> Spatial habit reliability</w:t>
      </w:r>
    </w:p>
    <w:p w14:paraId="2F1B5A3B" w14:textId="3AAE357F" w:rsidR="002A7C2B" w:rsidRPr="00DD4419" w:rsidRDefault="002A7C2B" w:rsidP="00DC59C4">
      <w:pPr>
        <w:suppressAutoHyphens w:val="0"/>
        <w:spacing w:after="0" w:line="240" w:lineRule="auto"/>
        <w:ind w:leftChars="0" w:left="0" w:firstLineChars="0" w:firstLine="567"/>
        <w:jc w:val="center"/>
        <w:textDirection w:val="lrTb"/>
        <w:textAlignment w:val="auto"/>
        <w:outlineLvl w:val="9"/>
        <w:rPr>
          <w:rFonts w:ascii="Times New Roman" w:hAnsi="Times New Roman" w:cs="Times New Roman"/>
          <w:position w:val="0"/>
          <w:sz w:val="20"/>
          <w:szCs w:val="20"/>
        </w:rPr>
      </w:pPr>
      <w:r w:rsidRPr="00DD4419">
        <w:rPr>
          <w:rFonts w:ascii="Times New Roman" w:hAnsi="Times New Roman" w:cs="Times New Roman"/>
          <w:position w:val="0"/>
          <w:sz w:val="20"/>
          <w:szCs w:val="20"/>
        </w:rPr>
        <w:t>.</w:t>
      </w:r>
    </w:p>
    <w:tbl>
      <w:tblPr>
        <w:tblStyle w:val="TableGrid3"/>
        <w:tblW w:w="67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1791"/>
        <w:gridCol w:w="1113"/>
        <w:gridCol w:w="1113"/>
      </w:tblGrid>
      <w:tr w:rsidR="002A7C2B" w:rsidRPr="00DD4419" w14:paraId="14D30E3C" w14:textId="77777777" w:rsidTr="00986FD0">
        <w:trPr>
          <w:trHeight w:val="300"/>
          <w:jc w:val="center"/>
        </w:trPr>
        <w:tc>
          <w:tcPr>
            <w:tcW w:w="2740" w:type="dxa"/>
            <w:tcBorders>
              <w:top w:val="single" w:sz="4" w:space="0" w:color="000000"/>
              <w:bottom w:val="single" w:sz="4" w:space="0" w:color="000000"/>
            </w:tcBorders>
            <w:shd w:val="clear" w:color="auto" w:fill="B8CCE4"/>
            <w:noWrap/>
            <w:vAlign w:val="center"/>
            <w:hideMark/>
          </w:tcPr>
          <w:p w14:paraId="47614D3E" w14:textId="77777777" w:rsidR="002A7C2B" w:rsidRPr="00DD4419" w:rsidRDefault="002A7C2B" w:rsidP="00DC59C4">
            <w:pPr>
              <w:suppressAutoHyphens w:val="0"/>
              <w:ind w:leftChars="0" w:left="0" w:firstLineChars="0" w:firstLine="0"/>
              <w:textDirection w:val="lrTb"/>
              <w:textAlignment w:val="auto"/>
              <w:outlineLvl w:val="9"/>
              <w:rPr>
                <w:rFonts w:eastAsia="Times New Roman"/>
                <w:b/>
                <w:bCs/>
                <w:color w:val="000000"/>
                <w:position w:val="0"/>
                <w:sz w:val="20"/>
                <w:szCs w:val="20"/>
              </w:rPr>
            </w:pPr>
            <w:r w:rsidRPr="00DD4419">
              <w:rPr>
                <w:rFonts w:eastAsia="Times New Roman"/>
                <w:b/>
                <w:bCs/>
                <w:color w:val="000000"/>
                <w:position w:val="0"/>
                <w:sz w:val="20"/>
                <w:szCs w:val="20"/>
              </w:rPr>
              <w:t>Spatial Habits</w:t>
            </w:r>
          </w:p>
        </w:tc>
        <w:tc>
          <w:tcPr>
            <w:tcW w:w="1791" w:type="dxa"/>
            <w:tcBorders>
              <w:top w:val="single" w:sz="4" w:space="0" w:color="000000"/>
              <w:bottom w:val="single" w:sz="4" w:space="0" w:color="000000"/>
            </w:tcBorders>
            <w:shd w:val="clear" w:color="auto" w:fill="B8CCE4"/>
            <w:noWrap/>
            <w:vAlign w:val="center"/>
            <w:hideMark/>
          </w:tcPr>
          <w:p w14:paraId="7ADD2C1F" w14:textId="77777777" w:rsidR="002A7C2B" w:rsidRPr="00DD4419" w:rsidRDefault="002A7C2B" w:rsidP="00DC59C4">
            <w:pPr>
              <w:suppressAutoHyphens w:val="0"/>
              <w:ind w:leftChars="0" w:left="0" w:firstLineChars="0" w:firstLine="0"/>
              <w:textDirection w:val="lrTb"/>
              <w:textAlignment w:val="auto"/>
              <w:outlineLvl w:val="9"/>
              <w:rPr>
                <w:rFonts w:eastAsia="Times New Roman"/>
                <w:b/>
                <w:bCs/>
                <w:color w:val="000000"/>
                <w:position w:val="0"/>
                <w:sz w:val="20"/>
                <w:szCs w:val="20"/>
              </w:rPr>
            </w:pPr>
            <w:r w:rsidRPr="00DD4419">
              <w:rPr>
                <w:rFonts w:eastAsia="Times New Roman"/>
                <w:b/>
                <w:bCs/>
                <w:color w:val="000000"/>
                <w:position w:val="0"/>
                <w:sz w:val="20"/>
                <w:szCs w:val="20"/>
              </w:rPr>
              <w:t>Number of Items</w:t>
            </w:r>
          </w:p>
        </w:tc>
        <w:tc>
          <w:tcPr>
            <w:tcW w:w="1113" w:type="dxa"/>
            <w:tcBorders>
              <w:top w:val="single" w:sz="4" w:space="0" w:color="000000"/>
              <w:bottom w:val="single" w:sz="4" w:space="0" w:color="000000"/>
            </w:tcBorders>
            <w:shd w:val="clear" w:color="auto" w:fill="B8CCE4"/>
            <w:vAlign w:val="center"/>
          </w:tcPr>
          <w:p w14:paraId="11F290FC" w14:textId="77777777" w:rsidR="002A7C2B" w:rsidRPr="00DD4419" w:rsidRDefault="002A7C2B" w:rsidP="00DC59C4">
            <w:pPr>
              <w:suppressAutoHyphens w:val="0"/>
              <w:ind w:leftChars="0" w:left="0" w:firstLineChars="0" w:firstLine="0"/>
              <w:textDirection w:val="lrTb"/>
              <w:textAlignment w:val="auto"/>
              <w:outlineLvl w:val="9"/>
              <w:rPr>
                <w:rFonts w:eastAsia="Times New Roman"/>
                <w:b/>
                <w:bCs/>
                <w:color w:val="000000"/>
                <w:position w:val="0"/>
                <w:sz w:val="20"/>
                <w:szCs w:val="20"/>
              </w:rPr>
            </w:pPr>
            <w:r w:rsidRPr="00DD4419">
              <w:rPr>
                <w:rFonts w:eastAsia="Times New Roman"/>
                <w:b/>
                <w:bCs/>
                <w:color w:val="000000"/>
                <w:position w:val="0"/>
                <w:sz w:val="20"/>
                <w:szCs w:val="20"/>
              </w:rPr>
              <w:t>Validity</w:t>
            </w:r>
          </w:p>
        </w:tc>
        <w:tc>
          <w:tcPr>
            <w:tcW w:w="1113" w:type="dxa"/>
            <w:tcBorders>
              <w:top w:val="single" w:sz="4" w:space="0" w:color="000000"/>
              <w:bottom w:val="single" w:sz="4" w:space="0" w:color="000000"/>
            </w:tcBorders>
            <w:shd w:val="clear" w:color="auto" w:fill="B8CCE4"/>
            <w:vAlign w:val="center"/>
          </w:tcPr>
          <w:p w14:paraId="21B0C06E" w14:textId="77777777" w:rsidR="002A7C2B" w:rsidRPr="00DD4419" w:rsidRDefault="002A7C2B" w:rsidP="00DC59C4">
            <w:pPr>
              <w:suppressAutoHyphens w:val="0"/>
              <w:ind w:leftChars="0" w:left="0" w:firstLineChars="0" w:firstLine="0"/>
              <w:textDirection w:val="lrTb"/>
              <w:textAlignment w:val="auto"/>
              <w:outlineLvl w:val="9"/>
              <w:rPr>
                <w:rFonts w:eastAsia="Times New Roman"/>
                <w:b/>
                <w:bCs/>
                <w:color w:val="000000"/>
                <w:position w:val="0"/>
                <w:sz w:val="20"/>
                <w:szCs w:val="20"/>
              </w:rPr>
            </w:pPr>
            <w:proofErr w:type="spellStart"/>
            <w:r w:rsidRPr="00DD4419">
              <w:rPr>
                <w:rFonts w:eastAsia="Times New Roman"/>
                <w:b/>
                <w:bCs/>
                <w:color w:val="000000"/>
                <w:position w:val="0"/>
                <w:sz w:val="20"/>
                <w:szCs w:val="20"/>
              </w:rPr>
              <w:t>Reability</w:t>
            </w:r>
            <w:proofErr w:type="spellEnd"/>
          </w:p>
        </w:tc>
      </w:tr>
      <w:tr w:rsidR="002A7C2B" w:rsidRPr="00DD4419" w14:paraId="76C74A63" w14:textId="77777777" w:rsidTr="00986FD0">
        <w:trPr>
          <w:trHeight w:val="300"/>
          <w:jc w:val="center"/>
        </w:trPr>
        <w:tc>
          <w:tcPr>
            <w:tcW w:w="2740" w:type="dxa"/>
            <w:tcBorders>
              <w:top w:val="single" w:sz="4" w:space="0" w:color="000000"/>
            </w:tcBorders>
            <w:noWrap/>
            <w:hideMark/>
          </w:tcPr>
          <w:p w14:paraId="7FD5D834" w14:textId="77777777" w:rsidR="002A7C2B" w:rsidRPr="00DD4419" w:rsidRDefault="002A7C2B" w:rsidP="00DC59C4">
            <w:pPr>
              <w:suppressAutoHyphens w:val="0"/>
              <w:ind w:leftChars="0" w:left="0" w:firstLineChars="0" w:firstLine="0"/>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Pattern recognition</w:t>
            </w:r>
          </w:p>
        </w:tc>
        <w:tc>
          <w:tcPr>
            <w:tcW w:w="1791" w:type="dxa"/>
            <w:tcBorders>
              <w:top w:val="single" w:sz="4" w:space="0" w:color="000000"/>
            </w:tcBorders>
            <w:noWrap/>
            <w:hideMark/>
          </w:tcPr>
          <w:p w14:paraId="49D43CE0"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4</w:t>
            </w:r>
          </w:p>
        </w:tc>
        <w:tc>
          <w:tcPr>
            <w:tcW w:w="1113" w:type="dxa"/>
            <w:tcBorders>
              <w:top w:val="single" w:sz="4" w:space="0" w:color="000000"/>
            </w:tcBorders>
          </w:tcPr>
          <w:p w14:paraId="6E302C1F"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0.774</w:t>
            </w:r>
          </w:p>
        </w:tc>
        <w:tc>
          <w:tcPr>
            <w:tcW w:w="1113" w:type="dxa"/>
            <w:tcBorders>
              <w:top w:val="single" w:sz="4" w:space="0" w:color="000000"/>
            </w:tcBorders>
          </w:tcPr>
          <w:p w14:paraId="49199DCB"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0.847</w:t>
            </w:r>
          </w:p>
        </w:tc>
      </w:tr>
      <w:tr w:rsidR="002A7C2B" w:rsidRPr="00DD4419" w14:paraId="61C3DB97" w14:textId="77777777" w:rsidTr="00986FD0">
        <w:trPr>
          <w:trHeight w:val="300"/>
          <w:jc w:val="center"/>
        </w:trPr>
        <w:tc>
          <w:tcPr>
            <w:tcW w:w="2740" w:type="dxa"/>
            <w:noWrap/>
            <w:hideMark/>
          </w:tcPr>
          <w:p w14:paraId="567DA968" w14:textId="77777777" w:rsidR="002A7C2B" w:rsidRPr="00DD4419" w:rsidRDefault="002A7C2B" w:rsidP="00DC59C4">
            <w:pPr>
              <w:suppressAutoHyphens w:val="0"/>
              <w:ind w:leftChars="0" w:left="0" w:firstLineChars="0" w:firstLine="0"/>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Spatial description</w:t>
            </w:r>
          </w:p>
        </w:tc>
        <w:tc>
          <w:tcPr>
            <w:tcW w:w="1791" w:type="dxa"/>
            <w:noWrap/>
            <w:hideMark/>
          </w:tcPr>
          <w:p w14:paraId="2DD8D4EC"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2</w:t>
            </w:r>
          </w:p>
        </w:tc>
        <w:tc>
          <w:tcPr>
            <w:tcW w:w="1113" w:type="dxa"/>
          </w:tcPr>
          <w:p w14:paraId="726D28EA"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0.708</w:t>
            </w:r>
          </w:p>
        </w:tc>
        <w:tc>
          <w:tcPr>
            <w:tcW w:w="1113" w:type="dxa"/>
          </w:tcPr>
          <w:p w14:paraId="60C78846"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0.782</w:t>
            </w:r>
          </w:p>
        </w:tc>
      </w:tr>
      <w:tr w:rsidR="002A7C2B" w:rsidRPr="00DD4419" w14:paraId="0CF53E56" w14:textId="77777777" w:rsidTr="00986FD0">
        <w:trPr>
          <w:trHeight w:val="300"/>
          <w:jc w:val="center"/>
        </w:trPr>
        <w:tc>
          <w:tcPr>
            <w:tcW w:w="2740" w:type="dxa"/>
            <w:noWrap/>
            <w:hideMark/>
          </w:tcPr>
          <w:p w14:paraId="31CC1ADB" w14:textId="77777777" w:rsidR="002A7C2B" w:rsidRPr="00DD4419" w:rsidRDefault="002A7C2B" w:rsidP="00DC59C4">
            <w:pPr>
              <w:suppressAutoHyphens w:val="0"/>
              <w:ind w:leftChars="0" w:left="0" w:firstLineChars="0" w:firstLine="0"/>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Visualization</w:t>
            </w:r>
          </w:p>
        </w:tc>
        <w:tc>
          <w:tcPr>
            <w:tcW w:w="1791" w:type="dxa"/>
            <w:noWrap/>
            <w:hideMark/>
          </w:tcPr>
          <w:p w14:paraId="7E2F05B8"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4</w:t>
            </w:r>
          </w:p>
        </w:tc>
        <w:tc>
          <w:tcPr>
            <w:tcW w:w="1113" w:type="dxa"/>
          </w:tcPr>
          <w:p w14:paraId="6CFB4C97"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0.789</w:t>
            </w:r>
          </w:p>
        </w:tc>
        <w:tc>
          <w:tcPr>
            <w:tcW w:w="1113" w:type="dxa"/>
          </w:tcPr>
          <w:p w14:paraId="7FB63AA8"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0.777</w:t>
            </w:r>
          </w:p>
        </w:tc>
      </w:tr>
      <w:tr w:rsidR="002A7C2B" w:rsidRPr="00DD4419" w14:paraId="4F75440B" w14:textId="77777777" w:rsidTr="00986FD0">
        <w:trPr>
          <w:trHeight w:val="300"/>
          <w:jc w:val="center"/>
        </w:trPr>
        <w:tc>
          <w:tcPr>
            <w:tcW w:w="2740" w:type="dxa"/>
            <w:noWrap/>
            <w:hideMark/>
          </w:tcPr>
          <w:p w14:paraId="37653419" w14:textId="77777777" w:rsidR="002A7C2B" w:rsidRPr="00DD4419" w:rsidRDefault="00EE6722" w:rsidP="00DC59C4">
            <w:pPr>
              <w:suppressAutoHyphens w:val="0"/>
              <w:ind w:leftChars="0" w:left="0" w:firstLineChars="0" w:firstLine="0"/>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Usage of spatial concept</w:t>
            </w:r>
          </w:p>
        </w:tc>
        <w:tc>
          <w:tcPr>
            <w:tcW w:w="1791" w:type="dxa"/>
            <w:noWrap/>
            <w:hideMark/>
          </w:tcPr>
          <w:p w14:paraId="408C682B"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2</w:t>
            </w:r>
          </w:p>
        </w:tc>
        <w:tc>
          <w:tcPr>
            <w:tcW w:w="1113" w:type="dxa"/>
          </w:tcPr>
          <w:p w14:paraId="6584FF3A"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0.826</w:t>
            </w:r>
          </w:p>
        </w:tc>
        <w:tc>
          <w:tcPr>
            <w:tcW w:w="1113" w:type="dxa"/>
          </w:tcPr>
          <w:p w14:paraId="3A404A75"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0.906</w:t>
            </w:r>
          </w:p>
        </w:tc>
      </w:tr>
      <w:tr w:rsidR="002A7C2B" w:rsidRPr="00DD4419" w14:paraId="3553CED9" w14:textId="77777777" w:rsidTr="00986FD0">
        <w:trPr>
          <w:trHeight w:val="300"/>
          <w:jc w:val="center"/>
        </w:trPr>
        <w:tc>
          <w:tcPr>
            <w:tcW w:w="2740" w:type="dxa"/>
            <w:noWrap/>
            <w:hideMark/>
          </w:tcPr>
          <w:p w14:paraId="60C03628" w14:textId="77777777" w:rsidR="002A7C2B" w:rsidRPr="00DD4419" w:rsidRDefault="00EE6722" w:rsidP="00DC59C4">
            <w:pPr>
              <w:suppressAutoHyphens w:val="0"/>
              <w:ind w:leftChars="0" w:left="0" w:firstLineChars="0" w:firstLine="0"/>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Usage of spatial tools</w:t>
            </w:r>
          </w:p>
        </w:tc>
        <w:tc>
          <w:tcPr>
            <w:tcW w:w="1791" w:type="dxa"/>
            <w:noWrap/>
            <w:hideMark/>
          </w:tcPr>
          <w:p w14:paraId="48EA8668"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2</w:t>
            </w:r>
          </w:p>
        </w:tc>
        <w:tc>
          <w:tcPr>
            <w:tcW w:w="1113" w:type="dxa"/>
          </w:tcPr>
          <w:p w14:paraId="68331081"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0.771</w:t>
            </w:r>
          </w:p>
        </w:tc>
        <w:tc>
          <w:tcPr>
            <w:tcW w:w="1113" w:type="dxa"/>
          </w:tcPr>
          <w:p w14:paraId="0A0D2512"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0.839</w:t>
            </w:r>
          </w:p>
        </w:tc>
      </w:tr>
      <w:tr w:rsidR="002A7C2B" w:rsidRPr="00DD4419" w14:paraId="230E76E8" w14:textId="77777777" w:rsidTr="00986FD0">
        <w:trPr>
          <w:trHeight w:val="300"/>
          <w:jc w:val="center"/>
        </w:trPr>
        <w:tc>
          <w:tcPr>
            <w:tcW w:w="2740" w:type="dxa"/>
            <w:tcBorders>
              <w:bottom w:val="single" w:sz="4" w:space="0" w:color="auto"/>
            </w:tcBorders>
            <w:noWrap/>
            <w:hideMark/>
          </w:tcPr>
          <w:p w14:paraId="6B333438" w14:textId="77777777" w:rsidR="002A7C2B" w:rsidRPr="00DD4419" w:rsidRDefault="002A7C2B" w:rsidP="00DC59C4">
            <w:pPr>
              <w:suppressAutoHyphens w:val="0"/>
              <w:ind w:leftChars="0" w:left="0" w:firstLineChars="0" w:firstLine="0"/>
              <w:textDirection w:val="lrTb"/>
              <w:textAlignment w:val="auto"/>
              <w:outlineLvl w:val="9"/>
              <w:rPr>
                <w:rFonts w:eastAsia="Times New Roman"/>
                <w:color w:val="000000"/>
                <w:position w:val="0"/>
                <w:sz w:val="20"/>
                <w:szCs w:val="20"/>
              </w:rPr>
            </w:pPr>
          </w:p>
        </w:tc>
        <w:tc>
          <w:tcPr>
            <w:tcW w:w="1791" w:type="dxa"/>
            <w:tcBorders>
              <w:bottom w:val="single" w:sz="4" w:space="0" w:color="auto"/>
            </w:tcBorders>
            <w:noWrap/>
            <w:hideMark/>
          </w:tcPr>
          <w:p w14:paraId="26673CEF"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14</w:t>
            </w:r>
          </w:p>
        </w:tc>
        <w:tc>
          <w:tcPr>
            <w:tcW w:w="1113" w:type="dxa"/>
            <w:tcBorders>
              <w:bottom w:val="single" w:sz="4" w:space="0" w:color="auto"/>
            </w:tcBorders>
          </w:tcPr>
          <w:p w14:paraId="61996893"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0.774</w:t>
            </w:r>
          </w:p>
        </w:tc>
        <w:tc>
          <w:tcPr>
            <w:tcW w:w="1113" w:type="dxa"/>
            <w:tcBorders>
              <w:bottom w:val="single" w:sz="4" w:space="0" w:color="auto"/>
            </w:tcBorders>
          </w:tcPr>
          <w:p w14:paraId="554DC1BE" w14:textId="77777777" w:rsidR="002A7C2B" w:rsidRPr="00DD4419" w:rsidRDefault="002A7C2B"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0.797</w:t>
            </w:r>
          </w:p>
        </w:tc>
      </w:tr>
    </w:tbl>
    <w:p w14:paraId="497E6C1E" w14:textId="111D87EC" w:rsidR="00BA76AC" w:rsidRDefault="00C6175C" w:rsidP="00C6175C">
      <w:pPr>
        <w:spacing w:after="0" w:line="240" w:lineRule="auto"/>
        <w:ind w:left="0" w:hanging="2"/>
        <w:jc w:val="both"/>
        <w:rPr>
          <w:rFonts w:asciiTheme="majorBidi" w:hAnsiTheme="majorBidi" w:cstheme="majorBidi"/>
          <w:sz w:val="24"/>
          <w:szCs w:val="24"/>
        </w:rPr>
      </w:pPr>
      <w:r>
        <w:rPr>
          <w:rFonts w:asciiTheme="majorBidi" w:hAnsiTheme="majorBidi" w:cstheme="majorBidi"/>
          <w:sz w:val="24"/>
          <w:szCs w:val="24"/>
        </w:rPr>
        <w:lastRenderedPageBreak/>
        <w:tab/>
      </w:r>
      <w:r>
        <w:rPr>
          <w:rFonts w:asciiTheme="majorBidi" w:hAnsiTheme="majorBidi" w:cstheme="majorBidi"/>
          <w:sz w:val="24"/>
          <w:szCs w:val="24"/>
        </w:rPr>
        <w:tab/>
      </w:r>
      <w:r w:rsidR="00BA76AC" w:rsidRPr="00DD4419">
        <w:rPr>
          <w:rFonts w:asciiTheme="majorBidi" w:hAnsiTheme="majorBidi" w:cstheme="majorBidi"/>
          <w:sz w:val="24"/>
          <w:szCs w:val="24"/>
        </w:rPr>
        <w:t xml:space="preserve">The analysis of items is based on mean value, from 10 items of spatial knowledge, </w:t>
      </w:r>
      <w:r w:rsidR="00E91286" w:rsidRPr="00DD4419">
        <w:rPr>
          <w:rFonts w:asciiTheme="majorBidi" w:hAnsiTheme="majorBidi" w:cstheme="majorBidi"/>
          <w:sz w:val="24"/>
          <w:szCs w:val="24"/>
        </w:rPr>
        <w:t>there are three items classified as easy, five</w:t>
      </w:r>
      <w:r w:rsidR="00BA76AC" w:rsidRPr="00DD4419">
        <w:rPr>
          <w:rFonts w:asciiTheme="majorBidi" w:hAnsiTheme="majorBidi" w:cstheme="majorBidi"/>
          <w:sz w:val="24"/>
          <w:szCs w:val="24"/>
        </w:rPr>
        <w:t xml:space="preserve"> items </w:t>
      </w:r>
      <w:r w:rsidR="00E91286" w:rsidRPr="00DD4419">
        <w:rPr>
          <w:rFonts w:asciiTheme="majorBidi" w:hAnsiTheme="majorBidi" w:cstheme="majorBidi"/>
          <w:sz w:val="24"/>
          <w:szCs w:val="24"/>
        </w:rPr>
        <w:t>as</w:t>
      </w:r>
      <w:r w:rsidR="00BA76AC" w:rsidRPr="00DD4419">
        <w:rPr>
          <w:rFonts w:asciiTheme="majorBidi" w:hAnsiTheme="majorBidi" w:cstheme="majorBidi"/>
          <w:sz w:val="24"/>
          <w:szCs w:val="24"/>
        </w:rPr>
        <w:t xml:space="preserve"> moderate, and </w:t>
      </w:r>
      <w:r w:rsidR="00E91286" w:rsidRPr="00DD4419">
        <w:rPr>
          <w:rFonts w:asciiTheme="majorBidi" w:hAnsiTheme="majorBidi" w:cstheme="majorBidi"/>
          <w:sz w:val="24"/>
          <w:szCs w:val="24"/>
        </w:rPr>
        <w:t>two</w:t>
      </w:r>
      <w:r w:rsidR="00BA76AC" w:rsidRPr="00DD4419">
        <w:rPr>
          <w:rFonts w:asciiTheme="majorBidi" w:hAnsiTheme="majorBidi" w:cstheme="majorBidi"/>
          <w:sz w:val="24"/>
          <w:szCs w:val="24"/>
        </w:rPr>
        <w:t xml:space="preserve"> items </w:t>
      </w:r>
      <w:r w:rsidR="00E91286" w:rsidRPr="00DD4419">
        <w:rPr>
          <w:rFonts w:asciiTheme="majorBidi" w:hAnsiTheme="majorBidi" w:cstheme="majorBidi"/>
          <w:sz w:val="24"/>
          <w:szCs w:val="24"/>
        </w:rPr>
        <w:t xml:space="preserve">as </w:t>
      </w:r>
      <w:r w:rsidR="00BA76AC" w:rsidRPr="00DD4419">
        <w:rPr>
          <w:rFonts w:asciiTheme="majorBidi" w:hAnsiTheme="majorBidi" w:cstheme="majorBidi"/>
          <w:sz w:val="24"/>
          <w:szCs w:val="24"/>
        </w:rPr>
        <w:t xml:space="preserve">hard categories. The mean value is obtained from the average of participants who could answer correctly for each item </w:t>
      </w:r>
      <w:r w:rsidR="00BA76AC" w:rsidRPr="00C6175C">
        <w:rPr>
          <w:rFonts w:asciiTheme="majorBidi" w:hAnsiTheme="majorBidi" w:cstheme="majorBidi"/>
          <w:sz w:val="24"/>
          <w:szCs w:val="24"/>
        </w:rPr>
        <w:fldChar w:fldCharType="begin"/>
      </w:r>
      <w:r w:rsidR="00BA76AC" w:rsidRPr="00C6175C">
        <w:rPr>
          <w:rFonts w:asciiTheme="majorBidi" w:hAnsiTheme="majorBidi" w:cstheme="majorBidi"/>
          <w:sz w:val="24"/>
          <w:szCs w:val="24"/>
        </w:rPr>
        <w:instrText xml:space="preserve"> ADDIN ZOTERO_ITEM CSL_CITATION {"citationID":"pTe7WAVq","properties":{"formattedCitation":"(Jandaghi &amp; Shaterian, 2008)","plainCitation":"(Jandaghi &amp; Shaterian, 2008)","noteIndex":0},"citationItems":[{"id":440,"uris":["http://zotero.org/users/local/eLG7HXo0/items/VP2TRPXM"],"uri":["http://zotero.org/users/local/eLG7HXo0/items/VP2TRPXM"],"itemData":{"id":440,"type":"article-journal","abstract":"The purpose of the research is to determine college Instructor's skill rate in designing exam questions in chemistry subject. The statistical population was all of chemistry exam sheets for two semesters in one academic year from which a sample of 364 exam sheets was drawn using multistage cluster sampling. Two experts assessed the sheets and by using appropriate indices and z-test and chi-squared test the analysis of the data was done. We found that the designed exams have suitable coefficients of validity and reliability. The level of difficulty of exams was high. No significant relationship was found between male and female instructors in terms of the coefficient of validity and reliability but a significant difference between the difficulty level in male and female instructors was found (P less than 0.001). It means that female instructors had designed more difficult questions. We did not find any significant relationship between the instructors' gender and the coefficient of discrimination of the exams. (Contains 3 tables.)","container-title":"Journal of Applied Quantitative Methods","ISSN":"1842-4562","issue":"2","language":"en","page":"151-155","source":"ERIC","title":"Validity, reliability and difficulty indices for instructor-built exam questions","volume":"3","author":[{"family":"Jandaghi","given":"Gholamreza"},{"family":"Shaterian","given":"Fatemeh"}],"issued":{"date-parts":[["2008"]]}}}],"schema":"https://github.com/citation-style-language/schema/raw/master/csl-citation.json"} </w:instrText>
      </w:r>
      <w:r w:rsidR="00BA76AC" w:rsidRPr="00C6175C">
        <w:rPr>
          <w:rFonts w:asciiTheme="majorBidi" w:hAnsiTheme="majorBidi" w:cstheme="majorBidi"/>
          <w:sz w:val="24"/>
          <w:szCs w:val="24"/>
        </w:rPr>
        <w:fldChar w:fldCharType="separate"/>
      </w:r>
      <w:r w:rsidR="00BA76AC" w:rsidRPr="00C6175C">
        <w:rPr>
          <w:rFonts w:asciiTheme="majorBidi" w:hAnsiTheme="majorBidi" w:cstheme="majorBidi"/>
          <w:sz w:val="24"/>
          <w:szCs w:val="24"/>
        </w:rPr>
        <w:t>(Jandaghi &amp; Shaterian, 2008)</w:t>
      </w:r>
      <w:r w:rsidR="00BA76AC" w:rsidRPr="00C6175C">
        <w:rPr>
          <w:rFonts w:asciiTheme="majorBidi" w:hAnsiTheme="majorBidi" w:cstheme="majorBidi"/>
          <w:sz w:val="24"/>
          <w:szCs w:val="24"/>
        </w:rPr>
        <w:fldChar w:fldCharType="end"/>
      </w:r>
      <w:r w:rsidR="00BA76AC" w:rsidRPr="00C6175C">
        <w:rPr>
          <w:rFonts w:asciiTheme="majorBidi" w:hAnsiTheme="majorBidi" w:cstheme="majorBidi"/>
          <w:sz w:val="24"/>
          <w:szCs w:val="24"/>
        </w:rPr>
        <w:t xml:space="preserve">. For the discrimination, there were 3 (three) categories in accordance </w:t>
      </w:r>
      <w:r w:rsidR="009E3A12" w:rsidRPr="00C6175C">
        <w:rPr>
          <w:rFonts w:asciiTheme="majorBidi" w:hAnsiTheme="majorBidi" w:cstheme="majorBidi"/>
          <w:sz w:val="24"/>
          <w:szCs w:val="24"/>
        </w:rPr>
        <w:t>to</w:t>
      </w:r>
      <w:r w:rsidR="00BA76AC" w:rsidRPr="00C6175C">
        <w:rPr>
          <w:rFonts w:asciiTheme="majorBidi" w:hAnsiTheme="majorBidi" w:cstheme="majorBidi"/>
          <w:sz w:val="24"/>
          <w:szCs w:val="24"/>
        </w:rPr>
        <w:t xml:space="preserve"> Pearson's </w:t>
      </w:r>
      <w:proofErr w:type="spellStart"/>
      <w:r w:rsidR="00BA76AC" w:rsidRPr="00C6175C">
        <w:rPr>
          <w:rFonts w:asciiTheme="majorBidi" w:hAnsiTheme="majorBidi" w:cstheme="majorBidi"/>
          <w:sz w:val="24"/>
          <w:szCs w:val="24"/>
        </w:rPr>
        <w:t>r-value</w:t>
      </w:r>
      <w:proofErr w:type="spellEnd"/>
      <w:r w:rsidR="00BA76AC" w:rsidRPr="00C6175C">
        <w:rPr>
          <w:rFonts w:asciiTheme="majorBidi" w:hAnsiTheme="majorBidi" w:cstheme="majorBidi"/>
          <w:sz w:val="24"/>
          <w:szCs w:val="24"/>
        </w:rPr>
        <w:t xml:space="preserve">, namely good, acceptable, and poor </w:t>
      </w:r>
      <w:r w:rsidR="00BA76AC" w:rsidRPr="00C6175C">
        <w:rPr>
          <w:rFonts w:asciiTheme="majorBidi" w:hAnsiTheme="majorBidi" w:cstheme="majorBidi"/>
          <w:sz w:val="24"/>
          <w:szCs w:val="24"/>
        </w:rPr>
        <w:fldChar w:fldCharType="begin"/>
      </w:r>
      <w:r w:rsidR="001754EF" w:rsidRPr="00C6175C">
        <w:rPr>
          <w:rFonts w:asciiTheme="majorBidi" w:hAnsiTheme="majorBidi" w:cstheme="majorBidi"/>
          <w:sz w:val="24"/>
          <w:szCs w:val="24"/>
        </w:rPr>
        <w:instrText xml:space="preserve"> ADDIN ZOTERO_ITEM CSL_CITATION {"citationID":"a1bc61cffc0","properties":{"formattedCitation":"(Mitra et al., 2009)","plainCitation":"(Mitra et al., 2009)","noteIndex":0},"citationItems":[{"id":481,"uris":["http://zotero.org/users/local/eLG7HXo0/items/LRRL2ICR"],"uri":["http://zotero.org/users/local/eLG7HXo0/items/LRRL2ICR"],"itemData":{"id":481,"type":"article-journal","abstract":"Item analysis is the process of collecting, summarizing and using information from students’ responses to assess the quality of test items. Difficulty index (P) and Discrimination index (D) are two parameters which\nhelp evaluate the standard of MCQ questions used in an examination, with abnormal values indicating poor quality. In this study, 120 test items of 12 Type A MCQ tests of Foundation 1 multi-disciplinary summative assessment from M2 / 2003 to M2 / 2006 cohorts of International Medical University were selected and their P-scores in percent and D-scores were estimated using Microsoft Office Excel. The relationship between the item difficulty index and discrimination index for each test item was determined by Pearson correlation analysis using SPSS 11.5. Mean difficulty index scores of the individual summative tests were in the range of 64% to 89%. One-third of total test items crossed the difficulty index of 80% indicating that those items were easy for the students. Sixty seven percent of the test items showed acceptable (&gt; 0.2) discrimination index. Forty five out of 120 test items showed excellent discrimination index. Discrimination index correlated poorly with difficulty index (r = -0.325). In conclusion,\na consistent level of test difficulty and discrimination indices was maintained from 2003 to 2006 in all the\ntwelve summative type A MCQ tests.","container-title":"International e-Journal of Science, Medicine &amp; Education","journalAbbreviation":"International e-Journal of Science, Medicine &amp; Education","page":"2-7","source":"ResearchGate","title":"The levels of difficulty and discrimination indices in type a multiple choice questions of pre-clinical semester 1 multidisciplinary summative tests","volume":"3","author":[{"family":"Mitra","given":"Nilesh Kumar"},{"family":"Haleagrahara","given":"Nagaraja"},{"family":"Ponnudurai","given":"Gnanajothy"},{"family":"Judson","given":"John"}],"issued":{"date-parts":[["2009"]]}}}],"schema":"https://github.com/citation-style-language/schema/raw/master/csl-citation.json"} </w:instrText>
      </w:r>
      <w:r w:rsidR="00BA76AC" w:rsidRPr="00C6175C">
        <w:rPr>
          <w:rFonts w:asciiTheme="majorBidi" w:hAnsiTheme="majorBidi" w:cstheme="majorBidi"/>
          <w:sz w:val="24"/>
          <w:szCs w:val="24"/>
        </w:rPr>
        <w:fldChar w:fldCharType="separate"/>
      </w:r>
      <w:r w:rsidR="001754EF" w:rsidRPr="00C6175C">
        <w:rPr>
          <w:rFonts w:ascii="Times New Roman" w:hAnsi="Times New Roman" w:cs="Times New Roman"/>
          <w:sz w:val="24"/>
          <w:szCs w:val="24"/>
        </w:rPr>
        <w:t>(Mitra et al., 2009)</w:t>
      </w:r>
      <w:r w:rsidR="00BA76AC" w:rsidRPr="00C6175C">
        <w:rPr>
          <w:rFonts w:asciiTheme="majorBidi" w:hAnsiTheme="majorBidi" w:cstheme="majorBidi"/>
          <w:sz w:val="24"/>
          <w:szCs w:val="24"/>
        </w:rPr>
        <w:fldChar w:fldCharType="end"/>
      </w:r>
      <w:r w:rsidR="00BA76AC" w:rsidRPr="00DD4419">
        <w:rPr>
          <w:rFonts w:asciiTheme="majorBidi" w:hAnsiTheme="majorBidi" w:cstheme="majorBidi"/>
          <w:color w:val="4F81BD" w:themeColor="accent1"/>
          <w:sz w:val="24"/>
          <w:szCs w:val="24"/>
        </w:rPr>
        <w:t xml:space="preserve">. </w:t>
      </w:r>
      <w:r w:rsidR="00BA76AC" w:rsidRPr="00DD4419">
        <w:rPr>
          <w:rFonts w:asciiTheme="majorBidi" w:hAnsiTheme="majorBidi" w:cstheme="majorBidi"/>
          <w:sz w:val="24"/>
          <w:szCs w:val="24"/>
        </w:rPr>
        <w:t>Majority of the items are categorized as excellent (7 items), good</w:t>
      </w:r>
      <w:r w:rsidR="005327AC" w:rsidRPr="00DD4419">
        <w:rPr>
          <w:rFonts w:asciiTheme="majorBidi" w:hAnsiTheme="majorBidi" w:cstheme="majorBidi"/>
          <w:sz w:val="24"/>
          <w:szCs w:val="24"/>
        </w:rPr>
        <w:t xml:space="preserve"> (1 item)</w:t>
      </w:r>
      <w:r w:rsidR="00BA76AC" w:rsidRPr="00DD4419">
        <w:rPr>
          <w:rFonts w:asciiTheme="majorBidi" w:hAnsiTheme="majorBidi" w:cstheme="majorBidi"/>
          <w:sz w:val="24"/>
          <w:szCs w:val="24"/>
        </w:rPr>
        <w:t>, acceptable</w:t>
      </w:r>
      <w:r w:rsidR="005327AC" w:rsidRPr="00DD4419">
        <w:rPr>
          <w:rFonts w:asciiTheme="majorBidi" w:hAnsiTheme="majorBidi" w:cstheme="majorBidi"/>
          <w:sz w:val="24"/>
          <w:szCs w:val="24"/>
        </w:rPr>
        <w:t xml:space="preserve"> (1 item)</w:t>
      </w:r>
      <w:r w:rsidR="00BA76AC" w:rsidRPr="00DD4419">
        <w:rPr>
          <w:rFonts w:asciiTheme="majorBidi" w:hAnsiTheme="majorBidi" w:cstheme="majorBidi"/>
          <w:sz w:val="24"/>
          <w:szCs w:val="24"/>
        </w:rPr>
        <w:t xml:space="preserve">, and poor </w:t>
      </w:r>
      <w:r w:rsidR="005327AC" w:rsidRPr="00DD4419">
        <w:rPr>
          <w:rFonts w:asciiTheme="majorBidi" w:hAnsiTheme="majorBidi" w:cstheme="majorBidi"/>
          <w:sz w:val="24"/>
          <w:szCs w:val="24"/>
        </w:rPr>
        <w:t xml:space="preserve">(1 item) </w:t>
      </w:r>
      <w:r w:rsidR="00BA76AC" w:rsidRPr="00DD4419">
        <w:rPr>
          <w:rFonts w:asciiTheme="majorBidi" w:hAnsiTheme="majorBidi" w:cstheme="majorBidi"/>
          <w:sz w:val="24"/>
          <w:szCs w:val="24"/>
        </w:rPr>
        <w:t>(</w:t>
      </w:r>
      <w:r w:rsidR="00BA76AC" w:rsidRPr="00DD4419">
        <w:rPr>
          <w:rFonts w:asciiTheme="majorBidi" w:hAnsiTheme="majorBidi" w:cstheme="majorBidi"/>
          <w:b/>
          <w:bCs/>
          <w:sz w:val="24"/>
          <w:szCs w:val="24"/>
        </w:rPr>
        <w:t>T</w:t>
      </w:r>
      <w:r w:rsidR="00BA76AC" w:rsidRPr="00C6175C">
        <w:rPr>
          <w:rFonts w:asciiTheme="majorBidi" w:hAnsiTheme="majorBidi" w:cstheme="majorBidi"/>
          <w:sz w:val="24"/>
          <w:szCs w:val="24"/>
        </w:rPr>
        <w:t>able 4</w:t>
      </w:r>
      <w:r w:rsidR="00E138C3" w:rsidRPr="00DD4419">
        <w:rPr>
          <w:rFonts w:asciiTheme="majorBidi" w:hAnsiTheme="majorBidi" w:cstheme="majorBidi"/>
          <w:sz w:val="24"/>
          <w:szCs w:val="24"/>
        </w:rPr>
        <w:t>)</w:t>
      </w:r>
      <w:r w:rsidR="00BA76AC" w:rsidRPr="00DD4419">
        <w:rPr>
          <w:rFonts w:asciiTheme="majorBidi" w:hAnsiTheme="majorBidi" w:cstheme="majorBidi"/>
          <w:sz w:val="24"/>
          <w:szCs w:val="24"/>
        </w:rPr>
        <w:t>.</w:t>
      </w:r>
      <w:r w:rsidR="00E138C3" w:rsidRPr="00DD4419">
        <w:rPr>
          <w:rFonts w:asciiTheme="majorBidi" w:hAnsiTheme="majorBidi" w:cstheme="majorBidi"/>
          <w:sz w:val="24"/>
          <w:szCs w:val="24"/>
        </w:rPr>
        <w:t xml:space="preserve"> </w:t>
      </w:r>
      <w:r w:rsidR="008B0749" w:rsidRPr="00DD4419">
        <w:rPr>
          <w:rFonts w:asciiTheme="majorBidi" w:hAnsiTheme="majorBidi" w:cstheme="majorBidi"/>
          <w:sz w:val="24"/>
          <w:szCs w:val="24"/>
        </w:rPr>
        <w:t>These</w:t>
      </w:r>
      <w:r w:rsidR="00E138C3" w:rsidRPr="00DD4419">
        <w:rPr>
          <w:rFonts w:asciiTheme="majorBidi" w:hAnsiTheme="majorBidi" w:cstheme="majorBidi"/>
          <w:sz w:val="24"/>
          <w:szCs w:val="24"/>
        </w:rPr>
        <w:t xml:space="preserve"> items were used to measure the participants' basic GIS knowledge. </w:t>
      </w:r>
    </w:p>
    <w:p w14:paraId="34F423C7" w14:textId="150D683B" w:rsidR="00C6175C" w:rsidRDefault="00C6175C" w:rsidP="00C6175C">
      <w:pPr>
        <w:spacing w:after="0" w:line="240" w:lineRule="auto"/>
        <w:ind w:left="0" w:hanging="2"/>
        <w:jc w:val="both"/>
        <w:rPr>
          <w:rFonts w:asciiTheme="majorBidi" w:hAnsiTheme="majorBidi" w:cstheme="majorBidi"/>
          <w:sz w:val="24"/>
          <w:szCs w:val="24"/>
        </w:rPr>
      </w:pPr>
    </w:p>
    <w:p w14:paraId="3E64583B" w14:textId="77777777" w:rsidR="00C6175C" w:rsidRPr="00DD4419" w:rsidRDefault="00C6175C" w:rsidP="00C6175C">
      <w:pPr>
        <w:spacing w:after="0" w:line="240" w:lineRule="auto"/>
        <w:ind w:left="0" w:hanging="2"/>
        <w:jc w:val="both"/>
        <w:rPr>
          <w:rFonts w:asciiTheme="majorBidi" w:hAnsiTheme="majorBidi" w:cstheme="majorBidi"/>
          <w:sz w:val="24"/>
          <w:szCs w:val="24"/>
        </w:rPr>
      </w:pPr>
    </w:p>
    <w:p w14:paraId="1206860E" w14:textId="49299BAF" w:rsidR="005327AC" w:rsidRDefault="005327AC" w:rsidP="00DC59C4">
      <w:pPr>
        <w:suppressAutoHyphens w:val="0"/>
        <w:spacing w:after="0" w:line="240" w:lineRule="auto"/>
        <w:ind w:leftChars="0" w:left="0" w:firstLineChars="0" w:firstLine="567"/>
        <w:jc w:val="center"/>
        <w:textDirection w:val="lrTb"/>
        <w:textAlignment w:val="auto"/>
        <w:outlineLvl w:val="9"/>
        <w:rPr>
          <w:rFonts w:ascii="Times New Roman" w:hAnsi="Times New Roman" w:cs="Times New Roman"/>
          <w:position w:val="0"/>
          <w:sz w:val="20"/>
          <w:szCs w:val="20"/>
        </w:rPr>
      </w:pPr>
      <w:r w:rsidRPr="00DD4419">
        <w:rPr>
          <w:rFonts w:ascii="Times New Roman" w:hAnsi="Times New Roman" w:cs="Times New Roman"/>
          <w:b/>
          <w:bCs/>
          <w:position w:val="0"/>
          <w:sz w:val="20"/>
          <w:szCs w:val="20"/>
        </w:rPr>
        <w:t>Table 4.</w:t>
      </w:r>
      <w:r w:rsidRPr="00DD4419">
        <w:rPr>
          <w:rFonts w:ascii="Times New Roman" w:hAnsi="Times New Roman" w:cs="Times New Roman"/>
          <w:position w:val="0"/>
          <w:sz w:val="20"/>
          <w:szCs w:val="20"/>
        </w:rPr>
        <w:t xml:space="preserve"> Validity, difficulty level and discrimination of </w:t>
      </w:r>
      <w:r w:rsidR="00C6175C" w:rsidRPr="00DD4419">
        <w:rPr>
          <w:rFonts w:ascii="Times New Roman" w:hAnsi="Times New Roman" w:cs="Times New Roman"/>
          <w:position w:val="0"/>
          <w:sz w:val="20"/>
          <w:szCs w:val="20"/>
        </w:rPr>
        <w:t>multiple-choice</w:t>
      </w:r>
      <w:r w:rsidRPr="00DD4419">
        <w:rPr>
          <w:rFonts w:ascii="Times New Roman" w:hAnsi="Times New Roman" w:cs="Times New Roman"/>
          <w:position w:val="0"/>
          <w:sz w:val="20"/>
          <w:szCs w:val="20"/>
        </w:rPr>
        <w:t xml:space="preserve"> items.</w:t>
      </w:r>
    </w:p>
    <w:p w14:paraId="45E47410" w14:textId="77777777" w:rsidR="00C6175C" w:rsidRPr="00DD4419" w:rsidRDefault="00C6175C" w:rsidP="00DC59C4">
      <w:pPr>
        <w:suppressAutoHyphens w:val="0"/>
        <w:spacing w:after="0" w:line="240" w:lineRule="auto"/>
        <w:ind w:leftChars="0" w:left="0" w:firstLineChars="0" w:firstLine="567"/>
        <w:jc w:val="center"/>
        <w:textDirection w:val="lrTb"/>
        <w:textAlignment w:val="auto"/>
        <w:outlineLvl w:val="9"/>
        <w:rPr>
          <w:rFonts w:ascii="Times New Roman" w:hAnsi="Times New Roman" w:cs="Times New Roman"/>
          <w:position w:val="0"/>
          <w:sz w:val="20"/>
          <w:szCs w:val="20"/>
        </w:rPr>
      </w:pPr>
    </w:p>
    <w:tbl>
      <w:tblPr>
        <w:tblStyle w:val="TableGrid4"/>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418"/>
        <w:gridCol w:w="1275"/>
        <w:gridCol w:w="1276"/>
        <w:gridCol w:w="1843"/>
        <w:gridCol w:w="1843"/>
      </w:tblGrid>
      <w:tr w:rsidR="005327AC" w:rsidRPr="00DD4419" w14:paraId="07E04EFC" w14:textId="77777777" w:rsidTr="00986FD0">
        <w:trPr>
          <w:trHeight w:val="315"/>
          <w:jc w:val="center"/>
        </w:trPr>
        <w:tc>
          <w:tcPr>
            <w:tcW w:w="567" w:type="dxa"/>
            <w:tcBorders>
              <w:top w:val="single" w:sz="4" w:space="0" w:color="000000"/>
              <w:bottom w:val="single" w:sz="4" w:space="0" w:color="000000"/>
            </w:tcBorders>
            <w:shd w:val="clear" w:color="auto" w:fill="B8CCE4"/>
            <w:noWrap/>
            <w:vAlign w:val="center"/>
            <w:hideMark/>
          </w:tcPr>
          <w:p w14:paraId="1F5181AF" w14:textId="77777777" w:rsidR="005327AC" w:rsidRPr="00DD4419" w:rsidRDefault="005327AC" w:rsidP="00DC59C4">
            <w:pPr>
              <w:suppressAutoHyphens w:val="0"/>
              <w:ind w:leftChars="0" w:left="0" w:firstLineChars="0" w:firstLine="0"/>
              <w:textDirection w:val="lrTb"/>
              <w:textAlignment w:val="auto"/>
              <w:outlineLvl w:val="9"/>
              <w:rPr>
                <w:rFonts w:eastAsia="Times New Roman"/>
                <w:b/>
                <w:bCs/>
                <w:color w:val="000000"/>
                <w:position w:val="0"/>
                <w:sz w:val="20"/>
                <w:szCs w:val="20"/>
              </w:rPr>
            </w:pPr>
            <w:r w:rsidRPr="00DD4419">
              <w:rPr>
                <w:rFonts w:eastAsia="Times New Roman"/>
                <w:b/>
                <w:bCs/>
                <w:color w:val="000000"/>
                <w:position w:val="0"/>
                <w:sz w:val="20"/>
                <w:szCs w:val="20"/>
              </w:rPr>
              <w:t>No</w:t>
            </w:r>
          </w:p>
        </w:tc>
        <w:tc>
          <w:tcPr>
            <w:tcW w:w="1418" w:type="dxa"/>
            <w:tcBorders>
              <w:top w:val="single" w:sz="4" w:space="0" w:color="000000"/>
              <w:bottom w:val="single" w:sz="4" w:space="0" w:color="000000"/>
            </w:tcBorders>
            <w:shd w:val="clear" w:color="auto" w:fill="B8CCE4"/>
            <w:noWrap/>
            <w:vAlign w:val="center"/>
            <w:hideMark/>
          </w:tcPr>
          <w:p w14:paraId="14E8CBB4" w14:textId="77777777" w:rsidR="005327AC" w:rsidRPr="00DD4419" w:rsidRDefault="005327AC" w:rsidP="00DC59C4">
            <w:pPr>
              <w:suppressAutoHyphens w:val="0"/>
              <w:ind w:leftChars="0" w:left="0" w:firstLineChars="0" w:firstLine="0"/>
              <w:textDirection w:val="lrTb"/>
              <w:textAlignment w:val="auto"/>
              <w:outlineLvl w:val="9"/>
              <w:rPr>
                <w:rFonts w:eastAsia="Times New Roman"/>
                <w:b/>
                <w:bCs/>
                <w:color w:val="000000"/>
                <w:position w:val="0"/>
                <w:sz w:val="20"/>
                <w:szCs w:val="20"/>
              </w:rPr>
            </w:pPr>
            <w:proofErr w:type="spellStart"/>
            <w:r w:rsidRPr="00DD4419">
              <w:rPr>
                <w:rFonts w:eastAsia="Times New Roman"/>
                <w:b/>
                <w:bCs/>
                <w:color w:val="000000"/>
                <w:position w:val="0"/>
                <w:sz w:val="20"/>
                <w:szCs w:val="20"/>
              </w:rPr>
              <w:t>r-value</w:t>
            </w:r>
            <w:proofErr w:type="spellEnd"/>
          </w:p>
        </w:tc>
        <w:tc>
          <w:tcPr>
            <w:tcW w:w="1275" w:type="dxa"/>
            <w:tcBorders>
              <w:top w:val="single" w:sz="4" w:space="0" w:color="000000"/>
              <w:bottom w:val="single" w:sz="4" w:space="0" w:color="000000"/>
            </w:tcBorders>
            <w:shd w:val="clear" w:color="auto" w:fill="B8CCE4"/>
            <w:vAlign w:val="center"/>
          </w:tcPr>
          <w:p w14:paraId="41DB638D" w14:textId="77777777" w:rsidR="005327AC" w:rsidRPr="00DD4419" w:rsidRDefault="005327AC" w:rsidP="00DC59C4">
            <w:pPr>
              <w:suppressAutoHyphens w:val="0"/>
              <w:ind w:leftChars="0" w:left="0" w:firstLineChars="0" w:firstLine="0"/>
              <w:textDirection w:val="lrTb"/>
              <w:textAlignment w:val="auto"/>
              <w:outlineLvl w:val="9"/>
              <w:rPr>
                <w:rFonts w:eastAsia="Times New Roman"/>
                <w:b/>
                <w:bCs/>
                <w:color w:val="000000"/>
                <w:position w:val="0"/>
                <w:sz w:val="20"/>
                <w:szCs w:val="20"/>
              </w:rPr>
            </w:pPr>
            <w:r w:rsidRPr="00DD4419">
              <w:rPr>
                <w:rFonts w:eastAsia="Times New Roman"/>
                <w:b/>
                <w:bCs/>
                <w:color w:val="000000"/>
                <w:position w:val="0"/>
                <w:sz w:val="20"/>
                <w:szCs w:val="20"/>
              </w:rPr>
              <w:t>Mean</w:t>
            </w:r>
          </w:p>
        </w:tc>
        <w:tc>
          <w:tcPr>
            <w:tcW w:w="1276" w:type="dxa"/>
            <w:tcBorders>
              <w:top w:val="single" w:sz="4" w:space="0" w:color="000000"/>
              <w:bottom w:val="single" w:sz="4" w:space="0" w:color="000000"/>
            </w:tcBorders>
            <w:shd w:val="clear" w:color="auto" w:fill="B8CCE4"/>
            <w:noWrap/>
            <w:vAlign w:val="center"/>
            <w:hideMark/>
          </w:tcPr>
          <w:p w14:paraId="1886E3AE" w14:textId="77777777" w:rsidR="005327AC" w:rsidRPr="00DD4419" w:rsidRDefault="005327AC" w:rsidP="00DC59C4">
            <w:pPr>
              <w:suppressAutoHyphens w:val="0"/>
              <w:ind w:leftChars="0" w:left="0" w:firstLineChars="0" w:firstLine="0"/>
              <w:textDirection w:val="lrTb"/>
              <w:textAlignment w:val="auto"/>
              <w:outlineLvl w:val="9"/>
              <w:rPr>
                <w:rFonts w:eastAsia="Times New Roman"/>
                <w:b/>
                <w:bCs/>
                <w:color w:val="000000"/>
                <w:position w:val="0"/>
                <w:sz w:val="20"/>
                <w:szCs w:val="20"/>
              </w:rPr>
            </w:pPr>
            <w:r w:rsidRPr="00DD4419">
              <w:rPr>
                <w:rFonts w:eastAsia="Times New Roman"/>
                <w:b/>
                <w:bCs/>
                <w:color w:val="000000"/>
                <w:position w:val="0"/>
                <w:sz w:val="20"/>
                <w:szCs w:val="20"/>
              </w:rPr>
              <w:t>Validity</w:t>
            </w:r>
          </w:p>
        </w:tc>
        <w:tc>
          <w:tcPr>
            <w:tcW w:w="1843" w:type="dxa"/>
            <w:tcBorders>
              <w:top w:val="single" w:sz="4" w:space="0" w:color="000000"/>
              <w:bottom w:val="single" w:sz="4" w:space="0" w:color="000000"/>
            </w:tcBorders>
            <w:shd w:val="clear" w:color="auto" w:fill="B8CCE4"/>
            <w:vAlign w:val="center"/>
          </w:tcPr>
          <w:p w14:paraId="09D93A52" w14:textId="77777777" w:rsidR="005327AC" w:rsidRPr="00DD4419" w:rsidRDefault="005327AC" w:rsidP="00DC59C4">
            <w:pPr>
              <w:suppressAutoHyphens w:val="0"/>
              <w:ind w:leftChars="0" w:left="0" w:firstLineChars="0" w:firstLine="0"/>
              <w:textDirection w:val="lrTb"/>
              <w:textAlignment w:val="auto"/>
              <w:outlineLvl w:val="9"/>
              <w:rPr>
                <w:rFonts w:eastAsia="Times New Roman"/>
                <w:b/>
                <w:bCs/>
                <w:color w:val="000000"/>
                <w:position w:val="0"/>
                <w:sz w:val="20"/>
                <w:szCs w:val="20"/>
              </w:rPr>
            </w:pPr>
            <w:r w:rsidRPr="00DD4419">
              <w:rPr>
                <w:rFonts w:eastAsia="Times New Roman"/>
                <w:b/>
                <w:bCs/>
                <w:color w:val="000000"/>
                <w:position w:val="0"/>
                <w:sz w:val="20"/>
                <w:szCs w:val="20"/>
              </w:rPr>
              <w:t>Difficulty Level</w:t>
            </w:r>
          </w:p>
        </w:tc>
        <w:tc>
          <w:tcPr>
            <w:tcW w:w="1843" w:type="dxa"/>
            <w:tcBorders>
              <w:top w:val="single" w:sz="4" w:space="0" w:color="000000"/>
              <w:bottom w:val="single" w:sz="4" w:space="0" w:color="000000"/>
            </w:tcBorders>
            <w:shd w:val="clear" w:color="auto" w:fill="B8CCE4"/>
            <w:vAlign w:val="center"/>
          </w:tcPr>
          <w:p w14:paraId="6D9F006D" w14:textId="77777777" w:rsidR="005327AC" w:rsidRPr="00DD4419" w:rsidRDefault="005327AC" w:rsidP="00DC59C4">
            <w:pPr>
              <w:suppressAutoHyphens w:val="0"/>
              <w:ind w:leftChars="0" w:left="0" w:firstLineChars="0" w:firstLine="0"/>
              <w:textDirection w:val="lrTb"/>
              <w:textAlignment w:val="auto"/>
              <w:outlineLvl w:val="9"/>
              <w:rPr>
                <w:rFonts w:eastAsia="Times New Roman"/>
                <w:b/>
                <w:bCs/>
                <w:color w:val="000000"/>
                <w:position w:val="0"/>
                <w:sz w:val="20"/>
                <w:szCs w:val="20"/>
              </w:rPr>
            </w:pPr>
            <w:r w:rsidRPr="00DD4419">
              <w:rPr>
                <w:rFonts w:eastAsia="Times New Roman"/>
                <w:b/>
                <w:bCs/>
                <w:color w:val="000000"/>
                <w:position w:val="0"/>
                <w:sz w:val="20"/>
                <w:szCs w:val="20"/>
              </w:rPr>
              <w:t>Discrimination</w:t>
            </w:r>
          </w:p>
        </w:tc>
      </w:tr>
      <w:tr w:rsidR="005327AC" w:rsidRPr="00DD4419" w14:paraId="4A0B526C" w14:textId="77777777" w:rsidTr="00986FD0">
        <w:trPr>
          <w:trHeight w:val="315"/>
          <w:jc w:val="center"/>
        </w:trPr>
        <w:tc>
          <w:tcPr>
            <w:tcW w:w="567" w:type="dxa"/>
            <w:tcBorders>
              <w:top w:val="single" w:sz="4" w:space="0" w:color="000000"/>
            </w:tcBorders>
            <w:noWrap/>
            <w:hideMark/>
          </w:tcPr>
          <w:p w14:paraId="4342D6EA"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1</w:t>
            </w:r>
          </w:p>
        </w:tc>
        <w:tc>
          <w:tcPr>
            <w:tcW w:w="1418" w:type="dxa"/>
            <w:tcBorders>
              <w:top w:val="single" w:sz="4" w:space="0" w:color="000000"/>
            </w:tcBorders>
            <w:noWrap/>
          </w:tcPr>
          <w:p w14:paraId="763B9FC7"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0.525</w:t>
            </w:r>
          </w:p>
        </w:tc>
        <w:tc>
          <w:tcPr>
            <w:tcW w:w="1275" w:type="dxa"/>
            <w:tcBorders>
              <w:top w:val="single" w:sz="4" w:space="0" w:color="000000"/>
            </w:tcBorders>
          </w:tcPr>
          <w:p w14:paraId="686D8E26"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0.5405</w:t>
            </w:r>
          </w:p>
        </w:tc>
        <w:tc>
          <w:tcPr>
            <w:tcW w:w="1276" w:type="dxa"/>
            <w:tcBorders>
              <w:top w:val="single" w:sz="4" w:space="0" w:color="000000"/>
            </w:tcBorders>
            <w:noWrap/>
          </w:tcPr>
          <w:p w14:paraId="4DF3478F"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Moderate</w:t>
            </w:r>
          </w:p>
        </w:tc>
        <w:tc>
          <w:tcPr>
            <w:tcW w:w="1843" w:type="dxa"/>
            <w:tcBorders>
              <w:top w:val="single" w:sz="4" w:space="0" w:color="000000"/>
            </w:tcBorders>
          </w:tcPr>
          <w:p w14:paraId="090D072E"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Moderate</w:t>
            </w:r>
          </w:p>
        </w:tc>
        <w:tc>
          <w:tcPr>
            <w:tcW w:w="1843" w:type="dxa"/>
            <w:tcBorders>
              <w:top w:val="single" w:sz="4" w:space="0" w:color="000000"/>
            </w:tcBorders>
          </w:tcPr>
          <w:p w14:paraId="53D91519"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Excellent</w:t>
            </w:r>
          </w:p>
        </w:tc>
      </w:tr>
      <w:tr w:rsidR="005327AC" w:rsidRPr="00DD4419" w14:paraId="0A0DF3E7" w14:textId="77777777" w:rsidTr="00986FD0">
        <w:trPr>
          <w:trHeight w:val="315"/>
          <w:jc w:val="center"/>
        </w:trPr>
        <w:tc>
          <w:tcPr>
            <w:tcW w:w="567" w:type="dxa"/>
            <w:noWrap/>
            <w:hideMark/>
          </w:tcPr>
          <w:p w14:paraId="2F65DA1E"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2</w:t>
            </w:r>
          </w:p>
        </w:tc>
        <w:tc>
          <w:tcPr>
            <w:tcW w:w="1418" w:type="dxa"/>
            <w:noWrap/>
          </w:tcPr>
          <w:p w14:paraId="716D856A"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0.470</w:t>
            </w:r>
          </w:p>
        </w:tc>
        <w:tc>
          <w:tcPr>
            <w:tcW w:w="1275" w:type="dxa"/>
          </w:tcPr>
          <w:p w14:paraId="11A42F84"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0.1892</w:t>
            </w:r>
          </w:p>
        </w:tc>
        <w:tc>
          <w:tcPr>
            <w:tcW w:w="1276" w:type="dxa"/>
            <w:noWrap/>
          </w:tcPr>
          <w:p w14:paraId="62BFA61B"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Low</w:t>
            </w:r>
          </w:p>
        </w:tc>
        <w:tc>
          <w:tcPr>
            <w:tcW w:w="1843" w:type="dxa"/>
          </w:tcPr>
          <w:p w14:paraId="6D543AC3"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Hard</w:t>
            </w:r>
          </w:p>
        </w:tc>
        <w:tc>
          <w:tcPr>
            <w:tcW w:w="1843" w:type="dxa"/>
          </w:tcPr>
          <w:p w14:paraId="535F4CB1"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Excellent</w:t>
            </w:r>
          </w:p>
        </w:tc>
      </w:tr>
      <w:tr w:rsidR="005327AC" w:rsidRPr="00DD4419" w14:paraId="19C14B3A" w14:textId="77777777" w:rsidTr="00986FD0">
        <w:trPr>
          <w:trHeight w:val="315"/>
          <w:jc w:val="center"/>
        </w:trPr>
        <w:tc>
          <w:tcPr>
            <w:tcW w:w="567" w:type="dxa"/>
            <w:noWrap/>
            <w:hideMark/>
          </w:tcPr>
          <w:p w14:paraId="545290FA"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3</w:t>
            </w:r>
          </w:p>
        </w:tc>
        <w:tc>
          <w:tcPr>
            <w:tcW w:w="1418" w:type="dxa"/>
            <w:noWrap/>
          </w:tcPr>
          <w:p w14:paraId="7E90992A"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0.160</w:t>
            </w:r>
          </w:p>
        </w:tc>
        <w:tc>
          <w:tcPr>
            <w:tcW w:w="1275" w:type="dxa"/>
          </w:tcPr>
          <w:p w14:paraId="0C50D201"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0.1081</w:t>
            </w:r>
          </w:p>
        </w:tc>
        <w:tc>
          <w:tcPr>
            <w:tcW w:w="1276" w:type="dxa"/>
            <w:noWrap/>
          </w:tcPr>
          <w:p w14:paraId="139519A7"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Very low</w:t>
            </w:r>
          </w:p>
        </w:tc>
        <w:tc>
          <w:tcPr>
            <w:tcW w:w="1843" w:type="dxa"/>
          </w:tcPr>
          <w:p w14:paraId="5A05D25D"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Hard</w:t>
            </w:r>
          </w:p>
        </w:tc>
        <w:tc>
          <w:tcPr>
            <w:tcW w:w="1843" w:type="dxa"/>
          </w:tcPr>
          <w:p w14:paraId="2C642A8E"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Poor</w:t>
            </w:r>
          </w:p>
        </w:tc>
      </w:tr>
      <w:tr w:rsidR="005327AC" w:rsidRPr="00DD4419" w14:paraId="034A1376" w14:textId="77777777" w:rsidTr="00986FD0">
        <w:trPr>
          <w:trHeight w:val="315"/>
          <w:jc w:val="center"/>
        </w:trPr>
        <w:tc>
          <w:tcPr>
            <w:tcW w:w="567" w:type="dxa"/>
            <w:noWrap/>
            <w:hideMark/>
          </w:tcPr>
          <w:p w14:paraId="276FA80B"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4</w:t>
            </w:r>
          </w:p>
        </w:tc>
        <w:tc>
          <w:tcPr>
            <w:tcW w:w="1418" w:type="dxa"/>
            <w:noWrap/>
          </w:tcPr>
          <w:p w14:paraId="018E7BC7"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0.598</w:t>
            </w:r>
          </w:p>
        </w:tc>
        <w:tc>
          <w:tcPr>
            <w:tcW w:w="1275" w:type="dxa"/>
          </w:tcPr>
          <w:p w14:paraId="522F233C"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0.5946</w:t>
            </w:r>
          </w:p>
        </w:tc>
        <w:tc>
          <w:tcPr>
            <w:tcW w:w="1276" w:type="dxa"/>
            <w:noWrap/>
          </w:tcPr>
          <w:p w14:paraId="75679980"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Moderate</w:t>
            </w:r>
          </w:p>
        </w:tc>
        <w:tc>
          <w:tcPr>
            <w:tcW w:w="1843" w:type="dxa"/>
          </w:tcPr>
          <w:p w14:paraId="2278AD9A"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 xml:space="preserve">Easy </w:t>
            </w:r>
          </w:p>
        </w:tc>
        <w:tc>
          <w:tcPr>
            <w:tcW w:w="1843" w:type="dxa"/>
          </w:tcPr>
          <w:p w14:paraId="0AA8A838"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Excellent</w:t>
            </w:r>
          </w:p>
        </w:tc>
      </w:tr>
      <w:tr w:rsidR="005327AC" w:rsidRPr="00DD4419" w14:paraId="1B9E699B" w14:textId="77777777" w:rsidTr="00986FD0">
        <w:trPr>
          <w:trHeight w:val="315"/>
          <w:jc w:val="center"/>
        </w:trPr>
        <w:tc>
          <w:tcPr>
            <w:tcW w:w="567" w:type="dxa"/>
            <w:noWrap/>
            <w:hideMark/>
          </w:tcPr>
          <w:p w14:paraId="4BD9424D"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5</w:t>
            </w:r>
          </w:p>
        </w:tc>
        <w:tc>
          <w:tcPr>
            <w:tcW w:w="1418" w:type="dxa"/>
            <w:noWrap/>
          </w:tcPr>
          <w:p w14:paraId="68D152CC"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0.461</w:t>
            </w:r>
          </w:p>
        </w:tc>
        <w:tc>
          <w:tcPr>
            <w:tcW w:w="1275" w:type="dxa"/>
          </w:tcPr>
          <w:p w14:paraId="41625040"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0.7297</w:t>
            </w:r>
          </w:p>
        </w:tc>
        <w:tc>
          <w:tcPr>
            <w:tcW w:w="1276" w:type="dxa"/>
            <w:noWrap/>
          </w:tcPr>
          <w:p w14:paraId="73AD6F8E"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Low</w:t>
            </w:r>
          </w:p>
        </w:tc>
        <w:tc>
          <w:tcPr>
            <w:tcW w:w="1843" w:type="dxa"/>
          </w:tcPr>
          <w:p w14:paraId="5F9D7F4A"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Easy</w:t>
            </w:r>
          </w:p>
        </w:tc>
        <w:tc>
          <w:tcPr>
            <w:tcW w:w="1843" w:type="dxa"/>
          </w:tcPr>
          <w:p w14:paraId="38291885"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Excellent</w:t>
            </w:r>
          </w:p>
        </w:tc>
      </w:tr>
      <w:tr w:rsidR="005327AC" w:rsidRPr="00DD4419" w14:paraId="420EC538" w14:textId="77777777" w:rsidTr="00986FD0">
        <w:trPr>
          <w:trHeight w:val="315"/>
          <w:jc w:val="center"/>
        </w:trPr>
        <w:tc>
          <w:tcPr>
            <w:tcW w:w="567" w:type="dxa"/>
            <w:noWrap/>
            <w:hideMark/>
          </w:tcPr>
          <w:p w14:paraId="27461722"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6</w:t>
            </w:r>
          </w:p>
        </w:tc>
        <w:tc>
          <w:tcPr>
            <w:tcW w:w="1418" w:type="dxa"/>
            <w:noWrap/>
          </w:tcPr>
          <w:p w14:paraId="46F23331"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0.498</w:t>
            </w:r>
          </w:p>
        </w:tc>
        <w:tc>
          <w:tcPr>
            <w:tcW w:w="1275" w:type="dxa"/>
          </w:tcPr>
          <w:p w14:paraId="54A2AF59"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0.4595</w:t>
            </w:r>
          </w:p>
        </w:tc>
        <w:tc>
          <w:tcPr>
            <w:tcW w:w="1276" w:type="dxa"/>
            <w:noWrap/>
          </w:tcPr>
          <w:p w14:paraId="002DCD4A"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Low</w:t>
            </w:r>
          </w:p>
        </w:tc>
        <w:tc>
          <w:tcPr>
            <w:tcW w:w="1843" w:type="dxa"/>
          </w:tcPr>
          <w:p w14:paraId="78294F32"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Moderate</w:t>
            </w:r>
          </w:p>
        </w:tc>
        <w:tc>
          <w:tcPr>
            <w:tcW w:w="1843" w:type="dxa"/>
          </w:tcPr>
          <w:p w14:paraId="63D01DA9"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Excellent</w:t>
            </w:r>
          </w:p>
        </w:tc>
      </w:tr>
      <w:tr w:rsidR="005327AC" w:rsidRPr="00DD4419" w14:paraId="2DA0BD06" w14:textId="77777777" w:rsidTr="00986FD0">
        <w:trPr>
          <w:trHeight w:val="315"/>
          <w:jc w:val="center"/>
        </w:trPr>
        <w:tc>
          <w:tcPr>
            <w:tcW w:w="567" w:type="dxa"/>
            <w:noWrap/>
            <w:hideMark/>
          </w:tcPr>
          <w:p w14:paraId="4BB0D39A"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7</w:t>
            </w:r>
          </w:p>
        </w:tc>
        <w:tc>
          <w:tcPr>
            <w:tcW w:w="1418" w:type="dxa"/>
            <w:noWrap/>
          </w:tcPr>
          <w:p w14:paraId="59B2A81D"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0.262</w:t>
            </w:r>
          </w:p>
        </w:tc>
        <w:tc>
          <w:tcPr>
            <w:tcW w:w="1275" w:type="dxa"/>
          </w:tcPr>
          <w:p w14:paraId="35E85354"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0.3784</w:t>
            </w:r>
          </w:p>
        </w:tc>
        <w:tc>
          <w:tcPr>
            <w:tcW w:w="1276" w:type="dxa"/>
            <w:noWrap/>
          </w:tcPr>
          <w:p w14:paraId="2CD17B7C"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Low</w:t>
            </w:r>
          </w:p>
        </w:tc>
        <w:tc>
          <w:tcPr>
            <w:tcW w:w="1843" w:type="dxa"/>
          </w:tcPr>
          <w:p w14:paraId="7B7AFFD6"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Moderate</w:t>
            </w:r>
          </w:p>
        </w:tc>
        <w:tc>
          <w:tcPr>
            <w:tcW w:w="1843" w:type="dxa"/>
          </w:tcPr>
          <w:p w14:paraId="38B5B2FF"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Acceptable</w:t>
            </w:r>
          </w:p>
        </w:tc>
      </w:tr>
      <w:tr w:rsidR="005327AC" w:rsidRPr="00DD4419" w14:paraId="7758B747" w14:textId="77777777" w:rsidTr="00986FD0">
        <w:trPr>
          <w:trHeight w:val="315"/>
          <w:jc w:val="center"/>
        </w:trPr>
        <w:tc>
          <w:tcPr>
            <w:tcW w:w="567" w:type="dxa"/>
            <w:noWrap/>
            <w:hideMark/>
          </w:tcPr>
          <w:p w14:paraId="0A806799"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8</w:t>
            </w:r>
          </w:p>
        </w:tc>
        <w:tc>
          <w:tcPr>
            <w:tcW w:w="1418" w:type="dxa"/>
            <w:noWrap/>
          </w:tcPr>
          <w:p w14:paraId="7B1318F1"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0.534</w:t>
            </w:r>
          </w:p>
        </w:tc>
        <w:tc>
          <w:tcPr>
            <w:tcW w:w="1275" w:type="dxa"/>
          </w:tcPr>
          <w:p w14:paraId="26B0D6E1"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0.2432</w:t>
            </w:r>
          </w:p>
        </w:tc>
        <w:tc>
          <w:tcPr>
            <w:tcW w:w="1276" w:type="dxa"/>
            <w:noWrap/>
          </w:tcPr>
          <w:p w14:paraId="69303CFE"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Moderate</w:t>
            </w:r>
          </w:p>
        </w:tc>
        <w:tc>
          <w:tcPr>
            <w:tcW w:w="1843" w:type="dxa"/>
          </w:tcPr>
          <w:p w14:paraId="7AA0D282"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Moderate</w:t>
            </w:r>
          </w:p>
        </w:tc>
        <w:tc>
          <w:tcPr>
            <w:tcW w:w="1843" w:type="dxa"/>
          </w:tcPr>
          <w:p w14:paraId="06B8B732"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Excellent</w:t>
            </w:r>
          </w:p>
        </w:tc>
      </w:tr>
      <w:tr w:rsidR="005327AC" w:rsidRPr="00DD4419" w14:paraId="3A2EDDF1" w14:textId="77777777" w:rsidTr="00986FD0">
        <w:trPr>
          <w:trHeight w:val="315"/>
          <w:jc w:val="center"/>
        </w:trPr>
        <w:tc>
          <w:tcPr>
            <w:tcW w:w="567" w:type="dxa"/>
            <w:noWrap/>
            <w:hideMark/>
          </w:tcPr>
          <w:p w14:paraId="217C0EE3"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9</w:t>
            </w:r>
          </w:p>
        </w:tc>
        <w:tc>
          <w:tcPr>
            <w:tcW w:w="1418" w:type="dxa"/>
            <w:noWrap/>
          </w:tcPr>
          <w:p w14:paraId="2F53EA1D"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0.570</w:t>
            </w:r>
          </w:p>
        </w:tc>
        <w:tc>
          <w:tcPr>
            <w:tcW w:w="1275" w:type="dxa"/>
          </w:tcPr>
          <w:p w14:paraId="41493799"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0.6757</w:t>
            </w:r>
          </w:p>
        </w:tc>
        <w:tc>
          <w:tcPr>
            <w:tcW w:w="1276" w:type="dxa"/>
            <w:noWrap/>
          </w:tcPr>
          <w:p w14:paraId="30E6B2FD"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Moderate</w:t>
            </w:r>
          </w:p>
        </w:tc>
        <w:tc>
          <w:tcPr>
            <w:tcW w:w="1843" w:type="dxa"/>
          </w:tcPr>
          <w:p w14:paraId="1D6D558D"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proofErr w:type="spellStart"/>
            <w:r w:rsidRPr="00DD4419">
              <w:rPr>
                <w:rFonts w:eastAsia="Times New Roman"/>
                <w:color w:val="000000"/>
                <w:position w:val="0"/>
                <w:sz w:val="20"/>
                <w:szCs w:val="20"/>
              </w:rPr>
              <w:t>Esay</w:t>
            </w:r>
            <w:proofErr w:type="spellEnd"/>
          </w:p>
        </w:tc>
        <w:tc>
          <w:tcPr>
            <w:tcW w:w="1843" w:type="dxa"/>
          </w:tcPr>
          <w:p w14:paraId="0677BA33"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Excellent</w:t>
            </w:r>
          </w:p>
        </w:tc>
      </w:tr>
      <w:tr w:rsidR="005327AC" w:rsidRPr="00DD4419" w14:paraId="6B30C1CC" w14:textId="77777777" w:rsidTr="00986FD0">
        <w:trPr>
          <w:trHeight w:val="315"/>
          <w:jc w:val="center"/>
        </w:trPr>
        <w:tc>
          <w:tcPr>
            <w:tcW w:w="567" w:type="dxa"/>
            <w:tcBorders>
              <w:bottom w:val="single" w:sz="4" w:space="0" w:color="000000"/>
            </w:tcBorders>
            <w:noWrap/>
            <w:hideMark/>
          </w:tcPr>
          <w:p w14:paraId="33052EDC"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10</w:t>
            </w:r>
          </w:p>
        </w:tc>
        <w:tc>
          <w:tcPr>
            <w:tcW w:w="1418" w:type="dxa"/>
            <w:tcBorders>
              <w:bottom w:val="single" w:sz="4" w:space="0" w:color="000000"/>
            </w:tcBorders>
            <w:noWrap/>
          </w:tcPr>
          <w:p w14:paraId="68E36C43"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0.304</w:t>
            </w:r>
          </w:p>
        </w:tc>
        <w:tc>
          <w:tcPr>
            <w:tcW w:w="1275" w:type="dxa"/>
            <w:tcBorders>
              <w:bottom w:val="single" w:sz="4" w:space="0" w:color="000000"/>
            </w:tcBorders>
          </w:tcPr>
          <w:p w14:paraId="77BD24F9" w14:textId="77777777" w:rsidR="005327AC" w:rsidRPr="00DD4419" w:rsidRDefault="005327AC" w:rsidP="00DC59C4">
            <w:pPr>
              <w:suppressAutoHyphens w:val="0"/>
              <w:ind w:leftChars="0" w:left="0" w:firstLineChars="0" w:firstLine="0"/>
              <w:jc w:val="righ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0.4054</w:t>
            </w:r>
          </w:p>
        </w:tc>
        <w:tc>
          <w:tcPr>
            <w:tcW w:w="1276" w:type="dxa"/>
            <w:tcBorders>
              <w:bottom w:val="single" w:sz="4" w:space="0" w:color="000000"/>
            </w:tcBorders>
            <w:noWrap/>
          </w:tcPr>
          <w:p w14:paraId="2E404E1B"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Low</w:t>
            </w:r>
          </w:p>
        </w:tc>
        <w:tc>
          <w:tcPr>
            <w:tcW w:w="1843" w:type="dxa"/>
            <w:tcBorders>
              <w:bottom w:val="single" w:sz="4" w:space="0" w:color="000000"/>
            </w:tcBorders>
          </w:tcPr>
          <w:p w14:paraId="74014024"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Moderate</w:t>
            </w:r>
          </w:p>
        </w:tc>
        <w:tc>
          <w:tcPr>
            <w:tcW w:w="1843" w:type="dxa"/>
            <w:tcBorders>
              <w:bottom w:val="single" w:sz="4" w:space="0" w:color="000000"/>
            </w:tcBorders>
          </w:tcPr>
          <w:p w14:paraId="6F069937" w14:textId="77777777" w:rsidR="005327AC" w:rsidRPr="00DD4419" w:rsidRDefault="005327AC" w:rsidP="00DC59C4">
            <w:pPr>
              <w:suppressAutoHyphens w:val="0"/>
              <w:ind w:leftChars="0" w:left="0" w:firstLineChars="0" w:firstLine="0"/>
              <w:jc w:val="left"/>
              <w:textDirection w:val="lrTb"/>
              <w:textAlignment w:val="auto"/>
              <w:outlineLvl w:val="9"/>
              <w:rPr>
                <w:rFonts w:eastAsia="Times New Roman"/>
                <w:color w:val="000000"/>
                <w:position w:val="0"/>
                <w:sz w:val="20"/>
                <w:szCs w:val="20"/>
              </w:rPr>
            </w:pPr>
            <w:r w:rsidRPr="00DD4419">
              <w:rPr>
                <w:rFonts w:eastAsia="Times New Roman"/>
                <w:color w:val="000000"/>
                <w:position w:val="0"/>
                <w:sz w:val="20"/>
                <w:szCs w:val="20"/>
              </w:rPr>
              <w:t>Good</w:t>
            </w:r>
          </w:p>
        </w:tc>
      </w:tr>
    </w:tbl>
    <w:p w14:paraId="4887A1D3" w14:textId="36FC49A2" w:rsidR="00C16BDE" w:rsidRDefault="00C16BDE"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7A194D6" w14:textId="77777777" w:rsidR="00C6175C" w:rsidRPr="00DD4419" w:rsidRDefault="00C6175C"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657F917" w14:textId="77777777" w:rsidR="00C16BDE" w:rsidRPr="00DD4419" w:rsidRDefault="00C16BDE"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D4419">
        <w:rPr>
          <w:rFonts w:ascii="Times New Roman" w:eastAsia="Times New Roman" w:hAnsi="Times New Roman" w:cs="Times New Roman"/>
          <w:color w:val="000000"/>
          <w:sz w:val="24"/>
          <w:szCs w:val="24"/>
        </w:rPr>
        <w:t>b. Test statistic and correlation</w:t>
      </w:r>
    </w:p>
    <w:p w14:paraId="47FBAE3D" w14:textId="77777777" w:rsidR="00C16BDE" w:rsidRPr="00DD4419" w:rsidRDefault="00C16BDE"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D582D8F" w14:textId="5942821E" w:rsidR="00C16BDE" w:rsidRPr="00C6175C" w:rsidRDefault="00C16BDE" w:rsidP="00A97A9E">
      <w:pPr>
        <w:spacing w:after="0"/>
        <w:ind w:left="0" w:hanging="2"/>
        <w:jc w:val="both"/>
        <w:rPr>
          <w:rFonts w:asciiTheme="majorBidi" w:hAnsiTheme="majorBidi" w:cstheme="majorBidi"/>
          <w:sz w:val="24"/>
          <w:szCs w:val="24"/>
        </w:rPr>
      </w:pPr>
      <w:r w:rsidRPr="00DD4419">
        <w:rPr>
          <w:rFonts w:asciiTheme="majorBidi" w:hAnsiTheme="majorBidi" w:cstheme="majorBidi"/>
          <w:sz w:val="24"/>
          <w:szCs w:val="24"/>
        </w:rPr>
        <w:t xml:space="preserve">Pre-test and post-test scores of the participants are required to determine the </w:t>
      </w:r>
      <w:r w:rsidR="009D70DB" w:rsidRPr="00DD4419">
        <w:rPr>
          <w:rFonts w:asciiTheme="majorBidi" w:hAnsiTheme="majorBidi" w:cstheme="majorBidi"/>
          <w:sz w:val="24"/>
          <w:szCs w:val="24"/>
        </w:rPr>
        <w:t>influence</w:t>
      </w:r>
      <w:r w:rsidRPr="00DD4419">
        <w:rPr>
          <w:rFonts w:asciiTheme="majorBidi" w:hAnsiTheme="majorBidi" w:cstheme="majorBidi"/>
          <w:sz w:val="24"/>
          <w:szCs w:val="24"/>
        </w:rPr>
        <w:t xml:space="preserve"> of FOSS-GIS training. We chose different tests to </w:t>
      </w:r>
      <w:r w:rsidR="00E138C3" w:rsidRPr="00DD4419">
        <w:rPr>
          <w:rFonts w:asciiTheme="majorBidi" w:hAnsiTheme="majorBidi" w:cstheme="majorBidi"/>
          <w:sz w:val="24"/>
          <w:szCs w:val="24"/>
        </w:rPr>
        <w:t xml:space="preserve">measure the significance by applying the Paired Sample </w:t>
      </w:r>
      <w:r w:rsidRPr="00DD4419">
        <w:rPr>
          <w:rFonts w:asciiTheme="majorBidi" w:hAnsiTheme="majorBidi" w:cstheme="majorBidi"/>
          <w:sz w:val="24"/>
          <w:szCs w:val="24"/>
        </w:rPr>
        <w:t xml:space="preserve">T-Test and Wilcoxon's Test. Paired Sample T-Test aims to determine the difference in the average of two different and related </w:t>
      </w:r>
      <w:r w:rsidRPr="00C6175C">
        <w:rPr>
          <w:rFonts w:asciiTheme="majorBidi" w:hAnsiTheme="majorBidi" w:cstheme="majorBidi"/>
          <w:sz w:val="24"/>
          <w:szCs w:val="24"/>
        </w:rPr>
        <w:t xml:space="preserve">samples </w:t>
      </w:r>
      <w:r w:rsidRPr="00C6175C">
        <w:rPr>
          <w:rFonts w:asciiTheme="majorBidi" w:hAnsiTheme="majorBidi" w:cstheme="majorBidi"/>
          <w:sz w:val="24"/>
          <w:szCs w:val="24"/>
        </w:rPr>
        <w:fldChar w:fldCharType="begin"/>
      </w:r>
      <w:r w:rsidRPr="00C6175C">
        <w:rPr>
          <w:rFonts w:asciiTheme="majorBidi" w:hAnsiTheme="majorBidi" w:cstheme="majorBidi"/>
          <w:sz w:val="24"/>
          <w:szCs w:val="24"/>
        </w:rPr>
        <w:instrText xml:space="preserve"> ADDIN ZOTERO_ITEM CSL_CITATION {"citationID":"4SFOLbq9","properties":{"formattedCitation":"(Dede et al., 2019)","plainCitation":"(Dede et al., 2019)","noteIndex":0},"citationItems":[{"id":550,"uris":["http://zotero.org/users/local/eLG7HXo0/items/GART62WQ"],"uri":["http://zotero.org/users/local/eLG7HXo0/items/GART62WQ"],"itemData":{"id":550,"type":"article-journal","abstract":"Peningkatan suhu udara merupakan dampak dari pemanasan global serta berkurangnya vegetasi. Pada kawasan perkotaan, peningkatan suhu udara secara signifikan dapat memunculkan fenomena urban heat island yang dalam jangka panjang mampu mengubah iklim mikro. Estimasi suhu permukaan dan kerapatan vegetasi diperoleh dari data satelit penginderaan jauh secara multi-temporal. Penelitian ini bertujuan untuk menganalisis dinamika suhu permukaan dan kerapatan vegetasi di Kota Cirebon. Penelitian ini memanfaatkan data citra Landsat-5 TM dan Landsat-8 OLI yang divalidasi dengan data MODIS pada periode tahun 1998, 2008, serta 2018. Nilai suhu permukaan diekstraksi dengan radiative transfer equation, sedangkan informasi kerapatan vegetasi diperoleh dengan normalized difference vegetation index (NDVI). Interaksi antara suhu permukaan dan kerapatan vegetasi diketahui melalui analisis korelasi spasial. Sepanjang tahun 1998 hingga 2018 terjadi peningkatan suhu permukaan sebesar 1.18 oC yang disertai dengan menurunnya area bervegetasi rapat hingga 12.683 km2. Penelitian ini juga menunjukkan korelasi negatif yang signifikan antara suhu permukaan dan kerapatan vegetasi di Kota Cirebon. Suhu permukaan tertinggi terpusat pada CBD, pelabuhan, area rawan kemacetan, kawasan industri, dan terminal. Berdasarkan kajian ini, upaya menanggulangi suhu permukaan di Kota Cirebon perlu ditangani melalui penyediaan ruang terbuka hijau, green belt, maupun reforestrasi.","container-title":"Jurnal Meteorologi Klimatologi dan Geofisika","DOI":"10.36754/jmkg.v6i1.111","journalAbbreviation":"Jurnal Meteorologi Klimatologi dan Geofisika","page":"23-31","source":"ResearchGate","title":"Dinamika suhu permukaan dan kerapatan vegetasi di Kota Cirebon","volume":"6","author":[{"family":"Dede","given":"Moh"},{"family":"Pramulatsih","given":"Galuh"},{"family":"Widiawaty","given":"Millary"},{"family":"Ramadhan","given":"Yanuar"},{"family":"Ati","given":"Amniar"}],"issued":{"date-parts":[["2019"]]}}}],"schema":"https://github.com/citation-style-language/schema/raw/master/csl-citation.json"} </w:instrText>
      </w:r>
      <w:r w:rsidRPr="00C6175C">
        <w:rPr>
          <w:rFonts w:asciiTheme="majorBidi" w:hAnsiTheme="majorBidi" w:cstheme="majorBidi"/>
          <w:sz w:val="24"/>
          <w:szCs w:val="24"/>
        </w:rPr>
        <w:fldChar w:fldCharType="separate"/>
      </w:r>
      <w:r w:rsidRPr="00C6175C">
        <w:rPr>
          <w:rFonts w:asciiTheme="majorBidi" w:hAnsiTheme="majorBidi" w:cstheme="majorBidi"/>
          <w:sz w:val="24"/>
          <w:szCs w:val="24"/>
        </w:rPr>
        <w:t>(Dede et al., 2019)</w:t>
      </w:r>
      <w:r w:rsidRPr="00C6175C">
        <w:rPr>
          <w:rFonts w:asciiTheme="majorBidi" w:hAnsiTheme="majorBidi" w:cstheme="majorBidi"/>
          <w:sz w:val="24"/>
          <w:szCs w:val="24"/>
        </w:rPr>
        <w:fldChar w:fldCharType="end"/>
      </w:r>
      <w:r w:rsidRPr="00C6175C">
        <w:rPr>
          <w:rFonts w:asciiTheme="majorBidi" w:hAnsiTheme="majorBidi" w:cstheme="majorBidi"/>
          <w:sz w:val="24"/>
          <w:szCs w:val="24"/>
        </w:rPr>
        <w:t xml:space="preserve">, whereas Wilcoxon's Test is useful to find out the differences in ordinal scale data </w:t>
      </w:r>
      <w:r w:rsidRPr="00C6175C">
        <w:rPr>
          <w:rFonts w:asciiTheme="majorBidi" w:hAnsiTheme="majorBidi" w:cstheme="majorBidi"/>
          <w:sz w:val="24"/>
          <w:szCs w:val="24"/>
        </w:rPr>
        <w:fldChar w:fldCharType="begin"/>
      </w:r>
      <w:r w:rsidRPr="00C6175C">
        <w:rPr>
          <w:rFonts w:asciiTheme="majorBidi" w:hAnsiTheme="majorBidi" w:cstheme="majorBidi"/>
          <w:sz w:val="24"/>
          <w:szCs w:val="24"/>
        </w:rPr>
        <w:instrText xml:space="preserve"> ADDIN ZOTERO_ITEM CSL_CITATION {"citationID":"b2igYb2P","properties":{"formattedCitation":"(Ross &amp; Willson, 2017)","plainCitation":"(Ross &amp; Willson, 2017)","noteIndex":0},"citationItems":[{"id":461,"uris":["http://zotero.org/users/local/eLG7HXo0/items/LHKB7S3F"],"uri":["http://zotero.org/users/local/eLG7HXo0/items/LHKB7S3F"],"itemData":{"id":461,"type":"chapter","abstract":"A paired-samples t-test compares the mean of two matched groups of people or cases, or compares the mean of a single group, examined at two different points in time. If the same group is tested again, on the same measure, the t-test is called a repeated measures t-test.","container-title":"Basic and Advanced Statistical Tests: Writing Results Sections and Creating Tables and Figures","event-place":"Rotterdam","ISBN":"978-94-6351-086-8","language":"en","note":"DOI: 10.1007/978-94-6351-086-8_4","page":"17-19","publisher":"SensePublishers","publisher-place":"Rotterdam","source":"Springer Link","title":"Paired Samples T-Test","URL":"https://doi.org/10.1007/978-94-6351-086-8_4","author":[{"family":"Ross","given":"Amanda"},{"family":"Willson","given":"Victor L."}],"editor":[{"family":"Ross","given":"Amanda"},{"family":"Willson","given":"Victor L."}],"accessed":{"date-parts":[["2021",11,15]]},"issued":{"date-parts":[["2017"]]}}}],"schema":"https://github.com/citation-style-language/schema/raw/master/csl-citation.json"} </w:instrText>
      </w:r>
      <w:r w:rsidRPr="00C6175C">
        <w:rPr>
          <w:rFonts w:asciiTheme="majorBidi" w:hAnsiTheme="majorBidi" w:cstheme="majorBidi"/>
          <w:sz w:val="24"/>
          <w:szCs w:val="24"/>
        </w:rPr>
        <w:fldChar w:fldCharType="separate"/>
      </w:r>
      <w:r w:rsidRPr="00C6175C">
        <w:rPr>
          <w:rFonts w:asciiTheme="majorBidi" w:hAnsiTheme="majorBidi" w:cstheme="majorBidi"/>
          <w:sz w:val="24"/>
          <w:szCs w:val="24"/>
        </w:rPr>
        <w:t>(Ross &amp; Willson, 2017)</w:t>
      </w:r>
      <w:r w:rsidRPr="00C6175C">
        <w:rPr>
          <w:rFonts w:asciiTheme="majorBidi" w:hAnsiTheme="majorBidi" w:cstheme="majorBidi"/>
          <w:sz w:val="24"/>
          <w:szCs w:val="24"/>
        </w:rPr>
        <w:fldChar w:fldCharType="end"/>
      </w:r>
      <w:r w:rsidRPr="00C6175C">
        <w:rPr>
          <w:rFonts w:asciiTheme="majorBidi" w:hAnsiTheme="majorBidi" w:cstheme="majorBidi"/>
          <w:sz w:val="24"/>
          <w:szCs w:val="24"/>
        </w:rPr>
        <w:t xml:space="preserve">. </w:t>
      </w:r>
      <w:r w:rsidRPr="00C6175C">
        <w:rPr>
          <w:rFonts w:asciiTheme="majorBidi" w:hAnsiTheme="majorBidi" w:cstheme="majorBidi"/>
          <w:sz w:val="24"/>
          <w:szCs w:val="24"/>
          <w:lang w:val="en"/>
        </w:rPr>
        <w:t xml:space="preserve">Data must be normally distributed as a basic </w:t>
      </w:r>
      <w:r w:rsidRPr="00C6175C">
        <w:rPr>
          <w:rFonts w:asciiTheme="majorBidi" w:hAnsiTheme="majorBidi" w:cstheme="majorBidi"/>
          <w:sz w:val="24"/>
          <w:szCs w:val="24"/>
        </w:rPr>
        <w:t xml:space="preserve">requirement </w:t>
      </w:r>
      <w:r w:rsidRPr="00C6175C">
        <w:rPr>
          <w:rFonts w:asciiTheme="majorBidi" w:hAnsiTheme="majorBidi" w:cstheme="majorBidi"/>
          <w:sz w:val="24"/>
          <w:szCs w:val="24"/>
          <w:lang w:val="en"/>
        </w:rPr>
        <w:t>for</w:t>
      </w:r>
      <w:r w:rsidRPr="00C6175C">
        <w:rPr>
          <w:rFonts w:asciiTheme="majorBidi" w:hAnsiTheme="majorBidi" w:cstheme="majorBidi"/>
          <w:sz w:val="24"/>
          <w:szCs w:val="24"/>
        </w:rPr>
        <w:t xml:space="preserve"> Paired Sample T-Test. The number of samples in this study was 24 participants, thus it is more appropriate to use Shapiro-Wilk for normality test (</w:t>
      </w:r>
      <w:r w:rsidR="00C758A5" w:rsidRPr="00C6175C">
        <w:rPr>
          <w:rFonts w:asciiTheme="majorBidi" w:hAnsiTheme="majorBidi" w:cstheme="majorBidi"/>
          <w:sz w:val="24"/>
          <w:szCs w:val="24"/>
        </w:rPr>
        <w:fldChar w:fldCharType="begin"/>
      </w:r>
      <w:r w:rsidR="00B40A2C" w:rsidRPr="00C6175C">
        <w:rPr>
          <w:rFonts w:asciiTheme="majorBidi" w:hAnsiTheme="majorBidi" w:cstheme="majorBidi"/>
          <w:sz w:val="24"/>
          <w:szCs w:val="24"/>
        </w:rPr>
        <w:instrText xml:space="preserve"> ADDIN ZOTERO_ITEM CSL_CITATION {"citationID":"TzPJwSLG","properties":{"formattedCitation":"(Razali &amp; Yap, 2011)","plainCitation":"(Razali &amp; Yap, 2011)","dontUpdate":true,"noteIndex":0},"citationItems":[{"id":462,"uris":["http://zotero.org/users/local/eLG7HXo0/items/2NZA5IE3"],"uri":["http://zotero.org/users/local/eLG7HXo0/items/2NZA5IE3"],"itemData":{"id":462,"type":"article-journal","abstract":"The importance of normal distribution is undeniable since it is an underlying assumption of many statistical procedures such as t-tests, linear regression analysis, discriminant analysis and Analysis of Variance (ANOVA). When the normality assumption is violated, interpretation and inferences may not be reliable or valid. The three common procedures in assessing whether a random sample of independent observations of size n come from a population with a normal distribution are: graphical methods (histograms, boxplots, Q-Q-plots), numerical methods (skewness and kurtosis indices) and formal normality tests. This paper* compares the power of four formal tests of normality: Shapiro-Wilk (SW) test, Kolmogorov-Smirnov (KS) test, Lilliefors (LF) test and Anderson-Darling (AD) test. Power comparisons of these four tests were obtained via Monte Carlo simulation of sample data generated from alternative distributions that follow symmetric and asymmetric distributions. Ten thousand samples of various sample size were generated from each of the given alternative symmetric and asymmetric distributions. The power of each test was then obtained by comparing the test of normality statistics with the respective critical values. Results show that Shapiro-Wilk test is the most powerful normality test, followed by Anderson-Darling test, Lilliefors test and Kolmogorov-Smirnov test. However, the power of all four tests is still low for small sample size.","container-title":"J. Stat. Model. Analytics","issue":"1","journalAbbreviation":"J. Stat. Model. Analytics","page":"21–33","source":"ResearchGate","title":"Power Comparisons of Shapiro-Wilk, Kolmogorov-Smirnov, Lilliefors and Anderson-Darling Tests","volume":"2","author":[{"family":"Razali","given":"Nornadiah Mohd"},{"family":"Yap","given":"Bee"}],"issued":{"date-parts":[["2011"]]}}}],"schema":"https://github.com/citation-style-language/schema/raw/master/csl-citation.json"} </w:instrText>
      </w:r>
      <w:r w:rsidR="00C758A5" w:rsidRPr="00C6175C">
        <w:rPr>
          <w:rFonts w:asciiTheme="majorBidi" w:hAnsiTheme="majorBidi" w:cstheme="majorBidi"/>
          <w:sz w:val="24"/>
          <w:szCs w:val="24"/>
        </w:rPr>
        <w:fldChar w:fldCharType="separate"/>
      </w:r>
      <w:r w:rsidR="00C758A5" w:rsidRPr="00C6175C">
        <w:rPr>
          <w:rFonts w:ascii="Times New Roman" w:hAnsi="Times New Roman" w:cs="Times New Roman"/>
          <w:sz w:val="24"/>
        </w:rPr>
        <w:t>Razali &amp; Yap, 2011)</w:t>
      </w:r>
      <w:r w:rsidR="00C758A5" w:rsidRPr="00C6175C">
        <w:rPr>
          <w:rFonts w:asciiTheme="majorBidi" w:hAnsiTheme="majorBidi" w:cstheme="majorBidi"/>
          <w:sz w:val="24"/>
          <w:szCs w:val="24"/>
        </w:rPr>
        <w:fldChar w:fldCharType="end"/>
      </w:r>
      <w:r w:rsidRPr="00C6175C">
        <w:rPr>
          <w:rFonts w:asciiTheme="majorBidi" w:hAnsiTheme="majorBidi" w:cstheme="majorBidi"/>
          <w:sz w:val="24"/>
          <w:szCs w:val="24"/>
        </w:rPr>
        <w:t xml:space="preserve">. Normality data verdict refers to p-value (significance value) which is greater than 0.05. The significance value for pre-test and post-test on the spatial knowledge, respectively are 0.131 and 0.114 – normally distributed. Meanwhile, the spatial ability items does not need for normality test because it is a relative scale </w:t>
      </w:r>
      <w:r w:rsidRPr="00C6175C">
        <w:rPr>
          <w:rFonts w:asciiTheme="majorBidi" w:hAnsiTheme="majorBidi" w:cstheme="majorBidi"/>
          <w:sz w:val="24"/>
          <w:szCs w:val="24"/>
        </w:rPr>
        <w:fldChar w:fldCharType="begin"/>
      </w:r>
      <w:r w:rsidRPr="00C6175C">
        <w:rPr>
          <w:rFonts w:asciiTheme="majorBidi" w:hAnsiTheme="majorBidi" w:cstheme="majorBidi"/>
          <w:sz w:val="24"/>
          <w:szCs w:val="24"/>
        </w:rPr>
        <w:instrText xml:space="preserve"> ADDIN ZOTERO_ITEM CSL_CITATION {"citationID":"H5r24S23","properties":{"formattedCitation":"(Fitzgerald et al., 2001)","plainCitation":"(Fitzgerald et al., 2001)","noteIndex":0},"citationItems":[{"id":508,"uris":["http://zotero.org/users/local/eLG7HXo0/items/CJ6H86H6"],"uri":["http://zotero.org/users/local/eLG7HXo0/items/CJ6H86H6"],"itemData":{"id":508,"type":"article-journal","abstract":"This article introduces readers to the data analytic sub-paradigm of nonparametric statistics. The authors begin with an explanation of how and under what circumstances nonparametric statistics are used, then describe specific nonparametric techniques which are commonly used in social science research. Examples from the contemporary rehabilitation literature are provided throughout the article.","container-title":"Work (Reading, Mass.)","journalAbbreviation":"Work (Reading, Mass.)","page":"287-292","source":"ResearchGate","title":"The basics of nonparametric statistics","volume":"16","author":[{"family":"Fitzgerald","given":"Shawn"},{"family":"Dimitrov","given":"Dimiter"},{"family":"Rumrill","given":"Phillip"}],"issued":{"date-parts":[["2001"]]}}}],"schema":"https://github.com/citation-style-language/schema/raw/master/csl-citation.json"} </w:instrText>
      </w:r>
      <w:r w:rsidRPr="00C6175C">
        <w:rPr>
          <w:rFonts w:asciiTheme="majorBidi" w:hAnsiTheme="majorBidi" w:cstheme="majorBidi"/>
          <w:sz w:val="24"/>
          <w:szCs w:val="24"/>
        </w:rPr>
        <w:fldChar w:fldCharType="separate"/>
      </w:r>
      <w:r w:rsidRPr="00C6175C">
        <w:rPr>
          <w:rFonts w:asciiTheme="majorBidi" w:hAnsiTheme="majorBidi" w:cstheme="majorBidi"/>
          <w:sz w:val="24"/>
          <w:szCs w:val="24"/>
        </w:rPr>
        <w:t>(Fitzgerald et al., 2001)</w:t>
      </w:r>
      <w:r w:rsidRPr="00C6175C">
        <w:rPr>
          <w:rFonts w:asciiTheme="majorBidi" w:hAnsiTheme="majorBidi" w:cstheme="majorBidi"/>
          <w:sz w:val="24"/>
          <w:szCs w:val="24"/>
        </w:rPr>
        <w:fldChar w:fldCharType="end"/>
      </w:r>
      <w:r w:rsidRPr="00C6175C">
        <w:rPr>
          <w:rFonts w:asciiTheme="majorBidi" w:hAnsiTheme="majorBidi" w:cstheme="majorBidi"/>
          <w:sz w:val="24"/>
          <w:szCs w:val="24"/>
        </w:rPr>
        <w:t xml:space="preserve">. </w:t>
      </w:r>
      <w:r w:rsidR="001C5056" w:rsidRPr="00C6175C">
        <w:rPr>
          <w:rFonts w:asciiTheme="majorBidi" w:hAnsiTheme="majorBidi" w:cstheme="majorBidi"/>
          <w:sz w:val="24"/>
          <w:szCs w:val="24"/>
        </w:rPr>
        <w:t xml:space="preserve">Spearman-Rank correlation is used to determine the relationship between spatial habits and spatial knowledge </w:t>
      </w:r>
      <w:r w:rsidRPr="00C6175C">
        <w:rPr>
          <w:rFonts w:asciiTheme="majorBidi" w:hAnsiTheme="majorBidi" w:cstheme="majorBidi"/>
          <w:sz w:val="24"/>
          <w:szCs w:val="24"/>
        </w:rPr>
        <w:fldChar w:fldCharType="begin"/>
      </w:r>
      <w:r w:rsidR="00A97A9E" w:rsidRPr="00C6175C">
        <w:rPr>
          <w:rFonts w:asciiTheme="majorBidi" w:hAnsiTheme="majorBidi" w:cstheme="majorBidi"/>
          <w:sz w:val="24"/>
          <w:szCs w:val="24"/>
        </w:rPr>
        <w:instrText xml:space="preserve"> ADDIN ZOTERO_ITEM CSL_CITATION {"citationID":"a1e2mcd8e6j","properties":{"formattedCitation":"(Setiawan et al., 2019; Zar, 2014)","plainCitation":"(Setiawan et al., 2019; Zar, 2014)","noteIndex":0},"citationItems":[{"id":553,"uris":["http://zotero.org/users/local/eLG7HXo0/items/TH7PLXRC"],"uri":["http://zotero.org/users/local/eLG7HXo0/items/TH7PLXRC"],"itemData":{"id":553,"type":"article-journal","abstract":"Urban crime is unplanned change from urban development processes. Understanding of urban crime is necessary for crime prevention and increase urban living quality. The geographical approach in urban crime analysis can analyze crime pattern using a geographic information system, also investigate a correlation between crime and environmental condition. This research is conducted to analyze the relationships between urban crime and urban accessibility in Sumur Bandung as the region with the highest crime in Bandung City. Urban crime pattern can be determined using geographic information systems through kernel density estimation, whereas urban accessibility is obtained via network indices methods. The correlation between urban crime pattern and urban accessibility is determined from statistical tests. The results show there is a significant positive relationship between urban crime and urban accessibility in Sumur Bandung Sub-District. Urban crime pattern is concentrated in Braga and Babakan Ciamis. Crime will increase in a more accessible area, thus crime prevention effort through physical access controlling regulation in the urban region.","DOI":"10.18502/kss.v3i21.4993","page":"535–548","source":"ResearchGate","title":"Investigating urban crime pattern and accessibility using Geographic Information System in Bandung City","volume":"3","author":[{"family":"Setiawan","given":"Iwan"},{"family":"Dede","given":"Moh"},{"family":"Sugandi","given":"Dede"},{"family":"Widiawaty","given":"Millary"}],"issued":{"date-parts":[["2019"]]}}},{"id":468,"uris":["http://zotero.org/users/local/eLG7HXo0/items/BY4LMBNR"],"uri":["http://zotero.org/users/local/eLG7HXo0/items/BY4LMBNR"],"itemData":{"id":468,"type":"chapter","abstract":"In a nonparametric (distribution-free) approach to the correlation between two sets of measurements made on the same individuals, each set may be ranked in order of magnitude. The standard (Pearson) product-moment correlation coefficient is calculated on the two sets of ranks. Simple formulae are available, and adjustments are made for tied ranks. Test and estimation procedures are described. The relationship with the Kendall rank correlation coefficient is discussed.","container-title":"Wiley StatsRef: Statistics Reference Online","ISBN":"978-1-118-44511-2","language":"en","note":"DOI: 10.1002/9781118445112.stat05964","publisher":"John Wiley &amp; Sons, Ltd","source":"Wiley Online Library","title":"Spearman Rank Correlation: Overview","title-short":"Spearman Rank Correlation","URL":"https://onlinelibrary.wiley.com/doi/abs/10.1002/9781118445112.stat05964","author":[{"family":"Zar","given":"Jerrold H."}],"accessed":{"date-parts":[["2021",11,15]]},"issued":{"date-parts":[["2014"]]}}}],"schema":"https://github.com/citation-style-language/schema/raw/master/csl-citation.json"} </w:instrText>
      </w:r>
      <w:r w:rsidRPr="00C6175C">
        <w:rPr>
          <w:rFonts w:asciiTheme="majorBidi" w:hAnsiTheme="majorBidi" w:cstheme="majorBidi"/>
          <w:sz w:val="24"/>
          <w:szCs w:val="24"/>
        </w:rPr>
        <w:fldChar w:fldCharType="separate"/>
      </w:r>
      <w:r w:rsidR="00A97A9E" w:rsidRPr="00C6175C">
        <w:rPr>
          <w:rFonts w:ascii="Times New Roman" w:hAnsi="Times New Roman" w:cs="Times New Roman"/>
          <w:sz w:val="24"/>
          <w:szCs w:val="24"/>
        </w:rPr>
        <w:t>(Setiawan et al., 2019; Zar, 2014)</w:t>
      </w:r>
      <w:r w:rsidRPr="00C6175C">
        <w:rPr>
          <w:rFonts w:asciiTheme="majorBidi" w:hAnsiTheme="majorBidi" w:cstheme="majorBidi"/>
          <w:sz w:val="24"/>
          <w:szCs w:val="24"/>
        </w:rPr>
        <w:fldChar w:fldCharType="end"/>
      </w:r>
      <w:r w:rsidRPr="00C6175C">
        <w:rPr>
          <w:rFonts w:asciiTheme="majorBidi" w:hAnsiTheme="majorBidi" w:cstheme="majorBidi"/>
          <w:sz w:val="24"/>
          <w:szCs w:val="24"/>
        </w:rPr>
        <w:t xml:space="preserve">, </w:t>
      </w:r>
      <w:r w:rsidR="0001435B" w:rsidRPr="00C6175C">
        <w:rPr>
          <w:rFonts w:asciiTheme="majorBidi" w:hAnsiTheme="majorBidi" w:cstheme="majorBidi"/>
          <w:sz w:val="24"/>
          <w:szCs w:val="24"/>
        </w:rPr>
        <w:t xml:space="preserve">the level of interaction is obtained from the </w:t>
      </w:r>
      <w:proofErr w:type="spellStart"/>
      <w:r w:rsidR="0001435B" w:rsidRPr="00C6175C">
        <w:rPr>
          <w:rFonts w:asciiTheme="majorBidi" w:hAnsiTheme="majorBidi" w:cstheme="majorBidi"/>
          <w:sz w:val="24"/>
          <w:szCs w:val="24"/>
        </w:rPr>
        <w:t>r-value</w:t>
      </w:r>
      <w:proofErr w:type="spellEnd"/>
      <w:r w:rsidR="0001435B" w:rsidRPr="00C6175C">
        <w:rPr>
          <w:rFonts w:asciiTheme="majorBidi" w:hAnsiTheme="majorBidi" w:cstheme="majorBidi"/>
          <w:sz w:val="24"/>
          <w:szCs w:val="24"/>
        </w:rPr>
        <w:t xml:space="preserve"> and its significance </w:t>
      </w:r>
      <w:r w:rsidRPr="00C6175C">
        <w:rPr>
          <w:rFonts w:asciiTheme="majorBidi" w:hAnsiTheme="majorBidi" w:cstheme="majorBidi"/>
          <w:sz w:val="24"/>
          <w:szCs w:val="24"/>
        </w:rPr>
        <w:fldChar w:fldCharType="begin"/>
      </w:r>
      <w:r w:rsidRPr="00C6175C">
        <w:rPr>
          <w:rFonts w:asciiTheme="majorBidi" w:hAnsiTheme="majorBidi" w:cstheme="majorBidi"/>
          <w:sz w:val="24"/>
          <w:szCs w:val="24"/>
        </w:rPr>
        <w:instrText xml:space="preserve"> ADDIN ZOTERO_ITEM CSL_CITATION {"citationID":"xwwqnRME","properties":{"formattedCitation":"(Sedgwick, 2014)","plainCitation":"(Sedgwick, 2014)","noteIndex":0},"citationItems":[{"id":465,"uris":["http://zotero.org/users/local/eLG7HXo0/items/VNJT479N"],"uri":["http://zotero.org/users/local/eLG7HXo0/items/VNJT479N"],"itemData":{"id":465,"type":"article-journal","abstract":"Researchers examined the association between trends in antidepressant prescribing and suicide rates between 1991 and 2000 in Australia.1 A retrospective analysis of national databases was undertaken. Participants were aged 15 years or more. The primary outcomes were trends in suicide rates and antidepressant prescribing, according to sex and 10 year age groups. The trend in suicide within each age group was measured by the difference between the suicide rates per 100 000 people in two five year periods (1986-90 and 1996-2000). Trends in antidepressant prescribing were assessed by the change in defined daily dose per 1000 days, as indicated by the difference between 1991 and 2000. A positive trend in suicide rates or antidepressant prescribing within an age group represented an increase from 1991 to 2000.\n\nThe researchers reported that although overall national rates of suicide did not fall significantly, the incidence decreased in older men and women and increased in younger adults. Rates of antibiotic prescribing increased across all age groups in both men and women. The association between trends in suicide rates and antidepressant prescribing were measured by Spearman’s rank correlation coefficient. There was an inverse correlation between trends in antidepressant prescribing and suicide; with the largest declines in suicide in the age groups with the greatest increase in exposure to antidepressants. The association was significant in women ( rs =−0.74; P&lt;0.05) but not in men ( r s=−0.62; P&lt;0.10).\n\nIt was concluded that an increase in antidepressant prescribing may be a proxy marker for improved overall management of depression. If so, increased prescribing of selective serotonin reuptake inhibitors in general practice may have a quantifiable benefit on the mental health of the population.\n\nWhich of the following statements, if any, are true?","container-title":"BMJ (online)","DOI":"10.1136/bmj.g7327","journalAbbreviation":"BMJ (online)","page":"g7327","source":"ResearchGate","title":"Spearman's rank correlation coefficient","volume":"349","author":[{"family":"Sedgwick","given":"Philip"}],"issued":{"date-parts":[["2014"]]}}}],"schema":"https://github.com/citation-style-language/schema/raw/master/csl-citation.json"} </w:instrText>
      </w:r>
      <w:r w:rsidRPr="00C6175C">
        <w:rPr>
          <w:rFonts w:asciiTheme="majorBidi" w:hAnsiTheme="majorBidi" w:cstheme="majorBidi"/>
          <w:sz w:val="24"/>
          <w:szCs w:val="24"/>
        </w:rPr>
        <w:fldChar w:fldCharType="separate"/>
      </w:r>
      <w:r w:rsidRPr="00C6175C">
        <w:rPr>
          <w:rFonts w:asciiTheme="majorBidi" w:hAnsiTheme="majorBidi" w:cstheme="majorBidi"/>
          <w:sz w:val="24"/>
          <w:szCs w:val="24"/>
        </w:rPr>
        <w:t>(Sedgwick, 2014)</w:t>
      </w:r>
      <w:r w:rsidRPr="00C6175C">
        <w:rPr>
          <w:rFonts w:asciiTheme="majorBidi" w:hAnsiTheme="majorBidi" w:cstheme="majorBidi"/>
          <w:sz w:val="24"/>
          <w:szCs w:val="24"/>
        </w:rPr>
        <w:fldChar w:fldCharType="end"/>
      </w:r>
      <w:r w:rsidRPr="00C6175C">
        <w:rPr>
          <w:rFonts w:asciiTheme="majorBidi" w:hAnsiTheme="majorBidi" w:cstheme="majorBidi"/>
          <w:sz w:val="24"/>
          <w:szCs w:val="24"/>
        </w:rPr>
        <w:t xml:space="preserve">. </w:t>
      </w:r>
    </w:p>
    <w:p w14:paraId="5AD880CB" w14:textId="2A999D23" w:rsidR="00C16BDE" w:rsidRDefault="00C16BDE"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22E090D" w14:textId="77777777" w:rsidR="00C6175C" w:rsidRDefault="00C6175C"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3120FFE" w14:textId="77777777" w:rsidR="00C6175C" w:rsidRPr="00DD4419" w:rsidRDefault="00C6175C"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ED1CE47" w14:textId="77777777" w:rsidR="00E67EE2" w:rsidRPr="00DD4419" w:rsidRDefault="00986FD0"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D4419">
        <w:rPr>
          <w:rFonts w:ascii="Times New Roman" w:eastAsia="Times New Roman" w:hAnsi="Times New Roman" w:cs="Times New Roman"/>
          <w:b/>
          <w:color w:val="000000"/>
          <w:sz w:val="24"/>
          <w:szCs w:val="24"/>
        </w:rPr>
        <w:lastRenderedPageBreak/>
        <w:t>Results and discussion</w:t>
      </w:r>
    </w:p>
    <w:p w14:paraId="11E34E2A" w14:textId="77777777" w:rsidR="00E67EE2" w:rsidRPr="00DD4419" w:rsidRDefault="00986FD0"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D4419">
        <w:rPr>
          <w:rFonts w:ascii="Times New Roman" w:eastAsia="Times New Roman" w:hAnsi="Times New Roman" w:cs="Times New Roman"/>
          <w:b/>
          <w:color w:val="000000"/>
          <w:sz w:val="24"/>
          <w:szCs w:val="24"/>
        </w:rPr>
        <w:t xml:space="preserve"> </w:t>
      </w:r>
    </w:p>
    <w:p w14:paraId="583A68F7" w14:textId="64DA6111" w:rsidR="00250167" w:rsidRDefault="001070C8" w:rsidP="00250167">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r w:rsidRPr="00DD4419">
        <w:rPr>
          <w:rFonts w:ascii="Times New Roman" w:eastAsia="Times New Roman" w:hAnsi="Times New Roman" w:cs="Times New Roman"/>
          <w:color w:val="000000"/>
          <w:sz w:val="24"/>
          <w:szCs w:val="24"/>
        </w:rPr>
        <w:t xml:space="preserve">Spatial habits reflect the individual's daily life related to spatial concepts consisting of pattern recognition, spatial description, visualization, </w:t>
      </w:r>
      <w:r w:rsidR="00EE6722" w:rsidRPr="00DD4419">
        <w:rPr>
          <w:rFonts w:ascii="Times New Roman" w:eastAsia="Times New Roman" w:hAnsi="Times New Roman" w:cs="Times New Roman"/>
          <w:color w:val="000000"/>
          <w:sz w:val="24"/>
          <w:szCs w:val="24"/>
        </w:rPr>
        <w:t>usage of spatial concept</w:t>
      </w:r>
      <w:r w:rsidRPr="00DD4419">
        <w:rPr>
          <w:rFonts w:ascii="Times New Roman" w:eastAsia="Times New Roman" w:hAnsi="Times New Roman" w:cs="Times New Roman"/>
          <w:color w:val="000000"/>
          <w:sz w:val="24"/>
          <w:szCs w:val="24"/>
        </w:rPr>
        <w:t xml:space="preserve">, and </w:t>
      </w:r>
      <w:r w:rsidR="00EE6722" w:rsidRPr="00DD4419">
        <w:rPr>
          <w:rFonts w:ascii="Times New Roman" w:eastAsia="Times New Roman" w:hAnsi="Times New Roman" w:cs="Times New Roman"/>
          <w:color w:val="000000"/>
          <w:sz w:val="24"/>
          <w:szCs w:val="24"/>
        </w:rPr>
        <w:t>usage of spatial tools</w:t>
      </w:r>
      <w:r w:rsidRPr="00DD4419">
        <w:rPr>
          <w:rFonts w:ascii="Times New Roman" w:eastAsia="Times New Roman" w:hAnsi="Times New Roman" w:cs="Times New Roman"/>
          <w:color w:val="000000"/>
          <w:sz w:val="24"/>
          <w:szCs w:val="24"/>
        </w:rPr>
        <w:t>.</w:t>
      </w:r>
      <w:r w:rsidR="00250167" w:rsidRPr="00DD4419">
        <w:rPr>
          <w:rFonts w:ascii="Times New Roman" w:eastAsia="Times New Roman" w:hAnsi="Times New Roman" w:cs="Times New Roman"/>
          <w:color w:val="000000"/>
          <w:sz w:val="24"/>
          <w:szCs w:val="24"/>
        </w:rPr>
        <w:t xml:space="preserve"> The maximum score of the spatial habit was 140 from 14 items.</w:t>
      </w:r>
      <w:r w:rsidRPr="00DD4419">
        <w:rPr>
          <w:rFonts w:ascii="Times New Roman" w:eastAsia="Times New Roman" w:hAnsi="Times New Roman" w:cs="Times New Roman"/>
          <w:color w:val="000000"/>
          <w:sz w:val="24"/>
          <w:szCs w:val="24"/>
        </w:rPr>
        <w:t xml:space="preserve"> We can form the spatial habits and improve them through ideal learning stimulation. FOSS-GIS training is one way to improve spatial habits, thus participants will start and become aware of these habits. Spatial habits should be related to spatial knowledge </w:t>
      </w:r>
      <w:r w:rsidRPr="00DD4419">
        <w:rPr>
          <w:rFonts w:ascii="Times New Roman" w:eastAsia="Times New Roman" w:hAnsi="Times New Roman" w:cs="Times New Roman"/>
          <w:color w:val="000000"/>
          <w:sz w:val="24"/>
          <w:szCs w:val="24"/>
        </w:rPr>
        <w:fldChar w:fldCharType="begin"/>
      </w:r>
      <w:r w:rsidRPr="00DD4419">
        <w:rPr>
          <w:rFonts w:ascii="Times New Roman" w:eastAsia="Times New Roman" w:hAnsi="Times New Roman" w:cs="Times New Roman"/>
          <w:color w:val="000000"/>
          <w:sz w:val="24"/>
          <w:szCs w:val="24"/>
        </w:rPr>
        <w:instrText xml:space="preserve"> ADDIN ZOTERO_ITEM CSL_CITATION {"citationID":"kRNNm1No","properties":{"formattedCitation":"(Kim &amp; Bednarz, 2013b, 2013a)","plainCitation":"(Kim &amp; Bednarz, 2013b, 2013a)","noteIndex":0},"citationItems":[{"id":401,"uris":["http://zotero.org/users/local/eLG7HXo0/items/D5RXQ2X4"],"uri":["http://zotero.org/users/local/eLG7HXo0/items/D5RXQ2X4"],"itemData":{"id":401,"type":"article-journal","abstract":"This study identiﬁed ﬁve subdimensions of spatial habits of mind—pattern recognition, spatial description, visualization, spatial concept use, and spatial tool use—and created an inventory to measure them. In addition, the effects of GIS learning on spatial habits of mind were investigated. Preand post-tests were conducted at the beginning and end of a semester-long GIS course. The results suggest that the inventory is a reliable and valid instrument for measuring spatial habits of mind. Analysis of student responses revealed that completion of a GIS course enhanced their spatial habits of mind. It is believed that this research is relevant to a wide range of disciplines whose practitioners are interested in spatial literacy.","container-title":"Journal of Geography","DOI":"10.1080/00221341.2012.684356","ISSN":"0022-1341, 1752-6868","issue":"4","language":"en","page":"165-177","source":"DOI Content Negotiation","title":"Effects of a GIS course on Self-Assessment of Spatial Habits of Mind (SHOM)","volume":"112","author":[{"family":"Kim","given":"Minsung"},{"family":"Bednarz","given":"Robert"}],"issued":{"date-parts":[["2013"]]}}},{"id":403,"uris":["http://zotero.org/users/local/eLG7HXo0/items/HXE8IEMS"],"uri":["http://zotero.org/users/local/eLG7HXo0/items/HXE8IEMS"],"itemData":{"id":403,"type":"article-journal","container-title":"Journal of Geography in Higher Education","DOI":"10.1080/03098265.2013.769091","ISSN":"0309-8265, 1466-1845","issue":"3","language":"en","page":"350-366","source":"DOI Content Negotiation","title":"Development of critical spatial thinking through GIS learning","volume":"37","author":[{"family":"Kim","given":"Minsung"},{"family":"Bednarz","given":"Robert"}],"issued":{"date-parts":[["2013"]]}}}],"schema":"https://github.com/citation-style-language/schema/raw/master/csl-citation.json"} </w:instrText>
      </w:r>
      <w:r w:rsidRPr="00DD4419">
        <w:rPr>
          <w:rFonts w:ascii="Times New Roman" w:eastAsia="Times New Roman" w:hAnsi="Times New Roman" w:cs="Times New Roman"/>
          <w:color w:val="000000"/>
          <w:sz w:val="24"/>
          <w:szCs w:val="24"/>
        </w:rPr>
        <w:fldChar w:fldCharType="separate"/>
      </w:r>
      <w:r w:rsidRPr="00DD4419">
        <w:rPr>
          <w:rFonts w:ascii="Times New Roman" w:eastAsia="Times New Roman" w:hAnsi="Times New Roman" w:cs="Times New Roman"/>
          <w:color w:val="000000"/>
          <w:sz w:val="24"/>
          <w:szCs w:val="24"/>
        </w:rPr>
        <w:t>(</w:t>
      </w:r>
      <w:r w:rsidRPr="00C6175C">
        <w:rPr>
          <w:rFonts w:ascii="Times New Roman" w:eastAsia="Times New Roman" w:hAnsi="Times New Roman" w:cs="Times New Roman"/>
          <w:sz w:val="24"/>
          <w:szCs w:val="24"/>
        </w:rPr>
        <w:t>Kim &amp; Bednarz, 2013b, 2013a</w:t>
      </w:r>
      <w:r w:rsidRPr="00DD4419">
        <w:rPr>
          <w:rFonts w:ascii="Times New Roman" w:eastAsia="Times New Roman" w:hAnsi="Times New Roman" w:cs="Times New Roman"/>
          <w:color w:val="000000"/>
          <w:sz w:val="24"/>
          <w:szCs w:val="24"/>
        </w:rPr>
        <w:t>)</w:t>
      </w:r>
      <w:r w:rsidRPr="00DD4419">
        <w:rPr>
          <w:rFonts w:ascii="Times New Roman" w:eastAsia="Times New Roman" w:hAnsi="Times New Roman" w:cs="Times New Roman"/>
          <w:color w:val="000000"/>
          <w:sz w:val="24"/>
          <w:szCs w:val="24"/>
        </w:rPr>
        <w:fldChar w:fldCharType="end"/>
      </w:r>
      <w:r w:rsidRPr="00DD4419">
        <w:rPr>
          <w:rFonts w:ascii="Times New Roman" w:eastAsia="Times New Roman" w:hAnsi="Times New Roman" w:cs="Times New Roman"/>
          <w:color w:val="000000"/>
          <w:sz w:val="24"/>
          <w:szCs w:val="24"/>
        </w:rPr>
        <w:t xml:space="preserve">. After FOSS-GIS training, the participants' post-test scores increased as shown in the </w:t>
      </w:r>
      <w:r w:rsidRPr="00C6175C">
        <w:rPr>
          <w:rFonts w:ascii="Times New Roman" w:eastAsia="Times New Roman" w:hAnsi="Times New Roman" w:cs="Times New Roman"/>
          <w:color w:val="000000"/>
          <w:sz w:val="24"/>
          <w:szCs w:val="24"/>
        </w:rPr>
        <w:t>Table 5</w:t>
      </w:r>
      <w:r w:rsidRPr="00DD4419">
        <w:rPr>
          <w:rFonts w:ascii="Times New Roman" w:eastAsia="Times New Roman" w:hAnsi="Times New Roman" w:cs="Times New Roman"/>
          <w:color w:val="000000"/>
          <w:sz w:val="24"/>
          <w:szCs w:val="24"/>
        </w:rPr>
        <w:t>. Spearman-Rank correlation test also shows that all sub-categories have a high correlation to the total score, both in before and after FOSS-GIS training (</w:t>
      </w:r>
      <w:r w:rsidRPr="00C6175C">
        <w:rPr>
          <w:rFonts w:ascii="Times New Roman" w:eastAsia="Times New Roman" w:hAnsi="Times New Roman" w:cs="Times New Roman"/>
          <w:color w:val="000000"/>
          <w:sz w:val="24"/>
          <w:szCs w:val="24"/>
        </w:rPr>
        <w:t>Table 6</w:t>
      </w:r>
      <w:r w:rsidRPr="00DD4419">
        <w:rPr>
          <w:rFonts w:ascii="Times New Roman" w:eastAsia="Times New Roman" w:hAnsi="Times New Roman" w:cs="Times New Roman"/>
          <w:color w:val="000000"/>
          <w:sz w:val="24"/>
          <w:szCs w:val="24"/>
        </w:rPr>
        <w:t xml:space="preserve">). After this training almost all sub-category has a high correlation – </w:t>
      </w:r>
      <w:proofErr w:type="spellStart"/>
      <w:r w:rsidRPr="00DD4419">
        <w:rPr>
          <w:rFonts w:ascii="Times New Roman" w:eastAsia="Times New Roman" w:hAnsi="Times New Roman" w:cs="Times New Roman"/>
          <w:color w:val="000000"/>
          <w:sz w:val="24"/>
          <w:szCs w:val="24"/>
        </w:rPr>
        <w:t>r-value</w:t>
      </w:r>
      <w:proofErr w:type="spellEnd"/>
      <w:r w:rsidRPr="00DD4419">
        <w:rPr>
          <w:rFonts w:ascii="Times New Roman" w:eastAsia="Times New Roman" w:hAnsi="Times New Roman" w:cs="Times New Roman"/>
          <w:color w:val="000000"/>
          <w:sz w:val="24"/>
          <w:szCs w:val="24"/>
        </w:rPr>
        <w:t xml:space="preserve"> is more than 0.70.</w:t>
      </w:r>
    </w:p>
    <w:p w14:paraId="28CABC0B" w14:textId="77777777" w:rsidR="00C6175C" w:rsidRPr="00DD4419" w:rsidRDefault="00C6175C" w:rsidP="00250167">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14:paraId="5EB78EF6" w14:textId="36CF1A76" w:rsidR="001070C8" w:rsidRDefault="001070C8" w:rsidP="00C6175C">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sz w:val="20"/>
          <w:szCs w:val="20"/>
        </w:rPr>
      </w:pPr>
      <w:r w:rsidRPr="00DD4419">
        <w:rPr>
          <w:rFonts w:ascii="Times New Roman" w:eastAsia="Times New Roman" w:hAnsi="Times New Roman" w:cs="Times New Roman"/>
          <w:b/>
          <w:bCs/>
          <w:color w:val="000000"/>
          <w:sz w:val="20"/>
          <w:szCs w:val="20"/>
        </w:rPr>
        <w:t>Table</w:t>
      </w:r>
      <w:r w:rsidRPr="00DD4419">
        <w:rPr>
          <w:rFonts w:ascii="Times New Roman" w:eastAsia="Times New Roman" w:hAnsi="Times New Roman" w:cs="Times New Roman"/>
          <w:color w:val="000000"/>
          <w:sz w:val="20"/>
          <w:szCs w:val="20"/>
        </w:rPr>
        <w:t xml:space="preserve"> 5. Comparison of pre-test and post-test scores of spatial habits.</w:t>
      </w:r>
    </w:p>
    <w:p w14:paraId="4236E73A" w14:textId="77777777" w:rsidR="00C6175C" w:rsidRPr="00DD4419" w:rsidRDefault="00C6175C" w:rsidP="00C6175C">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sz w:val="20"/>
          <w:szCs w:val="20"/>
        </w:rPr>
      </w:pPr>
    </w:p>
    <w:tbl>
      <w:tblPr>
        <w:tblStyle w:val="TableGrid5"/>
        <w:tblW w:w="86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783"/>
        <w:gridCol w:w="783"/>
        <w:gridCol w:w="1027"/>
        <w:gridCol w:w="860"/>
        <w:gridCol w:w="6"/>
        <w:gridCol w:w="935"/>
        <w:gridCol w:w="783"/>
        <w:gridCol w:w="783"/>
        <w:gridCol w:w="1028"/>
        <w:gridCol w:w="861"/>
      </w:tblGrid>
      <w:tr w:rsidR="001070C8" w:rsidRPr="00DD4419" w14:paraId="113907CB" w14:textId="77777777" w:rsidTr="001070C8">
        <w:trPr>
          <w:trHeight w:val="300"/>
          <w:jc w:val="center"/>
        </w:trPr>
        <w:tc>
          <w:tcPr>
            <w:tcW w:w="4268" w:type="dxa"/>
            <w:gridSpan w:val="6"/>
            <w:tcBorders>
              <w:top w:val="single" w:sz="4" w:space="0" w:color="000000"/>
              <w:bottom w:val="single" w:sz="4" w:space="0" w:color="000000"/>
            </w:tcBorders>
            <w:shd w:val="clear" w:color="auto" w:fill="B8CCE4"/>
            <w:noWrap/>
            <w:vAlign w:val="center"/>
            <w:hideMark/>
          </w:tcPr>
          <w:p w14:paraId="42F45A05" w14:textId="77777777" w:rsidR="001070C8" w:rsidRPr="00DD4419" w:rsidRDefault="001070C8" w:rsidP="001070C8">
            <w:pPr>
              <w:pBdr>
                <w:top w:val="nil"/>
                <w:left w:val="nil"/>
                <w:bottom w:val="nil"/>
                <w:right w:val="nil"/>
                <w:between w:val="nil"/>
              </w:pBdr>
              <w:ind w:left="0" w:hanging="2"/>
              <w:rPr>
                <w:rFonts w:eastAsia="Times New Roman"/>
                <w:b/>
                <w:bCs/>
                <w:color w:val="000000"/>
                <w:sz w:val="20"/>
                <w:szCs w:val="20"/>
              </w:rPr>
            </w:pPr>
            <w:r w:rsidRPr="00DD4419">
              <w:rPr>
                <w:rFonts w:eastAsia="Times New Roman"/>
                <w:b/>
                <w:bCs/>
                <w:color w:val="000000"/>
                <w:sz w:val="20"/>
                <w:szCs w:val="20"/>
              </w:rPr>
              <w:t>Pre-Test</w:t>
            </w:r>
          </w:p>
        </w:tc>
        <w:tc>
          <w:tcPr>
            <w:tcW w:w="4390" w:type="dxa"/>
            <w:gridSpan w:val="5"/>
            <w:tcBorders>
              <w:top w:val="single" w:sz="4" w:space="0" w:color="000000"/>
              <w:bottom w:val="single" w:sz="4" w:space="0" w:color="000000"/>
            </w:tcBorders>
            <w:shd w:val="clear" w:color="auto" w:fill="B8CCE4"/>
            <w:noWrap/>
            <w:vAlign w:val="center"/>
            <w:hideMark/>
          </w:tcPr>
          <w:p w14:paraId="332E45D0" w14:textId="77777777" w:rsidR="001070C8" w:rsidRPr="00DD4419" w:rsidRDefault="001070C8" w:rsidP="001070C8">
            <w:pPr>
              <w:pBdr>
                <w:top w:val="nil"/>
                <w:left w:val="nil"/>
                <w:bottom w:val="nil"/>
                <w:right w:val="nil"/>
                <w:between w:val="nil"/>
              </w:pBdr>
              <w:ind w:left="0" w:hanging="2"/>
              <w:rPr>
                <w:rFonts w:eastAsia="Times New Roman"/>
                <w:b/>
                <w:bCs/>
                <w:color w:val="000000"/>
                <w:sz w:val="20"/>
                <w:szCs w:val="20"/>
              </w:rPr>
            </w:pPr>
            <w:r w:rsidRPr="00DD4419">
              <w:rPr>
                <w:rFonts w:eastAsia="Times New Roman"/>
                <w:b/>
                <w:bCs/>
                <w:color w:val="000000"/>
                <w:sz w:val="20"/>
                <w:szCs w:val="20"/>
              </w:rPr>
              <w:t>Post-Test</w:t>
            </w:r>
          </w:p>
        </w:tc>
      </w:tr>
      <w:tr w:rsidR="001070C8" w:rsidRPr="00DD4419" w14:paraId="1618431C" w14:textId="77777777" w:rsidTr="001070C8">
        <w:trPr>
          <w:trHeight w:val="300"/>
          <w:jc w:val="center"/>
        </w:trPr>
        <w:tc>
          <w:tcPr>
            <w:tcW w:w="809" w:type="dxa"/>
            <w:tcBorders>
              <w:top w:val="single" w:sz="4" w:space="0" w:color="000000"/>
            </w:tcBorders>
            <w:noWrap/>
            <w:hideMark/>
          </w:tcPr>
          <w:p w14:paraId="53ECB84F"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Mean</w:t>
            </w:r>
          </w:p>
        </w:tc>
        <w:tc>
          <w:tcPr>
            <w:tcW w:w="783" w:type="dxa"/>
            <w:tcBorders>
              <w:top w:val="single" w:sz="4" w:space="0" w:color="000000"/>
            </w:tcBorders>
            <w:noWrap/>
            <w:hideMark/>
          </w:tcPr>
          <w:p w14:paraId="3B678611"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Max</w:t>
            </w:r>
          </w:p>
        </w:tc>
        <w:tc>
          <w:tcPr>
            <w:tcW w:w="783" w:type="dxa"/>
            <w:tcBorders>
              <w:top w:val="single" w:sz="4" w:space="0" w:color="000000"/>
            </w:tcBorders>
            <w:noWrap/>
            <w:hideMark/>
          </w:tcPr>
          <w:p w14:paraId="0D8F0C13"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Min</w:t>
            </w:r>
          </w:p>
        </w:tc>
        <w:tc>
          <w:tcPr>
            <w:tcW w:w="1027" w:type="dxa"/>
            <w:tcBorders>
              <w:top w:val="single" w:sz="4" w:space="0" w:color="000000"/>
            </w:tcBorders>
            <w:noWrap/>
            <w:hideMark/>
          </w:tcPr>
          <w:p w14:paraId="43CEFCD5"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Std. Dev.</w:t>
            </w:r>
          </w:p>
        </w:tc>
        <w:tc>
          <w:tcPr>
            <w:tcW w:w="860" w:type="dxa"/>
            <w:tcBorders>
              <w:top w:val="single" w:sz="4" w:space="0" w:color="000000"/>
            </w:tcBorders>
            <w:noWrap/>
            <w:hideMark/>
          </w:tcPr>
          <w:p w14:paraId="76C65F9A"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Range</w:t>
            </w:r>
          </w:p>
        </w:tc>
        <w:tc>
          <w:tcPr>
            <w:tcW w:w="941" w:type="dxa"/>
            <w:gridSpan w:val="2"/>
            <w:tcBorders>
              <w:top w:val="single" w:sz="4" w:space="0" w:color="000000"/>
            </w:tcBorders>
            <w:noWrap/>
            <w:hideMark/>
          </w:tcPr>
          <w:p w14:paraId="334E8A30"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Mean</w:t>
            </w:r>
          </w:p>
        </w:tc>
        <w:tc>
          <w:tcPr>
            <w:tcW w:w="783" w:type="dxa"/>
            <w:tcBorders>
              <w:top w:val="single" w:sz="4" w:space="0" w:color="000000"/>
            </w:tcBorders>
            <w:noWrap/>
            <w:hideMark/>
          </w:tcPr>
          <w:p w14:paraId="671814FF"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Max</w:t>
            </w:r>
          </w:p>
        </w:tc>
        <w:tc>
          <w:tcPr>
            <w:tcW w:w="783" w:type="dxa"/>
            <w:tcBorders>
              <w:top w:val="single" w:sz="4" w:space="0" w:color="000000"/>
            </w:tcBorders>
            <w:noWrap/>
            <w:hideMark/>
          </w:tcPr>
          <w:p w14:paraId="21EA785E"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Min</w:t>
            </w:r>
          </w:p>
        </w:tc>
        <w:tc>
          <w:tcPr>
            <w:tcW w:w="1028" w:type="dxa"/>
            <w:tcBorders>
              <w:top w:val="single" w:sz="4" w:space="0" w:color="000000"/>
            </w:tcBorders>
            <w:noWrap/>
            <w:hideMark/>
          </w:tcPr>
          <w:p w14:paraId="3B18800C"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Std. Dev.</w:t>
            </w:r>
          </w:p>
        </w:tc>
        <w:tc>
          <w:tcPr>
            <w:tcW w:w="860" w:type="dxa"/>
            <w:tcBorders>
              <w:top w:val="single" w:sz="4" w:space="0" w:color="000000"/>
            </w:tcBorders>
            <w:noWrap/>
            <w:hideMark/>
          </w:tcPr>
          <w:p w14:paraId="35F5144B"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Range</w:t>
            </w:r>
          </w:p>
        </w:tc>
      </w:tr>
      <w:tr w:rsidR="001070C8" w:rsidRPr="00DD4419" w14:paraId="6CAE03E5" w14:textId="77777777" w:rsidTr="001070C8">
        <w:trPr>
          <w:trHeight w:val="300"/>
          <w:jc w:val="center"/>
        </w:trPr>
        <w:tc>
          <w:tcPr>
            <w:tcW w:w="809" w:type="dxa"/>
            <w:tcBorders>
              <w:bottom w:val="single" w:sz="4" w:space="0" w:color="000000"/>
            </w:tcBorders>
            <w:noWrap/>
          </w:tcPr>
          <w:p w14:paraId="3BD3560D"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96.67</w:t>
            </w:r>
          </w:p>
        </w:tc>
        <w:tc>
          <w:tcPr>
            <w:tcW w:w="783" w:type="dxa"/>
            <w:tcBorders>
              <w:bottom w:val="single" w:sz="4" w:space="0" w:color="000000"/>
            </w:tcBorders>
            <w:noWrap/>
          </w:tcPr>
          <w:p w14:paraId="3598F223"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126</w:t>
            </w:r>
          </w:p>
        </w:tc>
        <w:tc>
          <w:tcPr>
            <w:tcW w:w="783" w:type="dxa"/>
            <w:tcBorders>
              <w:bottom w:val="single" w:sz="4" w:space="0" w:color="000000"/>
            </w:tcBorders>
            <w:noWrap/>
          </w:tcPr>
          <w:p w14:paraId="478DF225"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72</w:t>
            </w:r>
          </w:p>
        </w:tc>
        <w:tc>
          <w:tcPr>
            <w:tcW w:w="1027" w:type="dxa"/>
            <w:tcBorders>
              <w:bottom w:val="single" w:sz="4" w:space="0" w:color="000000"/>
            </w:tcBorders>
            <w:noWrap/>
          </w:tcPr>
          <w:p w14:paraId="2B8F4F95"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13.040</w:t>
            </w:r>
          </w:p>
        </w:tc>
        <w:tc>
          <w:tcPr>
            <w:tcW w:w="860" w:type="dxa"/>
            <w:tcBorders>
              <w:bottom w:val="single" w:sz="4" w:space="0" w:color="000000"/>
            </w:tcBorders>
            <w:noWrap/>
          </w:tcPr>
          <w:p w14:paraId="33ECCE50"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54</w:t>
            </w:r>
          </w:p>
        </w:tc>
        <w:tc>
          <w:tcPr>
            <w:tcW w:w="941" w:type="dxa"/>
            <w:gridSpan w:val="2"/>
            <w:tcBorders>
              <w:bottom w:val="single" w:sz="4" w:space="0" w:color="000000"/>
            </w:tcBorders>
            <w:noWrap/>
          </w:tcPr>
          <w:p w14:paraId="1EB39BF8"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104.208</w:t>
            </w:r>
          </w:p>
        </w:tc>
        <w:tc>
          <w:tcPr>
            <w:tcW w:w="783" w:type="dxa"/>
            <w:tcBorders>
              <w:bottom w:val="single" w:sz="4" w:space="0" w:color="000000"/>
            </w:tcBorders>
            <w:noWrap/>
          </w:tcPr>
          <w:p w14:paraId="6B7348D1"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133</w:t>
            </w:r>
          </w:p>
        </w:tc>
        <w:tc>
          <w:tcPr>
            <w:tcW w:w="783" w:type="dxa"/>
            <w:tcBorders>
              <w:bottom w:val="single" w:sz="4" w:space="0" w:color="000000"/>
            </w:tcBorders>
            <w:noWrap/>
          </w:tcPr>
          <w:p w14:paraId="40BD5DF5"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75</w:t>
            </w:r>
          </w:p>
        </w:tc>
        <w:tc>
          <w:tcPr>
            <w:tcW w:w="1028" w:type="dxa"/>
            <w:tcBorders>
              <w:bottom w:val="single" w:sz="4" w:space="0" w:color="000000"/>
            </w:tcBorders>
            <w:noWrap/>
          </w:tcPr>
          <w:p w14:paraId="3BCA465D"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16.696</w:t>
            </w:r>
          </w:p>
        </w:tc>
        <w:tc>
          <w:tcPr>
            <w:tcW w:w="860" w:type="dxa"/>
            <w:tcBorders>
              <w:bottom w:val="single" w:sz="4" w:space="0" w:color="000000"/>
            </w:tcBorders>
            <w:noWrap/>
          </w:tcPr>
          <w:p w14:paraId="59FA26C4"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58</w:t>
            </w:r>
          </w:p>
        </w:tc>
      </w:tr>
    </w:tbl>
    <w:p w14:paraId="6AD84819" w14:textId="4F51650D" w:rsidR="001070C8" w:rsidRDefault="001070C8" w:rsidP="001070C8">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0"/>
          <w:szCs w:val="20"/>
        </w:rPr>
      </w:pPr>
    </w:p>
    <w:p w14:paraId="009E7A6B" w14:textId="77777777" w:rsidR="00C6175C" w:rsidRPr="00DD4419" w:rsidRDefault="00C6175C" w:rsidP="001070C8">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0"/>
          <w:szCs w:val="20"/>
        </w:rPr>
      </w:pPr>
    </w:p>
    <w:p w14:paraId="0652D41B" w14:textId="5ACB146A" w:rsidR="001070C8" w:rsidRDefault="001070C8" w:rsidP="001070C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D4419">
        <w:rPr>
          <w:rFonts w:ascii="Times New Roman" w:eastAsia="Times New Roman" w:hAnsi="Times New Roman" w:cs="Times New Roman"/>
          <w:b/>
          <w:bCs/>
          <w:color w:val="000000"/>
          <w:sz w:val="20"/>
          <w:szCs w:val="20"/>
        </w:rPr>
        <w:t>Table 6.</w:t>
      </w:r>
      <w:r w:rsidRPr="00DD4419">
        <w:rPr>
          <w:rFonts w:ascii="Times New Roman" w:eastAsia="Times New Roman" w:hAnsi="Times New Roman" w:cs="Times New Roman"/>
          <w:color w:val="000000"/>
          <w:sz w:val="20"/>
          <w:szCs w:val="20"/>
        </w:rPr>
        <w:t xml:space="preserve"> Correlation of sub-categories in spatial habit.</w:t>
      </w:r>
    </w:p>
    <w:p w14:paraId="3BDB1388" w14:textId="77777777" w:rsidR="00C6175C" w:rsidRPr="00DD4419" w:rsidRDefault="00C6175C" w:rsidP="001070C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bl>
      <w:tblPr>
        <w:tblStyle w:val="TableGrid5"/>
        <w:tblW w:w="93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1248"/>
        <w:gridCol w:w="1233"/>
        <w:gridCol w:w="2198"/>
        <w:gridCol w:w="1191"/>
        <w:gridCol w:w="1234"/>
      </w:tblGrid>
      <w:tr w:rsidR="001070C8" w:rsidRPr="00DD4419" w14:paraId="699DFE02" w14:textId="77777777" w:rsidTr="005A1475">
        <w:trPr>
          <w:trHeight w:val="300"/>
          <w:jc w:val="center"/>
        </w:trPr>
        <w:tc>
          <w:tcPr>
            <w:tcW w:w="4703" w:type="dxa"/>
            <w:gridSpan w:val="3"/>
            <w:tcBorders>
              <w:top w:val="single" w:sz="4" w:space="0" w:color="000000"/>
              <w:bottom w:val="single" w:sz="4" w:space="0" w:color="000000"/>
            </w:tcBorders>
            <w:shd w:val="clear" w:color="auto" w:fill="B8CCE4"/>
            <w:noWrap/>
            <w:vAlign w:val="center"/>
            <w:hideMark/>
          </w:tcPr>
          <w:p w14:paraId="329FCE60" w14:textId="77777777" w:rsidR="001070C8" w:rsidRPr="00DD4419" w:rsidRDefault="001070C8" w:rsidP="001070C8">
            <w:pPr>
              <w:pBdr>
                <w:top w:val="nil"/>
                <w:left w:val="nil"/>
                <w:bottom w:val="nil"/>
                <w:right w:val="nil"/>
                <w:between w:val="nil"/>
              </w:pBdr>
              <w:ind w:left="0" w:hanging="2"/>
              <w:rPr>
                <w:rFonts w:eastAsia="Times New Roman"/>
                <w:color w:val="000000"/>
                <w:sz w:val="20"/>
                <w:szCs w:val="20"/>
              </w:rPr>
            </w:pPr>
            <w:r w:rsidRPr="00DD4419">
              <w:rPr>
                <w:rFonts w:eastAsia="Times New Roman"/>
                <w:b/>
                <w:bCs/>
                <w:color w:val="000000"/>
                <w:sz w:val="20"/>
                <w:szCs w:val="20"/>
              </w:rPr>
              <w:t>Pre-Test</w:t>
            </w:r>
          </w:p>
        </w:tc>
        <w:tc>
          <w:tcPr>
            <w:tcW w:w="4621" w:type="dxa"/>
            <w:gridSpan w:val="3"/>
            <w:tcBorders>
              <w:top w:val="single" w:sz="4" w:space="0" w:color="000000"/>
              <w:bottom w:val="single" w:sz="4" w:space="0" w:color="000000"/>
            </w:tcBorders>
            <w:shd w:val="clear" w:color="auto" w:fill="B8CCE4"/>
            <w:noWrap/>
            <w:vAlign w:val="center"/>
            <w:hideMark/>
          </w:tcPr>
          <w:p w14:paraId="37BD060D" w14:textId="77777777" w:rsidR="001070C8" w:rsidRPr="00DD4419" w:rsidRDefault="001070C8" w:rsidP="001070C8">
            <w:pPr>
              <w:pBdr>
                <w:top w:val="nil"/>
                <w:left w:val="nil"/>
                <w:bottom w:val="nil"/>
                <w:right w:val="nil"/>
                <w:between w:val="nil"/>
              </w:pBdr>
              <w:ind w:left="0" w:hanging="2"/>
              <w:rPr>
                <w:rFonts w:eastAsia="Times New Roman"/>
                <w:color w:val="000000"/>
                <w:sz w:val="20"/>
                <w:szCs w:val="20"/>
              </w:rPr>
            </w:pPr>
            <w:r w:rsidRPr="00DD4419">
              <w:rPr>
                <w:rFonts w:eastAsia="Times New Roman"/>
                <w:b/>
                <w:bCs/>
                <w:color w:val="000000"/>
                <w:sz w:val="20"/>
                <w:szCs w:val="20"/>
              </w:rPr>
              <w:t>Post-Test</w:t>
            </w:r>
          </w:p>
        </w:tc>
      </w:tr>
      <w:tr w:rsidR="001070C8" w:rsidRPr="00DD4419" w14:paraId="22F66554" w14:textId="77777777" w:rsidTr="005A1475">
        <w:trPr>
          <w:trHeight w:val="300"/>
          <w:jc w:val="center"/>
        </w:trPr>
        <w:tc>
          <w:tcPr>
            <w:tcW w:w="2222" w:type="dxa"/>
            <w:tcBorders>
              <w:top w:val="single" w:sz="4" w:space="0" w:color="000000"/>
              <w:bottom w:val="single" w:sz="4" w:space="0" w:color="000000"/>
            </w:tcBorders>
            <w:shd w:val="clear" w:color="auto" w:fill="B8CCE4"/>
            <w:noWrap/>
            <w:vAlign w:val="center"/>
            <w:hideMark/>
          </w:tcPr>
          <w:p w14:paraId="6D267208" w14:textId="77777777" w:rsidR="001070C8" w:rsidRPr="00DD4419" w:rsidRDefault="001070C8" w:rsidP="001070C8">
            <w:pPr>
              <w:pBdr>
                <w:top w:val="nil"/>
                <w:left w:val="nil"/>
                <w:bottom w:val="nil"/>
                <w:right w:val="nil"/>
                <w:between w:val="nil"/>
              </w:pBdr>
              <w:ind w:left="0" w:hanging="2"/>
              <w:jc w:val="both"/>
              <w:rPr>
                <w:rFonts w:eastAsia="Times New Roman"/>
                <w:b/>
                <w:bCs/>
                <w:color w:val="000000"/>
                <w:sz w:val="20"/>
                <w:szCs w:val="20"/>
              </w:rPr>
            </w:pPr>
            <w:r w:rsidRPr="00DD4419">
              <w:rPr>
                <w:rFonts w:eastAsia="Times New Roman"/>
                <w:b/>
                <w:bCs/>
                <w:color w:val="000000"/>
                <w:sz w:val="20"/>
                <w:szCs w:val="20"/>
              </w:rPr>
              <w:t>Sub-category</w:t>
            </w:r>
          </w:p>
        </w:tc>
        <w:tc>
          <w:tcPr>
            <w:tcW w:w="1248" w:type="dxa"/>
            <w:tcBorders>
              <w:top w:val="single" w:sz="4" w:space="0" w:color="000000"/>
              <w:bottom w:val="single" w:sz="4" w:space="0" w:color="000000"/>
            </w:tcBorders>
            <w:shd w:val="clear" w:color="auto" w:fill="B8CCE4"/>
            <w:noWrap/>
            <w:vAlign w:val="center"/>
            <w:hideMark/>
          </w:tcPr>
          <w:p w14:paraId="76F19EE7" w14:textId="77777777" w:rsidR="001070C8" w:rsidRPr="00DD4419" w:rsidRDefault="001070C8" w:rsidP="001070C8">
            <w:pPr>
              <w:pBdr>
                <w:top w:val="nil"/>
                <w:left w:val="nil"/>
                <w:bottom w:val="nil"/>
                <w:right w:val="nil"/>
                <w:between w:val="nil"/>
              </w:pBdr>
              <w:ind w:left="0" w:hanging="2"/>
              <w:rPr>
                <w:rFonts w:eastAsia="Times New Roman"/>
                <w:b/>
                <w:bCs/>
                <w:color w:val="000000"/>
                <w:sz w:val="20"/>
                <w:szCs w:val="20"/>
              </w:rPr>
            </w:pPr>
            <w:r w:rsidRPr="00DD4419">
              <w:rPr>
                <w:rFonts w:eastAsia="Times New Roman"/>
                <w:b/>
                <w:bCs/>
                <w:color w:val="000000"/>
                <w:sz w:val="20"/>
                <w:szCs w:val="20"/>
              </w:rPr>
              <w:t>Significance</w:t>
            </w:r>
          </w:p>
        </w:tc>
        <w:tc>
          <w:tcPr>
            <w:tcW w:w="1233" w:type="dxa"/>
            <w:tcBorders>
              <w:top w:val="single" w:sz="4" w:space="0" w:color="000000"/>
              <w:bottom w:val="single" w:sz="4" w:space="0" w:color="000000"/>
            </w:tcBorders>
            <w:shd w:val="clear" w:color="auto" w:fill="B8CCE4"/>
            <w:noWrap/>
            <w:vAlign w:val="center"/>
            <w:hideMark/>
          </w:tcPr>
          <w:p w14:paraId="2E6A09D1" w14:textId="77777777" w:rsidR="001070C8" w:rsidRPr="00DD4419" w:rsidRDefault="001070C8" w:rsidP="001070C8">
            <w:pPr>
              <w:pBdr>
                <w:top w:val="nil"/>
                <w:left w:val="nil"/>
                <w:bottom w:val="nil"/>
                <w:right w:val="nil"/>
                <w:between w:val="nil"/>
              </w:pBdr>
              <w:ind w:left="0" w:hanging="2"/>
              <w:rPr>
                <w:rFonts w:eastAsia="Times New Roman"/>
                <w:b/>
                <w:bCs/>
                <w:color w:val="000000"/>
                <w:sz w:val="20"/>
                <w:szCs w:val="20"/>
              </w:rPr>
            </w:pPr>
            <w:r w:rsidRPr="00DD4419">
              <w:rPr>
                <w:rFonts w:eastAsia="Times New Roman"/>
                <w:b/>
                <w:bCs/>
                <w:color w:val="000000"/>
                <w:sz w:val="20"/>
                <w:szCs w:val="20"/>
              </w:rPr>
              <w:t>Correlation</w:t>
            </w:r>
          </w:p>
        </w:tc>
        <w:tc>
          <w:tcPr>
            <w:tcW w:w="2198" w:type="dxa"/>
            <w:tcBorders>
              <w:top w:val="single" w:sz="4" w:space="0" w:color="000000"/>
              <w:bottom w:val="single" w:sz="4" w:space="0" w:color="000000"/>
            </w:tcBorders>
            <w:shd w:val="clear" w:color="auto" w:fill="B8CCE4"/>
            <w:noWrap/>
            <w:vAlign w:val="center"/>
            <w:hideMark/>
          </w:tcPr>
          <w:p w14:paraId="3507612E" w14:textId="77777777" w:rsidR="001070C8" w:rsidRPr="00DD4419" w:rsidRDefault="001070C8" w:rsidP="001070C8">
            <w:pPr>
              <w:pBdr>
                <w:top w:val="nil"/>
                <w:left w:val="nil"/>
                <w:bottom w:val="nil"/>
                <w:right w:val="nil"/>
                <w:between w:val="nil"/>
              </w:pBdr>
              <w:ind w:left="0" w:hanging="2"/>
              <w:rPr>
                <w:rFonts w:eastAsia="Times New Roman"/>
                <w:b/>
                <w:bCs/>
                <w:color w:val="000000"/>
                <w:sz w:val="20"/>
                <w:szCs w:val="20"/>
              </w:rPr>
            </w:pPr>
            <w:r w:rsidRPr="00DD4419">
              <w:rPr>
                <w:rFonts w:eastAsia="Times New Roman"/>
                <w:b/>
                <w:bCs/>
                <w:color w:val="000000"/>
                <w:sz w:val="20"/>
                <w:szCs w:val="20"/>
              </w:rPr>
              <w:t>Sub-category</w:t>
            </w:r>
          </w:p>
        </w:tc>
        <w:tc>
          <w:tcPr>
            <w:tcW w:w="1179" w:type="dxa"/>
            <w:tcBorders>
              <w:top w:val="single" w:sz="4" w:space="0" w:color="000000"/>
              <w:bottom w:val="single" w:sz="4" w:space="0" w:color="000000"/>
            </w:tcBorders>
            <w:shd w:val="clear" w:color="auto" w:fill="B8CCE4"/>
            <w:noWrap/>
            <w:vAlign w:val="center"/>
            <w:hideMark/>
          </w:tcPr>
          <w:p w14:paraId="7727FBC6" w14:textId="77777777" w:rsidR="001070C8" w:rsidRPr="00DD4419" w:rsidRDefault="001070C8" w:rsidP="005A1475">
            <w:pPr>
              <w:pBdr>
                <w:top w:val="nil"/>
                <w:left w:val="nil"/>
                <w:bottom w:val="nil"/>
                <w:right w:val="nil"/>
                <w:between w:val="nil"/>
              </w:pBdr>
              <w:ind w:leftChars="-27" w:left="-57" w:hanging="2"/>
              <w:rPr>
                <w:rFonts w:eastAsia="Times New Roman"/>
                <w:b/>
                <w:bCs/>
                <w:color w:val="000000"/>
                <w:sz w:val="20"/>
                <w:szCs w:val="20"/>
              </w:rPr>
            </w:pPr>
            <w:r w:rsidRPr="00DD4419">
              <w:rPr>
                <w:rFonts w:eastAsia="Times New Roman"/>
                <w:b/>
                <w:bCs/>
                <w:color w:val="000000"/>
                <w:sz w:val="20"/>
                <w:szCs w:val="20"/>
              </w:rPr>
              <w:t>Significance</w:t>
            </w:r>
          </w:p>
        </w:tc>
        <w:tc>
          <w:tcPr>
            <w:tcW w:w="1234" w:type="dxa"/>
            <w:tcBorders>
              <w:top w:val="single" w:sz="4" w:space="0" w:color="000000"/>
              <w:bottom w:val="single" w:sz="4" w:space="0" w:color="000000"/>
            </w:tcBorders>
            <w:shd w:val="clear" w:color="auto" w:fill="B8CCE4"/>
            <w:noWrap/>
            <w:vAlign w:val="center"/>
            <w:hideMark/>
          </w:tcPr>
          <w:p w14:paraId="53F2C181" w14:textId="77777777" w:rsidR="001070C8" w:rsidRPr="00DD4419" w:rsidRDefault="001070C8" w:rsidP="001070C8">
            <w:pPr>
              <w:pBdr>
                <w:top w:val="nil"/>
                <w:left w:val="nil"/>
                <w:bottom w:val="nil"/>
                <w:right w:val="nil"/>
                <w:between w:val="nil"/>
              </w:pBdr>
              <w:ind w:left="0" w:hanging="2"/>
              <w:rPr>
                <w:rFonts w:eastAsia="Times New Roman"/>
                <w:b/>
                <w:bCs/>
                <w:color w:val="000000"/>
                <w:sz w:val="20"/>
                <w:szCs w:val="20"/>
              </w:rPr>
            </w:pPr>
            <w:r w:rsidRPr="00DD4419">
              <w:rPr>
                <w:rFonts w:eastAsia="Times New Roman"/>
                <w:b/>
                <w:bCs/>
                <w:color w:val="000000"/>
                <w:sz w:val="20"/>
                <w:szCs w:val="20"/>
              </w:rPr>
              <w:t>Correlation</w:t>
            </w:r>
          </w:p>
        </w:tc>
      </w:tr>
      <w:tr w:rsidR="001070C8" w:rsidRPr="00DD4419" w14:paraId="350A935B" w14:textId="77777777" w:rsidTr="005A1475">
        <w:trPr>
          <w:trHeight w:val="300"/>
          <w:jc w:val="center"/>
        </w:trPr>
        <w:tc>
          <w:tcPr>
            <w:tcW w:w="2222" w:type="dxa"/>
            <w:tcBorders>
              <w:top w:val="single" w:sz="4" w:space="0" w:color="000000"/>
            </w:tcBorders>
            <w:noWrap/>
            <w:hideMark/>
          </w:tcPr>
          <w:p w14:paraId="619A1DD5"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Pattern recognition</w:t>
            </w:r>
          </w:p>
        </w:tc>
        <w:tc>
          <w:tcPr>
            <w:tcW w:w="1248" w:type="dxa"/>
            <w:tcBorders>
              <w:top w:val="single" w:sz="4" w:space="0" w:color="000000"/>
            </w:tcBorders>
            <w:noWrap/>
            <w:hideMark/>
          </w:tcPr>
          <w:p w14:paraId="707757CE"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0.000</w:t>
            </w:r>
          </w:p>
        </w:tc>
        <w:tc>
          <w:tcPr>
            <w:tcW w:w="1233" w:type="dxa"/>
            <w:tcBorders>
              <w:top w:val="single" w:sz="4" w:space="0" w:color="000000"/>
            </w:tcBorders>
            <w:noWrap/>
            <w:hideMark/>
          </w:tcPr>
          <w:p w14:paraId="2D707B77"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0.700</w:t>
            </w:r>
          </w:p>
        </w:tc>
        <w:tc>
          <w:tcPr>
            <w:tcW w:w="2198" w:type="dxa"/>
            <w:tcBorders>
              <w:top w:val="single" w:sz="4" w:space="0" w:color="000000"/>
            </w:tcBorders>
            <w:noWrap/>
            <w:hideMark/>
          </w:tcPr>
          <w:p w14:paraId="4F3D40FF"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Pattern recognition</w:t>
            </w:r>
          </w:p>
        </w:tc>
        <w:tc>
          <w:tcPr>
            <w:tcW w:w="1179" w:type="dxa"/>
            <w:tcBorders>
              <w:top w:val="single" w:sz="4" w:space="0" w:color="000000"/>
            </w:tcBorders>
            <w:noWrap/>
            <w:hideMark/>
          </w:tcPr>
          <w:p w14:paraId="7BF35C63"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0.000</w:t>
            </w:r>
          </w:p>
        </w:tc>
        <w:tc>
          <w:tcPr>
            <w:tcW w:w="1234" w:type="dxa"/>
            <w:tcBorders>
              <w:top w:val="single" w:sz="4" w:space="0" w:color="000000"/>
            </w:tcBorders>
            <w:noWrap/>
            <w:hideMark/>
          </w:tcPr>
          <w:p w14:paraId="422C356E"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0.871</w:t>
            </w:r>
          </w:p>
        </w:tc>
      </w:tr>
      <w:tr w:rsidR="001070C8" w:rsidRPr="00DD4419" w14:paraId="2F3D2E18" w14:textId="77777777" w:rsidTr="005A1475">
        <w:trPr>
          <w:trHeight w:val="300"/>
          <w:jc w:val="center"/>
        </w:trPr>
        <w:tc>
          <w:tcPr>
            <w:tcW w:w="2222" w:type="dxa"/>
            <w:noWrap/>
            <w:hideMark/>
          </w:tcPr>
          <w:p w14:paraId="71C3CE17"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Spatial description</w:t>
            </w:r>
          </w:p>
        </w:tc>
        <w:tc>
          <w:tcPr>
            <w:tcW w:w="1248" w:type="dxa"/>
            <w:noWrap/>
            <w:hideMark/>
          </w:tcPr>
          <w:p w14:paraId="7FC645DB"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0.002</w:t>
            </w:r>
          </w:p>
        </w:tc>
        <w:tc>
          <w:tcPr>
            <w:tcW w:w="1233" w:type="dxa"/>
            <w:noWrap/>
            <w:hideMark/>
          </w:tcPr>
          <w:p w14:paraId="7472EC59"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0.598</w:t>
            </w:r>
          </w:p>
        </w:tc>
        <w:tc>
          <w:tcPr>
            <w:tcW w:w="2198" w:type="dxa"/>
            <w:noWrap/>
            <w:hideMark/>
          </w:tcPr>
          <w:p w14:paraId="77E21408"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Spatial description</w:t>
            </w:r>
          </w:p>
        </w:tc>
        <w:tc>
          <w:tcPr>
            <w:tcW w:w="1179" w:type="dxa"/>
            <w:noWrap/>
            <w:hideMark/>
          </w:tcPr>
          <w:p w14:paraId="372760EE"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0.029</w:t>
            </w:r>
          </w:p>
        </w:tc>
        <w:tc>
          <w:tcPr>
            <w:tcW w:w="1234" w:type="dxa"/>
            <w:noWrap/>
            <w:hideMark/>
          </w:tcPr>
          <w:p w14:paraId="7CBE6532"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0.445</w:t>
            </w:r>
          </w:p>
        </w:tc>
      </w:tr>
      <w:tr w:rsidR="001070C8" w:rsidRPr="00DD4419" w14:paraId="55FE66EF" w14:textId="77777777" w:rsidTr="005A1475">
        <w:trPr>
          <w:trHeight w:val="300"/>
          <w:jc w:val="center"/>
        </w:trPr>
        <w:tc>
          <w:tcPr>
            <w:tcW w:w="2222" w:type="dxa"/>
            <w:noWrap/>
            <w:hideMark/>
          </w:tcPr>
          <w:p w14:paraId="591E1D2B"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Visualization</w:t>
            </w:r>
          </w:p>
        </w:tc>
        <w:tc>
          <w:tcPr>
            <w:tcW w:w="1248" w:type="dxa"/>
            <w:noWrap/>
            <w:hideMark/>
          </w:tcPr>
          <w:p w14:paraId="7351DB47"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0.000</w:t>
            </w:r>
          </w:p>
        </w:tc>
        <w:tc>
          <w:tcPr>
            <w:tcW w:w="1233" w:type="dxa"/>
            <w:noWrap/>
            <w:hideMark/>
          </w:tcPr>
          <w:p w14:paraId="265618C6"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0.740</w:t>
            </w:r>
          </w:p>
        </w:tc>
        <w:tc>
          <w:tcPr>
            <w:tcW w:w="2198" w:type="dxa"/>
            <w:noWrap/>
            <w:hideMark/>
          </w:tcPr>
          <w:p w14:paraId="50011FA6"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Visualization</w:t>
            </w:r>
          </w:p>
        </w:tc>
        <w:tc>
          <w:tcPr>
            <w:tcW w:w="1179" w:type="dxa"/>
            <w:noWrap/>
            <w:hideMark/>
          </w:tcPr>
          <w:p w14:paraId="5627F43A"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0.000</w:t>
            </w:r>
          </w:p>
        </w:tc>
        <w:tc>
          <w:tcPr>
            <w:tcW w:w="1234" w:type="dxa"/>
            <w:noWrap/>
            <w:hideMark/>
          </w:tcPr>
          <w:p w14:paraId="55D13581"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0.884</w:t>
            </w:r>
          </w:p>
        </w:tc>
      </w:tr>
      <w:tr w:rsidR="001070C8" w:rsidRPr="00DD4419" w14:paraId="4C1DDB2B" w14:textId="77777777" w:rsidTr="005A1475">
        <w:trPr>
          <w:trHeight w:val="300"/>
          <w:jc w:val="center"/>
        </w:trPr>
        <w:tc>
          <w:tcPr>
            <w:tcW w:w="2222" w:type="dxa"/>
            <w:noWrap/>
            <w:hideMark/>
          </w:tcPr>
          <w:p w14:paraId="1BBFCD32" w14:textId="77777777" w:rsidR="001070C8" w:rsidRPr="00DD4419" w:rsidRDefault="00EE6722" w:rsidP="00EE6722">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Usage of spatial concept</w:t>
            </w:r>
          </w:p>
        </w:tc>
        <w:tc>
          <w:tcPr>
            <w:tcW w:w="1248" w:type="dxa"/>
            <w:noWrap/>
            <w:hideMark/>
          </w:tcPr>
          <w:p w14:paraId="282FBFFF"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0.000</w:t>
            </w:r>
          </w:p>
        </w:tc>
        <w:tc>
          <w:tcPr>
            <w:tcW w:w="1233" w:type="dxa"/>
            <w:noWrap/>
            <w:hideMark/>
          </w:tcPr>
          <w:p w14:paraId="4AE56264"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0.744</w:t>
            </w:r>
          </w:p>
        </w:tc>
        <w:tc>
          <w:tcPr>
            <w:tcW w:w="2198" w:type="dxa"/>
            <w:noWrap/>
            <w:hideMark/>
          </w:tcPr>
          <w:p w14:paraId="5CFC7E7A" w14:textId="77777777" w:rsidR="001070C8" w:rsidRPr="00DD4419" w:rsidRDefault="00EE6722"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Usage of spatial concept</w:t>
            </w:r>
          </w:p>
        </w:tc>
        <w:tc>
          <w:tcPr>
            <w:tcW w:w="1179" w:type="dxa"/>
            <w:noWrap/>
            <w:hideMark/>
          </w:tcPr>
          <w:p w14:paraId="5D8CFA97"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0.000</w:t>
            </w:r>
          </w:p>
        </w:tc>
        <w:tc>
          <w:tcPr>
            <w:tcW w:w="1234" w:type="dxa"/>
            <w:noWrap/>
            <w:hideMark/>
          </w:tcPr>
          <w:p w14:paraId="04765EC2"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0.709</w:t>
            </w:r>
          </w:p>
        </w:tc>
      </w:tr>
      <w:tr w:rsidR="001070C8" w:rsidRPr="00DD4419" w14:paraId="72EE8214" w14:textId="77777777" w:rsidTr="005A1475">
        <w:trPr>
          <w:trHeight w:val="300"/>
          <w:jc w:val="center"/>
        </w:trPr>
        <w:tc>
          <w:tcPr>
            <w:tcW w:w="2222" w:type="dxa"/>
            <w:tcBorders>
              <w:bottom w:val="single" w:sz="4" w:space="0" w:color="000000"/>
            </w:tcBorders>
            <w:noWrap/>
            <w:hideMark/>
          </w:tcPr>
          <w:p w14:paraId="306DDE48" w14:textId="77777777" w:rsidR="001070C8" w:rsidRPr="00DD4419" w:rsidRDefault="00EE6722" w:rsidP="00EE6722">
            <w:pPr>
              <w:pBdr>
                <w:top w:val="nil"/>
                <w:left w:val="nil"/>
                <w:bottom w:val="nil"/>
                <w:right w:val="nil"/>
                <w:between w:val="nil"/>
              </w:pBdr>
              <w:ind w:leftChars="0" w:left="0" w:firstLineChars="0" w:firstLine="0"/>
              <w:jc w:val="left"/>
              <w:rPr>
                <w:rFonts w:eastAsia="Times New Roman"/>
                <w:color w:val="000000"/>
                <w:sz w:val="20"/>
                <w:szCs w:val="20"/>
              </w:rPr>
            </w:pPr>
            <w:r w:rsidRPr="00DD4419">
              <w:rPr>
                <w:rFonts w:eastAsia="Times New Roman"/>
                <w:color w:val="000000"/>
                <w:sz w:val="20"/>
                <w:szCs w:val="20"/>
              </w:rPr>
              <w:t>Usage of spatial tools</w:t>
            </w:r>
          </w:p>
        </w:tc>
        <w:tc>
          <w:tcPr>
            <w:tcW w:w="1248" w:type="dxa"/>
            <w:tcBorders>
              <w:bottom w:val="single" w:sz="4" w:space="0" w:color="000000"/>
            </w:tcBorders>
            <w:noWrap/>
            <w:hideMark/>
          </w:tcPr>
          <w:p w14:paraId="01F54BF3"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0.000</w:t>
            </w:r>
          </w:p>
        </w:tc>
        <w:tc>
          <w:tcPr>
            <w:tcW w:w="1233" w:type="dxa"/>
            <w:tcBorders>
              <w:bottom w:val="single" w:sz="4" w:space="0" w:color="000000"/>
            </w:tcBorders>
            <w:noWrap/>
            <w:hideMark/>
          </w:tcPr>
          <w:p w14:paraId="3A6F49F2"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0.722</w:t>
            </w:r>
          </w:p>
        </w:tc>
        <w:tc>
          <w:tcPr>
            <w:tcW w:w="2198" w:type="dxa"/>
            <w:tcBorders>
              <w:bottom w:val="single" w:sz="4" w:space="0" w:color="000000"/>
            </w:tcBorders>
            <w:noWrap/>
            <w:hideMark/>
          </w:tcPr>
          <w:p w14:paraId="5A74AA3F" w14:textId="77777777" w:rsidR="001070C8" w:rsidRPr="00DD4419" w:rsidRDefault="00EE6722"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Usage of spatial tools</w:t>
            </w:r>
          </w:p>
        </w:tc>
        <w:tc>
          <w:tcPr>
            <w:tcW w:w="1179" w:type="dxa"/>
            <w:tcBorders>
              <w:bottom w:val="single" w:sz="4" w:space="0" w:color="000000"/>
            </w:tcBorders>
            <w:noWrap/>
            <w:hideMark/>
          </w:tcPr>
          <w:p w14:paraId="48B421DB"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0.000</w:t>
            </w:r>
          </w:p>
        </w:tc>
        <w:tc>
          <w:tcPr>
            <w:tcW w:w="1234" w:type="dxa"/>
            <w:tcBorders>
              <w:bottom w:val="single" w:sz="4" w:space="0" w:color="000000"/>
            </w:tcBorders>
            <w:noWrap/>
            <w:hideMark/>
          </w:tcPr>
          <w:p w14:paraId="4183A8C6" w14:textId="77777777" w:rsidR="001070C8" w:rsidRPr="00DD4419" w:rsidRDefault="001070C8" w:rsidP="001070C8">
            <w:pPr>
              <w:pBdr>
                <w:top w:val="nil"/>
                <w:left w:val="nil"/>
                <w:bottom w:val="nil"/>
                <w:right w:val="nil"/>
                <w:between w:val="nil"/>
              </w:pBdr>
              <w:ind w:left="0" w:hanging="2"/>
              <w:jc w:val="both"/>
              <w:rPr>
                <w:rFonts w:eastAsia="Times New Roman"/>
                <w:color w:val="000000"/>
                <w:sz w:val="20"/>
                <w:szCs w:val="20"/>
              </w:rPr>
            </w:pPr>
            <w:r w:rsidRPr="00DD4419">
              <w:rPr>
                <w:rFonts w:eastAsia="Times New Roman"/>
                <w:color w:val="000000"/>
                <w:sz w:val="20"/>
                <w:szCs w:val="20"/>
              </w:rPr>
              <w:t>0.811</w:t>
            </w:r>
          </w:p>
        </w:tc>
      </w:tr>
    </w:tbl>
    <w:p w14:paraId="4301246A" w14:textId="77777777" w:rsidR="001070C8" w:rsidRPr="00DD4419" w:rsidRDefault="001070C8" w:rsidP="00DC59C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DDEC6C2" w14:textId="4456B3D8" w:rsidR="00926E54" w:rsidRPr="00DD4419" w:rsidRDefault="00C6175C" w:rsidP="0059652D">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926E54" w:rsidRPr="00DD4419">
        <w:rPr>
          <w:rFonts w:ascii="Times New Roman" w:eastAsia="Times New Roman" w:hAnsi="Times New Roman" w:cs="Times New Roman"/>
          <w:color w:val="000000"/>
          <w:sz w:val="24"/>
          <w:szCs w:val="24"/>
        </w:rPr>
        <w:t xml:space="preserve">The improvement of spatial habits shows the stimulation provided during the FOSS-GIS training, through the presentation of learning materials and software practices, has provided new experiences for them that lead to better spatial thinking. Participants pay attention to each learning material and make them more aware of the spatial patterns. New terms in GIS and remote sensing, also best-practice from the trainers made participants interested in </w:t>
      </w:r>
      <w:r w:rsidRPr="00DD4419">
        <w:rPr>
          <w:rFonts w:ascii="Times New Roman" w:eastAsia="Times New Roman" w:hAnsi="Times New Roman" w:cs="Times New Roman"/>
          <w:color w:val="000000"/>
          <w:sz w:val="24"/>
          <w:szCs w:val="24"/>
        </w:rPr>
        <w:t>both</w:t>
      </w:r>
      <w:r w:rsidR="00926E54" w:rsidRPr="00DD4419">
        <w:rPr>
          <w:rFonts w:ascii="Times New Roman" w:eastAsia="Times New Roman" w:hAnsi="Times New Roman" w:cs="Times New Roman"/>
          <w:color w:val="000000"/>
          <w:sz w:val="24"/>
          <w:szCs w:val="24"/>
        </w:rPr>
        <w:t xml:space="preserve">. This phenomenon proves that GIS is able to visualize information that seems complicated becoming easier to be understand and simplified the presentation </w:t>
      </w:r>
      <w:r w:rsidR="00926E54" w:rsidRPr="00DD4419">
        <w:rPr>
          <w:rFonts w:ascii="Times New Roman" w:eastAsia="Times New Roman" w:hAnsi="Times New Roman" w:cs="Times New Roman"/>
          <w:color w:val="000000"/>
          <w:sz w:val="24"/>
          <w:szCs w:val="24"/>
        </w:rPr>
        <w:fldChar w:fldCharType="begin"/>
      </w:r>
      <w:r w:rsidR="00926E54" w:rsidRPr="00DD4419">
        <w:rPr>
          <w:rFonts w:ascii="Times New Roman" w:eastAsia="Times New Roman" w:hAnsi="Times New Roman" w:cs="Times New Roman"/>
          <w:color w:val="000000"/>
          <w:sz w:val="24"/>
          <w:szCs w:val="24"/>
        </w:rPr>
        <w:instrText xml:space="preserve"> ADDIN ZOTERO_ITEM CSL_CITATION {"citationID":"PrALvh7L","properties":{"formattedCitation":"(Harvey, 2008)","plainCitation":"(Harvey, 2008)","noteIndex":0},"citationItems":[{"id":473,"uris":["http://zotero.org/users/local/eLG7HXo0/items/KQDLRTT9"],"uri":["http://zotero.org/users/local/eLG7HXo0/items/KQDLRTT9"],"itemData":{"id":473,"type":"book","event-place":"New York","publisher":"The Guildford Press","publisher-place":"New York","title":"A primer of GIS: second edition: fundamental geographic and cartographic concepts","author":[{"family":"Harvey","given":"F"}],"issued":{"date-parts":[["2008"]]}}}],"schema":"https://github.com/citation-style-language/schema/raw/master/csl-citation.json"} </w:instrText>
      </w:r>
      <w:r w:rsidR="00926E54" w:rsidRPr="00DD4419">
        <w:rPr>
          <w:rFonts w:ascii="Times New Roman" w:eastAsia="Times New Roman" w:hAnsi="Times New Roman" w:cs="Times New Roman"/>
          <w:color w:val="000000"/>
          <w:sz w:val="24"/>
          <w:szCs w:val="24"/>
        </w:rPr>
        <w:fldChar w:fldCharType="separate"/>
      </w:r>
      <w:r w:rsidR="00926E54" w:rsidRPr="00DD4419">
        <w:rPr>
          <w:rFonts w:ascii="Times New Roman" w:eastAsia="Times New Roman" w:hAnsi="Times New Roman" w:cs="Times New Roman"/>
          <w:color w:val="000000"/>
          <w:sz w:val="24"/>
          <w:szCs w:val="24"/>
        </w:rPr>
        <w:t>(</w:t>
      </w:r>
      <w:r w:rsidR="00926E54" w:rsidRPr="00C6175C">
        <w:rPr>
          <w:rFonts w:ascii="Times New Roman" w:eastAsia="Times New Roman" w:hAnsi="Times New Roman" w:cs="Times New Roman"/>
          <w:sz w:val="24"/>
          <w:szCs w:val="24"/>
        </w:rPr>
        <w:t>Harvey, 2008)</w:t>
      </w:r>
      <w:r w:rsidR="00926E54" w:rsidRPr="00DD4419">
        <w:rPr>
          <w:rFonts w:ascii="Times New Roman" w:eastAsia="Times New Roman" w:hAnsi="Times New Roman" w:cs="Times New Roman"/>
          <w:color w:val="000000"/>
          <w:sz w:val="24"/>
          <w:szCs w:val="24"/>
        </w:rPr>
        <w:fldChar w:fldCharType="end"/>
      </w:r>
      <w:r w:rsidR="00926E54" w:rsidRPr="00DD4419">
        <w:rPr>
          <w:rFonts w:ascii="Times New Roman" w:eastAsia="Times New Roman" w:hAnsi="Times New Roman" w:cs="Times New Roman"/>
          <w:color w:val="000000"/>
          <w:sz w:val="24"/>
          <w:szCs w:val="24"/>
        </w:rPr>
        <w:t>. Explanations about the use of spatial tools in their daily life also encourage enthusiasm. The urgency of spatial thinking is very important and encourages improvement in post-test results. Increasing spatial habits is an early indication of participants' understanding of spatial phenomena</w:t>
      </w:r>
      <w:r w:rsidR="005A1475" w:rsidRPr="00DD4419">
        <w:rPr>
          <w:rFonts w:ascii="Times New Roman" w:eastAsia="Times New Roman" w:hAnsi="Times New Roman" w:cs="Times New Roman"/>
          <w:color w:val="000000"/>
          <w:sz w:val="24"/>
          <w:szCs w:val="24"/>
        </w:rPr>
        <w:t xml:space="preserve"> that are </w:t>
      </w:r>
      <w:r w:rsidR="00926E54" w:rsidRPr="00DD4419">
        <w:rPr>
          <w:rFonts w:ascii="Times New Roman" w:eastAsia="Times New Roman" w:hAnsi="Times New Roman" w:cs="Times New Roman"/>
          <w:color w:val="000000"/>
          <w:sz w:val="24"/>
          <w:szCs w:val="24"/>
        </w:rPr>
        <w:t>expected to have an impact on spatial knowledge and spatial skills.</w:t>
      </w:r>
    </w:p>
    <w:p w14:paraId="067BC890" w14:textId="4D3E42E7" w:rsidR="00926E54" w:rsidRDefault="00926E54" w:rsidP="00926E5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68998529" w14:textId="77777777" w:rsidR="00C6175C" w:rsidRPr="00DD4419" w:rsidRDefault="00C6175C" w:rsidP="00926E5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55C9E5BF" w14:textId="64966FA7" w:rsidR="000F61A4" w:rsidRDefault="000F61A4" w:rsidP="000F61A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sidRPr="00DD4419">
        <w:rPr>
          <w:rFonts w:ascii="Times New Roman" w:eastAsia="Times New Roman" w:hAnsi="Times New Roman" w:cs="Times New Roman"/>
          <w:b/>
          <w:bCs/>
          <w:color w:val="000000"/>
          <w:sz w:val="20"/>
          <w:szCs w:val="20"/>
        </w:rPr>
        <w:lastRenderedPageBreak/>
        <w:t>Table</w:t>
      </w:r>
      <w:r w:rsidRPr="00DD4419">
        <w:rPr>
          <w:rFonts w:ascii="Times New Roman" w:eastAsia="Times New Roman" w:hAnsi="Times New Roman" w:cs="Times New Roman"/>
          <w:color w:val="000000"/>
          <w:sz w:val="20"/>
          <w:szCs w:val="20"/>
        </w:rPr>
        <w:t xml:space="preserve"> </w:t>
      </w:r>
      <w:r w:rsidRPr="00DD4419">
        <w:rPr>
          <w:rFonts w:ascii="Times New Roman" w:eastAsia="Times New Roman" w:hAnsi="Times New Roman" w:cs="Times New Roman"/>
          <w:b/>
          <w:bCs/>
          <w:color w:val="000000"/>
          <w:sz w:val="20"/>
          <w:szCs w:val="20"/>
        </w:rPr>
        <w:t>7</w:t>
      </w:r>
      <w:r w:rsidRPr="00DD4419">
        <w:rPr>
          <w:rFonts w:ascii="Times New Roman" w:eastAsia="Times New Roman" w:hAnsi="Times New Roman" w:cs="Times New Roman"/>
          <w:color w:val="000000"/>
          <w:sz w:val="20"/>
          <w:szCs w:val="20"/>
        </w:rPr>
        <w:t>. Comparison of pre-test and post-test scores of spatial knowledge.</w:t>
      </w:r>
    </w:p>
    <w:p w14:paraId="7A4639DF" w14:textId="77777777" w:rsidR="00C6175C" w:rsidRPr="00DD4419" w:rsidRDefault="00C6175C" w:rsidP="000F61A4">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p>
    <w:tbl>
      <w:tblPr>
        <w:tblStyle w:val="TableGrid5"/>
        <w:tblW w:w="85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783"/>
        <w:gridCol w:w="783"/>
        <w:gridCol w:w="1027"/>
        <w:gridCol w:w="860"/>
        <w:gridCol w:w="809"/>
        <w:gridCol w:w="783"/>
        <w:gridCol w:w="783"/>
        <w:gridCol w:w="1018"/>
        <w:gridCol w:w="854"/>
        <w:gridCol w:w="6"/>
      </w:tblGrid>
      <w:tr w:rsidR="000F61A4" w:rsidRPr="00DD4419" w14:paraId="2800BF60" w14:textId="77777777" w:rsidTr="008B0749">
        <w:trPr>
          <w:gridAfter w:val="1"/>
          <w:wAfter w:w="6" w:type="dxa"/>
          <w:trHeight w:val="300"/>
          <w:jc w:val="center"/>
        </w:trPr>
        <w:tc>
          <w:tcPr>
            <w:tcW w:w="4262" w:type="dxa"/>
            <w:gridSpan w:val="5"/>
            <w:tcBorders>
              <w:top w:val="single" w:sz="4" w:space="0" w:color="000000"/>
              <w:bottom w:val="single" w:sz="4" w:space="0" w:color="000000"/>
            </w:tcBorders>
            <w:shd w:val="clear" w:color="auto" w:fill="B8CCE4"/>
            <w:noWrap/>
            <w:vAlign w:val="center"/>
            <w:hideMark/>
          </w:tcPr>
          <w:p w14:paraId="3D7FBB63" w14:textId="77777777" w:rsidR="000F61A4" w:rsidRPr="00DD4419" w:rsidRDefault="000F61A4" w:rsidP="000F61A4">
            <w:pPr>
              <w:pBdr>
                <w:top w:val="nil"/>
                <w:left w:val="nil"/>
                <w:bottom w:val="nil"/>
                <w:right w:val="nil"/>
                <w:between w:val="nil"/>
              </w:pBdr>
              <w:ind w:leftChars="0" w:left="0" w:firstLineChars="0" w:firstLine="0"/>
              <w:rPr>
                <w:rFonts w:eastAsia="Times New Roman"/>
                <w:b/>
                <w:bCs/>
                <w:color w:val="000000"/>
                <w:sz w:val="20"/>
                <w:szCs w:val="20"/>
              </w:rPr>
            </w:pPr>
            <w:r w:rsidRPr="00DD4419">
              <w:rPr>
                <w:rFonts w:eastAsia="Times New Roman"/>
                <w:b/>
                <w:bCs/>
                <w:color w:val="000000"/>
                <w:sz w:val="20"/>
                <w:szCs w:val="20"/>
              </w:rPr>
              <w:t>Pre-Test</w:t>
            </w:r>
          </w:p>
        </w:tc>
        <w:tc>
          <w:tcPr>
            <w:tcW w:w="4247" w:type="dxa"/>
            <w:gridSpan w:val="5"/>
            <w:tcBorders>
              <w:top w:val="single" w:sz="4" w:space="0" w:color="000000"/>
              <w:bottom w:val="single" w:sz="4" w:space="0" w:color="000000"/>
            </w:tcBorders>
            <w:shd w:val="clear" w:color="auto" w:fill="B8CCE4"/>
            <w:noWrap/>
            <w:vAlign w:val="center"/>
            <w:hideMark/>
          </w:tcPr>
          <w:p w14:paraId="68448720" w14:textId="77777777" w:rsidR="000F61A4" w:rsidRPr="00DD4419" w:rsidRDefault="000F61A4" w:rsidP="000F61A4">
            <w:pPr>
              <w:pBdr>
                <w:top w:val="nil"/>
                <w:left w:val="nil"/>
                <w:bottom w:val="nil"/>
                <w:right w:val="nil"/>
                <w:between w:val="nil"/>
              </w:pBdr>
              <w:ind w:leftChars="0" w:left="0" w:firstLineChars="0" w:firstLine="0"/>
              <w:rPr>
                <w:rFonts w:eastAsia="Times New Roman"/>
                <w:b/>
                <w:bCs/>
                <w:color w:val="000000"/>
                <w:sz w:val="20"/>
                <w:szCs w:val="20"/>
              </w:rPr>
            </w:pPr>
            <w:r w:rsidRPr="00DD4419">
              <w:rPr>
                <w:rFonts w:eastAsia="Times New Roman"/>
                <w:b/>
                <w:bCs/>
                <w:color w:val="000000"/>
                <w:sz w:val="20"/>
                <w:szCs w:val="20"/>
              </w:rPr>
              <w:t>Post-Test</w:t>
            </w:r>
          </w:p>
        </w:tc>
      </w:tr>
      <w:tr w:rsidR="000F61A4" w:rsidRPr="00DD4419" w14:paraId="4FF5C680" w14:textId="77777777" w:rsidTr="008B0749">
        <w:trPr>
          <w:trHeight w:val="300"/>
          <w:jc w:val="center"/>
        </w:trPr>
        <w:tc>
          <w:tcPr>
            <w:tcW w:w="809" w:type="dxa"/>
            <w:tcBorders>
              <w:top w:val="single" w:sz="4" w:space="0" w:color="000000"/>
              <w:bottom w:val="single" w:sz="4" w:space="0" w:color="000000"/>
            </w:tcBorders>
            <w:shd w:val="clear" w:color="auto" w:fill="B8CCE4"/>
            <w:noWrap/>
            <w:vAlign w:val="center"/>
            <w:hideMark/>
          </w:tcPr>
          <w:p w14:paraId="3FBA9D2B"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b/>
                <w:bCs/>
                <w:color w:val="000000"/>
                <w:sz w:val="20"/>
                <w:szCs w:val="20"/>
              </w:rPr>
            </w:pPr>
            <w:r w:rsidRPr="00DD4419">
              <w:rPr>
                <w:rFonts w:eastAsia="Times New Roman"/>
                <w:b/>
                <w:bCs/>
                <w:color w:val="000000"/>
                <w:sz w:val="20"/>
                <w:szCs w:val="20"/>
              </w:rPr>
              <w:t>Mean</w:t>
            </w:r>
          </w:p>
        </w:tc>
        <w:tc>
          <w:tcPr>
            <w:tcW w:w="783" w:type="dxa"/>
            <w:tcBorders>
              <w:top w:val="single" w:sz="4" w:space="0" w:color="000000"/>
              <w:bottom w:val="single" w:sz="4" w:space="0" w:color="000000"/>
            </w:tcBorders>
            <w:shd w:val="clear" w:color="auto" w:fill="B8CCE4"/>
            <w:noWrap/>
            <w:vAlign w:val="center"/>
            <w:hideMark/>
          </w:tcPr>
          <w:p w14:paraId="752C458C"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b/>
                <w:bCs/>
                <w:color w:val="000000"/>
                <w:sz w:val="20"/>
                <w:szCs w:val="20"/>
              </w:rPr>
            </w:pPr>
            <w:r w:rsidRPr="00DD4419">
              <w:rPr>
                <w:rFonts w:eastAsia="Times New Roman"/>
                <w:b/>
                <w:bCs/>
                <w:color w:val="000000"/>
                <w:sz w:val="20"/>
                <w:szCs w:val="20"/>
              </w:rPr>
              <w:t>Max</w:t>
            </w:r>
          </w:p>
        </w:tc>
        <w:tc>
          <w:tcPr>
            <w:tcW w:w="783" w:type="dxa"/>
            <w:tcBorders>
              <w:top w:val="single" w:sz="4" w:space="0" w:color="000000"/>
              <w:bottom w:val="single" w:sz="4" w:space="0" w:color="000000"/>
            </w:tcBorders>
            <w:shd w:val="clear" w:color="auto" w:fill="B8CCE4"/>
            <w:noWrap/>
            <w:vAlign w:val="center"/>
            <w:hideMark/>
          </w:tcPr>
          <w:p w14:paraId="3E74FE46"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b/>
                <w:bCs/>
                <w:color w:val="000000"/>
                <w:sz w:val="20"/>
                <w:szCs w:val="20"/>
              </w:rPr>
            </w:pPr>
            <w:r w:rsidRPr="00DD4419">
              <w:rPr>
                <w:rFonts w:eastAsia="Times New Roman"/>
                <w:b/>
                <w:bCs/>
                <w:color w:val="000000"/>
                <w:sz w:val="20"/>
                <w:szCs w:val="20"/>
              </w:rPr>
              <w:t>Min</w:t>
            </w:r>
          </w:p>
        </w:tc>
        <w:tc>
          <w:tcPr>
            <w:tcW w:w="1027" w:type="dxa"/>
            <w:tcBorders>
              <w:top w:val="single" w:sz="4" w:space="0" w:color="000000"/>
              <w:bottom w:val="single" w:sz="4" w:space="0" w:color="000000"/>
            </w:tcBorders>
            <w:shd w:val="clear" w:color="auto" w:fill="B8CCE4"/>
            <w:noWrap/>
            <w:vAlign w:val="center"/>
            <w:hideMark/>
          </w:tcPr>
          <w:p w14:paraId="294BAB5B"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b/>
                <w:bCs/>
                <w:color w:val="000000"/>
                <w:sz w:val="20"/>
                <w:szCs w:val="20"/>
              </w:rPr>
            </w:pPr>
            <w:r w:rsidRPr="00DD4419">
              <w:rPr>
                <w:rFonts w:eastAsia="Times New Roman"/>
                <w:b/>
                <w:bCs/>
                <w:color w:val="000000"/>
                <w:sz w:val="20"/>
                <w:szCs w:val="20"/>
              </w:rPr>
              <w:t>Std. Dev.</w:t>
            </w:r>
          </w:p>
        </w:tc>
        <w:tc>
          <w:tcPr>
            <w:tcW w:w="860" w:type="dxa"/>
            <w:tcBorders>
              <w:top w:val="single" w:sz="4" w:space="0" w:color="000000"/>
              <w:bottom w:val="single" w:sz="4" w:space="0" w:color="000000"/>
            </w:tcBorders>
            <w:shd w:val="clear" w:color="auto" w:fill="B8CCE4"/>
            <w:noWrap/>
            <w:vAlign w:val="center"/>
            <w:hideMark/>
          </w:tcPr>
          <w:p w14:paraId="56F9996D"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b/>
                <w:bCs/>
                <w:color w:val="000000"/>
                <w:sz w:val="20"/>
                <w:szCs w:val="20"/>
              </w:rPr>
            </w:pPr>
            <w:r w:rsidRPr="00DD4419">
              <w:rPr>
                <w:rFonts w:eastAsia="Times New Roman"/>
                <w:b/>
                <w:bCs/>
                <w:color w:val="000000"/>
                <w:sz w:val="20"/>
                <w:szCs w:val="20"/>
              </w:rPr>
              <w:t>Range</w:t>
            </w:r>
          </w:p>
        </w:tc>
        <w:tc>
          <w:tcPr>
            <w:tcW w:w="809" w:type="dxa"/>
            <w:tcBorders>
              <w:top w:val="single" w:sz="4" w:space="0" w:color="000000"/>
              <w:bottom w:val="single" w:sz="4" w:space="0" w:color="000000"/>
            </w:tcBorders>
            <w:shd w:val="clear" w:color="auto" w:fill="B8CCE4"/>
            <w:noWrap/>
            <w:vAlign w:val="center"/>
            <w:hideMark/>
          </w:tcPr>
          <w:p w14:paraId="407FBC7F"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b/>
                <w:bCs/>
                <w:color w:val="000000"/>
                <w:sz w:val="20"/>
                <w:szCs w:val="20"/>
              </w:rPr>
            </w:pPr>
            <w:r w:rsidRPr="00DD4419">
              <w:rPr>
                <w:rFonts w:eastAsia="Times New Roman"/>
                <w:b/>
                <w:bCs/>
                <w:color w:val="000000"/>
                <w:sz w:val="20"/>
                <w:szCs w:val="20"/>
              </w:rPr>
              <w:t>Mean</w:t>
            </w:r>
          </w:p>
        </w:tc>
        <w:tc>
          <w:tcPr>
            <w:tcW w:w="783" w:type="dxa"/>
            <w:tcBorders>
              <w:top w:val="single" w:sz="4" w:space="0" w:color="000000"/>
              <w:bottom w:val="single" w:sz="4" w:space="0" w:color="000000"/>
            </w:tcBorders>
            <w:shd w:val="clear" w:color="auto" w:fill="B8CCE4"/>
            <w:noWrap/>
            <w:vAlign w:val="center"/>
            <w:hideMark/>
          </w:tcPr>
          <w:p w14:paraId="7F6F1C10"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b/>
                <w:bCs/>
                <w:color w:val="000000"/>
                <w:sz w:val="20"/>
                <w:szCs w:val="20"/>
              </w:rPr>
            </w:pPr>
            <w:r w:rsidRPr="00DD4419">
              <w:rPr>
                <w:rFonts w:eastAsia="Times New Roman"/>
                <w:b/>
                <w:bCs/>
                <w:color w:val="000000"/>
                <w:sz w:val="20"/>
                <w:szCs w:val="20"/>
              </w:rPr>
              <w:t>Max</w:t>
            </w:r>
          </w:p>
        </w:tc>
        <w:tc>
          <w:tcPr>
            <w:tcW w:w="783" w:type="dxa"/>
            <w:tcBorders>
              <w:top w:val="single" w:sz="4" w:space="0" w:color="000000"/>
              <w:bottom w:val="single" w:sz="4" w:space="0" w:color="000000"/>
            </w:tcBorders>
            <w:shd w:val="clear" w:color="auto" w:fill="B8CCE4"/>
            <w:noWrap/>
            <w:vAlign w:val="center"/>
            <w:hideMark/>
          </w:tcPr>
          <w:p w14:paraId="6494A066"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b/>
                <w:bCs/>
                <w:color w:val="000000"/>
                <w:sz w:val="20"/>
                <w:szCs w:val="20"/>
              </w:rPr>
            </w:pPr>
            <w:r w:rsidRPr="00DD4419">
              <w:rPr>
                <w:rFonts w:eastAsia="Times New Roman"/>
                <w:b/>
                <w:bCs/>
                <w:color w:val="000000"/>
                <w:sz w:val="20"/>
                <w:szCs w:val="20"/>
              </w:rPr>
              <w:t>Min</w:t>
            </w:r>
          </w:p>
        </w:tc>
        <w:tc>
          <w:tcPr>
            <w:tcW w:w="1018" w:type="dxa"/>
            <w:tcBorders>
              <w:top w:val="single" w:sz="4" w:space="0" w:color="000000"/>
              <w:bottom w:val="single" w:sz="4" w:space="0" w:color="000000"/>
            </w:tcBorders>
            <w:shd w:val="clear" w:color="auto" w:fill="B8CCE4"/>
            <w:noWrap/>
            <w:vAlign w:val="center"/>
            <w:hideMark/>
          </w:tcPr>
          <w:p w14:paraId="34DA5C5F"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b/>
                <w:bCs/>
                <w:color w:val="000000"/>
                <w:sz w:val="20"/>
                <w:szCs w:val="20"/>
              </w:rPr>
            </w:pPr>
            <w:r w:rsidRPr="00DD4419">
              <w:rPr>
                <w:rFonts w:eastAsia="Times New Roman"/>
                <w:b/>
                <w:bCs/>
                <w:color w:val="000000"/>
                <w:sz w:val="20"/>
                <w:szCs w:val="20"/>
              </w:rPr>
              <w:t>Std. Dev.</w:t>
            </w:r>
          </w:p>
        </w:tc>
        <w:tc>
          <w:tcPr>
            <w:tcW w:w="860" w:type="dxa"/>
            <w:gridSpan w:val="2"/>
            <w:tcBorders>
              <w:top w:val="single" w:sz="4" w:space="0" w:color="000000"/>
              <w:bottom w:val="single" w:sz="4" w:space="0" w:color="000000"/>
            </w:tcBorders>
            <w:shd w:val="clear" w:color="auto" w:fill="B8CCE4"/>
            <w:noWrap/>
            <w:vAlign w:val="center"/>
            <w:hideMark/>
          </w:tcPr>
          <w:p w14:paraId="381670E5"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b/>
                <w:bCs/>
                <w:color w:val="000000"/>
                <w:sz w:val="20"/>
                <w:szCs w:val="20"/>
              </w:rPr>
            </w:pPr>
            <w:r w:rsidRPr="00DD4419">
              <w:rPr>
                <w:rFonts w:eastAsia="Times New Roman"/>
                <w:b/>
                <w:bCs/>
                <w:color w:val="000000"/>
                <w:sz w:val="20"/>
                <w:szCs w:val="20"/>
              </w:rPr>
              <w:t>Range</w:t>
            </w:r>
          </w:p>
        </w:tc>
      </w:tr>
      <w:tr w:rsidR="000F61A4" w:rsidRPr="00DD4419" w14:paraId="05FF0A94" w14:textId="77777777" w:rsidTr="008B0749">
        <w:trPr>
          <w:trHeight w:val="300"/>
          <w:jc w:val="center"/>
        </w:trPr>
        <w:tc>
          <w:tcPr>
            <w:tcW w:w="809" w:type="dxa"/>
            <w:tcBorders>
              <w:top w:val="single" w:sz="4" w:space="0" w:color="000000"/>
              <w:bottom w:val="single" w:sz="4" w:space="0" w:color="000000"/>
            </w:tcBorders>
            <w:noWrap/>
            <w:hideMark/>
          </w:tcPr>
          <w:p w14:paraId="22CCF704"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color w:val="000000"/>
                <w:sz w:val="20"/>
                <w:szCs w:val="20"/>
              </w:rPr>
            </w:pPr>
            <w:r w:rsidRPr="00DD4419">
              <w:rPr>
                <w:rFonts w:eastAsia="Times New Roman"/>
                <w:color w:val="000000"/>
                <w:sz w:val="20"/>
                <w:szCs w:val="20"/>
              </w:rPr>
              <w:t>51.41</w:t>
            </w:r>
          </w:p>
        </w:tc>
        <w:tc>
          <w:tcPr>
            <w:tcW w:w="783" w:type="dxa"/>
            <w:tcBorders>
              <w:top w:val="single" w:sz="4" w:space="0" w:color="000000"/>
              <w:bottom w:val="single" w:sz="4" w:space="0" w:color="000000"/>
            </w:tcBorders>
            <w:noWrap/>
            <w:hideMark/>
          </w:tcPr>
          <w:p w14:paraId="2C2D181D"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color w:val="000000"/>
                <w:sz w:val="20"/>
                <w:szCs w:val="20"/>
              </w:rPr>
            </w:pPr>
            <w:r w:rsidRPr="00DD4419">
              <w:rPr>
                <w:rFonts w:eastAsia="Times New Roman"/>
                <w:color w:val="000000"/>
                <w:sz w:val="20"/>
                <w:szCs w:val="20"/>
              </w:rPr>
              <w:t>72.50</w:t>
            </w:r>
          </w:p>
        </w:tc>
        <w:tc>
          <w:tcPr>
            <w:tcW w:w="783" w:type="dxa"/>
            <w:tcBorders>
              <w:top w:val="single" w:sz="4" w:space="0" w:color="000000"/>
              <w:bottom w:val="single" w:sz="4" w:space="0" w:color="000000"/>
            </w:tcBorders>
            <w:noWrap/>
            <w:hideMark/>
          </w:tcPr>
          <w:p w14:paraId="5902EB32"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color w:val="000000"/>
                <w:sz w:val="20"/>
                <w:szCs w:val="20"/>
              </w:rPr>
            </w:pPr>
            <w:r w:rsidRPr="00DD4419">
              <w:rPr>
                <w:rFonts w:eastAsia="Times New Roman"/>
                <w:color w:val="000000"/>
                <w:sz w:val="20"/>
                <w:szCs w:val="20"/>
              </w:rPr>
              <w:t>15.00</w:t>
            </w:r>
          </w:p>
        </w:tc>
        <w:tc>
          <w:tcPr>
            <w:tcW w:w="1027" w:type="dxa"/>
            <w:tcBorders>
              <w:top w:val="single" w:sz="4" w:space="0" w:color="000000"/>
              <w:bottom w:val="single" w:sz="4" w:space="0" w:color="000000"/>
            </w:tcBorders>
            <w:noWrap/>
            <w:hideMark/>
          </w:tcPr>
          <w:p w14:paraId="6005D51F"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color w:val="000000"/>
                <w:sz w:val="20"/>
                <w:szCs w:val="20"/>
              </w:rPr>
            </w:pPr>
            <w:r w:rsidRPr="00DD4419">
              <w:rPr>
                <w:rFonts w:eastAsia="Times New Roman"/>
                <w:color w:val="000000"/>
                <w:sz w:val="20"/>
                <w:szCs w:val="20"/>
              </w:rPr>
              <w:t>14.25</w:t>
            </w:r>
          </w:p>
        </w:tc>
        <w:tc>
          <w:tcPr>
            <w:tcW w:w="860" w:type="dxa"/>
            <w:tcBorders>
              <w:top w:val="single" w:sz="4" w:space="0" w:color="000000"/>
              <w:bottom w:val="single" w:sz="4" w:space="0" w:color="000000"/>
            </w:tcBorders>
            <w:noWrap/>
            <w:hideMark/>
          </w:tcPr>
          <w:p w14:paraId="5ACDFF0B"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color w:val="000000"/>
                <w:sz w:val="20"/>
                <w:szCs w:val="20"/>
              </w:rPr>
            </w:pPr>
            <w:r w:rsidRPr="00DD4419">
              <w:rPr>
                <w:rFonts w:eastAsia="Times New Roman"/>
                <w:color w:val="000000"/>
                <w:sz w:val="20"/>
                <w:szCs w:val="20"/>
              </w:rPr>
              <w:t>57.50</w:t>
            </w:r>
          </w:p>
        </w:tc>
        <w:tc>
          <w:tcPr>
            <w:tcW w:w="809" w:type="dxa"/>
            <w:tcBorders>
              <w:top w:val="single" w:sz="4" w:space="0" w:color="000000"/>
              <w:bottom w:val="single" w:sz="4" w:space="0" w:color="000000"/>
            </w:tcBorders>
            <w:noWrap/>
            <w:hideMark/>
          </w:tcPr>
          <w:p w14:paraId="2BBE41B5"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color w:val="000000"/>
                <w:sz w:val="20"/>
                <w:szCs w:val="20"/>
              </w:rPr>
            </w:pPr>
            <w:r w:rsidRPr="00DD4419">
              <w:rPr>
                <w:rFonts w:eastAsia="Times New Roman"/>
                <w:color w:val="000000"/>
                <w:sz w:val="20"/>
                <w:szCs w:val="20"/>
              </w:rPr>
              <w:t>64.43</w:t>
            </w:r>
          </w:p>
        </w:tc>
        <w:tc>
          <w:tcPr>
            <w:tcW w:w="783" w:type="dxa"/>
            <w:tcBorders>
              <w:top w:val="single" w:sz="4" w:space="0" w:color="000000"/>
              <w:bottom w:val="single" w:sz="4" w:space="0" w:color="000000"/>
            </w:tcBorders>
            <w:noWrap/>
            <w:hideMark/>
          </w:tcPr>
          <w:p w14:paraId="3CEB8822"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color w:val="000000"/>
                <w:sz w:val="20"/>
                <w:szCs w:val="20"/>
              </w:rPr>
            </w:pPr>
            <w:r w:rsidRPr="00DD4419">
              <w:rPr>
                <w:rFonts w:eastAsia="Times New Roman"/>
                <w:color w:val="000000"/>
                <w:sz w:val="20"/>
                <w:szCs w:val="20"/>
              </w:rPr>
              <w:t>85.00</w:t>
            </w:r>
          </w:p>
        </w:tc>
        <w:tc>
          <w:tcPr>
            <w:tcW w:w="783" w:type="dxa"/>
            <w:tcBorders>
              <w:top w:val="single" w:sz="4" w:space="0" w:color="000000"/>
              <w:bottom w:val="single" w:sz="4" w:space="0" w:color="000000"/>
            </w:tcBorders>
            <w:noWrap/>
            <w:hideMark/>
          </w:tcPr>
          <w:p w14:paraId="32D24FDA"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color w:val="000000"/>
                <w:sz w:val="20"/>
                <w:szCs w:val="20"/>
              </w:rPr>
            </w:pPr>
            <w:r w:rsidRPr="00DD4419">
              <w:rPr>
                <w:rFonts w:eastAsia="Times New Roman"/>
                <w:color w:val="000000"/>
                <w:sz w:val="20"/>
                <w:szCs w:val="20"/>
              </w:rPr>
              <w:t>25.00</w:t>
            </w:r>
          </w:p>
        </w:tc>
        <w:tc>
          <w:tcPr>
            <w:tcW w:w="1018" w:type="dxa"/>
            <w:tcBorders>
              <w:top w:val="single" w:sz="4" w:space="0" w:color="000000"/>
              <w:bottom w:val="single" w:sz="4" w:space="0" w:color="000000"/>
            </w:tcBorders>
            <w:noWrap/>
            <w:hideMark/>
          </w:tcPr>
          <w:p w14:paraId="494E2D52"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color w:val="000000"/>
                <w:sz w:val="20"/>
                <w:szCs w:val="20"/>
              </w:rPr>
            </w:pPr>
            <w:r w:rsidRPr="00DD4419">
              <w:rPr>
                <w:rFonts w:eastAsia="Times New Roman"/>
                <w:color w:val="000000"/>
                <w:sz w:val="20"/>
                <w:szCs w:val="20"/>
              </w:rPr>
              <w:t>14.12</w:t>
            </w:r>
          </w:p>
        </w:tc>
        <w:tc>
          <w:tcPr>
            <w:tcW w:w="860" w:type="dxa"/>
            <w:gridSpan w:val="2"/>
            <w:tcBorders>
              <w:top w:val="single" w:sz="4" w:space="0" w:color="000000"/>
              <w:bottom w:val="single" w:sz="4" w:space="0" w:color="000000"/>
            </w:tcBorders>
            <w:noWrap/>
            <w:hideMark/>
          </w:tcPr>
          <w:p w14:paraId="572D756F" w14:textId="77777777" w:rsidR="000F61A4" w:rsidRPr="00DD4419" w:rsidRDefault="000F61A4" w:rsidP="000F61A4">
            <w:pPr>
              <w:pBdr>
                <w:top w:val="nil"/>
                <w:left w:val="nil"/>
                <w:bottom w:val="nil"/>
                <w:right w:val="nil"/>
                <w:between w:val="nil"/>
              </w:pBdr>
              <w:ind w:leftChars="0" w:left="0" w:firstLineChars="0" w:firstLine="0"/>
              <w:jc w:val="both"/>
              <w:rPr>
                <w:rFonts w:eastAsia="Times New Roman"/>
                <w:color w:val="000000"/>
                <w:sz w:val="20"/>
                <w:szCs w:val="20"/>
              </w:rPr>
            </w:pPr>
            <w:r w:rsidRPr="00DD4419">
              <w:rPr>
                <w:rFonts w:eastAsia="Times New Roman"/>
                <w:color w:val="000000"/>
                <w:sz w:val="20"/>
                <w:szCs w:val="20"/>
              </w:rPr>
              <w:t>60.00</w:t>
            </w:r>
          </w:p>
        </w:tc>
      </w:tr>
    </w:tbl>
    <w:p w14:paraId="24458EC8" w14:textId="77777777" w:rsidR="000F61A4" w:rsidRPr="00DD4419" w:rsidRDefault="000F61A4" w:rsidP="00926E5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B835F48" w14:textId="36494E52" w:rsidR="000F61A4" w:rsidRPr="00DD4419" w:rsidRDefault="00C6175C" w:rsidP="0059652D">
      <w:pPr>
        <w:pBdr>
          <w:top w:val="nil"/>
          <w:left w:val="nil"/>
          <w:bottom w:val="nil"/>
          <w:right w:val="nil"/>
          <w:between w:val="nil"/>
        </w:pBdr>
        <w:spacing w:after="0"/>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0F61A4" w:rsidRPr="00DD4419">
        <w:rPr>
          <w:rFonts w:ascii="Times New Roman" w:eastAsia="Times New Roman" w:hAnsi="Times New Roman" w:cs="Times New Roman"/>
          <w:color w:val="000000"/>
          <w:sz w:val="24"/>
          <w:szCs w:val="24"/>
        </w:rPr>
        <w:t xml:space="preserve">Prior to the FOSS-GIS training, participants' spatial knowledge was still quite low at 51.41. We can see an increase to 64.43 </w:t>
      </w:r>
      <w:r w:rsidR="00250167" w:rsidRPr="00DD4419">
        <w:rPr>
          <w:rFonts w:ascii="Times New Roman" w:eastAsia="Times New Roman" w:hAnsi="Times New Roman" w:cs="Times New Roman"/>
          <w:color w:val="000000"/>
          <w:sz w:val="24"/>
          <w:szCs w:val="24"/>
        </w:rPr>
        <w:t xml:space="preserve">on a 100 scale </w:t>
      </w:r>
      <w:r w:rsidR="000F61A4" w:rsidRPr="00DD4419">
        <w:rPr>
          <w:rFonts w:ascii="Times New Roman" w:eastAsia="Times New Roman" w:hAnsi="Times New Roman" w:cs="Times New Roman"/>
          <w:color w:val="000000"/>
          <w:sz w:val="24"/>
          <w:szCs w:val="24"/>
        </w:rPr>
        <w:t>after this training (</w:t>
      </w:r>
      <w:r w:rsidR="000F61A4" w:rsidRPr="00C6175C">
        <w:rPr>
          <w:rFonts w:ascii="Times New Roman" w:eastAsia="Times New Roman" w:hAnsi="Times New Roman" w:cs="Times New Roman"/>
          <w:color w:val="000000"/>
          <w:sz w:val="24"/>
          <w:szCs w:val="24"/>
        </w:rPr>
        <w:t>Table 7</w:t>
      </w:r>
      <w:r w:rsidR="000F61A4" w:rsidRPr="00DD4419">
        <w:rPr>
          <w:rFonts w:ascii="Times New Roman" w:eastAsia="Times New Roman" w:hAnsi="Times New Roman" w:cs="Times New Roman"/>
          <w:color w:val="000000"/>
          <w:sz w:val="24"/>
          <w:szCs w:val="24"/>
        </w:rPr>
        <w:t>). Their percentage in answering items also increases when we compare the pre-test and post-test scores (</w:t>
      </w:r>
      <w:r w:rsidR="000F61A4" w:rsidRPr="00C6175C">
        <w:rPr>
          <w:rFonts w:ascii="Times New Roman" w:eastAsia="Times New Roman" w:hAnsi="Times New Roman" w:cs="Times New Roman"/>
          <w:color w:val="000000"/>
          <w:sz w:val="24"/>
          <w:szCs w:val="24"/>
        </w:rPr>
        <w:t>Table 8</w:t>
      </w:r>
      <w:r w:rsidR="000F61A4" w:rsidRPr="00DD4419">
        <w:rPr>
          <w:rFonts w:ascii="Times New Roman" w:eastAsia="Times New Roman" w:hAnsi="Times New Roman" w:cs="Times New Roman"/>
          <w:color w:val="000000"/>
          <w:sz w:val="24"/>
          <w:szCs w:val="24"/>
        </w:rPr>
        <w:t xml:space="preserve">). Almost all the score for multiple choice item increased during post-test, except for item number 10. During the training, almost all materials related to multiple choice items were given to participants. This proves that the learning process also improves cognitive abilities and increases their readiness to answer items  </w:t>
      </w:r>
      <w:r w:rsidR="000F61A4" w:rsidRPr="00C6175C">
        <w:rPr>
          <w:rFonts w:ascii="Times New Roman" w:eastAsia="Times New Roman" w:hAnsi="Times New Roman" w:cs="Times New Roman"/>
          <w:sz w:val="24"/>
          <w:szCs w:val="24"/>
        </w:rPr>
        <w:fldChar w:fldCharType="begin"/>
      </w:r>
      <w:r w:rsidR="000F61A4" w:rsidRPr="00C6175C">
        <w:rPr>
          <w:rFonts w:ascii="Times New Roman" w:eastAsia="Times New Roman" w:hAnsi="Times New Roman" w:cs="Times New Roman"/>
          <w:sz w:val="24"/>
          <w:szCs w:val="24"/>
        </w:rPr>
        <w:instrText xml:space="preserve"> ADDIN ZOTERO_ITEM CSL_CITATION {"citationID":"msZWgwZ1","properties":{"formattedCitation":"(Jaafar, 2017; Mayalagu et al., 2019)","plainCitation":"(Jaafar, 2017; Mayalagu et al., 2019)","noteIndex":0},"citationItems":[{"id":514,"uris":["http://zotero.org/users/local/eLG7HXo0/items/YA8X7BNU"],"uri":["http://zotero.org/users/local/eLG7HXo0/items/YA8X7BNU"],"itemData":{"id":514,"type":"article-journal","abstract":"Sistem Maklumat Geografi sering dikatakan sebagai alat bantu mengajar yang berkesan dalam mempertingkatkan kefahaman geografi di kalangan pelajar. Sehubungan itu kajian telah dilakukan bagi membuktikan premis tersebut dalam kalangan pelajar Sains Laut di UKM. Dua peringkat ujian dilakukan kepada 32 responden bagi menilai tahap kefahaman asas geografi mereka iaitu pada peringkat awal dan akhir perkuliahan dan aktiviti GIS. Secara umumnya, tahap kefahaman asas geografi responden pada peringkat awal adalah rendah. Responden gagal menyatakan istilah penting geografi seperti konsep ruang, tempat dan masa. Namun begitu, hasil kajian pada peringkat kedua membuktikan keberkesanan GIS dalam mempertingkatkan tahap kefahaman asas geografi dalam kalangan responden. Semua responden dapat mengemukakan kata kunci penting mengenai geografi dan berjaya menghubungkaitkan teknologi GIS dengan asas-asas geografi seperti data ruang, dimensi ruang, lokasi, entiti dan atribut. Kajian ini membuktikan keberkesanan GIS sebagai alat bantu mengajar konsep asas geografi yang sesuai terutama kepada pelajar yang tidak mempunyai asas geografi yang kukuh.Katakunci: alat bantu mengajar, GIS, Geografi, pelajar, Sains Laut, Sistem Maklumat GeografiGeographical Information Systems has always being said as an effective teaching tool in enhancing students understanding of geography. Therefore a study was conducted to demonstrate that premise among Marine Science students in UKM. Two stages of test were conducted to 32 respondents to evaluate their level of basic geographic understanding at the beginning and the end of their GIS lectures and GIS activities. In general, the level of basic geographic understanding among respondents at the early stage is weak. Respondents failed to state-out important geographic terms such as spatial, place and time concepts. However, the finding at the second stage proved that GIS effectively improving the level of basic geographic understanding among respondents. All respondents can demonstrate important geographic key words and succesfully relating GIS technology with geographic concepts such as spatial data, spatial dimension, location, entity and attributes. This study proved the effectiveness of GIS as a suitable teaching tools of basic geographic concepts especially to those their understanding of basic geographic is weak.Keywords: geography, Geographical Information Systems, GIS, marine science, student, teaching tool","container-title":"Geografia-Malaysian Journal of Society and Space","issue":"3","language":"bm","note":"number: 3","source":"ejournal.ukm.my","title":"Keberkesanan GIS sebagai alat bantu mengajar konsep asas geografi kepada pelajar bukan-geografi (Effectiveness of GIS as a tool in teaching basic geographic concepts to non-geography students)","URL":"http://ejournal.ukm.my/gmjss/article/view/18236","volume":"8","author":[{"family":"Jaafar","given":"Mokhtar"}],"accessed":{"date-parts":[["2021",11,19]]},"issued":{"date-parts":[["2017"]]}}},{"id":512,"uris":["http://zotero.org/users/local/eLG7HXo0/items/8HKNGTMF"],"uri":["http://zotero.org/users/local/eLG7HXo0/items/8HKNGTMF"],"itemData":{"id":512,"type":"article-journal","abstract":"Kemajuan teknologi dalam Pembelajaran dan Pemudahcaraan (PdPc) abad ke-21 amat dititikberatkan oleh Kementerian Pendidikan Malaysia (KPM) selaras dengan Pelan Pembangunan Pendidikan Malaysia 2013-2025. Senario kini, mata pelajaran Geografi di Malaysia semakin terpinggir khususnya bagi peringkat Sijil Pelajaran Malaysia (SPM) dan minat pelajar terhadap mata pelajaran ini turut semakin berkurang. Justeru, penggunaan Geographic Information System (GIS) dalam PdPc Geografi dilihat sebagai satu wadah baharu dalam meningkatkan minat pelajar terhadap mata pelajaran Geografi di sekolah. Dalam kajian ini reka bentuk penyelidikan eksperimen tulen digunakan yang melibatkan Kumpulan Eksperimen (KE); dengan intervensi teknologi geospatial dan Kumpulan Kawalan (KK); dengan kaedah konvensional dalam PdPc digunakan. Kajian ini turut menguji keberkesanan penggunaan GIS berasaskan modul GIS-KBR dalam meningkatkan minat para pelajar terhadap mata pelajaran Geografi. Hasil analisis ANCOVA satu hala pada aras signifikan .05 menunjukkan terdapat perbezaan signifikan skor ujian pasca bagi pemboleh ubah minat. Hasil dapatan turut menunjukkan terdapat perbezaan yang signifikan bagi ujian pasca antara kumpulan KE dan KK. Tuntasnya, hasil kajian menunjukkan bahawa pelaksanaan aktiviti GIS berasaskan modul GIS-KBR ini meningkatkan minat dalam kalangan pelajar Geografi berdasarkan pembuktian tahap minat kumpulan eksperimen yang lebih tinggi berbanding dengan kumpulan kawalan.Kata kunci: geografi, GIS, modul GIS-KBR, minat pelajar, PdPc abab ke 21, teknologi geospatialThe 21st century technology advancement in Learning and Facilitation (L&amp;F) is taken seriously by the Ministry of Education Malaysia (MOE) that is aligned with Malaysia’s Education Development Plan 2013-2025. Currently, the Geography subject in Malaysia are getting marginalized especially for the Sijil Pelajaran Malaysia (SPM) level and the students’ interest in these subjects is also dwindling. Ergo, the use of Geographic Information System (GIS) in Geography L&amp;F is regarded as a new platform in boosting student interest in Geography subject in schools. For this particular study, true experimental research designs were implemented which involved Experimental Group (EG) with geospatial technology intervention and Control Group (CG); with conventional methods in L&amp;F. This study also investigates the effectiveness of using GIS that is based on GIS modules in establishing students’ interest in Geography subject. The result of one-way ANCOVA analysis, which is at significant level of .05, reflects that there is a momentous difference in the post test score for interest variables. Also, there was a significant difference in the post intervention between the EG and CG groups. Consequentially, the results show that GIS activity that is based on GIS-STS modules implementation increases interest among the Geography students especially when referred to the proven higher level of experimental group interest rate in comparison to the control group.Keywords: geography, GIS, module GIS-STS, student interest, 21st century L&amp;F, geospatial technology","container-title":"Geografia-Malaysian Journal of Society and Space","issue":"4","language":"bm","note":"number: 4","source":"ejournal.ukm.my","title":"Keberkesanan Geographic Information System (GIS) dalam mencungkil minat pelajar terhadap mata pelajaran Geografi di sekolah menengah (The effectiveness of Geographic Information System (GIS) in fostering student interest in Geography subject in secondary school)","URL":"http://ejournal.ukm.my/gmjss/article/view/32870","volume":"15","author":[{"family":"Mayalagu","given":"Ganesan"},{"family":"Jaafar","given":"Mokhtar"},{"family":"Choy","given":"Lam Kuok"},{"family":"Mahmud","given":"Mohd Izwan"}],"accessed":{"date-parts":[["2021",11,19]]},"issued":{"date-parts":[["2019"]]}}}],"schema":"https://github.com/citation-style-language/schema/raw/master/csl-citation.json"} </w:instrText>
      </w:r>
      <w:r w:rsidR="000F61A4" w:rsidRPr="00C6175C">
        <w:rPr>
          <w:rFonts w:ascii="Times New Roman" w:eastAsia="Times New Roman" w:hAnsi="Times New Roman" w:cs="Times New Roman"/>
          <w:sz w:val="24"/>
          <w:szCs w:val="24"/>
        </w:rPr>
        <w:fldChar w:fldCharType="separate"/>
      </w:r>
      <w:r w:rsidR="000F61A4" w:rsidRPr="00C6175C">
        <w:rPr>
          <w:rFonts w:ascii="Times New Roman" w:eastAsia="Times New Roman" w:hAnsi="Times New Roman" w:cs="Times New Roman"/>
          <w:sz w:val="24"/>
          <w:szCs w:val="24"/>
        </w:rPr>
        <w:t>(Jaafar, 2017; Mayalagu et al., 2019)</w:t>
      </w:r>
      <w:r w:rsidR="000F61A4" w:rsidRPr="00C6175C">
        <w:rPr>
          <w:rFonts w:ascii="Times New Roman" w:eastAsia="Times New Roman" w:hAnsi="Times New Roman" w:cs="Times New Roman"/>
          <w:sz w:val="24"/>
          <w:szCs w:val="24"/>
        </w:rPr>
        <w:fldChar w:fldCharType="end"/>
      </w:r>
      <w:r w:rsidR="000F61A4" w:rsidRPr="00C6175C">
        <w:rPr>
          <w:rFonts w:ascii="Times New Roman" w:eastAsia="Times New Roman" w:hAnsi="Times New Roman" w:cs="Times New Roman"/>
          <w:sz w:val="24"/>
          <w:szCs w:val="24"/>
        </w:rPr>
        <w:t xml:space="preserve">. The participants received teaching recordings from the trainers that made it easier for them to study independently. This improvement can also be driven by FOSS-GIS learning that combines symmetric and asymmetric methods </w:t>
      </w:r>
      <w:r w:rsidR="000F61A4" w:rsidRPr="00C6175C">
        <w:rPr>
          <w:rFonts w:ascii="Times New Roman" w:eastAsia="Times New Roman" w:hAnsi="Times New Roman" w:cs="Times New Roman"/>
          <w:sz w:val="24"/>
          <w:szCs w:val="24"/>
        </w:rPr>
        <w:fldChar w:fldCharType="begin"/>
      </w:r>
      <w:r w:rsidR="000F61A4" w:rsidRPr="00C6175C">
        <w:rPr>
          <w:rFonts w:ascii="Times New Roman" w:eastAsia="Times New Roman" w:hAnsi="Times New Roman" w:cs="Times New Roman"/>
          <w:sz w:val="24"/>
          <w:szCs w:val="24"/>
        </w:rPr>
        <w:instrText xml:space="preserve"> ADDIN ZOTERO_ITEM CSL_CITATION {"citationID":"UBledq7U","properties":{"formattedCitation":"(Donnelly, 2017)","plainCitation":"(Donnelly, 2017)","noteIndex":0},"citationItems":[{"id":529,"uris":["http://zotero.org/users/local/eLG7HXo0/items/5BGAK7NE"],"uri":["http://zotero.org/users/local/eLG7HXo0/items/5BGAK7NE"],"itemData":{"id":529,"type":"book","edition":"8 th Edition","event-place":"New York","publisher":"Baruch College CUNY","publisher-place":"New York","title":"Introduction to GIS using open source software","author":[{"family":"Donnelly","given":"Frank"}],"issued":{"date-parts":[["2017"]]}}}],"schema":"https://github.com/citation-style-language/schema/raw/master/csl-citation.json"} </w:instrText>
      </w:r>
      <w:r w:rsidR="000F61A4" w:rsidRPr="00C6175C">
        <w:rPr>
          <w:rFonts w:ascii="Times New Roman" w:eastAsia="Times New Roman" w:hAnsi="Times New Roman" w:cs="Times New Roman"/>
          <w:sz w:val="24"/>
          <w:szCs w:val="24"/>
        </w:rPr>
        <w:fldChar w:fldCharType="separate"/>
      </w:r>
      <w:r w:rsidR="000F61A4" w:rsidRPr="00C6175C">
        <w:rPr>
          <w:rFonts w:ascii="Times New Roman" w:eastAsia="Times New Roman" w:hAnsi="Times New Roman" w:cs="Times New Roman"/>
          <w:sz w:val="24"/>
          <w:szCs w:val="24"/>
        </w:rPr>
        <w:t>(Donnelly, 2017)</w:t>
      </w:r>
      <w:r w:rsidR="000F61A4" w:rsidRPr="00C6175C">
        <w:rPr>
          <w:rFonts w:ascii="Times New Roman" w:eastAsia="Times New Roman" w:hAnsi="Times New Roman" w:cs="Times New Roman"/>
          <w:sz w:val="24"/>
          <w:szCs w:val="24"/>
        </w:rPr>
        <w:fldChar w:fldCharType="end"/>
      </w:r>
      <w:r w:rsidR="000F61A4" w:rsidRPr="00C6175C">
        <w:rPr>
          <w:rFonts w:ascii="Times New Roman" w:eastAsia="Times New Roman" w:hAnsi="Times New Roman" w:cs="Times New Roman"/>
          <w:sz w:val="24"/>
          <w:szCs w:val="24"/>
        </w:rPr>
        <w:t>.</w:t>
      </w:r>
      <w:r w:rsidR="000F61A4" w:rsidRPr="00DD4419">
        <w:rPr>
          <w:rFonts w:ascii="Times New Roman" w:eastAsia="Times New Roman" w:hAnsi="Times New Roman" w:cs="Times New Roman"/>
          <w:color w:val="000000"/>
          <w:sz w:val="24"/>
          <w:szCs w:val="24"/>
        </w:rPr>
        <w:t xml:space="preserve"> We facilitated an asymmetric approach to participants. Trainers created learning materials, training modules, video recordings, create chat-groups to facilitate the interaction. </w:t>
      </w:r>
    </w:p>
    <w:p w14:paraId="19EB11B8" w14:textId="77777777" w:rsidR="005A1475" w:rsidRPr="00DD4419" w:rsidRDefault="005A1475" w:rsidP="000F61A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6A137B09" w14:textId="77777777" w:rsidR="005A1475" w:rsidRPr="00DD4419" w:rsidRDefault="005A1475" w:rsidP="00250167">
      <w:pPr>
        <w:suppressAutoHyphens w:val="0"/>
        <w:ind w:leftChars="0" w:left="0" w:firstLineChars="0" w:firstLine="0"/>
        <w:jc w:val="center"/>
        <w:textDirection w:val="lrTb"/>
        <w:textAlignment w:val="auto"/>
        <w:outlineLvl w:val="9"/>
        <w:rPr>
          <w:rFonts w:ascii="Times New Roman" w:eastAsia="Times New Roman" w:hAnsi="Times New Roman" w:cs="Times New Roman"/>
          <w:color w:val="000000"/>
          <w:sz w:val="20"/>
          <w:szCs w:val="20"/>
        </w:rPr>
      </w:pPr>
      <w:r w:rsidRPr="00DD4419">
        <w:rPr>
          <w:rFonts w:ascii="Times New Roman" w:eastAsia="Times New Roman" w:hAnsi="Times New Roman" w:cs="Times New Roman"/>
          <w:b/>
          <w:bCs/>
          <w:color w:val="000000"/>
          <w:sz w:val="20"/>
          <w:szCs w:val="20"/>
        </w:rPr>
        <w:t>Table</w:t>
      </w:r>
      <w:r w:rsidRPr="00DD4419">
        <w:rPr>
          <w:rFonts w:ascii="Times New Roman" w:eastAsia="Times New Roman" w:hAnsi="Times New Roman" w:cs="Times New Roman"/>
          <w:color w:val="000000"/>
          <w:sz w:val="20"/>
          <w:szCs w:val="20"/>
        </w:rPr>
        <w:t xml:space="preserve"> 8. The percentage of items answered correctly.</w:t>
      </w:r>
    </w:p>
    <w:tbl>
      <w:tblPr>
        <w:tblStyle w:val="TableGrid5"/>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647"/>
        <w:gridCol w:w="621"/>
        <w:gridCol w:w="1701"/>
        <w:gridCol w:w="601"/>
        <w:gridCol w:w="1651"/>
        <w:gridCol w:w="679"/>
        <w:gridCol w:w="1747"/>
      </w:tblGrid>
      <w:tr w:rsidR="005A1475" w:rsidRPr="00DD4419" w14:paraId="52F0D116" w14:textId="77777777" w:rsidTr="008B0749">
        <w:trPr>
          <w:trHeight w:val="227"/>
          <w:jc w:val="center"/>
        </w:trPr>
        <w:tc>
          <w:tcPr>
            <w:tcW w:w="4531" w:type="dxa"/>
            <w:gridSpan w:val="4"/>
            <w:tcBorders>
              <w:top w:val="single" w:sz="4" w:space="0" w:color="000000"/>
              <w:bottom w:val="single" w:sz="4" w:space="0" w:color="000000"/>
            </w:tcBorders>
            <w:shd w:val="clear" w:color="auto" w:fill="B8CCE4"/>
            <w:noWrap/>
            <w:vAlign w:val="center"/>
            <w:hideMark/>
          </w:tcPr>
          <w:p w14:paraId="0863F525" w14:textId="77777777" w:rsidR="005A1475" w:rsidRPr="00DD4419" w:rsidRDefault="005A1475" w:rsidP="005A1475">
            <w:pPr>
              <w:pBdr>
                <w:top w:val="nil"/>
                <w:left w:val="nil"/>
                <w:bottom w:val="nil"/>
                <w:right w:val="nil"/>
                <w:between w:val="nil"/>
              </w:pBdr>
              <w:ind w:leftChars="0" w:left="0" w:firstLineChars="0" w:firstLine="0"/>
              <w:rPr>
                <w:rFonts w:eastAsia="Times New Roman"/>
                <w:b/>
                <w:bCs/>
                <w:color w:val="000000"/>
                <w:sz w:val="20"/>
                <w:szCs w:val="20"/>
              </w:rPr>
            </w:pPr>
            <w:r w:rsidRPr="00DD4419">
              <w:rPr>
                <w:rFonts w:eastAsia="Times New Roman"/>
                <w:b/>
                <w:bCs/>
                <w:color w:val="000000"/>
                <w:sz w:val="20"/>
                <w:szCs w:val="20"/>
              </w:rPr>
              <w:t>Pre-Test</w:t>
            </w:r>
          </w:p>
        </w:tc>
        <w:tc>
          <w:tcPr>
            <w:tcW w:w="4678" w:type="dxa"/>
            <w:gridSpan w:val="4"/>
            <w:tcBorders>
              <w:top w:val="single" w:sz="4" w:space="0" w:color="000000"/>
              <w:bottom w:val="single" w:sz="4" w:space="0" w:color="000000"/>
            </w:tcBorders>
            <w:shd w:val="clear" w:color="auto" w:fill="B8CCE4"/>
            <w:noWrap/>
            <w:vAlign w:val="center"/>
            <w:hideMark/>
          </w:tcPr>
          <w:p w14:paraId="7DC03CFE" w14:textId="77777777" w:rsidR="005A1475" w:rsidRPr="00DD4419" w:rsidRDefault="005A1475" w:rsidP="005A1475">
            <w:pPr>
              <w:pBdr>
                <w:top w:val="nil"/>
                <w:left w:val="nil"/>
                <w:bottom w:val="nil"/>
                <w:right w:val="nil"/>
                <w:between w:val="nil"/>
              </w:pBdr>
              <w:ind w:leftChars="0" w:left="0" w:firstLineChars="0" w:firstLine="0"/>
              <w:rPr>
                <w:rFonts w:eastAsia="Times New Roman"/>
                <w:b/>
                <w:bCs/>
                <w:color w:val="000000"/>
                <w:sz w:val="20"/>
                <w:szCs w:val="20"/>
              </w:rPr>
            </w:pPr>
            <w:r w:rsidRPr="00DD4419">
              <w:rPr>
                <w:rFonts w:eastAsia="Times New Roman"/>
                <w:b/>
                <w:bCs/>
                <w:color w:val="000000"/>
                <w:sz w:val="20"/>
                <w:szCs w:val="20"/>
              </w:rPr>
              <w:t>Post-Test</w:t>
            </w:r>
          </w:p>
        </w:tc>
      </w:tr>
      <w:tr w:rsidR="005A1475" w:rsidRPr="00DD4419" w14:paraId="736849F5" w14:textId="77777777" w:rsidTr="008B0749">
        <w:trPr>
          <w:trHeight w:val="227"/>
          <w:jc w:val="center"/>
        </w:trPr>
        <w:tc>
          <w:tcPr>
            <w:tcW w:w="562" w:type="dxa"/>
            <w:tcBorders>
              <w:top w:val="single" w:sz="4" w:space="0" w:color="000000"/>
              <w:bottom w:val="single" w:sz="4" w:space="0" w:color="000000"/>
            </w:tcBorders>
            <w:shd w:val="clear" w:color="auto" w:fill="B8CCE4"/>
            <w:noWrap/>
            <w:vAlign w:val="center"/>
            <w:hideMark/>
          </w:tcPr>
          <w:p w14:paraId="7B9219B9" w14:textId="77777777" w:rsidR="005A1475" w:rsidRPr="00DD4419" w:rsidRDefault="005A1475" w:rsidP="00C6175C">
            <w:pPr>
              <w:pBdr>
                <w:top w:val="nil"/>
                <w:left w:val="nil"/>
                <w:bottom w:val="nil"/>
                <w:right w:val="nil"/>
                <w:between w:val="nil"/>
              </w:pBdr>
              <w:ind w:leftChars="0" w:left="0" w:firstLineChars="0" w:firstLine="0"/>
              <w:rPr>
                <w:rFonts w:eastAsia="Times New Roman"/>
                <w:b/>
                <w:bCs/>
                <w:color w:val="000000"/>
                <w:sz w:val="20"/>
                <w:szCs w:val="20"/>
              </w:rPr>
            </w:pPr>
            <w:r w:rsidRPr="00DD4419">
              <w:rPr>
                <w:rFonts w:eastAsia="Times New Roman"/>
                <w:b/>
                <w:bCs/>
                <w:color w:val="000000"/>
                <w:sz w:val="20"/>
                <w:szCs w:val="20"/>
              </w:rPr>
              <w:t>No</w:t>
            </w:r>
          </w:p>
        </w:tc>
        <w:tc>
          <w:tcPr>
            <w:tcW w:w="1647" w:type="dxa"/>
            <w:tcBorders>
              <w:top w:val="single" w:sz="4" w:space="0" w:color="000000"/>
              <w:bottom w:val="single" w:sz="4" w:space="0" w:color="000000"/>
            </w:tcBorders>
            <w:shd w:val="clear" w:color="auto" w:fill="B8CCE4"/>
            <w:noWrap/>
            <w:vAlign w:val="center"/>
            <w:hideMark/>
          </w:tcPr>
          <w:p w14:paraId="2EF1BB27" w14:textId="77777777" w:rsidR="005A1475" w:rsidRPr="00DD4419" w:rsidRDefault="005A1475" w:rsidP="00C6175C">
            <w:pPr>
              <w:pBdr>
                <w:top w:val="nil"/>
                <w:left w:val="nil"/>
                <w:bottom w:val="nil"/>
                <w:right w:val="nil"/>
                <w:between w:val="nil"/>
              </w:pBdr>
              <w:ind w:leftChars="0" w:left="0" w:firstLineChars="0" w:firstLine="0"/>
              <w:rPr>
                <w:rFonts w:eastAsia="Times New Roman"/>
                <w:b/>
                <w:bCs/>
                <w:color w:val="000000"/>
                <w:sz w:val="20"/>
                <w:szCs w:val="20"/>
              </w:rPr>
            </w:pPr>
            <w:r w:rsidRPr="00DD4419">
              <w:rPr>
                <w:rFonts w:eastAsia="Times New Roman"/>
                <w:b/>
                <w:bCs/>
                <w:color w:val="000000"/>
                <w:sz w:val="20"/>
                <w:szCs w:val="20"/>
              </w:rPr>
              <w:t>Percentage (%)</w:t>
            </w:r>
          </w:p>
        </w:tc>
        <w:tc>
          <w:tcPr>
            <w:tcW w:w="621" w:type="dxa"/>
            <w:tcBorders>
              <w:top w:val="single" w:sz="4" w:space="0" w:color="000000"/>
              <w:bottom w:val="single" w:sz="4" w:space="0" w:color="000000"/>
            </w:tcBorders>
            <w:shd w:val="clear" w:color="auto" w:fill="B8CCE4"/>
            <w:vAlign w:val="center"/>
          </w:tcPr>
          <w:p w14:paraId="0AA5A535" w14:textId="77777777" w:rsidR="005A1475" w:rsidRPr="00DD4419" w:rsidRDefault="005A1475" w:rsidP="00C6175C">
            <w:pPr>
              <w:pBdr>
                <w:top w:val="nil"/>
                <w:left w:val="nil"/>
                <w:bottom w:val="nil"/>
                <w:right w:val="nil"/>
                <w:between w:val="nil"/>
              </w:pBdr>
              <w:ind w:leftChars="0" w:left="0" w:firstLineChars="0" w:firstLine="0"/>
              <w:rPr>
                <w:rFonts w:eastAsia="Times New Roman"/>
                <w:b/>
                <w:bCs/>
                <w:color w:val="000000"/>
                <w:sz w:val="20"/>
                <w:szCs w:val="20"/>
              </w:rPr>
            </w:pPr>
            <w:r w:rsidRPr="00DD4419">
              <w:rPr>
                <w:rFonts w:eastAsia="Times New Roman"/>
                <w:b/>
                <w:bCs/>
                <w:color w:val="000000"/>
                <w:sz w:val="20"/>
                <w:szCs w:val="20"/>
              </w:rPr>
              <w:t>No</w:t>
            </w:r>
          </w:p>
        </w:tc>
        <w:tc>
          <w:tcPr>
            <w:tcW w:w="1701" w:type="dxa"/>
            <w:tcBorders>
              <w:top w:val="single" w:sz="4" w:space="0" w:color="000000"/>
              <w:bottom w:val="single" w:sz="4" w:space="0" w:color="000000"/>
            </w:tcBorders>
            <w:shd w:val="clear" w:color="auto" w:fill="B8CCE4"/>
            <w:vAlign w:val="center"/>
          </w:tcPr>
          <w:p w14:paraId="0FBF9429" w14:textId="77777777" w:rsidR="005A1475" w:rsidRPr="00DD4419" w:rsidRDefault="005A1475" w:rsidP="00C6175C">
            <w:pPr>
              <w:pBdr>
                <w:top w:val="nil"/>
                <w:left w:val="nil"/>
                <w:bottom w:val="nil"/>
                <w:right w:val="nil"/>
                <w:between w:val="nil"/>
              </w:pBdr>
              <w:ind w:leftChars="0" w:left="0" w:firstLineChars="0" w:firstLine="0"/>
              <w:rPr>
                <w:rFonts w:eastAsia="Times New Roman"/>
                <w:b/>
                <w:bCs/>
                <w:color w:val="000000"/>
                <w:sz w:val="20"/>
                <w:szCs w:val="20"/>
              </w:rPr>
            </w:pPr>
            <w:r w:rsidRPr="00DD4419">
              <w:rPr>
                <w:rFonts w:eastAsia="Times New Roman"/>
                <w:b/>
                <w:bCs/>
                <w:color w:val="000000"/>
                <w:sz w:val="20"/>
                <w:szCs w:val="20"/>
              </w:rPr>
              <w:t>Percentage (%)</w:t>
            </w:r>
          </w:p>
        </w:tc>
        <w:tc>
          <w:tcPr>
            <w:tcW w:w="601" w:type="dxa"/>
            <w:tcBorders>
              <w:top w:val="single" w:sz="4" w:space="0" w:color="000000"/>
              <w:bottom w:val="single" w:sz="4" w:space="0" w:color="000000"/>
            </w:tcBorders>
            <w:shd w:val="clear" w:color="auto" w:fill="B8CCE4"/>
            <w:noWrap/>
            <w:vAlign w:val="center"/>
            <w:hideMark/>
          </w:tcPr>
          <w:p w14:paraId="43A39B52" w14:textId="77777777" w:rsidR="005A1475" w:rsidRPr="00DD4419" w:rsidRDefault="005A1475" w:rsidP="00C6175C">
            <w:pPr>
              <w:pBdr>
                <w:top w:val="nil"/>
                <w:left w:val="nil"/>
                <w:bottom w:val="nil"/>
                <w:right w:val="nil"/>
                <w:between w:val="nil"/>
              </w:pBdr>
              <w:ind w:leftChars="0" w:left="0" w:firstLineChars="0" w:firstLine="0"/>
              <w:rPr>
                <w:rFonts w:eastAsia="Times New Roman"/>
                <w:b/>
                <w:bCs/>
                <w:color w:val="000000"/>
                <w:sz w:val="20"/>
                <w:szCs w:val="20"/>
              </w:rPr>
            </w:pPr>
            <w:r w:rsidRPr="00DD4419">
              <w:rPr>
                <w:rFonts w:eastAsia="Times New Roman"/>
                <w:b/>
                <w:bCs/>
                <w:color w:val="000000"/>
                <w:sz w:val="20"/>
                <w:szCs w:val="20"/>
              </w:rPr>
              <w:t>No</w:t>
            </w:r>
          </w:p>
        </w:tc>
        <w:tc>
          <w:tcPr>
            <w:tcW w:w="1651" w:type="dxa"/>
            <w:tcBorders>
              <w:top w:val="single" w:sz="4" w:space="0" w:color="000000"/>
              <w:bottom w:val="single" w:sz="4" w:space="0" w:color="000000"/>
            </w:tcBorders>
            <w:shd w:val="clear" w:color="auto" w:fill="B8CCE4"/>
            <w:noWrap/>
            <w:vAlign w:val="center"/>
            <w:hideMark/>
          </w:tcPr>
          <w:p w14:paraId="768A7BFE" w14:textId="77777777" w:rsidR="005A1475" w:rsidRPr="00DD4419" w:rsidRDefault="005A1475" w:rsidP="00C6175C">
            <w:pPr>
              <w:pBdr>
                <w:top w:val="nil"/>
                <w:left w:val="nil"/>
                <w:bottom w:val="nil"/>
                <w:right w:val="nil"/>
                <w:between w:val="nil"/>
              </w:pBdr>
              <w:ind w:leftChars="0" w:left="0" w:firstLineChars="0" w:firstLine="0"/>
              <w:rPr>
                <w:rFonts w:eastAsia="Times New Roman"/>
                <w:b/>
                <w:bCs/>
                <w:color w:val="000000"/>
                <w:sz w:val="20"/>
                <w:szCs w:val="20"/>
              </w:rPr>
            </w:pPr>
            <w:r w:rsidRPr="00DD4419">
              <w:rPr>
                <w:rFonts w:eastAsia="Times New Roman"/>
                <w:b/>
                <w:bCs/>
                <w:color w:val="000000"/>
                <w:sz w:val="20"/>
                <w:szCs w:val="20"/>
              </w:rPr>
              <w:t>Percentage (%)</w:t>
            </w:r>
          </w:p>
        </w:tc>
        <w:tc>
          <w:tcPr>
            <w:tcW w:w="679" w:type="dxa"/>
            <w:tcBorders>
              <w:top w:val="single" w:sz="4" w:space="0" w:color="000000"/>
              <w:bottom w:val="single" w:sz="4" w:space="0" w:color="000000"/>
            </w:tcBorders>
            <w:shd w:val="clear" w:color="auto" w:fill="B8CCE4"/>
            <w:vAlign w:val="center"/>
          </w:tcPr>
          <w:p w14:paraId="39C3ABFF" w14:textId="77777777" w:rsidR="005A1475" w:rsidRPr="00DD4419" w:rsidRDefault="005A1475" w:rsidP="00C6175C">
            <w:pPr>
              <w:pBdr>
                <w:top w:val="nil"/>
                <w:left w:val="nil"/>
                <w:bottom w:val="nil"/>
                <w:right w:val="nil"/>
                <w:between w:val="nil"/>
              </w:pBdr>
              <w:ind w:leftChars="0" w:left="0" w:firstLineChars="0" w:firstLine="0"/>
              <w:rPr>
                <w:rFonts w:eastAsia="Times New Roman"/>
                <w:b/>
                <w:bCs/>
                <w:color w:val="000000"/>
                <w:sz w:val="20"/>
                <w:szCs w:val="20"/>
              </w:rPr>
            </w:pPr>
            <w:r w:rsidRPr="00DD4419">
              <w:rPr>
                <w:rFonts w:eastAsia="Times New Roman"/>
                <w:b/>
                <w:bCs/>
                <w:color w:val="000000"/>
                <w:sz w:val="20"/>
                <w:szCs w:val="20"/>
              </w:rPr>
              <w:t>No</w:t>
            </w:r>
          </w:p>
        </w:tc>
        <w:tc>
          <w:tcPr>
            <w:tcW w:w="1747" w:type="dxa"/>
            <w:tcBorders>
              <w:top w:val="single" w:sz="4" w:space="0" w:color="000000"/>
              <w:bottom w:val="single" w:sz="4" w:space="0" w:color="000000"/>
            </w:tcBorders>
            <w:shd w:val="clear" w:color="auto" w:fill="B8CCE4"/>
            <w:vAlign w:val="center"/>
          </w:tcPr>
          <w:p w14:paraId="22AA1EB2" w14:textId="77777777" w:rsidR="005A1475" w:rsidRPr="00DD4419" w:rsidRDefault="005A1475" w:rsidP="00C6175C">
            <w:pPr>
              <w:pBdr>
                <w:top w:val="nil"/>
                <w:left w:val="nil"/>
                <w:bottom w:val="nil"/>
                <w:right w:val="nil"/>
                <w:between w:val="nil"/>
              </w:pBdr>
              <w:ind w:leftChars="0" w:left="0" w:firstLineChars="0" w:firstLine="0"/>
              <w:rPr>
                <w:rFonts w:eastAsia="Times New Roman"/>
                <w:b/>
                <w:bCs/>
                <w:color w:val="000000"/>
                <w:sz w:val="20"/>
                <w:szCs w:val="20"/>
              </w:rPr>
            </w:pPr>
            <w:r w:rsidRPr="00DD4419">
              <w:rPr>
                <w:rFonts w:eastAsia="Times New Roman"/>
                <w:b/>
                <w:bCs/>
                <w:color w:val="000000"/>
                <w:sz w:val="20"/>
                <w:szCs w:val="20"/>
              </w:rPr>
              <w:t>Percentage (%)</w:t>
            </w:r>
          </w:p>
        </w:tc>
      </w:tr>
      <w:tr w:rsidR="005A1475" w:rsidRPr="00DD4419" w14:paraId="1F1BF39A" w14:textId="77777777" w:rsidTr="008B0749">
        <w:trPr>
          <w:trHeight w:val="227"/>
          <w:jc w:val="center"/>
        </w:trPr>
        <w:tc>
          <w:tcPr>
            <w:tcW w:w="562" w:type="dxa"/>
            <w:tcBorders>
              <w:top w:val="single" w:sz="4" w:space="0" w:color="000000"/>
            </w:tcBorders>
            <w:noWrap/>
            <w:hideMark/>
          </w:tcPr>
          <w:p w14:paraId="02EA3E29"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1</w:t>
            </w:r>
          </w:p>
        </w:tc>
        <w:tc>
          <w:tcPr>
            <w:tcW w:w="1647" w:type="dxa"/>
            <w:tcBorders>
              <w:top w:val="single" w:sz="4" w:space="0" w:color="000000"/>
            </w:tcBorders>
            <w:noWrap/>
            <w:hideMark/>
          </w:tcPr>
          <w:p w14:paraId="6F5F4BA3"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58.3</w:t>
            </w:r>
          </w:p>
        </w:tc>
        <w:tc>
          <w:tcPr>
            <w:tcW w:w="621" w:type="dxa"/>
            <w:tcBorders>
              <w:top w:val="single" w:sz="4" w:space="0" w:color="000000"/>
            </w:tcBorders>
          </w:tcPr>
          <w:p w14:paraId="35E59485"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6</w:t>
            </w:r>
          </w:p>
        </w:tc>
        <w:tc>
          <w:tcPr>
            <w:tcW w:w="1701" w:type="dxa"/>
            <w:tcBorders>
              <w:top w:val="single" w:sz="4" w:space="0" w:color="000000"/>
            </w:tcBorders>
          </w:tcPr>
          <w:p w14:paraId="437F76E0"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37.5</w:t>
            </w:r>
          </w:p>
        </w:tc>
        <w:tc>
          <w:tcPr>
            <w:tcW w:w="601" w:type="dxa"/>
            <w:tcBorders>
              <w:top w:val="single" w:sz="4" w:space="0" w:color="000000"/>
            </w:tcBorders>
            <w:noWrap/>
            <w:hideMark/>
          </w:tcPr>
          <w:p w14:paraId="0C0050EF"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1</w:t>
            </w:r>
          </w:p>
        </w:tc>
        <w:tc>
          <w:tcPr>
            <w:tcW w:w="1651" w:type="dxa"/>
            <w:tcBorders>
              <w:top w:val="single" w:sz="4" w:space="0" w:color="000000"/>
            </w:tcBorders>
            <w:noWrap/>
            <w:hideMark/>
          </w:tcPr>
          <w:p w14:paraId="032DA756"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70.8</w:t>
            </w:r>
          </w:p>
        </w:tc>
        <w:tc>
          <w:tcPr>
            <w:tcW w:w="679" w:type="dxa"/>
            <w:tcBorders>
              <w:top w:val="single" w:sz="4" w:space="0" w:color="000000"/>
            </w:tcBorders>
          </w:tcPr>
          <w:p w14:paraId="09793ECD"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6</w:t>
            </w:r>
          </w:p>
        </w:tc>
        <w:tc>
          <w:tcPr>
            <w:tcW w:w="1747" w:type="dxa"/>
            <w:tcBorders>
              <w:top w:val="single" w:sz="4" w:space="0" w:color="000000"/>
            </w:tcBorders>
          </w:tcPr>
          <w:p w14:paraId="0B6AE691"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70.8</w:t>
            </w:r>
          </w:p>
        </w:tc>
      </w:tr>
      <w:tr w:rsidR="005A1475" w:rsidRPr="00DD4419" w14:paraId="07FEDD5D" w14:textId="77777777" w:rsidTr="008B0749">
        <w:trPr>
          <w:trHeight w:val="227"/>
          <w:jc w:val="center"/>
        </w:trPr>
        <w:tc>
          <w:tcPr>
            <w:tcW w:w="562" w:type="dxa"/>
            <w:noWrap/>
            <w:hideMark/>
          </w:tcPr>
          <w:p w14:paraId="0E5D289A"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2</w:t>
            </w:r>
          </w:p>
        </w:tc>
        <w:tc>
          <w:tcPr>
            <w:tcW w:w="1647" w:type="dxa"/>
            <w:noWrap/>
            <w:hideMark/>
          </w:tcPr>
          <w:p w14:paraId="26EB5DBC"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12.5</w:t>
            </w:r>
          </w:p>
        </w:tc>
        <w:tc>
          <w:tcPr>
            <w:tcW w:w="621" w:type="dxa"/>
          </w:tcPr>
          <w:p w14:paraId="2E77BB35"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7</w:t>
            </w:r>
          </w:p>
        </w:tc>
        <w:tc>
          <w:tcPr>
            <w:tcW w:w="1701" w:type="dxa"/>
          </w:tcPr>
          <w:p w14:paraId="4255A5CA"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41.7</w:t>
            </w:r>
          </w:p>
        </w:tc>
        <w:tc>
          <w:tcPr>
            <w:tcW w:w="601" w:type="dxa"/>
            <w:noWrap/>
            <w:hideMark/>
          </w:tcPr>
          <w:p w14:paraId="6AC5FF70"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2</w:t>
            </w:r>
          </w:p>
        </w:tc>
        <w:tc>
          <w:tcPr>
            <w:tcW w:w="1651" w:type="dxa"/>
            <w:noWrap/>
            <w:hideMark/>
          </w:tcPr>
          <w:p w14:paraId="48E54959"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25.0</w:t>
            </w:r>
          </w:p>
        </w:tc>
        <w:tc>
          <w:tcPr>
            <w:tcW w:w="679" w:type="dxa"/>
          </w:tcPr>
          <w:p w14:paraId="1F3BB745"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7</w:t>
            </w:r>
          </w:p>
        </w:tc>
        <w:tc>
          <w:tcPr>
            <w:tcW w:w="1747" w:type="dxa"/>
          </w:tcPr>
          <w:p w14:paraId="50F2A709"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75.0</w:t>
            </w:r>
          </w:p>
        </w:tc>
      </w:tr>
      <w:tr w:rsidR="005A1475" w:rsidRPr="00DD4419" w14:paraId="5F152B55" w14:textId="77777777" w:rsidTr="008B0749">
        <w:trPr>
          <w:trHeight w:val="227"/>
          <w:jc w:val="center"/>
        </w:trPr>
        <w:tc>
          <w:tcPr>
            <w:tcW w:w="562" w:type="dxa"/>
            <w:noWrap/>
            <w:hideMark/>
          </w:tcPr>
          <w:p w14:paraId="577EEB23"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3</w:t>
            </w:r>
          </w:p>
        </w:tc>
        <w:tc>
          <w:tcPr>
            <w:tcW w:w="1647" w:type="dxa"/>
            <w:noWrap/>
            <w:hideMark/>
          </w:tcPr>
          <w:p w14:paraId="3B0F79F4"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8.3</w:t>
            </w:r>
          </w:p>
        </w:tc>
        <w:tc>
          <w:tcPr>
            <w:tcW w:w="621" w:type="dxa"/>
          </w:tcPr>
          <w:p w14:paraId="5BC6501E"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8</w:t>
            </w:r>
          </w:p>
        </w:tc>
        <w:tc>
          <w:tcPr>
            <w:tcW w:w="1701" w:type="dxa"/>
          </w:tcPr>
          <w:p w14:paraId="61FC7DDE"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25.0</w:t>
            </w:r>
          </w:p>
        </w:tc>
        <w:tc>
          <w:tcPr>
            <w:tcW w:w="601" w:type="dxa"/>
            <w:noWrap/>
            <w:hideMark/>
          </w:tcPr>
          <w:p w14:paraId="2E7587DD"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3</w:t>
            </w:r>
          </w:p>
        </w:tc>
        <w:tc>
          <w:tcPr>
            <w:tcW w:w="1651" w:type="dxa"/>
            <w:noWrap/>
            <w:hideMark/>
          </w:tcPr>
          <w:p w14:paraId="6DE9F76F"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12.5</w:t>
            </w:r>
          </w:p>
        </w:tc>
        <w:tc>
          <w:tcPr>
            <w:tcW w:w="679" w:type="dxa"/>
          </w:tcPr>
          <w:p w14:paraId="43C64879"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8</w:t>
            </w:r>
          </w:p>
        </w:tc>
        <w:tc>
          <w:tcPr>
            <w:tcW w:w="1747" w:type="dxa"/>
          </w:tcPr>
          <w:p w14:paraId="28D71A35"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58.3</w:t>
            </w:r>
          </w:p>
        </w:tc>
      </w:tr>
      <w:tr w:rsidR="005A1475" w:rsidRPr="00DD4419" w14:paraId="4F4F1CB9" w14:textId="77777777" w:rsidTr="008B0749">
        <w:trPr>
          <w:trHeight w:val="227"/>
          <w:jc w:val="center"/>
        </w:trPr>
        <w:tc>
          <w:tcPr>
            <w:tcW w:w="562" w:type="dxa"/>
            <w:noWrap/>
            <w:hideMark/>
          </w:tcPr>
          <w:p w14:paraId="4A2C520A"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4</w:t>
            </w:r>
          </w:p>
        </w:tc>
        <w:tc>
          <w:tcPr>
            <w:tcW w:w="1647" w:type="dxa"/>
            <w:noWrap/>
            <w:hideMark/>
          </w:tcPr>
          <w:p w14:paraId="215434A2"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62.5</w:t>
            </w:r>
          </w:p>
        </w:tc>
        <w:tc>
          <w:tcPr>
            <w:tcW w:w="621" w:type="dxa"/>
          </w:tcPr>
          <w:p w14:paraId="3673ED04"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9</w:t>
            </w:r>
          </w:p>
        </w:tc>
        <w:tc>
          <w:tcPr>
            <w:tcW w:w="1701" w:type="dxa"/>
          </w:tcPr>
          <w:p w14:paraId="185874D8"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83.3</w:t>
            </w:r>
          </w:p>
        </w:tc>
        <w:tc>
          <w:tcPr>
            <w:tcW w:w="601" w:type="dxa"/>
            <w:noWrap/>
            <w:hideMark/>
          </w:tcPr>
          <w:p w14:paraId="14873366"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4</w:t>
            </w:r>
          </w:p>
        </w:tc>
        <w:tc>
          <w:tcPr>
            <w:tcW w:w="1651" w:type="dxa"/>
            <w:noWrap/>
            <w:hideMark/>
          </w:tcPr>
          <w:p w14:paraId="21CB9AFC"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75.0</w:t>
            </w:r>
          </w:p>
        </w:tc>
        <w:tc>
          <w:tcPr>
            <w:tcW w:w="679" w:type="dxa"/>
          </w:tcPr>
          <w:p w14:paraId="1B05819A"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9</w:t>
            </w:r>
          </w:p>
        </w:tc>
        <w:tc>
          <w:tcPr>
            <w:tcW w:w="1747" w:type="dxa"/>
          </w:tcPr>
          <w:p w14:paraId="3D49B26F"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87.5</w:t>
            </w:r>
          </w:p>
        </w:tc>
      </w:tr>
      <w:tr w:rsidR="005A1475" w:rsidRPr="00DD4419" w14:paraId="5D920306" w14:textId="77777777" w:rsidTr="008B0749">
        <w:trPr>
          <w:trHeight w:val="227"/>
          <w:jc w:val="center"/>
        </w:trPr>
        <w:tc>
          <w:tcPr>
            <w:tcW w:w="562" w:type="dxa"/>
            <w:tcBorders>
              <w:bottom w:val="single" w:sz="4" w:space="0" w:color="000000"/>
            </w:tcBorders>
            <w:noWrap/>
            <w:hideMark/>
          </w:tcPr>
          <w:p w14:paraId="290DBB3A"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5</w:t>
            </w:r>
          </w:p>
        </w:tc>
        <w:tc>
          <w:tcPr>
            <w:tcW w:w="1647" w:type="dxa"/>
            <w:tcBorders>
              <w:bottom w:val="single" w:sz="4" w:space="0" w:color="000000"/>
            </w:tcBorders>
            <w:noWrap/>
            <w:hideMark/>
          </w:tcPr>
          <w:p w14:paraId="0ED467A1"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75.0</w:t>
            </w:r>
          </w:p>
        </w:tc>
        <w:tc>
          <w:tcPr>
            <w:tcW w:w="621" w:type="dxa"/>
            <w:tcBorders>
              <w:bottom w:val="single" w:sz="4" w:space="0" w:color="000000"/>
            </w:tcBorders>
          </w:tcPr>
          <w:p w14:paraId="059850E0"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10</w:t>
            </w:r>
          </w:p>
        </w:tc>
        <w:tc>
          <w:tcPr>
            <w:tcW w:w="1701" w:type="dxa"/>
            <w:tcBorders>
              <w:bottom w:val="single" w:sz="4" w:space="0" w:color="000000"/>
            </w:tcBorders>
          </w:tcPr>
          <w:p w14:paraId="3F635C7E"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45.8</w:t>
            </w:r>
          </w:p>
        </w:tc>
        <w:tc>
          <w:tcPr>
            <w:tcW w:w="601" w:type="dxa"/>
            <w:tcBorders>
              <w:bottom w:val="single" w:sz="4" w:space="0" w:color="000000"/>
            </w:tcBorders>
            <w:noWrap/>
            <w:hideMark/>
          </w:tcPr>
          <w:p w14:paraId="61E033AD"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5</w:t>
            </w:r>
          </w:p>
        </w:tc>
        <w:tc>
          <w:tcPr>
            <w:tcW w:w="1651" w:type="dxa"/>
            <w:tcBorders>
              <w:bottom w:val="single" w:sz="4" w:space="0" w:color="000000"/>
            </w:tcBorders>
            <w:noWrap/>
            <w:hideMark/>
          </w:tcPr>
          <w:p w14:paraId="712B4EE2"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87.5</w:t>
            </w:r>
          </w:p>
        </w:tc>
        <w:tc>
          <w:tcPr>
            <w:tcW w:w="679" w:type="dxa"/>
            <w:tcBorders>
              <w:bottom w:val="single" w:sz="4" w:space="0" w:color="000000"/>
            </w:tcBorders>
          </w:tcPr>
          <w:p w14:paraId="257E288B"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10</w:t>
            </w:r>
          </w:p>
        </w:tc>
        <w:tc>
          <w:tcPr>
            <w:tcW w:w="1747" w:type="dxa"/>
            <w:tcBorders>
              <w:bottom w:val="single" w:sz="4" w:space="0" w:color="000000"/>
            </w:tcBorders>
          </w:tcPr>
          <w:p w14:paraId="73E61A75" w14:textId="77777777" w:rsidR="005A1475" w:rsidRPr="00DD4419" w:rsidRDefault="005A1475" w:rsidP="00C6175C">
            <w:pPr>
              <w:pBdr>
                <w:top w:val="nil"/>
                <w:left w:val="nil"/>
                <w:bottom w:val="nil"/>
                <w:right w:val="nil"/>
                <w:between w:val="nil"/>
              </w:pBdr>
              <w:ind w:leftChars="0" w:left="0" w:firstLineChars="0" w:firstLine="0"/>
              <w:rPr>
                <w:rFonts w:eastAsia="Times New Roman"/>
                <w:color w:val="000000"/>
                <w:sz w:val="20"/>
                <w:szCs w:val="20"/>
              </w:rPr>
            </w:pPr>
            <w:r w:rsidRPr="00DD4419">
              <w:rPr>
                <w:rFonts w:eastAsia="Times New Roman"/>
                <w:color w:val="000000"/>
                <w:sz w:val="20"/>
                <w:szCs w:val="20"/>
              </w:rPr>
              <w:t>33.3</w:t>
            </w:r>
          </w:p>
        </w:tc>
      </w:tr>
    </w:tbl>
    <w:p w14:paraId="458AD538" w14:textId="10FBF167" w:rsidR="005A1475" w:rsidRDefault="005A1475" w:rsidP="000F61A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49361E96" w14:textId="050AF793" w:rsidR="00C6175C" w:rsidRPr="00DD4419" w:rsidRDefault="00C6175C" w:rsidP="00C6175C">
      <w:pPr>
        <w:pBdr>
          <w:top w:val="nil"/>
          <w:left w:val="nil"/>
          <w:bottom w:val="nil"/>
          <w:right w:val="nil"/>
          <w:between w:val="nil"/>
        </w:pBdr>
        <w:spacing w:after="0"/>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DD4419">
        <w:rPr>
          <w:rFonts w:ascii="Times New Roman" w:eastAsia="Times New Roman" w:hAnsi="Times New Roman" w:cs="Times New Roman"/>
          <w:color w:val="000000"/>
          <w:sz w:val="24"/>
          <w:szCs w:val="24"/>
        </w:rPr>
        <w:t xml:space="preserve">In our FOSS-GIS training, the participants able to get a rapid improvement in reading-matching the graphs of map descriptions and legends contained in item number 6. There was also an increase in item number 7 and 8, is presented the concept of overlay analysis. This concept was found in geoprocessing materials, when participants formulated various parameter maps for case studies using FOSS-GIS software. Besides the significant improvement, we found three items that received the lowest correct percentages in item number 2 and 3. The items observe about the knowledge on the representation of real-world object using spatial element such as points, lines, and areas. Basically, the participants were able to distinguish three types but the items are made complicated and varied so that participants find it difficult to choose the correct answers. Spatial knowledge must be accompanied by providing real world to make it more memorable </w:t>
      </w:r>
      <w:r w:rsidRPr="00C6175C">
        <w:rPr>
          <w:rFonts w:ascii="Times New Roman" w:eastAsia="Times New Roman" w:hAnsi="Times New Roman" w:cs="Times New Roman"/>
          <w:sz w:val="24"/>
          <w:szCs w:val="24"/>
        </w:rPr>
        <w:fldChar w:fldCharType="begin"/>
      </w:r>
      <w:r w:rsidRPr="00C6175C">
        <w:rPr>
          <w:rFonts w:ascii="Times New Roman" w:eastAsia="Times New Roman" w:hAnsi="Times New Roman" w:cs="Times New Roman"/>
          <w:sz w:val="24"/>
          <w:szCs w:val="24"/>
        </w:rPr>
        <w:instrText xml:space="preserve"> ADDIN ZOTERO_ITEM CSL_CITATION {"citationID":"vj5Wi1xh","properties":{"formattedCitation":"(Singh et al., 2016)","plainCitation":"(Singh et al., 2016)","noteIndex":0},"citationItems":[{"id":530,"uris":["http://zotero.org/users/local/eLG7HXo0/items/NBPA72D9"],"uri":["http://zotero.org/users/local/eLG7HXo0/items/NBPA72D9"],"itemData":{"id":530,"type":"article-journal","abstract":"Recent studies indicate that the number of students electing to study Geography in Malaysian upper secondary schools, and their level of achievement in the subject, has declined. The main factor appears to be a lack of motivation. Yet there has been little research into the impact of instructional methods on Geography students’ motivation and their learning outcomes. This study applies a concurrent triangulation mixed method model to determine the effect of GIS based teaching on underachieving students’ achievement and their motivation to learn Geography. The quantitative data were collected through a quasi-experimental design while the qualitative data were collected through students’ interviews. The treatment groups included 44 students and control group with 40 students. For the treatment group, a unit on the type and distribution of world vegetation was given with GIS-based lesson material. For the control group, the same subject matter was presented using the traditional teaching methods. The quantitative evaluation showed the mastery goal and achievement post-test mean score of experiment group student participants’ are significantly higher than control group student participants. The evaluations of student participants’ interviews are consistent with quantitative findings. The triangulation of the quantitative and qualitative data reveals that GIS-based teaching had a more positive effect as compared to traditional teaching methods in enhancing participants’ mastery goal learning motivation and achievement in the topics being taught in the classroom. Thus, it is possible to draw overall conclusion that GIS based teaching has positively impact the student participants’ achievement and motivation to learn Geography.","page":"119-134","source":"ResearchGate","title":"The effects of geography information system (GIS) based teaching on underachieving students’ mastery goal and achievement","volume":"15","author":[{"family":"Singh","given":"Soon Singh Bikar"},{"family":"Rathakrishnan","given":"Balan"},{"family":"Sharif","given":"S."},{"family":"Talin","given":"Rosy"},{"family":"Eboy","given":"Oliver"}],"issued":{"date-parts":[["2016"]]}}}],"schema":"https://github.com/citation-style-language/schema/raw/master/csl-citation.json"} </w:instrText>
      </w:r>
      <w:r w:rsidRPr="00C6175C">
        <w:rPr>
          <w:rFonts w:ascii="Times New Roman" w:eastAsia="Times New Roman" w:hAnsi="Times New Roman" w:cs="Times New Roman"/>
          <w:sz w:val="24"/>
          <w:szCs w:val="24"/>
        </w:rPr>
        <w:fldChar w:fldCharType="separate"/>
      </w:r>
      <w:r w:rsidRPr="00C6175C">
        <w:rPr>
          <w:rFonts w:ascii="Times New Roman" w:eastAsia="Times New Roman" w:hAnsi="Times New Roman" w:cs="Times New Roman"/>
          <w:sz w:val="24"/>
          <w:szCs w:val="24"/>
        </w:rPr>
        <w:t>(Singh et al., 2016)</w:t>
      </w:r>
      <w:r w:rsidRPr="00C6175C">
        <w:rPr>
          <w:rFonts w:ascii="Times New Roman" w:eastAsia="Times New Roman" w:hAnsi="Times New Roman" w:cs="Times New Roman"/>
          <w:sz w:val="24"/>
          <w:szCs w:val="24"/>
        </w:rPr>
        <w:fldChar w:fldCharType="end"/>
      </w:r>
      <w:r w:rsidRPr="00C6175C">
        <w:rPr>
          <w:rFonts w:ascii="Times New Roman" w:eastAsia="Times New Roman" w:hAnsi="Times New Roman" w:cs="Times New Roman"/>
          <w:sz w:val="24"/>
          <w:szCs w:val="24"/>
        </w:rPr>
        <w:t xml:space="preserve">. For item number 10, we found a decrease in score. The item contained the interpolation concept is considered abstract by the participants. Ideally they need to create contours from the available data manually (paper-based), also it requires the application of sufficient mathematical knowledge </w:t>
      </w:r>
      <w:r w:rsidRPr="00C6175C">
        <w:rPr>
          <w:rFonts w:ascii="Times New Roman" w:eastAsia="Times New Roman" w:hAnsi="Times New Roman" w:cs="Times New Roman"/>
          <w:sz w:val="24"/>
          <w:szCs w:val="24"/>
        </w:rPr>
        <w:fldChar w:fldCharType="begin"/>
      </w:r>
      <w:r w:rsidRPr="00C6175C">
        <w:rPr>
          <w:rFonts w:ascii="Times New Roman" w:eastAsia="Times New Roman" w:hAnsi="Times New Roman" w:cs="Times New Roman"/>
          <w:sz w:val="24"/>
          <w:szCs w:val="24"/>
        </w:rPr>
        <w:instrText xml:space="preserve"> ADDIN ZOTERO_ITEM CSL_CITATION {"citationID":"SiXZZ5bS","properties":{"formattedCitation":"(Christophe, 2012)","plainCitation":"(Christophe, 2012)","noteIndex":0},"citationItems":[{"id":540,"uris":["http://zotero.org/users/local/eLG7HXo0/items/WIPVX9X7"],"uri":["http://zotero.org/users/local/eLG7HXo0/items/WIPVX9X7"],"itemData":{"id":540,"type":"paper-conference","source":"ResearchGate","title":"Cartographic Styles between traditional and original (towards a cartographic style model)","author":[{"family":"Christophe","given":"Sidonie"}],"issued":{"date-parts":[["2012"]]}}}],"schema":"https://github.com/citation-style-language/schema/raw/master/csl-citation.json"} </w:instrText>
      </w:r>
      <w:r w:rsidRPr="00C6175C">
        <w:rPr>
          <w:rFonts w:ascii="Times New Roman" w:eastAsia="Times New Roman" w:hAnsi="Times New Roman" w:cs="Times New Roman"/>
          <w:sz w:val="24"/>
          <w:szCs w:val="24"/>
        </w:rPr>
        <w:fldChar w:fldCharType="separate"/>
      </w:r>
      <w:r w:rsidRPr="00C6175C">
        <w:rPr>
          <w:rFonts w:ascii="Times New Roman" w:eastAsia="Times New Roman" w:hAnsi="Times New Roman" w:cs="Times New Roman"/>
          <w:sz w:val="24"/>
          <w:szCs w:val="24"/>
        </w:rPr>
        <w:t>(Christophe, 2012)</w:t>
      </w:r>
      <w:r w:rsidRPr="00C6175C">
        <w:rPr>
          <w:rFonts w:ascii="Times New Roman" w:eastAsia="Times New Roman" w:hAnsi="Times New Roman" w:cs="Times New Roman"/>
          <w:sz w:val="24"/>
          <w:szCs w:val="24"/>
        </w:rPr>
        <w:fldChar w:fldCharType="end"/>
      </w:r>
      <w:r w:rsidRPr="00DD4419">
        <w:rPr>
          <w:rFonts w:ascii="Times New Roman" w:eastAsia="Times New Roman" w:hAnsi="Times New Roman" w:cs="Times New Roman"/>
          <w:color w:val="000000"/>
          <w:sz w:val="24"/>
          <w:szCs w:val="24"/>
        </w:rPr>
        <w:t>. After they understood these concepts, the trainer asked them to interpolate using GIS software.</w:t>
      </w:r>
    </w:p>
    <w:p w14:paraId="3C402CFF" w14:textId="172F1DF7" w:rsidR="00C6175C" w:rsidRPr="00DD4419" w:rsidRDefault="003B2217" w:rsidP="00C6175C">
      <w:pPr>
        <w:pBdr>
          <w:top w:val="nil"/>
          <w:left w:val="nil"/>
          <w:bottom w:val="nil"/>
          <w:right w:val="nil"/>
          <w:between w:val="nil"/>
        </w:pBdr>
        <w:spacing w:after="0"/>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sidR="00C6175C" w:rsidRPr="00DD4419">
        <w:rPr>
          <w:rFonts w:ascii="Times New Roman" w:eastAsia="Times New Roman" w:hAnsi="Times New Roman" w:cs="Times New Roman"/>
          <w:color w:val="000000"/>
          <w:sz w:val="24"/>
          <w:szCs w:val="24"/>
        </w:rPr>
        <w:t xml:space="preserve">The training was not only able to increase knowledge and geospatial thinking, but also proved to make participants able to improve their skills in making maps. On the second and third day, the participants paid attention to the trainer and practiced using QGIS. The learning materials are made systematically thus participants can easily understand and achieve learning objectives </w:t>
      </w:r>
      <w:r w:rsidR="00C6175C" w:rsidRPr="00DD4419">
        <w:rPr>
          <w:rFonts w:ascii="Times New Roman" w:eastAsia="Times New Roman" w:hAnsi="Times New Roman" w:cs="Times New Roman"/>
          <w:color w:val="000000"/>
          <w:sz w:val="24"/>
          <w:szCs w:val="24"/>
        </w:rPr>
        <w:fldChar w:fldCharType="begin"/>
      </w:r>
      <w:r w:rsidR="00C6175C" w:rsidRPr="00DD4419">
        <w:rPr>
          <w:rFonts w:ascii="Times New Roman" w:eastAsia="Times New Roman" w:hAnsi="Times New Roman" w:cs="Times New Roman"/>
          <w:color w:val="000000"/>
          <w:sz w:val="24"/>
          <w:szCs w:val="24"/>
        </w:rPr>
        <w:instrText xml:space="preserve"> ADDIN ZOTERO_ITEM CSL_CITATION {"citationID":"PV5hUxf5","properties":{"formattedCitation":"(Howarth &amp; Sinton, 2011)","plainCitation":"(Howarth &amp; Sinton, 2011)","noteIndex":0},"citationItems":[{"id":534,"uris":["http://zotero.org/users/local/eLG7HXo0/items/W9M4LSYJ"],"uri":["http://zotero.org/users/local/eLG7HXo0/items/W9M4LSYJ"],"itemData":{"id":534,"type":"article-journal","abstract":"In this paper, we sketch a general framework to help educators sequence problem-based GIS instruction. This framework weaves together: (1) problem based learning with GIS, (2) cognitive load theory in problem solving, (3) the structural view of spatial knowledge, where higher-level concepts are constructed in part from lower-level concepts, (4) how the form of representation used to solve problems influences the development of spatial thinking skills.","collection-title":"International Conference: Spatial Thinking and Geographic Information Sciences 2011","container-title":"Procedia - Social and Behavioral Sciences","DOI":"10.1016/j.sbspro.2011.07.042","ISSN":"1877-0428","journalAbbreviation":"Procedia - Social and Behavioral Sciences","language":"en","page":"253-259","source":"ScienceDirect","title":"Sequencing spatial concepts in problem-based GIS instruction","volume":"21","author":[{"family":"Howarth","given":"Jeffrey T."},{"family":"Sinton","given":"Diana"}],"issued":{"date-parts":[["2011"]]}}}],"schema":"https://github.com/citation-style-language/schema/raw/master/csl-citation.json"} </w:instrText>
      </w:r>
      <w:r w:rsidR="00C6175C" w:rsidRPr="00DD4419">
        <w:rPr>
          <w:rFonts w:ascii="Times New Roman" w:eastAsia="Times New Roman" w:hAnsi="Times New Roman" w:cs="Times New Roman"/>
          <w:color w:val="000000"/>
          <w:sz w:val="24"/>
          <w:szCs w:val="24"/>
        </w:rPr>
        <w:fldChar w:fldCharType="separate"/>
      </w:r>
      <w:r w:rsidR="00C6175C" w:rsidRPr="00DD4419">
        <w:rPr>
          <w:rFonts w:ascii="Times New Roman" w:eastAsia="Times New Roman" w:hAnsi="Times New Roman" w:cs="Times New Roman"/>
          <w:color w:val="000000"/>
          <w:sz w:val="24"/>
          <w:szCs w:val="24"/>
        </w:rPr>
        <w:t>(</w:t>
      </w:r>
      <w:r w:rsidR="00C6175C" w:rsidRPr="003B2217">
        <w:rPr>
          <w:rFonts w:ascii="Times New Roman" w:eastAsia="Times New Roman" w:hAnsi="Times New Roman" w:cs="Times New Roman"/>
          <w:sz w:val="24"/>
          <w:szCs w:val="24"/>
        </w:rPr>
        <w:t>Howarth &amp; Sinton, 2011</w:t>
      </w:r>
      <w:r w:rsidR="00C6175C" w:rsidRPr="00DD4419">
        <w:rPr>
          <w:rFonts w:ascii="Times New Roman" w:eastAsia="Times New Roman" w:hAnsi="Times New Roman" w:cs="Times New Roman"/>
          <w:color w:val="000000"/>
          <w:sz w:val="24"/>
          <w:szCs w:val="24"/>
        </w:rPr>
        <w:t>)</w:t>
      </w:r>
      <w:r w:rsidR="00C6175C" w:rsidRPr="00DD4419">
        <w:rPr>
          <w:rFonts w:ascii="Times New Roman" w:eastAsia="Times New Roman" w:hAnsi="Times New Roman" w:cs="Times New Roman"/>
          <w:color w:val="000000"/>
          <w:sz w:val="24"/>
          <w:szCs w:val="24"/>
        </w:rPr>
        <w:fldChar w:fldCharType="end"/>
      </w:r>
      <w:r w:rsidR="00C6175C" w:rsidRPr="00DD4419">
        <w:rPr>
          <w:rFonts w:ascii="Times New Roman" w:eastAsia="Times New Roman" w:hAnsi="Times New Roman" w:cs="Times New Roman"/>
          <w:color w:val="000000"/>
          <w:sz w:val="24"/>
          <w:szCs w:val="24"/>
        </w:rPr>
        <w:t>. During this training, participants gain several skills such as 1) how to obtain spatial data for free and legally; 2) use of basic features in QGIS; 3) georeferencing map and imagery; 4) creating of spatial data (point, line, polygon); 5) filling in attribute data and its integration; 6) geoprocessing of data; 7) making maps (</w:t>
      </w:r>
      <w:r w:rsidR="00C6175C" w:rsidRPr="003B2217">
        <w:rPr>
          <w:rFonts w:ascii="Times New Roman" w:eastAsia="Times New Roman" w:hAnsi="Times New Roman" w:cs="Times New Roman"/>
          <w:color w:val="000000"/>
          <w:sz w:val="24"/>
          <w:szCs w:val="24"/>
        </w:rPr>
        <w:t>Figure 2</w:t>
      </w:r>
      <w:r w:rsidR="00C6175C" w:rsidRPr="00DD4419">
        <w:rPr>
          <w:rFonts w:ascii="Times New Roman" w:eastAsia="Times New Roman" w:hAnsi="Times New Roman" w:cs="Times New Roman"/>
          <w:color w:val="000000"/>
          <w:sz w:val="24"/>
          <w:szCs w:val="24"/>
        </w:rPr>
        <w:t xml:space="preserve">). Besides that, we taught them how to determine the parameters for tsunami hazard analysis in </w:t>
      </w:r>
      <w:proofErr w:type="spellStart"/>
      <w:r w:rsidR="00C6175C" w:rsidRPr="00DD4419">
        <w:rPr>
          <w:rFonts w:ascii="Times New Roman" w:eastAsia="Times New Roman" w:hAnsi="Times New Roman" w:cs="Times New Roman"/>
          <w:color w:val="000000"/>
          <w:sz w:val="24"/>
          <w:szCs w:val="24"/>
        </w:rPr>
        <w:t>Pangandaran</w:t>
      </w:r>
      <w:proofErr w:type="spellEnd"/>
      <w:r w:rsidR="00C6175C" w:rsidRPr="00DD4419">
        <w:rPr>
          <w:rFonts w:ascii="Times New Roman" w:eastAsia="Times New Roman" w:hAnsi="Times New Roman" w:cs="Times New Roman"/>
          <w:color w:val="000000"/>
          <w:sz w:val="24"/>
          <w:szCs w:val="24"/>
        </w:rPr>
        <w:t xml:space="preserve"> Regency and the rules for giving the appropriate score and weight. This training also taught participants how to produce layout maps according to Indonesian standards.</w:t>
      </w:r>
    </w:p>
    <w:p w14:paraId="2C68BD62" w14:textId="13F8393A" w:rsidR="00C6175C" w:rsidRDefault="00C6175C" w:rsidP="000F61A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34B81C8B" w14:textId="77777777" w:rsidR="003B2217" w:rsidRPr="00DD4419" w:rsidRDefault="003B2217" w:rsidP="000F61A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7A22AF97" w14:textId="77777777" w:rsidR="000B25F9" w:rsidRPr="00DD4419" w:rsidRDefault="000B25F9" w:rsidP="000B25F9">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4"/>
          <w:szCs w:val="24"/>
        </w:rPr>
      </w:pPr>
      <w:r w:rsidRPr="00DD4419">
        <w:rPr>
          <w:rFonts w:ascii="Times New Roman" w:eastAsia="Times New Roman" w:hAnsi="Times New Roman" w:cs="Times New Roman"/>
          <w:noProof/>
          <w:position w:val="0"/>
          <w:sz w:val="24"/>
          <w:szCs w:val="24"/>
          <w:lang w:val="en-MY" w:eastAsia="en-MY"/>
        </w:rPr>
        <w:drawing>
          <wp:inline distT="0" distB="0" distL="0" distR="0" wp14:anchorId="07C2B4C2" wp14:editId="539D309F">
            <wp:extent cx="5897880" cy="490287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816" cy="4931914"/>
                    </a:xfrm>
                    <a:prstGeom prst="rect">
                      <a:avLst/>
                    </a:prstGeom>
                    <a:noFill/>
                  </pic:spPr>
                </pic:pic>
              </a:graphicData>
            </a:graphic>
          </wp:inline>
        </w:drawing>
      </w:r>
    </w:p>
    <w:p w14:paraId="7D251DE1" w14:textId="77777777" w:rsidR="003B2217" w:rsidRDefault="003B2217" w:rsidP="000B25F9">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20"/>
          <w:szCs w:val="20"/>
        </w:rPr>
      </w:pPr>
    </w:p>
    <w:p w14:paraId="1FB7236D" w14:textId="059D4322" w:rsidR="000B25F9" w:rsidRPr="00DD4419" w:rsidRDefault="000B25F9" w:rsidP="000B25F9">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
          <w:bCs/>
          <w:position w:val="0"/>
          <w:sz w:val="18"/>
          <w:szCs w:val="18"/>
        </w:rPr>
      </w:pPr>
      <w:r w:rsidRPr="00DD4419">
        <w:rPr>
          <w:rFonts w:ascii="Times New Roman" w:eastAsia="Times New Roman" w:hAnsi="Times New Roman" w:cs="Times New Roman"/>
          <w:b/>
          <w:bCs/>
          <w:position w:val="0"/>
          <w:sz w:val="20"/>
          <w:szCs w:val="20"/>
        </w:rPr>
        <w:t>Figure 2.</w:t>
      </w:r>
      <w:r w:rsidRPr="00DD4419">
        <w:rPr>
          <w:rFonts w:ascii="Times New Roman" w:eastAsia="Times New Roman" w:hAnsi="Times New Roman" w:cs="Times New Roman"/>
          <w:position w:val="0"/>
          <w:sz w:val="20"/>
          <w:szCs w:val="20"/>
        </w:rPr>
        <w:t xml:space="preserve"> Some examples of day 2 self-employed tasks (map digitizing).</w:t>
      </w:r>
    </w:p>
    <w:p w14:paraId="4FD6D1E8" w14:textId="77777777" w:rsidR="000B25F9" w:rsidRPr="00DD4419" w:rsidRDefault="000B25F9" w:rsidP="000B25F9">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4"/>
          <w:szCs w:val="24"/>
        </w:rPr>
      </w:pPr>
    </w:p>
    <w:p w14:paraId="17B0DFE0" w14:textId="695F7ED0" w:rsidR="003B2217" w:rsidRPr="003B2217" w:rsidRDefault="003B2217" w:rsidP="003B2217">
      <w:pPr>
        <w:pBdr>
          <w:top w:val="nil"/>
          <w:left w:val="nil"/>
          <w:bottom w:val="nil"/>
          <w:right w:val="nil"/>
          <w:between w:val="nil"/>
        </w:pBdr>
        <w:spacing w:after="0"/>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ab/>
      </w:r>
      <w:r w:rsidRPr="00DD4419">
        <w:rPr>
          <w:rFonts w:ascii="Times New Roman" w:eastAsia="Times New Roman" w:hAnsi="Times New Roman" w:cs="Times New Roman"/>
          <w:color w:val="000000"/>
          <w:sz w:val="24"/>
          <w:szCs w:val="24"/>
        </w:rPr>
        <w:t>The FOSS-GIS training has been proven to improve the participants' spatial habits, spatial knowledge, and spatial skills (</w:t>
      </w:r>
      <w:r w:rsidRPr="003B2217">
        <w:rPr>
          <w:rFonts w:ascii="Times New Roman" w:eastAsia="Times New Roman" w:hAnsi="Times New Roman" w:cs="Times New Roman"/>
          <w:color w:val="000000"/>
          <w:sz w:val="24"/>
          <w:szCs w:val="24"/>
        </w:rPr>
        <w:t>Figure 3</w:t>
      </w:r>
      <w:r w:rsidRPr="00DD4419">
        <w:rPr>
          <w:rFonts w:ascii="Times New Roman" w:eastAsia="Times New Roman" w:hAnsi="Times New Roman" w:cs="Times New Roman"/>
          <w:color w:val="000000"/>
          <w:sz w:val="24"/>
          <w:szCs w:val="24"/>
        </w:rPr>
        <w:t xml:space="preserve">). Based on Wilcoxon's Test, the spatial habits had a significant and positive increase with z-score of -2,945 and p-value of 0.003. Meanwhile, this online training had a positive impact in the spatial knowledge of participants as shown in </w:t>
      </w:r>
      <w:proofErr w:type="spellStart"/>
      <w:r w:rsidRPr="00DD4419">
        <w:rPr>
          <w:rFonts w:ascii="Times New Roman" w:eastAsia="Times New Roman" w:hAnsi="Times New Roman" w:cs="Times New Roman"/>
          <w:color w:val="000000"/>
          <w:sz w:val="24"/>
          <w:szCs w:val="24"/>
        </w:rPr>
        <w:t>r-value</w:t>
      </w:r>
      <w:proofErr w:type="spellEnd"/>
      <w:r w:rsidRPr="00DD4419">
        <w:rPr>
          <w:rFonts w:ascii="Times New Roman" w:eastAsia="Times New Roman" w:hAnsi="Times New Roman" w:cs="Times New Roman"/>
          <w:color w:val="000000"/>
          <w:sz w:val="24"/>
          <w:szCs w:val="24"/>
        </w:rPr>
        <w:t xml:space="preserve"> and p-value, 0.538 and 0.000 respectively (</w:t>
      </w:r>
      <w:r w:rsidRPr="003B2217">
        <w:rPr>
          <w:rFonts w:ascii="Times New Roman" w:eastAsia="Times New Roman" w:hAnsi="Times New Roman" w:cs="Times New Roman"/>
          <w:color w:val="000000"/>
          <w:sz w:val="24"/>
          <w:szCs w:val="24"/>
        </w:rPr>
        <w:t>Table 9</w:t>
      </w:r>
      <w:r w:rsidRPr="00DD4419">
        <w:rPr>
          <w:rFonts w:ascii="Times New Roman" w:eastAsia="Times New Roman" w:hAnsi="Times New Roman" w:cs="Times New Roman"/>
          <w:color w:val="000000"/>
          <w:sz w:val="24"/>
          <w:szCs w:val="24"/>
        </w:rPr>
        <w:t xml:space="preserve">). Although this training is online-based, it was proven to have significant effectiveness for self-improvement for participants. Online training with some adjustments to the material and learning methods is able to maintain the output quality, even more efficiently and cheaply </w:t>
      </w:r>
      <w:r w:rsidRPr="003B2217">
        <w:rPr>
          <w:rFonts w:ascii="Times New Roman" w:eastAsia="Times New Roman" w:hAnsi="Times New Roman" w:cs="Times New Roman"/>
          <w:sz w:val="24"/>
          <w:szCs w:val="24"/>
        </w:rPr>
        <w:fldChar w:fldCharType="begin"/>
      </w:r>
      <w:r w:rsidRPr="003B2217">
        <w:rPr>
          <w:rFonts w:ascii="Times New Roman" w:eastAsia="Times New Roman" w:hAnsi="Times New Roman" w:cs="Times New Roman"/>
          <w:sz w:val="24"/>
          <w:szCs w:val="24"/>
        </w:rPr>
        <w:instrText xml:space="preserve"> ADDIN ZOTERO_ITEM CSL_CITATION {"citationID":"7lMQCR2b","properties":{"formattedCitation":"(Gherhe\\uc0\\u537{} et al., 2021; Sun &amp; Chen, 2016)","plainCitation":"(Gherheș et al., 2021; Sun &amp; Chen, 2016)","noteIndex":0},"citationItems":[{"id":520,"uris":["http://zotero.org/users/local/eLG7HXo0/items/6PCSKP9P"],"uri":["http://zotero.org/users/local/eLG7HXo0/items/6PCSKP9P"],"itemData":{"id":520,"type":"article-journal","abstract":"Educational life worldwide has been shaken by the closure of schools due to the outbreak of the coronavirus pandemic. The ripple effects have been felt in the way both teachers and students have adapted to the constraints imposed by the new online form of education. The present study focuses exclusively on the beneficiaries of the educational process and aims to find out their perceptions of face-to-face and e-learning and their desire to return, or not, to the traditional form of education. These perceptions are represented by 604 students of the Politehnica University of Timisoara, who were asked to respond anonymously to an 8-question questionnaire between December 2020 and February 2021. The results show the respondents’ levels of desire to return to school (especially of those who have only benefited from e-learning) and their degree of involvement during online classes. The results also specify the advantages and disadvantages of the two forms of education from a double perspective, namely that of first-year students (beneficiaries of e-learning exclusively), and of upper-year students (beneficiaries of both face-to-face and e-learning). The study points out key information about e-learning from the students’ perspectives, which should be considered to understand the ongoing changes of the educational process and to solve its specific problems, thus ensuring its sustainability.","container-title":"Sustainability","DOI":"10.3390/su13084381","issue":"8","language":"en","note":"number: 8\npublisher: Multidisciplinary Digital Publishing Institute","page":"4381","source":"www.mdpi.com","title":"E-learning vs. face-to-face learning: analyzing students’ preferences and behaviors","title-short":"E-Learning vs. Face-To-Face Learning","volume":"13","author":[{"family":"Gherheș","given":"Vasile"},{"family":"Stoian","given":"Claudia E."},{"family":"Fărcașiu","given":"Marcela Alina"},{"family":"Stanici","given":"Miroslav"}],"issued":{"date-parts":[["2021"]]}}},{"id":516,"uris":["http://zotero.org/users/local/eLG7HXo0/items/LMUIQEB3"],"uri":["http://zotero.org/users/local/eLG7HXo0/items/LMUIQEB3"],"itemData":{"id":516,"type":"article-journal","abstract":"Using a qualitative content analysis approach, this study reviewed 47 published studies and research on online teaching and learning since 2008, primarily focusing on how theories, practices and assessments apply to the online learning environment. The purpose of this paper is to provide practical suggestions for those who are planning to develop online courses so that they can make informed decisions in the implementation process. Based on the findings, the authors argued that effective online instruction is dependent upon 1) well-designed course content, motivated interaction between the instructor and learners, well-prepared and fully-supported instructors; 2) creation of a sense of online learning community; and 3) rapid advancement of technology. In doing this, it is hoped that this will stimulate an on-going discussion of effective strategies that can enhance universities and faculty success in transitioning to teach online. Under current debates on the cost and quality of higher education, this study could help for the improvement of higher education and student enrollment and retention.","container-title":"Journal of Information Technology Education: Research","DOI":"10.28945/3502","journalAbbreviation":"Journal of Information Technology Education: Research","page":"157-190","source":"ResearchGate","title":"Online education and its effective practice: a research review","title-short":"Online Education and Its Effective Practice","volume":"15","author":[{"family":"Sun","given":"Anna"},{"family":"Chen","given":"Xiufang"}],"issued":{"date-parts":[["2016"]]}}}],"schema":"https://github.com/citation-style-language/schema/raw/master/csl-citation.json"} </w:instrText>
      </w:r>
      <w:r w:rsidRPr="003B2217">
        <w:rPr>
          <w:rFonts w:ascii="Times New Roman" w:eastAsia="Times New Roman" w:hAnsi="Times New Roman" w:cs="Times New Roman"/>
          <w:sz w:val="24"/>
          <w:szCs w:val="24"/>
        </w:rPr>
        <w:fldChar w:fldCharType="separate"/>
      </w:r>
      <w:r w:rsidRPr="003B2217">
        <w:rPr>
          <w:rFonts w:ascii="Times New Roman" w:eastAsia="Times New Roman" w:hAnsi="Times New Roman" w:cs="Times New Roman"/>
          <w:sz w:val="24"/>
          <w:szCs w:val="24"/>
        </w:rPr>
        <w:t>(Gherheș et al., 2021; Sun &amp; Chen, 2016)</w:t>
      </w:r>
      <w:r w:rsidRPr="003B2217">
        <w:rPr>
          <w:rFonts w:ascii="Times New Roman" w:eastAsia="Times New Roman" w:hAnsi="Times New Roman" w:cs="Times New Roman"/>
          <w:sz w:val="24"/>
          <w:szCs w:val="24"/>
        </w:rPr>
        <w:fldChar w:fldCharType="end"/>
      </w:r>
      <w:r w:rsidRPr="003B2217">
        <w:rPr>
          <w:rFonts w:ascii="Times New Roman" w:eastAsia="Times New Roman" w:hAnsi="Times New Roman" w:cs="Times New Roman"/>
          <w:sz w:val="24"/>
          <w:szCs w:val="24"/>
        </w:rPr>
        <w:t>.</w:t>
      </w:r>
    </w:p>
    <w:p w14:paraId="77894D18" w14:textId="0F90DD63" w:rsidR="003B2217" w:rsidRPr="00DD4419" w:rsidRDefault="003B2217" w:rsidP="003B2217">
      <w:pPr>
        <w:pBdr>
          <w:top w:val="nil"/>
          <w:left w:val="nil"/>
          <w:bottom w:val="nil"/>
          <w:right w:val="nil"/>
          <w:between w:val="nil"/>
        </w:pBdr>
        <w:spacing w:after="0"/>
        <w:ind w:leftChars="0" w:left="0" w:firstLineChars="0" w:firstLine="0"/>
        <w:jc w:val="both"/>
        <w:rPr>
          <w:rFonts w:ascii="Times New Roman" w:eastAsia="Times New Roman" w:hAnsi="Times New Roman" w:cs="Times New Roman"/>
          <w:color w:val="000000"/>
          <w:sz w:val="24"/>
          <w:szCs w:val="24"/>
        </w:rPr>
      </w:pPr>
      <w:r>
        <w:rPr>
          <w:rFonts w:ascii="Times New Roman" w:hAnsi="Times New Roman" w:cs="Times New Roman"/>
          <w:position w:val="0"/>
          <w:sz w:val="24"/>
          <w:szCs w:val="24"/>
        </w:rPr>
        <w:tab/>
      </w:r>
      <w:r w:rsidRPr="003B2217">
        <w:rPr>
          <w:rFonts w:ascii="Times New Roman" w:hAnsi="Times New Roman" w:cs="Times New Roman"/>
          <w:position w:val="0"/>
          <w:sz w:val="24"/>
          <w:szCs w:val="24"/>
        </w:rPr>
        <w:t xml:space="preserve">We obtained information about the participants' spatial habits and spatial knowledge, which did not have a significant correlation, both before and after the FOSS-GIS training. Spearman-Rank correlation test at the pre-test gave a value of -0.284 which indicates the low relationship and not significant (p-value 0.179). The same thing also occurred to the post-test which increasingly supports that the two are not related, where the correlation value is only -0.046 with a p-value of 0.830. An increase in spatial knowledge is not necessarily accompanied by increasing spatial habits, and vice versa. Although the results of pre-test and post-test of spatial habits in training showed an increase, spatial habits were very relative depending on individual experience </w:t>
      </w:r>
      <w:r w:rsidRPr="003B2217">
        <w:rPr>
          <w:rFonts w:ascii="Times New Roman" w:hAnsi="Times New Roman" w:cs="Times New Roman"/>
          <w:position w:val="0"/>
          <w:sz w:val="24"/>
          <w:szCs w:val="24"/>
        </w:rPr>
        <w:fldChar w:fldCharType="begin"/>
      </w:r>
      <w:r w:rsidRPr="003B2217">
        <w:rPr>
          <w:rFonts w:ascii="Times New Roman" w:hAnsi="Times New Roman" w:cs="Times New Roman"/>
          <w:position w:val="0"/>
          <w:sz w:val="24"/>
          <w:szCs w:val="24"/>
        </w:rPr>
        <w:instrText xml:space="preserve"> ADDIN ZOTERO_ITEM CSL_CITATION {"citationID":"pSTxhRr4","properties":{"formattedCitation":"(Kim, 2011)","plainCitation":"(Kim, 2011)","noteIndex":0},"citationItems":[{"id":490,"uris":["http://zotero.org/users/local/eLG7HXo0/items/BWYQKE8E"],"uri":["http://zotero.org/users/local/eLG7HXo0/items/BWYQKE8E"],"itemData":{"id":490,"type":"thesis","publisher":"Texas A&amp;M University","title":"Effects of a GIS course on three components of spatial literacy","author":[{"family":"Kim","given":"Minsung"}],"issued":{"date-parts":[["2011"]]}}}],"schema":"https://github.com/citation-style-language/schema/raw/master/csl-citation.json"} </w:instrText>
      </w:r>
      <w:r w:rsidRPr="003B2217">
        <w:rPr>
          <w:rFonts w:ascii="Times New Roman" w:hAnsi="Times New Roman" w:cs="Times New Roman"/>
          <w:position w:val="0"/>
          <w:sz w:val="24"/>
          <w:szCs w:val="24"/>
        </w:rPr>
        <w:fldChar w:fldCharType="separate"/>
      </w:r>
      <w:r w:rsidRPr="003B2217">
        <w:rPr>
          <w:rFonts w:ascii="Times New Roman" w:hAnsi="Times New Roman" w:cs="Times New Roman"/>
          <w:position w:val="0"/>
          <w:sz w:val="24"/>
          <w:szCs w:val="24"/>
        </w:rPr>
        <w:t>(Kim, 2011)</w:t>
      </w:r>
      <w:r w:rsidRPr="003B2217">
        <w:rPr>
          <w:rFonts w:ascii="Times New Roman" w:hAnsi="Times New Roman" w:cs="Times New Roman"/>
          <w:position w:val="0"/>
          <w:sz w:val="24"/>
          <w:szCs w:val="24"/>
        </w:rPr>
        <w:fldChar w:fldCharType="end"/>
      </w:r>
      <w:r w:rsidRPr="003B2217">
        <w:rPr>
          <w:rFonts w:ascii="Times New Roman" w:hAnsi="Times New Roman" w:cs="Times New Roman"/>
          <w:position w:val="0"/>
          <w:sz w:val="24"/>
          <w:szCs w:val="24"/>
        </w:rPr>
        <w:t xml:space="preserve">. Even other factors such as gender and age can determine the difference </w:t>
      </w:r>
      <w:r w:rsidRPr="003B2217">
        <w:rPr>
          <w:rFonts w:ascii="Times New Roman" w:hAnsi="Times New Roman" w:cs="Times New Roman"/>
          <w:position w:val="0"/>
          <w:sz w:val="24"/>
          <w:szCs w:val="24"/>
        </w:rPr>
        <w:fldChar w:fldCharType="begin"/>
      </w:r>
      <w:r w:rsidRPr="003B2217">
        <w:rPr>
          <w:rFonts w:ascii="Times New Roman" w:hAnsi="Times New Roman" w:cs="Times New Roman"/>
          <w:position w:val="0"/>
          <w:sz w:val="24"/>
          <w:szCs w:val="24"/>
        </w:rPr>
        <w:instrText xml:space="preserve"> ADDIN ZOTERO_ITEM CSL_CITATION {"citationID":"yn6dSKBA","properties":{"formattedCitation":"(Voyer et al., 2007)","plainCitation":"(Voyer et al., 2007)","noteIndex":0},"citationItems":[{"id":488,"uris":["http://zotero.org/users/local/eLG7HXo0/items/7BIT2RVJ"],"uri":["http://zotero.org/users/local/eLG7HXo0/items/7BIT2RVJ"],"itemData":{"id":488,"type":"article-journal","abstract":"The goal of the present study was to quantify the magnitude of gender differences in object location memory tasks. A total of 123 effect sizes (d ) drawn from 36 studies were included in a meta-analysis using a hierarchical approach. Object identity memory (37 effect sizes) and object location memory (86 effect sizes) tasks were analyzed separately. Object identity memory task showed significant gender differences that were homogeneous and in favor of women. For the object location memory tasks, effect sizes had to be partitioned by age (younger than 13, between 13 and 18, older than 18), object type (common, uncommon, gender neutral, geometric, masculine, feminine), scoring method (accuracy, time, distance), and type of measure (recall, recognition) to achieve homogeneity. Significant gender differences in favor of females were obtained in all clusters above the age of 13, with the exception of feminine, uncommon, and gender-neutral objects. Masculine objects and measures of distance produced significant effects in favor of males. Implications of these results for future work and for theoretical interpretations are discussed.","container-title":"Psychonomic Bulletin &amp; Review","DOI":"10.3758/BF03194024","ISSN":"1531-5320","issue":"1","journalAbbreviation":"Psychonomic Bulletin &amp; Review","language":"en","page":"23-38","source":"Springer Link","title":"Gender differences in object location memory: A meta-analysis","title-short":"Gender differences in object location memory","volume":"14","author":[{"family":"Voyer","given":"Daniel"},{"family":"Postma","given":"Albert"},{"family":"Brake","given":"Brandy"},{"family":"Imperato-McGinley","given":"Julianne"}],"issued":{"date-parts":[["2007"]]}}}],"schema":"https://github.com/citation-style-language/schema/raw/master/csl-citation.json"} </w:instrText>
      </w:r>
      <w:r w:rsidRPr="003B2217">
        <w:rPr>
          <w:rFonts w:ascii="Times New Roman" w:hAnsi="Times New Roman" w:cs="Times New Roman"/>
          <w:position w:val="0"/>
          <w:sz w:val="24"/>
          <w:szCs w:val="24"/>
        </w:rPr>
        <w:fldChar w:fldCharType="separate"/>
      </w:r>
      <w:r w:rsidRPr="003B2217">
        <w:rPr>
          <w:rFonts w:ascii="Times New Roman" w:hAnsi="Times New Roman" w:cs="Times New Roman"/>
          <w:position w:val="0"/>
          <w:sz w:val="24"/>
          <w:szCs w:val="24"/>
        </w:rPr>
        <w:t>(Voyer et al., 2007)</w:t>
      </w:r>
      <w:r w:rsidRPr="003B2217">
        <w:rPr>
          <w:rFonts w:ascii="Times New Roman" w:hAnsi="Times New Roman" w:cs="Times New Roman"/>
          <w:position w:val="0"/>
          <w:sz w:val="24"/>
          <w:szCs w:val="24"/>
        </w:rPr>
        <w:fldChar w:fldCharType="end"/>
      </w:r>
      <w:r w:rsidRPr="00DD4419">
        <w:rPr>
          <w:rFonts w:ascii="Times New Roman" w:hAnsi="Times New Roman" w:cs="Times New Roman"/>
          <w:position w:val="0"/>
          <w:sz w:val="24"/>
          <w:szCs w:val="24"/>
        </w:rPr>
        <w:t>. Changes to answering the habits test is easier than daily habits that require a high awareness and need paying attention to the surrounding environment.</w:t>
      </w:r>
    </w:p>
    <w:p w14:paraId="7009644D" w14:textId="77777777" w:rsidR="000B25F9" w:rsidRPr="00DD4419" w:rsidRDefault="000B25F9" w:rsidP="000B25F9">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3359DCE7" w14:textId="77777777" w:rsidR="000B25F9" w:rsidRPr="00DD4419" w:rsidRDefault="000B25F9" w:rsidP="000B25F9">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DD4419">
        <w:rPr>
          <w:rFonts w:ascii="Times New Roman" w:eastAsia="Times New Roman" w:hAnsi="Times New Roman" w:cs="Times New Roman"/>
          <w:noProof/>
          <w:position w:val="0"/>
          <w:lang w:val="en-MY" w:eastAsia="en-MY"/>
        </w:rPr>
        <w:drawing>
          <wp:inline distT="0" distB="0" distL="0" distR="0" wp14:anchorId="505F2A2E" wp14:editId="6DE1FCE0">
            <wp:extent cx="5943600" cy="279571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795719"/>
                    </a:xfrm>
                    <a:prstGeom prst="rect">
                      <a:avLst/>
                    </a:prstGeom>
                    <a:noFill/>
                  </pic:spPr>
                </pic:pic>
              </a:graphicData>
            </a:graphic>
          </wp:inline>
        </w:drawing>
      </w:r>
    </w:p>
    <w:p w14:paraId="2BB1836C" w14:textId="77777777" w:rsidR="003B2217" w:rsidRPr="003B2217" w:rsidRDefault="003B2217" w:rsidP="003B2217">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
          <w:bCs/>
          <w:color w:val="000000"/>
          <w:sz w:val="16"/>
          <w:szCs w:val="16"/>
        </w:rPr>
      </w:pPr>
    </w:p>
    <w:p w14:paraId="197C585F" w14:textId="162BDC5C" w:rsidR="0059652D" w:rsidRPr="00DD4419" w:rsidRDefault="0059652D" w:rsidP="0059652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sidRPr="00DD4419">
        <w:rPr>
          <w:rFonts w:ascii="Times New Roman" w:eastAsia="Times New Roman" w:hAnsi="Times New Roman" w:cs="Times New Roman"/>
          <w:b/>
          <w:bCs/>
          <w:color w:val="000000"/>
          <w:sz w:val="20"/>
          <w:szCs w:val="20"/>
        </w:rPr>
        <w:t>Figure 3.</w:t>
      </w:r>
      <w:r w:rsidRPr="00DD4419">
        <w:rPr>
          <w:rFonts w:ascii="Times New Roman" w:eastAsia="Times New Roman" w:hAnsi="Times New Roman" w:cs="Times New Roman"/>
          <w:color w:val="000000"/>
          <w:sz w:val="20"/>
          <w:szCs w:val="20"/>
        </w:rPr>
        <w:t xml:space="preserve"> Some examples of individual tasks for day 3 (Creating and </w:t>
      </w:r>
      <w:proofErr w:type="spellStart"/>
      <w:r w:rsidRPr="00DD4419">
        <w:rPr>
          <w:rFonts w:ascii="Times New Roman" w:eastAsia="Times New Roman" w:hAnsi="Times New Roman" w:cs="Times New Roman"/>
          <w:color w:val="000000"/>
          <w:sz w:val="20"/>
          <w:szCs w:val="20"/>
        </w:rPr>
        <w:t>layouting</w:t>
      </w:r>
      <w:proofErr w:type="spellEnd"/>
      <w:r w:rsidRPr="00DD4419">
        <w:rPr>
          <w:rFonts w:ascii="Times New Roman" w:eastAsia="Times New Roman" w:hAnsi="Times New Roman" w:cs="Times New Roman"/>
          <w:color w:val="000000"/>
          <w:sz w:val="20"/>
          <w:szCs w:val="20"/>
        </w:rPr>
        <w:t xml:space="preserve"> of tsunami hazard maps).</w:t>
      </w:r>
    </w:p>
    <w:p w14:paraId="5256EECE" w14:textId="7A31BA5F" w:rsidR="002E4FE2" w:rsidRPr="003B2217" w:rsidRDefault="002E4FE2" w:rsidP="0059652D">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8"/>
          <w:szCs w:val="28"/>
        </w:rPr>
      </w:pPr>
    </w:p>
    <w:p w14:paraId="5F211F91" w14:textId="6AA007AE" w:rsidR="002E4FE2" w:rsidRDefault="002E4FE2" w:rsidP="002E4FE2">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sidRPr="00DD4419">
        <w:rPr>
          <w:rFonts w:ascii="Times New Roman" w:eastAsia="Times New Roman" w:hAnsi="Times New Roman" w:cs="Times New Roman"/>
          <w:b/>
          <w:bCs/>
          <w:color w:val="000000"/>
          <w:sz w:val="20"/>
          <w:szCs w:val="20"/>
        </w:rPr>
        <w:t>Table 9.</w:t>
      </w:r>
      <w:r w:rsidRPr="00DD4419">
        <w:rPr>
          <w:rFonts w:ascii="Times New Roman" w:eastAsia="Times New Roman" w:hAnsi="Times New Roman" w:cs="Times New Roman"/>
          <w:color w:val="000000"/>
          <w:sz w:val="20"/>
          <w:szCs w:val="20"/>
        </w:rPr>
        <w:t xml:space="preserve"> Wilcoxon’s Test and Paired Sample T-Test. </w:t>
      </w:r>
    </w:p>
    <w:p w14:paraId="18538012" w14:textId="77777777" w:rsidR="003B2217" w:rsidRPr="00DD4419" w:rsidRDefault="003B2217" w:rsidP="002E4FE2">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p>
    <w:tbl>
      <w:tblPr>
        <w:tblW w:w="7933" w:type="dxa"/>
        <w:jc w:val="center"/>
        <w:tblLook w:val="04A0" w:firstRow="1" w:lastRow="0" w:firstColumn="1" w:lastColumn="0" w:noHBand="0" w:noVBand="1"/>
      </w:tblPr>
      <w:tblGrid>
        <w:gridCol w:w="2120"/>
        <w:gridCol w:w="860"/>
        <w:gridCol w:w="2120"/>
        <w:gridCol w:w="960"/>
        <w:gridCol w:w="1873"/>
      </w:tblGrid>
      <w:tr w:rsidR="002E4FE2" w:rsidRPr="00DD4419" w14:paraId="359E8E02" w14:textId="77777777" w:rsidTr="008B0749">
        <w:trPr>
          <w:trHeight w:val="300"/>
          <w:jc w:val="center"/>
        </w:trPr>
        <w:tc>
          <w:tcPr>
            <w:tcW w:w="2980" w:type="dxa"/>
            <w:gridSpan w:val="2"/>
            <w:tcBorders>
              <w:top w:val="single" w:sz="4" w:space="0" w:color="000000"/>
              <w:bottom w:val="single" w:sz="4" w:space="0" w:color="000000"/>
            </w:tcBorders>
            <w:shd w:val="clear" w:color="auto" w:fill="B8CCE4"/>
            <w:noWrap/>
            <w:vAlign w:val="center"/>
            <w:hideMark/>
          </w:tcPr>
          <w:p w14:paraId="14C4EDFF" w14:textId="77777777" w:rsidR="002E4FE2" w:rsidRPr="00DD4419" w:rsidRDefault="002E4FE2" w:rsidP="002E4FE2">
            <w:pPr>
              <w:pBdr>
                <w:top w:val="nil"/>
                <w:left w:val="nil"/>
                <w:bottom w:val="nil"/>
                <w:right w:val="nil"/>
                <w:between w:val="nil"/>
              </w:pBdr>
              <w:spacing w:after="0" w:line="240" w:lineRule="auto"/>
              <w:ind w:leftChars="0" w:left="0" w:firstLineChars="0" w:firstLine="0"/>
              <w:jc w:val="center"/>
              <w:rPr>
                <w:rFonts w:asciiTheme="majorBidi" w:eastAsia="Times New Roman" w:hAnsiTheme="majorBidi" w:cstheme="majorBidi"/>
                <w:b/>
                <w:bCs/>
                <w:color w:val="000000"/>
                <w:sz w:val="20"/>
                <w:szCs w:val="20"/>
              </w:rPr>
            </w:pPr>
            <w:r w:rsidRPr="00DD4419">
              <w:rPr>
                <w:rFonts w:asciiTheme="majorBidi" w:eastAsia="Times New Roman" w:hAnsiTheme="majorBidi" w:cstheme="majorBidi"/>
                <w:b/>
                <w:bCs/>
                <w:color w:val="000000"/>
                <w:sz w:val="20"/>
                <w:szCs w:val="20"/>
              </w:rPr>
              <w:t>Wilcoxon’s Test</w:t>
            </w:r>
          </w:p>
        </w:tc>
        <w:tc>
          <w:tcPr>
            <w:tcW w:w="3080" w:type="dxa"/>
            <w:gridSpan w:val="2"/>
            <w:tcBorders>
              <w:top w:val="single" w:sz="4" w:space="0" w:color="000000"/>
              <w:bottom w:val="single" w:sz="4" w:space="0" w:color="000000"/>
            </w:tcBorders>
            <w:shd w:val="clear" w:color="auto" w:fill="B8CCE4"/>
            <w:noWrap/>
            <w:vAlign w:val="center"/>
            <w:hideMark/>
          </w:tcPr>
          <w:p w14:paraId="61EB0DD3" w14:textId="77777777" w:rsidR="002E4FE2" w:rsidRPr="00DD4419" w:rsidRDefault="002E4FE2" w:rsidP="002E4FE2">
            <w:pPr>
              <w:pBdr>
                <w:top w:val="nil"/>
                <w:left w:val="nil"/>
                <w:bottom w:val="nil"/>
                <w:right w:val="nil"/>
                <w:between w:val="nil"/>
              </w:pBdr>
              <w:spacing w:after="0" w:line="240" w:lineRule="auto"/>
              <w:ind w:leftChars="0" w:left="0" w:firstLineChars="0" w:firstLine="0"/>
              <w:jc w:val="center"/>
              <w:rPr>
                <w:rFonts w:asciiTheme="majorBidi" w:eastAsia="Times New Roman" w:hAnsiTheme="majorBidi" w:cstheme="majorBidi"/>
                <w:color w:val="000000"/>
                <w:sz w:val="20"/>
                <w:szCs w:val="20"/>
              </w:rPr>
            </w:pPr>
            <w:r w:rsidRPr="00DD4419">
              <w:rPr>
                <w:rFonts w:asciiTheme="majorBidi" w:eastAsia="Times New Roman" w:hAnsiTheme="majorBidi" w:cstheme="majorBidi"/>
                <w:b/>
                <w:bCs/>
                <w:color w:val="000000"/>
                <w:sz w:val="20"/>
                <w:szCs w:val="20"/>
              </w:rPr>
              <w:t>Paired Sample T-Test</w:t>
            </w:r>
          </w:p>
        </w:tc>
        <w:tc>
          <w:tcPr>
            <w:tcW w:w="1873" w:type="dxa"/>
            <w:tcBorders>
              <w:top w:val="single" w:sz="4" w:space="0" w:color="000000"/>
              <w:bottom w:val="single" w:sz="4" w:space="0" w:color="000000"/>
            </w:tcBorders>
            <w:shd w:val="clear" w:color="auto" w:fill="B8CCE4"/>
            <w:vAlign w:val="center"/>
          </w:tcPr>
          <w:p w14:paraId="117E4EB7" w14:textId="77777777" w:rsidR="002E4FE2" w:rsidRPr="00DD4419" w:rsidRDefault="002E4FE2" w:rsidP="002E4FE2">
            <w:pPr>
              <w:pBdr>
                <w:top w:val="nil"/>
                <w:left w:val="nil"/>
                <w:bottom w:val="nil"/>
                <w:right w:val="nil"/>
                <w:between w:val="nil"/>
              </w:pBdr>
              <w:spacing w:after="0" w:line="240" w:lineRule="auto"/>
              <w:ind w:leftChars="0" w:left="0" w:firstLineChars="0" w:firstLine="0"/>
              <w:jc w:val="center"/>
              <w:rPr>
                <w:rFonts w:asciiTheme="majorBidi" w:eastAsia="Times New Roman" w:hAnsiTheme="majorBidi" w:cstheme="majorBidi"/>
                <w:b/>
                <w:bCs/>
                <w:color w:val="000000"/>
                <w:sz w:val="20"/>
                <w:szCs w:val="20"/>
              </w:rPr>
            </w:pPr>
            <w:r w:rsidRPr="00DD4419">
              <w:rPr>
                <w:rFonts w:asciiTheme="majorBidi" w:eastAsia="Times New Roman" w:hAnsiTheme="majorBidi" w:cstheme="majorBidi"/>
                <w:b/>
                <w:bCs/>
                <w:color w:val="000000"/>
                <w:sz w:val="20"/>
                <w:szCs w:val="20"/>
              </w:rPr>
              <w:t>Confidence level</w:t>
            </w:r>
          </w:p>
        </w:tc>
      </w:tr>
      <w:tr w:rsidR="002E4FE2" w:rsidRPr="00DD4419" w14:paraId="6FB7F8A4" w14:textId="77777777" w:rsidTr="008B0749">
        <w:trPr>
          <w:trHeight w:val="300"/>
          <w:jc w:val="center"/>
        </w:trPr>
        <w:tc>
          <w:tcPr>
            <w:tcW w:w="2120" w:type="dxa"/>
            <w:tcBorders>
              <w:top w:val="single" w:sz="4" w:space="0" w:color="000000"/>
            </w:tcBorders>
            <w:noWrap/>
            <w:hideMark/>
          </w:tcPr>
          <w:p w14:paraId="1EBAC02A" w14:textId="77777777" w:rsidR="002E4FE2" w:rsidRPr="00DD4419" w:rsidRDefault="002E4FE2" w:rsidP="002E4FE2">
            <w:pPr>
              <w:pBdr>
                <w:top w:val="nil"/>
                <w:left w:val="nil"/>
                <w:bottom w:val="nil"/>
                <w:right w:val="nil"/>
                <w:between w:val="nil"/>
              </w:pBdr>
              <w:spacing w:after="0" w:line="240" w:lineRule="auto"/>
              <w:ind w:leftChars="0" w:left="0" w:firstLineChars="0" w:firstLine="0"/>
              <w:rPr>
                <w:rFonts w:asciiTheme="majorBidi" w:eastAsia="Times New Roman" w:hAnsiTheme="majorBidi" w:cstheme="majorBidi"/>
                <w:color w:val="000000"/>
                <w:sz w:val="20"/>
                <w:szCs w:val="20"/>
              </w:rPr>
            </w:pPr>
            <w:r w:rsidRPr="00DD4419">
              <w:rPr>
                <w:rFonts w:asciiTheme="majorBidi" w:eastAsia="Times New Roman" w:hAnsiTheme="majorBidi" w:cstheme="majorBidi"/>
                <w:color w:val="000000"/>
                <w:sz w:val="20"/>
                <w:szCs w:val="20"/>
              </w:rPr>
              <w:t>Z-Score</w:t>
            </w:r>
          </w:p>
        </w:tc>
        <w:tc>
          <w:tcPr>
            <w:tcW w:w="860" w:type="dxa"/>
            <w:tcBorders>
              <w:top w:val="single" w:sz="4" w:space="0" w:color="000000"/>
            </w:tcBorders>
            <w:noWrap/>
            <w:hideMark/>
          </w:tcPr>
          <w:p w14:paraId="7D6AD223" w14:textId="77777777" w:rsidR="002E4FE2" w:rsidRPr="00DD4419" w:rsidRDefault="002E4FE2" w:rsidP="002E4FE2">
            <w:pPr>
              <w:pBdr>
                <w:top w:val="nil"/>
                <w:left w:val="nil"/>
                <w:bottom w:val="nil"/>
                <w:right w:val="nil"/>
                <w:between w:val="nil"/>
              </w:pBdr>
              <w:spacing w:after="0" w:line="240" w:lineRule="auto"/>
              <w:ind w:leftChars="0" w:left="0" w:firstLineChars="0" w:firstLine="0"/>
              <w:jc w:val="center"/>
              <w:rPr>
                <w:rFonts w:asciiTheme="majorBidi" w:eastAsia="Times New Roman" w:hAnsiTheme="majorBidi" w:cstheme="majorBidi"/>
                <w:color w:val="000000"/>
                <w:sz w:val="20"/>
                <w:szCs w:val="20"/>
              </w:rPr>
            </w:pPr>
            <w:r w:rsidRPr="00DD4419">
              <w:rPr>
                <w:rFonts w:asciiTheme="majorBidi" w:eastAsia="Times New Roman" w:hAnsiTheme="majorBidi" w:cstheme="majorBidi"/>
                <w:color w:val="000000"/>
                <w:sz w:val="20"/>
                <w:szCs w:val="20"/>
              </w:rPr>
              <w:t>-2.945</w:t>
            </w:r>
          </w:p>
        </w:tc>
        <w:tc>
          <w:tcPr>
            <w:tcW w:w="2120" w:type="dxa"/>
            <w:tcBorders>
              <w:top w:val="single" w:sz="4" w:space="0" w:color="000000"/>
            </w:tcBorders>
            <w:noWrap/>
            <w:hideMark/>
          </w:tcPr>
          <w:p w14:paraId="060C827A" w14:textId="77777777" w:rsidR="002E4FE2" w:rsidRPr="00DD4419" w:rsidRDefault="002E4FE2" w:rsidP="002E4FE2">
            <w:pPr>
              <w:pBdr>
                <w:top w:val="nil"/>
                <w:left w:val="nil"/>
                <w:bottom w:val="nil"/>
                <w:right w:val="nil"/>
                <w:between w:val="nil"/>
              </w:pBdr>
              <w:spacing w:after="0" w:line="240" w:lineRule="auto"/>
              <w:ind w:leftChars="0" w:left="0" w:firstLineChars="0" w:firstLine="0"/>
              <w:jc w:val="center"/>
              <w:rPr>
                <w:rFonts w:asciiTheme="majorBidi" w:eastAsia="Times New Roman" w:hAnsiTheme="majorBidi" w:cstheme="majorBidi"/>
                <w:color w:val="000000"/>
                <w:sz w:val="20"/>
                <w:szCs w:val="20"/>
              </w:rPr>
            </w:pPr>
            <w:r w:rsidRPr="00DD4419">
              <w:rPr>
                <w:rFonts w:asciiTheme="majorBidi" w:eastAsia="Times New Roman" w:hAnsiTheme="majorBidi" w:cstheme="majorBidi"/>
                <w:color w:val="000000"/>
                <w:sz w:val="20"/>
                <w:szCs w:val="20"/>
              </w:rPr>
              <w:t xml:space="preserve">Pearson’s </w:t>
            </w:r>
            <w:proofErr w:type="spellStart"/>
            <w:r w:rsidRPr="00DD4419">
              <w:rPr>
                <w:rFonts w:asciiTheme="majorBidi" w:eastAsia="Times New Roman" w:hAnsiTheme="majorBidi" w:cstheme="majorBidi"/>
                <w:color w:val="000000"/>
                <w:sz w:val="20"/>
                <w:szCs w:val="20"/>
              </w:rPr>
              <w:t>r-value</w:t>
            </w:r>
            <w:proofErr w:type="spellEnd"/>
          </w:p>
        </w:tc>
        <w:tc>
          <w:tcPr>
            <w:tcW w:w="960" w:type="dxa"/>
            <w:tcBorders>
              <w:top w:val="single" w:sz="4" w:space="0" w:color="000000"/>
            </w:tcBorders>
            <w:noWrap/>
            <w:hideMark/>
          </w:tcPr>
          <w:p w14:paraId="28F63C3E" w14:textId="77777777" w:rsidR="002E4FE2" w:rsidRPr="00DD4419" w:rsidRDefault="002E4FE2" w:rsidP="002E4FE2">
            <w:pPr>
              <w:pBdr>
                <w:top w:val="nil"/>
                <w:left w:val="nil"/>
                <w:bottom w:val="nil"/>
                <w:right w:val="nil"/>
                <w:between w:val="nil"/>
              </w:pBdr>
              <w:spacing w:after="0" w:line="240" w:lineRule="auto"/>
              <w:ind w:leftChars="0" w:left="0" w:firstLineChars="0" w:firstLine="0"/>
              <w:jc w:val="center"/>
              <w:rPr>
                <w:rFonts w:asciiTheme="majorBidi" w:eastAsia="Times New Roman" w:hAnsiTheme="majorBidi" w:cstheme="majorBidi"/>
                <w:color w:val="000000"/>
                <w:sz w:val="20"/>
                <w:szCs w:val="20"/>
              </w:rPr>
            </w:pPr>
            <w:r w:rsidRPr="00DD4419">
              <w:rPr>
                <w:rFonts w:asciiTheme="majorBidi" w:eastAsia="Times New Roman" w:hAnsiTheme="majorBidi" w:cstheme="majorBidi"/>
                <w:color w:val="000000"/>
                <w:sz w:val="20"/>
                <w:szCs w:val="20"/>
              </w:rPr>
              <w:t>0.538</w:t>
            </w:r>
          </w:p>
        </w:tc>
        <w:tc>
          <w:tcPr>
            <w:tcW w:w="1873" w:type="dxa"/>
            <w:vMerge w:val="restart"/>
            <w:tcBorders>
              <w:top w:val="single" w:sz="4" w:space="0" w:color="000000"/>
            </w:tcBorders>
          </w:tcPr>
          <w:p w14:paraId="0971D9AA" w14:textId="77777777" w:rsidR="002E4FE2" w:rsidRPr="00DD4419" w:rsidRDefault="002E4FE2" w:rsidP="002E4FE2">
            <w:pPr>
              <w:pBdr>
                <w:top w:val="nil"/>
                <w:left w:val="nil"/>
                <w:bottom w:val="nil"/>
                <w:right w:val="nil"/>
                <w:between w:val="nil"/>
              </w:pBdr>
              <w:spacing w:after="0" w:line="240" w:lineRule="auto"/>
              <w:ind w:leftChars="0" w:left="0" w:firstLineChars="0" w:firstLine="0"/>
              <w:jc w:val="center"/>
              <w:rPr>
                <w:rFonts w:asciiTheme="majorBidi" w:eastAsia="Times New Roman" w:hAnsiTheme="majorBidi" w:cstheme="majorBidi"/>
                <w:color w:val="000000"/>
                <w:sz w:val="20"/>
                <w:szCs w:val="20"/>
              </w:rPr>
            </w:pPr>
            <w:r w:rsidRPr="00DD4419">
              <w:rPr>
                <w:rFonts w:asciiTheme="majorBidi" w:eastAsia="Times New Roman" w:hAnsiTheme="majorBidi" w:cstheme="majorBidi"/>
                <w:color w:val="000000"/>
                <w:sz w:val="20"/>
                <w:szCs w:val="20"/>
              </w:rPr>
              <w:t>95.00 %</w:t>
            </w:r>
          </w:p>
        </w:tc>
      </w:tr>
      <w:tr w:rsidR="002E4FE2" w:rsidRPr="00DD4419" w14:paraId="15F5EB5A" w14:textId="77777777" w:rsidTr="008B0749">
        <w:trPr>
          <w:trHeight w:val="300"/>
          <w:jc w:val="center"/>
        </w:trPr>
        <w:tc>
          <w:tcPr>
            <w:tcW w:w="2120" w:type="dxa"/>
            <w:tcBorders>
              <w:bottom w:val="single" w:sz="4" w:space="0" w:color="000000"/>
            </w:tcBorders>
            <w:noWrap/>
            <w:hideMark/>
          </w:tcPr>
          <w:p w14:paraId="7FCA9A05" w14:textId="77777777" w:rsidR="002E4FE2" w:rsidRPr="00DD4419" w:rsidRDefault="002E4FE2" w:rsidP="002E4FE2">
            <w:pPr>
              <w:pBdr>
                <w:top w:val="nil"/>
                <w:left w:val="nil"/>
                <w:bottom w:val="nil"/>
                <w:right w:val="nil"/>
                <w:between w:val="nil"/>
              </w:pBdr>
              <w:spacing w:after="0" w:line="240" w:lineRule="auto"/>
              <w:ind w:leftChars="0" w:left="0" w:firstLineChars="0" w:firstLine="0"/>
              <w:rPr>
                <w:rFonts w:asciiTheme="majorBidi" w:eastAsia="Times New Roman" w:hAnsiTheme="majorBidi" w:cstheme="majorBidi"/>
                <w:color w:val="000000"/>
                <w:sz w:val="20"/>
                <w:szCs w:val="20"/>
              </w:rPr>
            </w:pPr>
            <w:r w:rsidRPr="00DD4419">
              <w:rPr>
                <w:rFonts w:asciiTheme="majorBidi" w:eastAsia="Times New Roman" w:hAnsiTheme="majorBidi" w:cstheme="majorBidi"/>
                <w:color w:val="000000"/>
                <w:sz w:val="20"/>
                <w:szCs w:val="20"/>
              </w:rPr>
              <w:t>p-value (2-tailed)</w:t>
            </w:r>
          </w:p>
        </w:tc>
        <w:tc>
          <w:tcPr>
            <w:tcW w:w="860" w:type="dxa"/>
            <w:tcBorders>
              <w:bottom w:val="single" w:sz="4" w:space="0" w:color="000000"/>
            </w:tcBorders>
            <w:noWrap/>
            <w:hideMark/>
          </w:tcPr>
          <w:p w14:paraId="1A83A821" w14:textId="77777777" w:rsidR="002E4FE2" w:rsidRPr="00DD4419" w:rsidRDefault="002E4FE2" w:rsidP="002E4FE2">
            <w:pPr>
              <w:pBdr>
                <w:top w:val="nil"/>
                <w:left w:val="nil"/>
                <w:bottom w:val="nil"/>
                <w:right w:val="nil"/>
                <w:between w:val="nil"/>
              </w:pBdr>
              <w:spacing w:after="0" w:line="240" w:lineRule="auto"/>
              <w:ind w:leftChars="0" w:left="0" w:firstLineChars="0" w:firstLine="0"/>
              <w:jc w:val="center"/>
              <w:rPr>
                <w:rFonts w:asciiTheme="majorBidi" w:eastAsia="Times New Roman" w:hAnsiTheme="majorBidi" w:cstheme="majorBidi"/>
                <w:color w:val="000000"/>
                <w:sz w:val="20"/>
                <w:szCs w:val="20"/>
              </w:rPr>
            </w:pPr>
            <w:r w:rsidRPr="00DD4419">
              <w:rPr>
                <w:rFonts w:asciiTheme="majorBidi" w:eastAsia="Times New Roman" w:hAnsiTheme="majorBidi" w:cstheme="majorBidi"/>
                <w:color w:val="000000"/>
                <w:sz w:val="20"/>
                <w:szCs w:val="20"/>
              </w:rPr>
              <w:t>0.003</w:t>
            </w:r>
          </w:p>
        </w:tc>
        <w:tc>
          <w:tcPr>
            <w:tcW w:w="2120" w:type="dxa"/>
            <w:tcBorders>
              <w:bottom w:val="single" w:sz="4" w:space="0" w:color="000000"/>
            </w:tcBorders>
            <w:noWrap/>
            <w:hideMark/>
          </w:tcPr>
          <w:p w14:paraId="47D5CCA2" w14:textId="77777777" w:rsidR="002E4FE2" w:rsidRPr="00DD4419" w:rsidRDefault="002E4FE2" w:rsidP="002E4FE2">
            <w:pPr>
              <w:pBdr>
                <w:top w:val="nil"/>
                <w:left w:val="nil"/>
                <w:bottom w:val="nil"/>
                <w:right w:val="nil"/>
                <w:between w:val="nil"/>
              </w:pBdr>
              <w:spacing w:after="0" w:line="240" w:lineRule="auto"/>
              <w:ind w:leftChars="0" w:left="0" w:firstLineChars="0" w:firstLine="0"/>
              <w:jc w:val="center"/>
              <w:rPr>
                <w:rFonts w:asciiTheme="majorBidi" w:eastAsia="Times New Roman" w:hAnsiTheme="majorBidi" w:cstheme="majorBidi"/>
                <w:color w:val="000000"/>
                <w:sz w:val="20"/>
                <w:szCs w:val="20"/>
              </w:rPr>
            </w:pPr>
            <w:r w:rsidRPr="00DD4419">
              <w:rPr>
                <w:rFonts w:asciiTheme="majorBidi" w:eastAsia="Times New Roman" w:hAnsiTheme="majorBidi" w:cstheme="majorBidi"/>
                <w:color w:val="000000"/>
                <w:sz w:val="20"/>
                <w:szCs w:val="20"/>
              </w:rPr>
              <w:t>p-value (2-tailed)</w:t>
            </w:r>
          </w:p>
        </w:tc>
        <w:tc>
          <w:tcPr>
            <w:tcW w:w="960" w:type="dxa"/>
            <w:tcBorders>
              <w:bottom w:val="single" w:sz="4" w:space="0" w:color="000000"/>
            </w:tcBorders>
            <w:noWrap/>
            <w:hideMark/>
          </w:tcPr>
          <w:p w14:paraId="70184A1A" w14:textId="77777777" w:rsidR="002E4FE2" w:rsidRPr="00DD4419" w:rsidRDefault="002E4FE2" w:rsidP="002E4FE2">
            <w:pPr>
              <w:pBdr>
                <w:top w:val="nil"/>
                <w:left w:val="nil"/>
                <w:bottom w:val="nil"/>
                <w:right w:val="nil"/>
                <w:between w:val="nil"/>
              </w:pBdr>
              <w:spacing w:after="0" w:line="240" w:lineRule="auto"/>
              <w:ind w:leftChars="0" w:left="0" w:firstLineChars="0" w:firstLine="0"/>
              <w:jc w:val="center"/>
              <w:rPr>
                <w:rFonts w:asciiTheme="majorBidi" w:eastAsia="Times New Roman" w:hAnsiTheme="majorBidi" w:cstheme="majorBidi"/>
                <w:color w:val="000000"/>
                <w:sz w:val="20"/>
                <w:szCs w:val="20"/>
              </w:rPr>
            </w:pPr>
            <w:r w:rsidRPr="00DD4419">
              <w:rPr>
                <w:rFonts w:asciiTheme="majorBidi" w:eastAsia="Times New Roman" w:hAnsiTheme="majorBidi" w:cstheme="majorBidi"/>
                <w:color w:val="000000"/>
                <w:sz w:val="20"/>
                <w:szCs w:val="20"/>
              </w:rPr>
              <w:t>0.000</w:t>
            </w:r>
          </w:p>
        </w:tc>
        <w:tc>
          <w:tcPr>
            <w:tcW w:w="1873" w:type="dxa"/>
            <w:vMerge/>
            <w:tcBorders>
              <w:bottom w:val="single" w:sz="4" w:space="0" w:color="000000"/>
            </w:tcBorders>
          </w:tcPr>
          <w:p w14:paraId="6EDFACD2" w14:textId="77777777" w:rsidR="002E4FE2" w:rsidRPr="00DD4419" w:rsidRDefault="002E4FE2" w:rsidP="002E4FE2">
            <w:pPr>
              <w:pBdr>
                <w:top w:val="nil"/>
                <w:left w:val="nil"/>
                <w:bottom w:val="nil"/>
                <w:right w:val="nil"/>
                <w:between w:val="nil"/>
              </w:pBdr>
              <w:spacing w:after="0" w:line="240" w:lineRule="auto"/>
              <w:ind w:leftChars="0" w:left="0" w:firstLineChars="0" w:firstLine="0"/>
              <w:jc w:val="center"/>
              <w:rPr>
                <w:rFonts w:asciiTheme="majorBidi" w:eastAsia="Times New Roman" w:hAnsiTheme="majorBidi" w:cstheme="majorBidi"/>
                <w:color w:val="000000"/>
                <w:sz w:val="20"/>
                <w:szCs w:val="20"/>
              </w:rPr>
            </w:pPr>
          </w:p>
        </w:tc>
      </w:tr>
    </w:tbl>
    <w:p w14:paraId="0327AA50" w14:textId="77777777" w:rsidR="00E67EE2" w:rsidRPr="00DD4419" w:rsidRDefault="00986FD0" w:rsidP="00DC59C4">
      <w:pPr>
        <w:spacing w:after="0" w:line="240" w:lineRule="auto"/>
        <w:ind w:left="0" w:hanging="2"/>
        <w:rPr>
          <w:rFonts w:ascii="Times New Roman" w:eastAsia="Times New Roman" w:hAnsi="Times New Roman" w:cs="Times New Roman"/>
          <w:b/>
          <w:sz w:val="24"/>
          <w:szCs w:val="24"/>
        </w:rPr>
      </w:pPr>
      <w:r w:rsidRPr="00DD4419">
        <w:rPr>
          <w:rFonts w:ascii="Times New Roman" w:eastAsia="Times New Roman" w:hAnsi="Times New Roman" w:cs="Times New Roman"/>
          <w:b/>
          <w:sz w:val="24"/>
          <w:szCs w:val="24"/>
        </w:rPr>
        <w:lastRenderedPageBreak/>
        <w:t>Conclusion</w:t>
      </w:r>
    </w:p>
    <w:p w14:paraId="23BD62A8" w14:textId="77777777" w:rsidR="00730DCE" w:rsidRPr="00DD4419" w:rsidRDefault="00730DCE" w:rsidP="00DC59C4">
      <w:pPr>
        <w:spacing w:after="0" w:line="240" w:lineRule="auto"/>
        <w:ind w:left="0" w:hanging="2"/>
        <w:rPr>
          <w:rFonts w:ascii="Times New Roman" w:eastAsia="Times New Roman" w:hAnsi="Times New Roman" w:cs="Times New Roman"/>
          <w:sz w:val="24"/>
          <w:szCs w:val="24"/>
        </w:rPr>
      </w:pPr>
    </w:p>
    <w:p w14:paraId="337E853A" w14:textId="77777777" w:rsidR="004D2BAA" w:rsidRPr="00DD4419" w:rsidRDefault="004D2BAA" w:rsidP="003B2217">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sidRPr="00DD4419">
        <w:rPr>
          <w:rFonts w:ascii="Times New Roman" w:hAnsi="Times New Roman" w:cs="Times New Roman"/>
          <w:position w:val="0"/>
          <w:sz w:val="24"/>
          <w:szCs w:val="24"/>
        </w:rPr>
        <w:t xml:space="preserve">The FOSS-GIS online training was successful in improving spatial habits, spatial knowledge, and spatial skills. This can be observed in Wilcoxon's Test and Paired Sample T-Test which shows significant difference in scores between the pre-test and post-test. Participants were able to improve their spatial skills as </w:t>
      </w:r>
      <w:r w:rsidR="00AB27CE" w:rsidRPr="00DD4419">
        <w:rPr>
          <w:rFonts w:ascii="Times New Roman" w:hAnsi="Times New Roman" w:cs="Times New Roman"/>
          <w:position w:val="0"/>
          <w:sz w:val="24"/>
          <w:szCs w:val="24"/>
        </w:rPr>
        <w:t xml:space="preserve">proven through map digitizing </w:t>
      </w:r>
      <w:r w:rsidRPr="00DD4419">
        <w:rPr>
          <w:rFonts w:ascii="Times New Roman" w:hAnsi="Times New Roman" w:cs="Times New Roman"/>
          <w:position w:val="0"/>
          <w:sz w:val="24"/>
          <w:szCs w:val="24"/>
        </w:rPr>
        <w:t xml:space="preserve">and making a tsunami hazard map in in </w:t>
      </w:r>
      <w:proofErr w:type="spellStart"/>
      <w:r w:rsidRPr="00DD4419">
        <w:rPr>
          <w:rFonts w:ascii="Times New Roman" w:hAnsi="Times New Roman" w:cs="Times New Roman"/>
          <w:position w:val="0"/>
          <w:sz w:val="24"/>
          <w:szCs w:val="24"/>
        </w:rPr>
        <w:t>Pangandaran</w:t>
      </w:r>
      <w:proofErr w:type="spellEnd"/>
      <w:r w:rsidRPr="00DD4419">
        <w:rPr>
          <w:rFonts w:ascii="Times New Roman" w:hAnsi="Times New Roman" w:cs="Times New Roman"/>
          <w:position w:val="0"/>
          <w:sz w:val="24"/>
          <w:szCs w:val="24"/>
        </w:rPr>
        <w:t xml:space="preserve"> Regency. Correlation between spatial habits and spatial knowledge also state that the relationship was not significant, which means that high scores of spatial knowledge were not necessarily aligned with spatial habits, and vice versa. Overall, this training was successfully carried out although there were obstacles that could be overcome, such as the punctuality of implementation time, inadequate computing facilities and internet networks, and administrative-tasks from the participants.</w:t>
      </w:r>
    </w:p>
    <w:p w14:paraId="660C9F2A" w14:textId="77777777" w:rsidR="003B2217" w:rsidRDefault="003B2217" w:rsidP="00DC59C4">
      <w:pPr>
        <w:spacing w:after="0" w:line="240" w:lineRule="auto"/>
        <w:ind w:left="0" w:hanging="2"/>
        <w:rPr>
          <w:rFonts w:ascii="Times New Roman" w:eastAsia="Times New Roman" w:hAnsi="Times New Roman" w:cs="Times New Roman"/>
          <w:b/>
          <w:sz w:val="24"/>
          <w:szCs w:val="24"/>
        </w:rPr>
      </w:pPr>
    </w:p>
    <w:p w14:paraId="5FAB80C1" w14:textId="77777777" w:rsidR="003B2217" w:rsidRDefault="003B2217" w:rsidP="00DC59C4">
      <w:pPr>
        <w:spacing w:after="0" w:line="240" w:lineRule="auto"/>
        <w:ind w:left="0" w:hanging="2"/>
        <w:rPr>
          <w:rFonts w:ascii="Times New Roman" w:eastAsia="Times New Roman" w:hAnsi="Times New Roman" w:cs="Times New Roman"/>
          <w:b/>
          <w:sz w:val="24"/>
          <w:szCs w:val="24"/>
        </w:rPr>
      </w:pPr>
    </w:p>
    <w:p w14:paraId="17C9C369" w14:textId="0D43088B" w:rsidR="00E67EE2" w:rsidRPr="00DD4419" w:rsidRDefault="00730DCE" w:rsidP="00DC59C4">
      <w:pPr>
        <w:spacing w:after="0" w:line="240" w:lineRule="auto"/>
        <w:ind w:left="0" w:hanging="2"/>
        <w:rPr>
          <w:rFonts w:ascii="Times New Roman" w:eastAsia="Times New Roman" w:hAnsi="Times New Roman" w:cs="Times New Roman"/>
          <w:sz w:val="24"/>
          <w:szCs w:val="24"/>
        </w:rPr>
      </w:pPr>
      <w:r w:rsidRPr="00DD4419">
        <w:rPr>
          <w:rFonts w:ascii="Times New Roman" w:eastAsia="Times New Roman" w:hAnsi="Times New Roman" w:cs="Times New Roman"/>
          <w:b/>
          <w:sz w:val="24"/>
          <w:szCs w:val="24"/>
        </w:rPr>
        <w:t>Acknowledgement</w:t>
      </w:r>
      <w:r w:rsidR="00986FD0" w:rsidRPr="00DD4419">
        <w:rPr>
          <w:rFonts w:ascii="Times New Roman" w:eastAsia="Times New Roman" w:hAnsi="Times New Roman" w:cs="Times New Roman"/>
          <w:b/>
          <w:sz w:val="24"/>
          <w:szCs w:val="24"/>
        </w:rPr>
        <w:t xml:space="preserve"> </w:t>
      </w:r>
    </w:p>
    <w:p w14:paraId="325A559B" w14:textId="77777777" w:rsidR="00E67EE2" w:rsidRPr="00DD4419" w:rsidRDefault="00986FD0" w:rsidP="00DC59C4">
      <w:pPr>
        <w:spacing w:after="0" w:line="240" w:lineRule="auto"/>
        <w:ind w:left="0" w:hanging="2"/>
        <w:rPr>
          <w:rFonts w:ascii="Times New Roman" w:eastAsia="Times New Roman" w:hAnsi="Times New Roman" w:cs="Times New Roman"/>
          <w:sz w:val="24"/>
          <w:szCs w:val="24"/>
        </w:rPr>
      </w:pPr>
      <w:r w:rsidRPr="00DD4419">
        <w:rPr>
          <w:rFonts w:ascii="Times New Roman" w:eastAsia="Times New Roman" w:hAnsi="Times New Roman" w:cs="Times New Roman"/>
          <w:sz w:val="24"/>
          <w:szCs w:val="24"/>
        </w:rPr>
        <w:t xml:space="preserve"> </w:t>
      </w:r>
    </w:p>
    <w:p w14:paraId="4E92F991" w14:textId="77777777" w:rsidR="004D2BAA" w:rsidRPr="00DD4419" w:rsidRDefault="004D2BAA" w:rsidP="00DC59C4">
      <w:pPr>
        <w:suppressAutoHyphens w:val="0"/>
        <w:spacing w:after="0"/>
        <w:ind w:leftChars="0" w:left="0" w:firstLineChars="0" w:firstLine="0"/>
        <w:jc w:val="both"/>
        <w:textDirection w:val="lrTb"/>
        <w:textAlignment w:val="auto"/>
        <w:outlineLvl w:val="9"/>
        <w:rPr>
          <w:rFonts w:ascii="Times New Roman" w:hAnsi="Times New Roman" w:cs="Times New Roman"/>
          <w:position w:val="0"/>
          <w:sz w:val="24"/>
          <w:szCs w:val="24"/>
        </w:rPr>
      </w:pPr>
      <w:r w:rsidRPr="00DD4419">
        <w:rPr>
          <w:rFonts w:ascii="Times New Roman" w:hAnsi="Times New Roman" w:cs="Times New Roman"/>
          <w:position w:val="0"/>
          <w:sz w:val="24"/>
          <w:szCs w:val="24"/>
        </w:rPr>
        <w:t xml:space="preserve">This training was held in collaboration with Universitas Pendidikan Indonesia and the Development Planning Agency (BAPPEDA) of </w:t>
      </w:r>
      <w:proofErr w:type="spellStart"/>
      <w:r w:rsidRPr="00DD4419">
        <w:rPr>
          <w:rFonts w:ascii="Times New Roman" w:hAnsi="Times New Roman" w:cs="Times New Roman"/>
          <w:position w:val="0"/>
          <w:sz w:val="24"/>
          <w:szCs w:val="24"/>
        </w:rPr>
        <w:t>Pangandaran</w:t>
      </w:r>
      <w:proofErr w:type="spellEnd"/>
      <w:r w:rsidRPr="00DD4419">
        <w:rPr>
          <w:rFonts w:ascii="Times New Roman" w:hAnsi="Times New Roman" w:cs="Times New Roman"/>
          <w:position w:val="0"/>
          <w:sz w:val="24"/>
          <w:szCs w:val="24"/>
        </w:rPr>
        <w:t xml:space="preserve"> Regency in 2021. We would like to thank students of Vocational Program on Survey Mapping and Information Geographic (SPIG), especially Rani </w:t>
      </w:r>
      <w:proofErr w:type="spellStart"/>
      <w:r w:rsidRPr="00DD4419">
        <w:rPr>
          <w:rFonts w:ascii="Times New Roman" w:hAnsi="Times New Roman" w:cs="Times New Roman"/>
          <w:position w:val="0"/>
          <w:sz w:val="24"/>
          <w:szCs w:val="24"/>
        </w:rPr>
        <w:t>Nur</w:t>
      </w:r>
      <w:proofErr w:type="spellEnd"/>
      <w:r w:rsidRPr="00DD4419">
        <w:rPr>
          <w:rFonts w:ascii="Times New Roman" w:hAnsi="Times New Roman" w:cs="Times New Roman"/>
          <w:position w:val="0"/>
          <w:sz w:val="24"/>
          <w:szCs w:val="24"/>
        </w:rPr>
        <w:t xml:space="preserve"> Fatimah, </w:t>
      </w:r>
      <w:proofErr w:type="spellStart"/>
      <w:r w:rsidRPr="00DD4419">
        <w:rPr>
          <w:rFonts w:ascii="Times New Roman" w:hAnsi="Times New Roman" w:cs="Times New Roman"/>
          <w:position w:val="0"/>
          <w:sz w:val="24"/>
          <w:szCs w:val="24"/>
        </w:rPr>
        <w:t>Tasyah</w:t>
      </w:r>
      <w:proofErr w:type="spellEnd"/>
      <w:r w:rsidRPr="00DD4419">
        <w:rPr>
          <w:rFonts w:ascii="Times New Roman" w:hAnsi="Times New Roman" w:cs="Times New Roman"/>
          <w:position w:val="0"/>
          <w:sz w:val="24"/>
          <w:szCs w:val="24"/>
        </w:rPr>
        <w:t xml:space="preserve"> </w:t>
      </w:r>
      <w:proofErr w:type="spellStart"/>
      <w:r w:rsidRPr="00DD4419">
        <w:rPr>
          <w:rFonts w:ascii="Times New Roman" w:hAnsi="Times New Roman" w:cs="Times New Roman"/>
          <w:position w:val="0"/>
          <w:sz w:val="24"/>
          <w:szCs w:val="24"/>
        </w:rPr>
        <w:t>Donita</w:t>
      </w:r>
      <w:proofErr w:type="spellEnd"/>
      <w:r w:rsidRPr="00DD4419">
        <w:rPr>
          <w:rFonts w:ascii="Times New Roman" w:hAnsi="Times New Roman" w:cs="Times New Roman"/>
          <w:position w:val="0"/>
          <w:sz w:val="24"/>
          <w:szCs w:val="24"/>
        </w:rPr>
        <w:t xml:space="preserve">, Dian </w:t>
      </w:r>
      <w:proofErr w:type="spellStart"/>
      <w:r w:rsidRPr="00DD4419">
        <w:rPr>
          <w:rFonts w:ascii="Times New Roman" w:hAnsi="Times New Roman" w:cs="Times New Roman"/>
          <w:position w:val="0"/>
          <w:sz w:val="24"/>
          <w:szCs w:val="24"/>
        </w:rPr>
        <w:t>Hamidah</w:t>
      </w:r>
      <w:proofErr w:type="spellEnd"/>
      <w:r w:rsidRPr="00DD4419">
        <w:rPr>
          <w:rFonts w:ascii="Times New Roman" w:hAnsi="Times New Roman" w:cs="Times New Roman"/>
          <w:position w:val="0"/>
          <w:sz w:val="24"/>
          <w:szCs w:val="24"/>
        </w:rPr>
        <w:t xml:space="preserve">, </w:t>
      </w:r>
      <w:proofErr w:type="spellStart"/>
      <w:r w:rsidRPr="00DD4419">
        <w:rPr>
          <w:rFonts w:ascii="Times New Roman" w:hAnsi="Times New Roman" w:cs="Times New Roman"/>
          <w:position w:val="0"/>
          <w:sz w:val="24"/>
          <w:szCs w:val="24"/>
        </w:rPr>
        <w:t>Afina</w:t>
      </w:r>
      <w:proofErr w:type="spellEnd"/>
      <w:r w:rsidRPr="00DD4419">
        <w:rPr>
          <w:rFonts w:ascii="Times New Roman" w:hAnsi="Times New Roman" w:cs="Times New Roman"/>
          <w:position w:val="0"/>
          <w:sz w:val="24"/>
          <w:szCs w:val="24"/>
        </w:rPr>
        <w:t xml:space="preserve"> </w:t>
      </w:r>
      <w:proofErr w:type="spellStart"/>
      <w:r w:rsidRPr="00DD4419">
        <w:rPr>
          <w:rFonts w:ascii="Times New Roman" w:hAnsi="Times New Roman" w:cs="Times New Roman"/>
          <w:position w:val="0"/>
          <w:sz w:val="24"/>
          <w:szCs w:val="24"/>
        </w:rPr>
        <w:t>Naila</w:t>
      </w:r>
      <w:proofErr w:type="spellEnd"/>
      <w:r w:rsidRPr="00DD4419">
        <w:rPr>
          <w:rFonts w:ascii="Times New Roman" w:hAnsi="Times New Roman" w:cs="Times New Roman"/>
          <w:position w:val="0"/>
          <w:sz w:val="24"/>
          <w:szCs w:val="24"/>
        </w:rPr>
        <w:t xml:space="preserve"> </w:t>
      </w:r>
      <w:proofErr w:type="spellStart"/>
      <w:r w:rsidRPr="00DD4419">
        <w:rPr>
          <w:rFonts w:ascii="Times New Roman" w:hAnsi="Times New Roman" w:cs="Times New Roman"/>
          <w:position w:val="0"/>
          <w:sz w:val="24"/>
          <w:szCs w:val="24"/>
        </w:rPr>
        <w:t>Nurfadhilah</w:t>
      </w:r>
      <w:proofErr w:type="spellEnd"/>
      <w:r w:rsidRPr="00DD4419">
        <w:rPr>
          <w:rFonts w:ascii="Times New Roman" w:hAnsi="Times New Roman" w:cs="Times New Roman"/>
          <w:position w:val="0"/>
          <w:sz w:val="24"/>
          <w:szCs w:val="24"/>
        </w:rPr>
        <w:t xml:space="preserve">, and </w:t>
      </w:r>
      <w:proofErr w:type="spellStart"/>
      <w:r w:rsidRPr="00DD4419">
        <w:rPr>
          <w:rFonts w:ascii="Times New Roman" w:hAnsi="Times New Roman" w:cs="Times New Roman"/>
          <w:position w:val="0"/>
          <w:sz w:val="24"/>
          <w:szCs w:val="24"/>
        </w:rPr>
        <w:t>Ihsan</w:t>
      </w:r>
      <w:proofErr w:type="spellEnd"/>
      <w:r w:rsidRPr="00DD4419">
        <w:rPr>
          <w:rFonts w:ascii="Times New Roman" w:hAnsi="Times New Roman" w:cs="Times New Roman"/>
          <w:position w:val="0"/>
          <w:sz w:val="24"/>
          <w:szCs w:val="24"/>
        </w:rPr>
        <w:t xml:space="preserve"> </w:t>
      </w:r>
      <w:proofErr w:type="spellStart"/>
      <w:r w:rsidRPr="00DD4419">
        <w:rPr>
          <w:rFonts w:ascii="Times New Roman" w:hAnsi="Times New Roman" w:cs="Times New Roman"/>
          <w:position w:val="0"/>
          <w:sz w:val="24"/>
          <w:szCs w:val="24"/>
        </w:rPr>
        <w:t>Saepul</w:t>
      </w:r>
      <w:proofErr w:type="spellEnd"/>
      <w:r w:rsidRPr="00DD4419">
        <w:rPr>
          <w:rFonts w:ascii="Times New Roman" w:hAnsi="Times New Roman" w:cs="Times New Roman"/>
          <w:position w:val="0"/>
          <w:sz w:val="24"/>
          <w:szCs w:val="24"/>
        </w:rPr>
        <w:t xml:space="preserve"> Akbar for all their valuable assistance.</w:t>
      </w:r>
    </w:p>
    <w:p w14:paraId="777D1CD8" w14:textId="51775829" w:rsidR="00E67EE2" w:rsidRDefault="00986FD0" w:rsidP="00DC59C4">
      <w:pPr>
        <w:spacing w:after="0" w:line="240" w:lineRule="auto"/>
        <w:ind w:left="0" w:hanging="2"/>
        <w:rPr>
          <w:rFonts w:ascii="Times New Roman" w:eastAsia="Times New Roman" w:hAnsi="Times New Roman" w:cs="Times New Roman"/>
          <w:b/>
          <w:sz w:val="24"/>
          <w:szCs w:val="24"/>
        </w:rPr>
      </w:pPr>
      <w:r w:rsidRPr="00DD4419">
        <w:rPr>
          <w:rFonts w:ascii="Times New Roman" w:eastAsia="Times New Roman" w:hAnsi="Times New Roman" w:cs="Times New Roman"/>
          <w:b/>
          <w:sz w:val="24"/>
          <w:szCs w:val="24"/>
        </w:rPr>
        <w:t xml:space="preserve"> </w:t>
      </w:r>
    </w:p>
    <w:p w14:paraId="6A7DF3E2" w14:textId="77777777" w:rsidR="003B2217" w:rsidRPr="00DD4419" w:rsidRDefault="003B2217" w:rsidP="00DC59C4">
      <w:pPr>
        <w:spacing w:after="0" w:line="240" w:lineRule="auto"/>
        <w:ind w:left="0" w:hanging="2"/>
        <w:rPr>
          <w:rFonts w:ascii="Times New Roman" w:eastAsia="Times New Roman" w:hAnsi="Times New Roman" w:cs="Times New Roman"/>
          <w:sz w:val="24"/>
          <w:szCs w:val="24"/>
        </w:rPr>
      </w:pPr>
    </w:p>
    <w:p w14:paraId="15C87D43" w14:textId="77777777" w:rsidR="00E67EE2" w:rsidRPr="00DD4419" w:rsidRDefault="00730DCE" w:rsidP="00DC59C4">
      <w:pPr>
        <w:spacing w:after="0" w:line="240" w:lineRule="auto"/>
        <w:ind w:left="0" w:hanging="2"/>
        <w:rPr>
          <w:rFonts w:ascii="Times New Roman" w:eastAsia="Times New Roman" w:hAnsi="Times New Roman" w:cs="Times New Roman"/>
          <w:sz w:val="24"/>
          <w:szCs w:val="24"/>
        </w:rPr>
      </w:pPr>
      <w:r w:rsidRPr="00DD4419">
        <w:rPr>
          <w:rFonts w:ascii="Times New Roman" w:eastAsia="Times New Roman" w:hAnsi="Times New Roman" w:cs="Times New Roman"/>
          <w:b/>
          <w:sz w:val="24"/>
          <w:szCs w:val="24"/>
        </w:rPr>
        <w:t>References</w:t>
      </w:r>
      <w:r w:rsidR="00986FD0" w:rsidRPr="00DD4419">
        <w:rPr>
          <w:rFonts w:ascii="Times New Roman" w:eastAsia="Times New Roman" w:hAnsi="Times New Roman" w:cs="Times New Roman"/>
          <w:b/>
          <w:sz w:val="24"/>
          <w:szCs w:val="24"/>
        </w:rPr>
        <w:t xml:space="preserve"> </w:t>
      </w:r>
    </w:p>
    <w:p w14:paraId="477A314E" w14:textId="77777777" w:rsidR="00E67EE2" w:rsidRPr="00DD4419" w:rsidRDefault="00986FD0" w:rsidP="00DC59C4">
      <w:pPr>
        <w:spacing w:after="0" w:line="240" w:lineRule="auto"/>
        <w:ind w:left="0" w:hanging="2"/>
        <w:rPr>
          <w:rFonts w:ascii="Times New Roman" w:eastAsia="Times New Roman" w:hAnsi="Times New Roman" w:cs="Times New Roman"/>
          <w:sz w:val="24"/>
          <w:szCs w:val="24"/>
        </w:rPr>
      </w:pPr>
      <w:r w:rsidRPr="00DD4419">
        <w:rPr>
          <w:rFonts w:ascii="Times New Roman" w:eastAsia="Times New Roman" w:hAnsi="Times New Roman" w:cs="Times New Roman"/>
          <w:b/>
          <w:sz w:val="24"/>
          <w:szCs w:val="24"/>
        </w:rPr>
        <w:t xml:space="preserve"> </w:t>
      </w:r>
    </w:p>
    <w:p w14:paraId="3A09C015" w14:textId="77777777" w:rsidR="002122C9" w:rsidRPr="003B2217" w:rsidRDefault="004D2BAA"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heme="majorBidi" w:hAnsiTheme="majorBidi" w:cstheme="majorBidi"/>
          <w:sz w:val="24"/>
          <w:szCs w:val="24"/>
        </w:rPr>
        <w:fldChar w:fldCharType="begin"/>
      </w:r>
      <w:r w:rsidR="002122C9" w:rsidRPr="003B2217">
        <w:rPr>
          <w:rFonts w:asciiTheme="majorBidi" w:hAnsiTheme="majorBidi" w:cstheme="majorBidi"/>
          <w:sz w:val="24"/>
          <w:szCs w:val="24"/>
        </w:rPr>
        <w:instrText xml:space="preserve"> ADDIN ZOTERO_BIBL {"uncited":[],"omitted":[],"custom":[]} CSL_BIBLIOGRAPHY </w:instrText>
      </w:r>
      <w:r w:rsidRPr="003B2217">
        <w:rPr>
          <w:rFonts w:asciiTheme="majorBidi" w:hAnsiTheme="majorBidi" w:cstheme="majorBidi"/>
          <w:sz w:val="24"/>
          <w:szCs w:val="24"/>
        </w:rPr>
        <w:fldChar w:fldCharType="separate"/>
      </w:r>
      <w:r w:rsidR="002122C9" w:rsidRPr="003B2217">
        <w:rPr>
          <w:rFonts w:ascii="Times New Roman" w:hAnsi="Times New Roman" w:cs="Times New Roman"/>
          <w:sz w:val="24"/>
          <w:szCs w:val="24"/>
        </w:rPr>
        <w:t xml:space="preserve">Bonett, D., &amp; Wright, T. (2014). Cronbach’s alpha reliability: Interval estimation, hypothesis testing, and sample size planning. </w:t>
      </w:r>
      <w:r w:rsidR="002122C9" w:rsidRPr="003B2217">
        <w:rPr>
          <w:rFonts w:ascii="Times New Roman" w:hAnsi="Times New Roman" w:cs="Times New Roman"/>
          <w:i/>
          <w:iCs/>
          <w:sz w:val="24"/>
          <w:szCs w:val="24"/>
        </w:rPr>
        <w:t>Journal of Organizational Behavior</w:t>
      </w:r>
      <w:r w:rsidR="002122C9" w:rsidRPr="003B2217">
        <w:rPr>
          <w:rFonts w:ascii="Times New Roman" w:hAnsi="Times New Roman" w:cs="Times New Roman"/>
          <w:sz w:val="24"/>
          <w:szCs w:val="24"/>
        </w:rPr>
        <w:t xml:space="preserve">, </w:t>
      </w:r>
      <w:r w:rsidR="002122C9" w:rsidRPr="003B2217">
        <w:rPr>
          <w:rFonts w:ascii="Times New Roman" w:hAnsi="Times New Roman" w:cs="Times New Roman"/>
          <w:i/>
          <w:iCs/>
          <w:sz w:val="24"/>
          <w:szCs w:val="24"/>
        </w:rPr>
        <w:t>36</w:t>
      </w:r>
      <w:r w:rsidR="002122C9" w:rsidRPr="003B2217">
        <w:rPr>
          <w:rFonts w:ascii="Times New Roman" w:hAnsi="Times New Roman" w:cs="Times New Roman"/>
          <w:sz w:val="24"/>
          <w:szCs w:val="24"/>
        </w:rPr>
        <w:t>. https://doi.org/10.1002/job.1960</w:t>
      </w:r>
    </w:p>
    <w:p w14:paraId="231AA937" w14:textId="6724E71F"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Christophe, S. (2012). </w:t>
      </w:r>
      <w:r w:rsidRPr="003B2217">
        <w:rPr>
          <w:rFonts w:ascii="Times New Roman" w:hAnsi="Times New Roman" w:cs="Times New Roman"/>
          <w:i/>
          <w:iCs/>
          <w:sz w:val="24"/>
          <w:szCs w:val="24"/>
        </w:rPr>
        <w:t>Cartographic Styles between traditional and original (towards a cartographic style model)</w:t>
      </w:r>
      <w:r w:rsidRPr="003B2217">
        <w:rPr>
          <w:rFonts w:ascii="Times New Roman" w:hAnsi="Times New Roman" w:cs="Times New Roman"/>
          <w:sz w:val="24"/>
          <w:szCs w:val="24"/>
        </w:rPr>
        <w:t>.</w:t>
      </w:r>
      <w:r w:rsidR="005603BB" w:rsidRPr="005603BB">
        <w:t xml:space="preserve"> </w:t>
      </w:r>
      <w:r w:rsidR="005603BB" w:rsidRPr="005603BB">
        <w:rPr>
          <w:rFonts w:ascii="Times New Roman" w:hAnsi="Times New Roman" w:cs="Times New Roman"/>
          <w:sz w:val="24"/>
          <w:szCs w:val="24"/>
        </w:rPr>
        <w:t>Proceedings AutoCarto 2012</w:t>
      </w:r>
      <w:r w:rsidR="005603BB">
        <w:rPr>
          <w:rFonts w:ascii="Times New Roman" w:hAnsi="Times New Roman" w:cs="Times New Roman"/>
          <w:sz w:val="24"/>
          <w:szCs w:val="24"/>
        </w:rPr>
        <w:t>,</w:t>
      </w:r>
      <w:r w:rsidR="005603BB" w:rsidRPr="005603BB">
        <w:rPr>
          <w:rFonts w:ascii="Times New Roman" w:hAnsi="Times New Roman" w:cs="Times New Roman"/>
          <w:sz w:val="24"/>
          <w:szCs w:val="24"/>
        </w:rPr>
        <w:t xml:space="preserve"> Columbus, Ohio, USA</w:t>
      </w:r>
      <w:r w:rsidR="005603BB">
        <w:rPr>
          <w:rFonts w:ascii="Times New Roman" w:hAnsi="Times New Roman" w:cs="Times New Roman"/>
          <w:sz w:val="24"/>
          <w:szCs w:val="24"/>
        </w:rPr>
        <w:t>.</w:t>
      </w:r>
    </w:p>
    <w:p w14:paraId="50DA76AD"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Ciolli, M., Federici, B., Ferrando, I., Marzocchi, R., Sguerso, D., Tattoni, C., Vitti, A., &amp; Zatelli, P. (2017). FOSS Tools and Applications for Education in Geospatial Sciences. </w:t>
      </w:r>
      <w:r w:rsidRPr="003B2217">
        <w:rPr>
          <w:rFonts w:ascii="Times New Roman" w:hAnsi="Times New Roman" w:cs="Times New Roman"/>
          <w:i/>
          <w:iCs/>
          <w:sz w:val="24"/>
          <w:szCs w:val="24"/>
        </w:rPr>
        <w:t>ISPRS International Journal of Geo-Information</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6</w:t>
      </w:r>
      <w:r w:rsidRPr="003B2217">
        <w:rPr>
          <w:rFonts w:ascii="Times New Roman" w:hAnsi="Times New Roman" w:cs="Times New Roman"/>
          <w:sz w:val="24"/>
          <w:szCs w:val="24"/>
        </w:rPr>
        <w:t>(7), 225. https://doi.org/10.3390/ijgi6070225</w:t>
      </w:r>
    </w:p>
    <w:p w14:paraId="6807A090"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de Barros Ahrens, R., da Silva Lirani, L., &amp; de Francisco, A. C. (2020). Construct validity and reliability of the work environment assessment instrument WE-10. </w:t>
      </w:r>
      <w:r w:rsidRPr="003B2217">
        <w:rPr>
          <w:rFonts w:ascii="Times New Roman" w:hAnsi="Times New Roman" w:cs="Times New Roman"/>
          <w:i/>
          <w:iCs/>
          <w:sz w:val="24"/>
          <w:szCs w:val="24"/>
        </w:rPr>
        <w:t>International Journal of Environmental Research and Public Health</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17</w:t>
      </w:r>
      <w:r w:rsidRPr="003B2217">
        <w:rPr>
          <w:rFonts w:ascii="Times New Roman" w:hAnsi="Times New Roman" w:cs="Times New Roman"/>
          <w:sz w:val="24"/>
          <w:szCs w:val="24"/>
        </w:rPr>
        <w:t>(20), 7364. https://doi.org/10.3390/ijerph17207364</w:t>
      </w:r>
    </w:p>
    <w:p w14:paraId="07A7ACBA"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Dede, M., Pramulatsih, G., Widiawaty, M., Ramadhan, Y., &amp; Ati, A. (2019). Dinamika suhu permukaan dan kerapatan vegetasi di Kota Cirebon. </w:t>
      </w:r>
      <w:r w:rsidRPr="003B2217">
        <w:rPr>
          <w:rFonts w:ascii="Times New Roman" w:hAnsi="Times New Roman" w:cs="Times New Roman"/>
          <w:i/>
          <w:iCs/>
          <w:sz w:val="24"/>
          <w:szCs w:val="24"/>
        </w:rPr>
        <w:t>Jurnal Meteorologi Klimatologi Dan Geofisika</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6</w:t>
      </w:r>
      <w:r w:rsidRPr="003B2217">
        <w:rPr>
          <w:rFonts w:ascii="Times New Roman" w:hAnsi="Times New Roman" w:cs="Times New Roman"/>
          <w:sz w:val="24"/>
          <w:szCs w:val="24"/>
        </w:rPr>
        <w:t>, 23–31. https://doi.org/10.36754/jmkg.v6i1.111</w:t>
      </w:r>
    </w:p>
    <w:p w14:paraId="469A0B13"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Donnelly, F. (2017). </w:t>
      </w:r>
      <w:r w:rsidRPr="003B2217">
        <w:rPr>
          <w:rFonts w:ascii="Times New Roman" w:hAnsi="Times New Roman" w:cs="Times New Roman"/>
          <w:i/>
          <w:iCs/>
          <w:sz w:val="24"/>
          <w:szCs w:val="24"/>
        </w:rPr>
        <w:t>Introduction to GIS using open source software</w:t>
      </w:r>
      <w:r w:rsidRPr="003B2217">
        <w:rPr>
          <w:rFonts w:ascii="Times New Roman" w:hAnsi="Times New Roman" w:cs="Times New Roman"/>
          <w:sz w:val="24"/>
          <w:szCs w:val="24"/>
        </w:rPr>
        <w:t xml:space="preserve"> (8 th Edition). Baruch College CUNY.</w:t>
      </w:r>
    </w:p>
    <w:p w14:paraId="1EA7B7E3"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Fitzgerald, S., Dimitrov, D., &amp; Rumrill, P. (2001). The basics of nonparametric statistics. </w:t>
      </w:r>
      <w:r w:rsidRPr="003B2217">
        <w:rPr>
          <w:rFonts w:ascii="Times New Roman" w:hAnsi="Times New Roman" w:cs="Times New Roman"/>
          <w:i/>
          <w:iCs/>
          <w:sz w:val="24"/>
          <w:szCs w:val="24"/>
        </w:rPr>
        <w:t>Work (Reading, Mass.)</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16</w:t>
      </w:r>
      <w:r w:rsidRPr="003B2217">
        <w:rPr>
          <w:rFonts w:ascii="Times New Roman" w:hAnsi="Times New Roman" w:cs="Times New Roman"/>
          <w:sz w:val="24"/>
          <w:szCs w:val="24"/>
        </w:rPr>
        <w:t>, 287–292.</w:t>
      </w:r>
    </w:p>
    <w:p w14:paraId="23464D18"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Flenniken, J. M., Stuglik, S., &amp; Iannone, B. V. (2020). Quantum GIS (QGIS): An introduction to a free alternative to more costly GIS platforms. </w:t>
      </w:r>
      <w:r w:rsidRPr="003B2217">
        <w:rPr>
          <w:rFonts w:ascii="Times New Roman" w:hAnsi="Times New Roman" w:cs="Times New Roman"/>
          <w:i/>
          <w:iCs/>
          <w:sz w:val="24"/>
          <w:szCs w:val="24"/>
        </w:rPr>
        <w:t>EDIS</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2020</w:t>
      </w:r>
      <w:r w:rsidRPr="003B2217">
        <w:rPr>
          <w:rFonts w:ascii="Times New Roman" w:hAnsi="Times New Roman" w:cs="Times New Roman"/>
          <w:sz w:val="24"/>
          <w:szCs w:val="24"/>
        </w:rPr>
        <w:t xml:space="preserve">(2), 7. </w:t>
      </w:r>
      <w:r w:rsidRPr="003B2217">
        <w:rPr>
          <w:rFonts w:ascii="Times New Roman" w:hAnsi="Times New Roman" w:cs="Times New Roman"/>
          <w:sz w:val="24"/>
          <w:szCs w:val="24"/>
        </w:rPr>
        <w:lastRenderedPageBreak/>
        <w:t>https://doi.org/10.32473/edis-fr428-2020</w:t>
      </w:r>
    </w:p>
    <w:p w14:paraId="5B084C16"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Friatma, A., &amp; Anhar, A. (2019). Analysis of validity, reliability, discrimination, difficulty and distraction effectiveness in learning assessment. </w:t>
      </w:r>
      <w:r w:rsidRPr="003B2217">
        <w:rPr>
          <w:rFonts w:ascii="Times New Roman" w:hAnsi="Times New Roman" w:cs="Times New Roman"/>
          <w:i/>
          <w:iCs/>
          <w:sz w:val="24"/>
          <w:szCs w:val="24"/>
        </w:rPr>
        <w:t>Journal of Physics: Conference Series</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1387</w:t>
      </w:r>
      <w:r w:rsidRPr="003B2217">
        <w:rPr>
          <w:rFonts w:ascii="Times New Roman" w:hAnsi="Times New Roman" w:cs="Times New Roman"/>
          <w:sz w:val="24"/>
          <w:szCs w:val="24"/>
        </w:rPr>
        <w:t>, 012063. https://doi.org/10.1088/1742-6596/1387/1/012063</w:t>
      </w:r>
    </w:p>
    <w:p w14:paraId="685BD4F0"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Gherheș, V., Stoian, C. E., Fărcașiu, M. A., &amp; Stanici, M. (2021). E-learning vs. face-to-face learning: Analyzing students’ preferences and behaviors. </w:t>
      </w:r>
      <w:r w:rsidRPr="003B2217">
        <w:rPr>
          <w:rFonts w:ascii="Times New Roman" w:hAnsi="Times New Roman" w:cs="Times New Roman"/>
          <w:i/>
          <w:iCs/>
          <w:sz w:val="24"/>
          <w:szCs w:val="24"/>
        </w:rPr>
        <w:t>Sustainability</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13</w:t>
      </w:r>
      <w:r w:rsidRPr="003B2217">
        <w:rPr>
          <w:rFonts w:ascii="Times New Roman" w:hAnsi="Times New Roman" w:cs="Times New Roman"/>
          <w:sz w:val="24"/>
          <w:szCs w:val="24"/>
        </w:rPr>
        <w:t>(8), 4381. https://doi.org/10.3390/su13084381</w:t>
      </w:r>
    </w:p>
    <w:p w14:paraId="2604D913"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Harvey, F. (2008). </w:t>
      </w:r>
      <w:r w:rsidRPr="003B2217">
        <w:rPr>
          <w:rFonts w:ascii="Times New Roman" w:hAnsi="Times New Roman" w:cs="Times New Roman"/>
          <w:i/>
          <w:iCs/>
          <w:sz w:val="24"/>
          <w:szCs w:val="24"/>
        </w:rPr>
        <w:t>A primer of GIS: second edition: Fundamental geographic and cartographic concepts</w:t>
      </w:r>
      <w:r w:rsidRPr="003B2217">
        <w:rPr>
          <w:rFonts w:ascii="Times New Roman" w:hAnsi="Times New Roman" w:cs="Times New Roman"/>
          <w:sz w:val="24"/>
          <w:szCs w:val="24"/>
        </w:rPr>
        <w:t>. The Guildford Press.</w:t>
      </w:r>
    </w:p>
    <w:p w14:paraId="2308783C"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Howarth, J. T., &amp; Sinton, D. (2011). Sequencing spatial concepts in problem-based GIS instruction. </w:t>
      </w:r>
      <w:r w:rsidRPr="003B2217">
        <w:rPr>
          <w:rFonts w:ascii="Times New Roman" w:hAnsi="Times New Roman" w:cs="Times New Roman"/>
          <w:i/>
          <w:iCs/>
          <w:sz w:val="24"/>
          <w:szCs w:val="24"/>
        </w:rPr>
        <w:t>Procedia - Social and Behavioral Sciences</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21</w:t>
      </w:r>
      <w:r w:rsidRPr="003B2217">
        <w:rPr>
          <w:rFonts w:ascii="Times New Roman" w:hAnsi="Times New Roman" w:cs="Times New Roman"/>
          <w:sz w:val="24"/>
          <w:szCs w:val="24"/>
        </w:rPr>
        <w:t>, 253–259. https://doi.org/10.1016/j.sbspro.2011.07.042</w:t>
      </w:r>
    </w:p>
    <w:p w14:paraId="16F95078"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ICMA. (2017). </w:t>
      </w:r>
      <w:r w:rsidRPr="003B2217">
        <w:rPr>
          <w:rFonts w:ascii="Times New Roman" w:hAnsi="Times New Roman" w:cs="Times New Roman"/>
          <w:i/>
          <w:iCs/>
          <w:sz w:val="24"/>
          <w:szCs w:val="24"/>
        </w:rPr>
        <w:t>A guide for smart communities: Using GIS technology for local government management</w:t>
      </w:r>
      <w:r w:rsidRPr="003B2217">
        <w:rPr>
          <w:rFonts w:ascii="Times New Roman" w:hAnsi="Times New Roman" w:cs="Times New Roman"/>
          <w:sz w:val="24"/>
          <w:szCs w:val="24"/>
        </w:rPr>
        <w:t>. The International City/County Management Association.</w:t>
      </w:r>
    </w:p>
    <w:p w14:paraId="7590C7AF"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Jaafar, M. (2017). Keberkesanan GIS sebagai alat bantu mengajar konsep asas geografi kepada pelajar bukan-geografi (Effectiveness of GIS as a tool in teaching basic geographic concepts to non-geography students). </w:t>
      </w:r>
      <w:r w:rsidRPr="003B2217">
        <w:rPr>
          <w:rFonts w:ascii="Times New Roman" w:hAnsi="Times New Roman" w:cs="Times New Roman"/>
          <w:i/>
          <w:iCs/>
          <w:sz w:val="24"/>
          <w:szCs w:val="24"/>
        </w:rPr>
        <w:t>Geografia-Malaysian Journal of Society and Space</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8</w:t>
      </w:r>
      <w:r w:rsidRPr="003B2217">
        <w:rPr>
          <w:rFonts w:ascii="Times New Roman" w:hAnsi="Times New Roman" w:cs="Times New Roman"/>
          <w:sz w:val="24"/>
          <w:szCs w:val="24"/>
        </w:rPr>
        <w:t>(3), Article 3. http://ejournal.ukm.my/gmjss/article/view/18236</w:t>
      </w:r>
    </w:p>
    <w:p w14:paraId="4E497856"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Jandaghi, G., &amp; Shaterian, F. (2008). Validity, reliability and difficulty indices for instructor-built exam questions. </w:t>
      </w:r>
      <w:r w:rsidRPr="003B2217">
        <w:rPr>
          <w:rFonts w:ascii="Times New Roman" w:hAnsi="Times New Roman" w:cs="Times New Roman"/>
          <w:i/>
          <w:iCs/>
          <w:sz w:val="24"/>
          <w:szCs w:val="24"/>
        </w:rPr>
        <w:t>Journal of Applied Quantitative Methods</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3</w:t>
      </w:r>
      <w:r w:rsidRPr="003B2217">
        <w:rPr>
          <w:rFonts w:ascii="Times New Roman" w:hAnsi="Times New Roman" w:cs="Times New Roman"/>
          <w:sz w:val="24"/>
          <w:szCs w:val="24"/>
        </w:rPr>
        <w:t>(2), 151–155.</w:t>
      </w:r>
    </w:p>
    <w:p w14:paraId="739A6D81"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Johari, J., Sahari, J., Wahab, D. A., Abdullah, S., Abdullah, S., Omar, M. Z., &amp; Muhamad, N. (2011). Difficulty index of examinations and their relation to the achievement of programme outcomes. </w:t>
      </w:r>
      <w:r w:rsidRPr="003B2217">
        <w:rPr>
          <w:rFonts w:ascii="Times New Roman" w:hAnsi="Times New Roman" w:cs="Times New Roman"/>
          <w:i/>
          <w:iCs/>
          <w:sz w:val="24"/>
          <w:szCs w:val="24"/>
        </w:rPr>
        <w:t>Procedia - Social and Behavioral Sciences</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18</w:t>
      </w:r>
      <w:r w:rsidRPr="003B2217">
        <w:rPr>
          <w:rFonts w:ascii="Times New Roman" w:hAnsi="Times New Roman" w:cs="Times New Roman"/>
          <w:sz w:val="24"/>
          <w:szCs w:val="24"/>
        </w:rPr>
        <w:t>, 71–80. https://doi.org/10.1016/j.sbspro.2011.05.011</w:t>
      </w:r>
    </w:p>
    <w:p w14:paraId="0667EE25"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Jovanovic, D., &amp; Matejevic, M. (2014). Relationship between rewards and intrinsic motivation for learning – researches review. </w:t>
      </w:r>
      <w:r w:rsidRPr="003B2217">
        <w:rPr>
          <w:rFonts w:ascii="Times New Roman" w:hAnsi="Times New Roman" w:cs="Times New Roman"/>
          <w:i/>
          <w:iCs/>
          <w:sz w:val="24"/>
          <w:szCs w:val="24"/>
        </w:rPr>
        <w:t>Procedia - Social and Behavioral Sciences</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149</w:t>
      </w:r>
      <w:r w:rsidRPr="003B2217">
        <w:rPr>
          <w:rFonts w:ascii="Times New Roman" w:hAnsi="Times New Roman" w:cs="Times New Roman"/>
          <w:sz w:val="24"/>
          <w:szCs w:val="24"/>
        </w:rPr>
        <w:t>, 456–460. https://doi.org/10.1016/j.sbspro.2014.08.287</w:t>
      </w:r>
    </w:p>
    <w:p w14:paraId="5C27B3B8"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Kim, M. (2011). </w:t>
      </w:r>
      <w:r w:rsidRPr="003B2217">
        <w:rPr>
          <w:rFonts w:ascii="Times New Roman" w:hAnsi="Times New Roman" w:cs="Times New Roman"/>
          <w:i/>
          <w:iCs/>
          <w:sz w:val="24"/>
          <w:szCs w:val="24"/>
        </w:rPr>
        <w:t>Effects of a GIS course on three components of spatial literacy</w:t>
      </w:r>
      <w:r w:rsidRPr="003B2217">
        <w:rPr>
          <w:rFonts w:ascii="Times New Roman" w:hAnsi="Times New Roman" w:cs="Times New Roman"/>
          <w:sz w:val="24"/>
          <w:szCs w:val="24"/>
        </w:rPr>
        <w:t>. Texas A&amp;M University.</w:t>
      </w:r>
    </w:p>
    <w:p w14:paraId="7A266F1C"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Kim, M., &amp; Bednarz, R. (2013a). Development of critical spatial thinking through GIS learning. </w:t>
      </w:r>
      <w:r w:rsidRPr="003B2217">
        <w:rPr>
          <w:rFonts w:ascii="Times New Roman" w:hAnsi="Times New Roman" w:cs="Times New Roman"/>
          <w:i/>
          <w:iCs/>
          <w:sz w:val="24"/>
          <w:szCs w:val="24"/>
        </w:rPr>
        <w:t>Journal of Geography in Higher Education</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37</w:t>
      </w:r>
      <w:r w:rsidRPr="003B2217">
        <w:rPr>
          <w:rFonts w:ascii="Times New Roman" w:hAnsi="Times New Roman" w:cs="Times New Roman"/>
          <w:sz w:val="24"/>
          <w:szCs w:val="24"/>
        </w:rPr>
        <w:t>(3), 350–366. https://doi.org/10.1080/03098265.2013.769091</w:t>
      </w:r>
    </w:p>
    <w:p w14:paraId="2F817A23"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Kim, M., &amp; Bednarz, R. (2013b). Effects of a GIS course on Self-Assessment of Spatial Habits of Mind (SHOM). </w:t>
      </w:r>
      <w:r w:rsidRPr="003B2217">
        <w:rPr>
          <w:rFonts w:ascii="Times New Roman" w:hAnsi="Times New Roman" w:cs="Times New Roman"/>
          <w:i/>
          <w:iCs/>
          <w:sz w:val="24"/>
          <w:szCs w:val="24"/>
        </w:rPr>
        <w:t>Journal of Geography</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112</w:t>
      </w:r>
      <w:r w:rsidRPr="003B2217">
        <w:rPr>
          <w:rFonts w:ascii="Times New Roman" w:hAnsi="Times New Roman" w:cs="Times New Roman"/>
          <w:sz w:val="24"/>
          <w:szCs w:val="24"/>
        </w:rPr>
        <w:t>(4), 165–177. https://doi.org/10.1080/00221341.2012.684356</w:t>
      </w:r>
    </w:p>
    <w:p w14:paraId="15375906"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Lee, J., &amp; Bednarz, R. (2009). Effect of GIS learning on spatial thinking. </w:t>
      </w:r>
      <w:r w:rsidRPr="003B2217">
        <w:rPr>
          <w:rFonts w:ascii="Times New Roman" w:hAnsi="Times New Roman" w:cs="Times New Roman"/>
          <w:i/>
          <w:iCs/>
          <w:sz w:val="24"/>
          <w:szCs w:val="24"/>
        </w:rPr>
        <w:t>Journal of Geography in Higher Education</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33</w:t>
      </w:r>
      <w:r w:rsidRPr="003B2217">
        <w:rPr>
          <w:rFonts w:ascii="Times New Roman" w:hAnsi="Times New Roman" w:cs="Times New Roman"/>
          <w:sz w:val="24"/>
          <w:szCs w:val="24"/>
        </w:rPr>
        <w:t>(2), 183–198. https://doi.org/10.1080/03098260802276714</w:t>
      </w:r>
    </w:p>
    <w:p w14:paraId="075EF986"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Mattivi, P., Franci, F., Lambertini, A., &amp; Bitelli, G. (2019). TWI computation: A comparison of different open source GISs. </w:t>
      </w:r>
      <w:r w:rsidRPr="003B2217">
        <w:rPr>
          <w:rFonts w:ascii="Times New Roman" w:hAnsi="Times New Roman" w:cs="Times New Roman"/>
          <w:i/>
          <w:iCs/>
          <w:sz w:val="24"/>
          <w:szCs w:val="24"/>
        </w:rPr>
        <w:t>Open Geospatial Data, Software and Standards</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4</w:t>
      </w:r>
      <w:r w:rsidRPr="003B2217">
        <w:rPr>
          <w:rFonts w:ascii="Times New Roman" w:hAnsi="Times New Roman" w:cs="Times New Roman"/>
          <w:sz w:val="24"/>
          <w:szCs w:val="24"/>
        </w:rPr>
        <w:t>, 6. https://doi.org/10.1186/s40965-019-0066-y</w:t>
      </w:r>
    </w:p>
    <w:p w14:paraId="619741F3"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Maurya, S., Ohri, A., &amp; Mishra, S. (2015). </w:t>
      </w:r>
      <w:r w:rsidRPr="003B2217">
        <w:rPr>
          <w:rFonts w:ascii="Times New Roman" w:hAnsi="Times New Roman" w:cs="Times New Roman"/>
          <w:i/>
          <w:iCs/>
          <w:sz w:val="24"/>
          <w:szCs w:val="24"/>
        </w:rPr>
        <w:t>Open Source GIS: A Review</w:t>
      </w:r>
      <w:r w:rsidRPr="003B2217">
        <w:rPr>
          <w:rFonts w:ascii="Times New Roman" w:hAnsi="Times New Roman" w:cs="Times New Roman"/>
          <w:sz w:val="24"/>
          <w:szCs w:val="24"/>
        </w:rPr>
        <w:t>. National Conference on Open Source GIS: Opportunities and Challenges.</w:t>
      </w:r>
    </w:p>
    <w:p w14:paraId="02C9F0EE" w14:textId="6840A80F"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Mayalagu, G., Jaafar, M., Choy, L. K., &amp; Mahmud, M. I. (2019). Keberkesanan Geographic Information System (GIS) dalam mencungkil minat pelajar terhadap mata pelajaran Geografi di sekolah menengah (The effectiveness of Geographic Information System (GIS) in fostering student interest in Geography subject in secondary school). </w:t>
      </w:r>
      <w:r w:rsidRPr="003B2217">
        <w:rPr>
          <w:rFonts w:ascii="Times New Roman" w:hAnsi="Times New Roman" w:cs="Times New Roman"/>
          <w:i/>
          <w:iCs/>
          <w:sz w:val="24"/>
          <w:szCs w:val="24"/>
        </w:rPr>
        <w:t>Geografia-</w:t>
      </w:r>
      <w:r w:rsidRPr="003B2217">
        <w:rPr>
          <w:rFonts w:ascii="Times New Roman" w:hAnsi="Times New Roman" w:cs="Times New Roman"/>
          <w:i/>
          <w:iCs/>
          <w:sz w:val="24"/>
          <w:szCs w:val="24"/>
        </w:rPr>
        <w:lastRenderedPageBreak/>
        <w:t>Malaysian Journal of Society and Space</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15</w:t>
      </w:r>
      <w:r w:rsidRPr="003B2217">
        <w:rPr>
          <w:rFonts w:ascii="Times New Roman" w:hAnsi="Times New Roman" w:cs="Times New Roman"/>
          <w:sz w:val="24"/>
          <w:szCs w:val="24"/>
        </w:rPr>
        <w:t xml:space="preserve">(4), </w:t>
      </w:r>
      <w:r w:rsidR="005603BB">
        <w:rPr>
          <w:rFonts w:ascii="Times New Roman" w:hAnsi="Times New Roman" w:cs="Times New Roman"/>
          <w:sz w:val="24"/>
          <w:szCs w:val="24"/>
        </w:rPr>
        <w:t>64-79</w:t>
      </w:r>
      <w:r w:rsidRPr="003B2217">
        <w:rPr>
          <w:rFonts w:ascii="Times New Roman" w:hAnsi="Times New Roman" w:cs="Times New Roman"/>
          <w:sz w:val="24"/>
          <w:szCs w:val="24"/>
        </w:rPr>
        <w:t>.</w:t>
      </w:r>
    </w:p>
    <w:p w14:paraId="182C9249"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Mitra, N. K., Haleagrahara, N., Ponnudurai, G., &amp; Judson, J. (2009). The levels of difficulty and discrimination indices in type a multiple choice questions of pre-clinical semester 1 multidisciplinary summative tests. </w:t>
      </w:r>
      <w:r w:rsidRPr="003B2217">
        <w:rPr>
          <w:rFonts w:ascii="Times New Roman" w:hAnsi="Times New Roman" w:cs="Times New Roman"/>
          <w:i/>
          <w:iCs/>
          <w:sz w:val="24"/>
          <w:szCs w:val="24"/>
        </w:rPr>
        <w:t>International E-Journal of Science, Medicine &amp; Education</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3</w:t>
      </w:r>
      <w:r w:rsidRPr="003B2217">
        <w:rPr>
          <w:rFonts w:ascii="Times New Roman" w:hAnsi="Times New Roman" w:cs="Times New Roman"/>
          <w:sz w:val="24"/>
          <w:szCs w:val="24"/>
        </w:rPr>
        <w:t>, 2–7.</w:t>
      </w:r>
    </w:p>
    <w:p w14:paraId="00F4BA5D"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Nurhayati, A., Aisah, I., &amp; Supriatna, A. K. (2019). Model development of a synergistic sustainable marine ecotourism—A case study in Pangandaran Region, West Java Province, Indonesia. </w:t>
      </w:r>
      <w:r w:rsidRPr="003B2217">
        <w:rPr>
          <w:rFonts w:ascii="Times New Roman" w:hAnsi="Times New Roman" w:cs="Times New Roman"/>
          <w:i/>
          <w:iCs/>
          <w:sz w:val="24"/>
          <w:szCs w:val="24"/>
        </w:rPr>
        <w:t>Sustainability</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11</w:t>
      </w:r>
      <w:r w:rsidRPr="003B2217">
        <w:rPr>
          <w:rFonts w:ascii="Times New Roman" w:hAnsi="Times New Roman" w:cs="Times New Roman"/>
          <w:sz w:val="24"/>
          <w:szCs w:val="24"/>
        </w:rPr>
        <w:t>(12), 3418. https://doi.org/10.3390/su11123418</w:t>
      </w:r>
    </w:p>
    <w:p w14:paraId="479E42F9"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Pancasilawan, R. (2020). Mitigation of disaster risk reduction in Pangandaran Regency. </w:t>
      </w:r>
      <w:r w:rsidRPr="003B2217">
        <w:rPr>
          <w:rFonts w:ascii="Times New Roman" w:hAnsi="Times New Roman" w:cs="Times New Roman"/>
          <w:i/>
          <w:iCs/>
          <w:sz w:val="24"/>
          <w:szCs w:val="24"/>
        </w:rPr>
        <w:t>Sosiohumaniora</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22</w:t>
      </w:r>
      <w:r w:rsidRPr="003B2217">
        <w:rPr>
          <w:rFonts w:ascii="Times New Roman" w:hAnsi="Times New Roman" w:cs="Times New Roman"/>
          <w:sz w:val="24"/>
          <w:szCs w:val="24"/>
        </w:rPr>
        <w:t>. https://doi.org/10.24198/sosiohumaniora.v22i2.25774</w:t>
      </w:r>
    </w:p>
    <w:p w14:paraId="1D7C2559"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Putra, W. K. E. (2017). Peran metadata dalam pencarian data geospasial melalui Infrastruktur Data Spasial Nasional (ISDN). </w:t>
      </w:r>
      <w:r w:rsidRPr="003B2217">
        <w:rPr>
          <w:rFonts w:ascii="Times New Roman" w:hAnsi="Times New Roman" w:cs="Times New Roman"/>
          <w:i/>
          <w:iCs/>
          <w:sz w:val="24"/>
          <w:szCs w:val="24"/>
        </w:rPr>
        <w:t>Media Komunikasi Geografi</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16</w:t>
      </w:r>
      <w:r w:rsidRPr="003B2217">
        <w:rPr>
          <w:rFonts w:ascii="Times New Roman" w:hAnsi="Times New Roman" w:cs="Times New Roman"/>
          <w:sz w:val="24"/>
          <w:szCs w:val="24"/>
        </w:rPr>
        <w:t>(1), Article 1. https://doi.org/10.23887/mkg.v16i1.10170</w:t>
      </w:r>
    </w:p>
    <w:p w14:paraId="3EB192EF"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Putra, T. Y. D., Sekimoto, Y., &amp; Shibasaki, R. (2019). Toward the evolution of national spatial data infrastructure development in indonesia. </w:t>
      </w:r>
      <w:r w:rsidRPr="003B2217">
        <w:rPr>
          <w:rFonts w:ascii="Times New Roman" w:hAnsi="Times New Roman" w:cs="Times New Roman"/>
          <w:i/>
          <w:iCs/>
          <w:sz w:val="24"/>
          <w:szCs w:val="24"/>
        </w:rPr>
        <w:t>ISPRS International Journal of Geo-Information</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8</w:t>
      </w:r>
      <w:r w:rsidRPr="003B2217">
        <w:rPr>
          <w:rFonts w:ascii="Times New Roman" w:hAnsi="Times New Roman" w:cs="Times New Roman"/>
          <w:sz w:val="24"/>
          <w:szCs w:val="24"/>
        </w:rPr>
        <w:t>(6), 263. https://doi.org/10.3390/ijgi8060263</w:t>
      </w:r>
    </w:p>
    <w:p w14:paraId="3D5EBF3B"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Razali, N. M., &amp; Yap, B. (2011). Power Comparisons of Shapiro-Wilk, Kolmogorov-Smirnov, Lilliefors and Anderson-Darling Tests. </w:t>
      </w:r>
      <w:r w:rsidRPr="003B2217">
        <w:rPr>
          <w:rFonts w:ascii="Times New Roman" w:hAnsi="Times New Roman" w:cs="Times New Roman"/>
          <w:i/>
          <w:iCs/>
          <w:sz w:val="24"/>
          <w:szCs w:val="24"/>
        </w:rPr>
        <w:t>J. Stat. Model. Analytics</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2</w:t>
      </w:r>
      <w:r w:rsidRPr="003B2217">
        <w:rPr>
          <w:rFonts w:ascii="Times New Roman" w:hAnsi="Times New Roman" w:cs="Times New Roman"/>
          <w:sz w:val="24"/>
          <w:szCs w:val="24"/>
        </w:rPr>
        <w:t>(1), 21–33.</w:t>
      </w:r>
    </w:p>
    <w:p w14:paraId="76DAFD31"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Riqqi, A., Taradini, J., &amp; Effendi, A. (2018). Pemodelan kualitas Informasi Geospasial Dasar di Indonesia. </w:t>
      </w:r>
      <w:r w:rsidRPr="003B2217">
        <w:rPr>
          <w:rFonts w:ascii="Times New Roman" w:hAnsi="Times New Roman" w:cs="Times New Roman"/>
          <w:i/>
          <w:iCs/>
          <w:sz w:val="24"/>
          <w:szCs w:val="24"/>
        </w:rPr>
        <w:t>Seminar Nasional Geomatika</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24</w:t>
      </w:r>
      <w:r w:rsidRPr="003B2217">
        <w:rPr>
          <w:rFonts w:ascii="Times New Roman" w:hAnsi="Times New Roman" w:cs="Times New Roman"/>
          <w:sz w:val="24"/>
          <w:szCs w:val="24"/>
        </w:rPr>
        <w:t>, 13. https://doi.org/10.24895/JIG.2018.24-1.773</w:t>
      </w:r>
    </w:p>
    <w:p w14:paraId="4A303AEF"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Romadlon, R., Yusuf, Y., &amp; Sarwono. (2021). Effect of learning project model-based learning on GIS spatial thinking skills students. </w:t>
      </w:r>
      <w:r w:rsidRPr="003B2217">
        <w:rPr>
          <w:rFonts w:ascii="Times New Roman" w:hAnsi="Times New Roman" w:cs="Times New Roman"/>
          <w:i/>
          <w:iCs/>
          <w:sz w:val="24"/>
          <w:szCs w:val="24"/>
        </w:rPr>
        <w:t>IOP Conference Series: Earth and Environmental Science</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683</w:t>
      </w:r>
      <w:r w:rsidRPr="003B2217">
        <w:rPr>
          <w:rFonts w:ascii="Times New Roman" w:hAnsi="Times New Roman" w:cs="Times New Roman"/>
          <w:sz w:val="24"/>
          <w:szCs w:val="24"/>
        </w:rPr>
        <w:t>, 012045. https://doi.org/10.1088/1755-1315/683/1/012045</w:t>
      </w:r>
    </w:p>
    <w:p w14:paraId="3751BFA9"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Ross, A., &amp; Willson, V. L. (2017). Paired Samples T-Test. In A. Ross &amp; V. L. Willson (Eds.), </w:t>
      </w:r>
      <w:r w:rsidRPr="003B2217">
        <w:rPr>
          <w:rFonts w:ascii="Times New Roman" w:hAnsi="Times New Roman" w:cs="Times New Roman"/>
          <w:i/>
          <w:iCs/>
          <w:sz w:val="24"/>
          <w:szCs w:val="24"/>
        </w:rPr>
        <w:t>Basic and Advanced Statistical Tests: Writing Results Sections and Creating Tables and Figures</w:t>
      </w:r>
      <w:r w:rsidRPr="003B2217">
        <w:rPr>
          <w:rFonts w:ascii="Times New Roman" w:hAnsi="Times New Roman" w:cs="Times New Roman"/>
          <w:sz w:val="24"/>
          <w:szCs w:val="24"/>
        </w:rPr>
        <w:t xml:space="preserve"> (pp. 17–19). SensePublishers. https://doi.org/10.1007/978-94-6351-086-8_4</w:t>
      </w:r>
    </w:p>
    <w:p w14:paraId="56329241"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Sedgwick, P. (2014). Spearman’s rank correlation coefficient. </w:t>
      </w:r>
      <w:r w:rsidRPr="003B2217">
        <w:rPr>
          <w:rFonts w:ascii="Times New Roman" w:hAnsi="Times New Roman" w:cs="Times New Roman"/>
          <w:i/>
          <w:iCs/>
          <w:sz w:val="24"/>
          <w:szCs w:val="24"/>
        </w:rPr>
        <w:t>BMJ (Online)</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349</w:t>
      </w:r>
      <w:r w:rsidRPr="003B2217">
        <w:rPr>
          <w:rFonts w:ascii="Times New Roman" w:hAnsi="Times New Roman" w:cs="Times New Roman"/>
          <w:sz w:val="24"/>
          <w:szCs w:val="24"/>
        </w:rPr>
        <w:t>, g7327. https://doi.org/10.1136/bmj.g7327</w:t>
      </w:r>
    </w:p>
    <w:p w14:paraId="6D21BBF9"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Setiawan, I., Dede, M., Sugandi, D., &amp; Widiawaty, M. (2019). </w:t>
      </w:r>
      <w:r w:rsidRPr="003B2217">
        <w:rPr>
          <w:rFonts w:ascii="Times New Roman" w:hAnsi="Times New Roman" w:cs="Times New Roman"/>
          <w:i/>
          <w:iCs/>
          <w:sz w:val="24"/>
          <w:szCs w:val="24"/>
        </w:rPr>
        <w:t>Investigating urban crime pattern and accessibility using Geographic Information System in Bandung City</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3</w:t>
      </w:r>
      <w:r w:rsidRPr="003B2217">
        <w:rPr>
          <w:rFonts w:ascii="Times New Roman" w:hAnsi="Times New Roman" w:cs="Times New Roman"/>
          <w:sz w:val="24"/>
          <w:szCs w:val="24"/>
        </w:rPr>
        <w:t>, 535–548. https://doi.org/10.18502/kss.v3i21.4993</w:t>
      </w:r>
    </w:p>
    <w:p w14:paraId="42354308"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Singh, S. S. B., Rathakrishnan, B., Sharif, S., Talin, R., &amp; Eboy, O. (2016). </w:t>
      </w:r>
      <w:r w:rsidRPr="003B2217">
        <w:rPr>
          <w:rFonts w:ascii="Times New Roman" w:hAnsi="Times New Roman" w:cs="Times New Roman"/>
          <w:i/>
          <w:iCs/>
          <w:sz w:val="24"/>
          <w:szCs w:val="24"/>
        </w:rPr>
        <w:t>The effects of geography information system (GIS) based teaching on underachieving students’ mastery goal and achievement</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15</w:t>
      </w:r>
      <w:r w:rsidRPr="003B2217">
        <w:rPr>
          <w:rFonts w:ascii="Times New Roman" w:hAnsi="Times New Roman" w:cs="Times New Roman"/>
          <w:sz w:val="24"/>
          <w:szCs w:val="24"/>
        </w:rPr>
        <w:t>, 119–134.</w:t>
      </w:r>
    </w:p>
    <w:p w14:paraId="10596240"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Siswanto, F., &amp; Hamidah, I. (2019). Perkembangan Informasi Geospasial Tematik tema transportasi setelah penetapan kebijakan satu peta (studi kasus tematik kementerian perhubungan). </w:t>
      </w:r>
      <w:r w:rsidRPr="003B2217">
        <w:rPr>
          <w:rFonts w:ascii="Times New Roman" w:hAnsi="Times New Roman" w:cs="Times New Roman"/>
          <w:i/>
          <w:iCs/>
          <w:sz w:val="24"/>
          <w:szCs w:val="24"/>
        </w:rPr>
        <w:t>Seminar Nasional Geomatika</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3</w:t>
      </w:r>
      <w:r w:rsidRPr="003B2217">
        <w:rPr>
          <w:rFonts w:ascii="Times New Roman" w:hAnsi="Times New Roman" w:cs="Times New Roman"/>
          <w:sz w:val="24"/>
          <w:szCs w:val="24"/>
        </w:rPr>
        <w:t>, 117. https://doi.org/10.24895/SNG.2018.3-0.935</w:t>
      </w:r>
    </w:p>
    <w:p w14:paraId="501AEAA5"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Smirnov, S. V. (2021). Design and application of a specialized information system for monitoring and decision support. </w:t>
      </w:r>
      <w:r w:rsidRPr="003B2217">
        <w:rPr>
          <w:rFonts w:ascii="Times New Roman" w:hAnsi="Times New Roman" w:cs="Times New Roman"/>
          <w:i/>
          <w:iCs/>
          <w:sz w:val="24"/>
          <w:szCs w:val="24"/>
        </w:rPr>
        <w:t>IOP Conference Series: Earth and Environmental Science</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839</w:t>
      </w:r>
      <w:r w:rsidRPr="003B2217">
        <w:rPr>
          <w:rFonts w:ascii="Times New Roman" w:hAnsi="Times New Roman" w:cs="Times New Roman"/>
          <w:sz w:val="24"/>
          <w:szCs w:val="24"/>
        </w:rPr>
        <w:t>(3), 032031. https://doi.org/10.1088/1755-1315/839/3/032031</w:t>
      </w:r>
    </w:p>
    <w:p w14:paraId="33A89B07"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Sun, A., &amp; Chen, X. (2016). Online education and its effective practice: A research review. </w:t>
      </w:r>
      <w:r w:rsidRPr="003B2217">
        <w:rPr>
          <w:rFonts w:ascii="Times New Roman" w:hAnsi="Times New Roman" w:cs="Times New Roman"/>
          <w:i/>
          <w:iCs/>
          <w:sz w:val="24"/>
          <w:szCs w:val="24"/>
        </w:rPr>
        <w:t>Journal of Information Technology Education: Research</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15</w:t>
      </w:r>
      <w:r w:rsidRPr="003B2217">
        <w:rPr>
          <w:rFonts w:ascii="Times New Roman" w:hAnsi="Times New Roman" w:cs="Times New Roman"/>
          <w:sz w:val="24"/>
          <w:szCs w:val="24"/>
        </w:rPr>
        <w:t>, 157–190. https://doi.org/10.28945/3502</w:t>
      </w:r>
    </w:p>
    <w:p w14:paraId="472B6CD0" w14:textId="77777777" w:rsidR="005603BB" w:rsidRDefault="005603BB"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p>
    <w:p w14:paraId="66502246" w14:textId="20BE7F6E"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lastRenderedPageBreak/>
        <w:t xml:space="preserve">Taherdoost, H. (2016). Validity and reliability of the research instrument; how to test the validation of a questionnaire/survey in a research. </w:t>
      </w:r>
      <w:r w:rsidRPr="003B2217">
        <w:rPr>
          <w:rFonts w:ascii="Times New Roman" w:hAnsi="Times New Roman" w:cs="Times New Roman"/>
          <w:i/>
          <w:iCs/>
          <w:sz w:val="24"/>
          <w:szCs w:val="24"/>
        </w:rPr>
        <w:t>International Journal of Academic Research in Management</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5</w:t>
      </w:r>
      <w:r w:rsidRPr="003B2217">
        <w:rPr>
          <w:rFonts w:ascii="Times New Roman" w:hAnsi="Times New Roman" w:cs="Times New Roman"/>
          <w:sz w:val="24"/>
          <w:szCs w:val="24"/>
        </w:rPr>
        <w:t>, 28–36. https://doi.org/10.2139/ssrn.3205040</w:t>
      </w:r>
    </w:p>
    <w:p w14:paraId="2B3FC341"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Vitalis, S., Arroyo Ohori, K., &amp; Stoter, J. (2020). CityJSON in QGIS: Development of an open-source plugin. </w:t>
      </w:r>
      <w:r w:rsidRPr="003B2217">
        <w:rPr>
          <w:rFonts w:ascii="Times New Roman" w:hAnsi="Times New Roman" w:cs="Times New Roman"/>
          <w:i/>
          <w:iCs/>
          <w:sz w:val="24"/>
          <w:szCs w:val="24"/>
        </w:rPr>
        <w:t>Transactions in GIS</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24</w:t>
      </w:r>
      <w:r w:rsidRPr="003B2217">
        <w:rPr>
          <w:rFonts w:ascii="Times New Roman" w:hAnsi="Times New Roman" w:cs="Times New Roman"/>
          <w:sz w:val="24"/>
          <w:szCs w:val="24"/>
        </w:rPr>
        <w:t>(5), 1147–1164. https://doi.org/10.1111/tgis.12657</w:t>
      </w:r>
    </w:p>
    <w:p w14:paraId="483256B3"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Voyer, D., Postma, A., Brake, B., &amp; Imperato-McGinley, J. (2007). Gender differences in object location memory: A meta-analysis. </w:t>
      </w:r>
      <w:r w:rsidRPr="003B2217">
        <w:rPr>
          <w:rFonts w:ascii="Times New Roman" w:hAnsi="Times New Roman" w:cs="Times New Roman"/>
          <w:i/>
          <w:iCs/>
          <w:sz w:val="24"/>
          <w:szCs w:val="24"/>
        </w:rPr>
        <w:t>Psychonomic Bulletin &amp; Review</w:t>
      </w:r>
      <w:r w:rsidRPr="003B2217">
        <w:rPr>
          <w:rFonts w:ascii="Times New Roman" w:hAnsi="Times New Roman" w:cs="Times New Roman"/>
          <w:sz w:val="24"/>
          <w:szCs w:val="24"/>
        </w:rPr>
        <w:t xml:space="preserve">, </w:t>
      </w:r>
      <w:r w:rsidRPr="003B2217">
        <w:rPr>
          <w:rFonts w:ascii="Times New Roman" w:hAnsi="Times New Roman" w:cs="Times New Roman"/>
          <w:i/>
          <w:iCs/>
          <w:sz w:val="24"/>
          <w:szCs w:val="24"/>
        </w:rPr>
        <w:t>14</w:t>
      </w:r>
      <w:r w:rsidRPr="003B2217">
        <w:rPr>
          <w:rFonts w:ascii="Times New Roman" w:hAnsi="Times New Roman" w:cs="Times New Roman"/>
          <w:sz w:val="24"/>
          <w:szCs w:val="24"/>
        </w:rPr>
        <w:t>(1), 23–38. https://doi.org/10.3758/BF03194024</w:t>
      </w:r>
    </w:p>
    <w:p w14:paraId="4E34F2CF" w14:textId="77777777" w:rsidR="002122C9" w:rsidRPr="003B2217" w:rsidRDefault="002122C9" w:rsidP="005603BB">
      <w:pPr>
        <w:pStyle w:val="Bibliography"/>
        <w:widowControl w:val="0"/>
        <w:spacing w:after="0" w:line="240" w:lineRule="auto"/>
        <w:ind w:leftChars="0" w:left="720" w:firstLineChars="0" w:hanging="720"/>
        <w:jc w:val="both"/>
        <w:rPr>
          <w:rFonts w:ascii="Times New Roman" w:hAnsi="Times New Roman" w:cs="Times New Roman"/>
          <w:sz w:val="24"/>
          <w:szCs w:val="24"/>
        </w:rPr>
      </w:pPr>
      <w:r w:rsidRPr="003B2217">
        <w:rPr>
          <w:rFonts w:ascii="Times New Roman" w:hAnsi="Times New Roman" w:cs="Times New Roman"/>
          <w:sz w:val="24"/>
          <w:szCs w:val="24"/>
        </w:rPr>
        <w:t xml:space="preserve">Zar, J. H. (2014). Spearman Rank Correlation: Overview. In </w:t>
      </w:r>
      <w:r w:rsidRPr="003B2217">
        <w:rPr>
          <w:rFonts w:ascii="Times New Roman" w:hAnsi="Times New Roman" w:cs="Times New Roman"/>
          <w:i/>
          <w:iCs/>
          <w:sz w:val="24"/>
          <w:szCs w:val="24"/>
        </w:rPr>
        <w:t>Wiley StatsRef: Statistics Reference Online</w:t>
      </w:r>
      <w:r w:rsidRPr="003B2217">
        <w:rPr>
          <w:rFonts w:ascii="Times New Roman" w:hAnsi="Times New Roman" w:cs="Times New Roman"/>
          <w:sz w:val="24"/>
          <w:szCs w:val="24"/>
        </w:rPr>
        <w:t>. John Wiley &amp; Sons, Ltd. https://doi.org/10.1002/9781118445112.stat05964</w:t>
      </w:r>
    </w:p>
    <w:p w14:paraId="4AF7DFCA" w14:textId="6053CA9C" w:rsidR="004D2BAA" w:rsidRPr="00DD4419" w:rsidRDefault="004D2BAA" w:rsidP="005603BB">
      <w:pPr>
        <w:widowControl w:val="0"/>
        <w:spacing w:after="0" w:line="240" w:lineRule="auto"/>
        <w:ind w:leftChars="0" w:left="720" w:firstLineChars="0" w:hanging="720"/>
        <w:jc w:val="both"/>
        <w:rPr>
          <w:rFonts w:asciiTheme="majorBidi" w:hAnsiTheme="majorBidi" w:cstheme="majorBidi"/>
        </w:rPr>
      </w:pPr>
      <w:r w:rsidRPr="003B2217">
        <w:rPr>
          <w:rFonts w:asciiTheme="majorBidi" w:hAnsiTheme="majorBidi" w:cstheme="majorBidi"/>
          <w:sz w:val="24"/>
          <w:szCs w:val="24"/>
        </w:rPr>
        <w:fldChar w:fldCharType="end"/>
      </w:r>
    </w:p>
    <w:p w14:paraId="2251249F" w14:textId="77777777" w:rsidR="00730DCE" w:rsidRPr="00DD4419" w:rsidRDefault="00730DCE" w:rsidP="00DC59C4">
      <w:pPr>
        <w:spacing w:after="0" w:line="240" w:lineRule="auto"/>
        <w:ind w:left="0" w:hanging="2"/>
        <w:rPr>
          <w:rFonts w:ascii="Times New Roman" w:eastAsia="Times New Roman" w:hAnsi="Times New Roman" w:cs="Times New Roman"/>
          <w:sz w:val="24"/>
          <w:szCs w:val="24"/>
        </w:rPr>
      </w:pPr>
    </w:p>
    <w:p w14:paraId="1DF6B23E" w14:textId="77777777" w:rsidR="00E67EE2" w:rsidRDefault="00986FD0" w:rsidP="00DC59C4">
      <w:pPr>
        <w:spacing w:after="0" w:line="240" w:lineRule="auto"/>
        <w:ind w:left="0" w:hanging="2"/>
        <w:rPr>
          <w:rFonts w:ascii="Times New Roman" w:eastAsia="Times New Roman" w:hAnsi="Times New Roman" w:cs="Times New Roman"/>
          <w:sz w:val="24"/>
          <w:szCs w:val="24"/>
        </w:rPr>
      </w:pPr>
      <w:r w:rsidRPr="00DD4419">
        <w:rPr>
          <w:rFonts w:ascii="Times New Roman" w:eastAsia="Times New Roman" w:hAnsi="Times New Roman" w:cs="Times New Roman"/>
          <w:sz w:val="24"/>
          <w:szCs w:val="24"/>
        </w:rPr>
        <w:t>.</w:t>
      </w:r>
    </w:p>
    <w:sectPr w:rsidR="00E67EE2" w:rsidSect="00C86F7B">
      <w:headerReference w:type="default" r:id="rId12"/>
      <w:pgSz w:w="12240" w:h="15840" w:code="1"/>
      <w:pgMar w:top="1440" w:right="1440" w:bottom="1440" w:left="1440" w:header="720" w:footer="720" w:gutter="0"/>
      <w:pgNumType w:start="96"/>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4BD42" w14:textId="77777777" w:rsidR="00F63B85" w:rsidRDefault="00F63B85">
      <w:pPr>
        <w:spacing w:after="0" w:line="240" w:lineRule="auto"/>
        <w:ind w:left="0" w:hanging="2"/>
      </w:pPr>
      <w:r>
        <w:separator/>
      </w:r>
    </w:p>
  </w:endnote>
  <w:endnote w:type="continuationSeparator" w:id="0">
    <w:p w14:paraId="116654D5" w14:textId="77777777" w:rsidR="00F63B85" w:rsidRDefault="00F63B8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E71BE" w14:textId="77777777" w:rsidR="00F63B85" w:rsidRDefault="00F63B85">
      <w:pPr>
        <w:spacing w:after="0" w:line="240" w:lineRule="auto"/>
        <w:ind w:left="0" w:hanging="2"/>
      </w:pPr>
      <w:r>
        <w:separator/>
      </w:r>
    </w:p>
  </w:footnote>
  <w:footnote w:type="continuationSeparator" w:id="0">
    <w:p w14:paraId="2DD30C5D" w14:textId="77777777" w:rsidR="00F63B85" w:rsidRDefault="00F63B8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2FC0F" w14:textId="77777777" w:rsidR="008B0749" w:rsidRDefault="008B0749">
    <w:pPr>
      <w:tabs>
        <w:tab w:val="left" w:pos="720"/>
        <w:tab w:val="center" w:pos="4680"/>
        <w:tab w:val="right" w:pos="9360"/>
      </w:tabs>
      <w:spacing w:after="0" w:line="240" w:lineRule="auto"/>
      <w:ind w:left="0" w:hanging="2"/>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GEOGRAFIA </w:t>
    </w:r>
    <w:proofErr w:type="spellStart"/>
    <w:r>
      <w:rPr>
        <w:rFonts w:ascii="Times New Roman" w:eastAsia="Times New Roman" w:hAnsi="Times New Roman" w:cs="Times New Roman"/>
        <w:sz w:val="18"/>
        <w:szCs w:val="18"/>
      </w:rPr>
      <w:t>Online</w:t>
    </w:r>
    <w:r>
      <w:rPr>
        <w:rFonts w:ascii="Times New Roman" w:eastAsia="Times New Roman" w:hAnsi="Times New Roman" w:cs="Times New Roman"/>
        <w:sz w:val="18"/>
        <w:szCs w:val="18"/>
        <w:vertAlign w:val="superscript"/>
      </w:rPr>
      <w:t>TM</w:t>
    </w:r>
    <w:proofErr w:type="spellEnd"/>
    <w:r>
      <w:rPr>
        <w:rFonts w:ascii="Times New Roman" w:eastAsia="Times New Roman" w:hAnsi="Times New Roman" w:cs="Times New Roman"/>
        <w:sz w:val="18"/>
        <w:szCs w:val="18"/>
      </w:rPr>
      <w:t xml:space="preserve"> Malaysian Journal of Society and Space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 issue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(x-x)</w:t>
    </w:r>
    <w:r>
      <w:rPr>
        <w:rFonts w:ascii="Times New Roman" w:eastAsia="Times New Roman" w:hAnsi="Times New Roman" w:cs="Times New Roman"/>
        <w:sz w:val="18"/>
        <w:szCs w:val="18"/>
      </w:rPr>
      <w:tab/>
    </w:r>
  </w:p>
  <w:p w14:paraId="409CA0CB" w14:textId="77777777" w:rsidR="008B0749" w:rsidRDefault="008B0749">
    <w:pPr>
      <w:tabs>
        <w:tab w:val="center" w:pos="4680"/>
        <w:tab w:val="right" w:pos="9360"/>
      </w:tabs>
      <w:spacing w:after="0" w:line="240" w:lineRule="auto"/>
      <w:ind w:left="0" w:hanging="2"/>
    </w:pPr>
    <w:r>
      <w:rPr>
        <w:rFonts w:ascii="Times New Roman" w:eastAsia="Times New Roman" w:hAnsi="Times New Roman" w:cs="Times New Roman"/>
        <w:sz w:val="18"/>
        <w:szCs w:val="18"/>
      </w:rPr>
      <w:t xml:space="preserve">© Year, e-ISSN 2682-7727  </w:t>
    </w:r>
    <w:proofErr w:type="spellStart"/>
    <w:r>
      <w:rPr>
        <w:rFonts w:ascii="Times New Roman" w:eastAsia="Times New Roman" w:hAnsi="Times New Roman" w:cs="Times New Roman"/>
        <w:sz w:val="18"/>
        <w:szCs w:val="18"/>
      </w:rPr>
      <w:t>doi</w:t>
    </w:r>
    <w:proofErr w:type="spellEnd"/>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B503B"/>
    <w:multiLevelType w:val="hybridMultilevel"/>
    <w:tmpl w:val="636C9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B67621"/>
    <w:multiLevelType w:val="hybridMultilevel"/>
    <w:tmpl w:val="0F023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5404EF"/>
    <w:multiLevelType w:val="hybridMultilevel"/>
    <w:tmpl w:val="834A5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Y1MDU0szQyMDQ3MzBX0lEKTi0uzszPAykwrAUAC4PRMiwAAAA="/>
  </w:docVars>
  <w:rsids>
    <w:rsidRoot w:val="00E67EE2"/>
    <w:rsid w:val="000120DC"/>
    <w:rsid w:val="0001435B"/>
    <w:rsid w:val="00082177"/>
    <w:rsid w:val="00093B47"/>
    <w:rsid w:val="00095DEA"/>
    <w:rsid w:val="00097D98"/>
    <w:rsid w:val="000B25F9"/>
    <w:rsid w:val="000D7CE7"/>
    <w:rsid w:val="000E12C9"/>
    <w:rsid w:val="000E4EC9"/>
    <w:rsid w:val="000F61A4"/>
    <w:rsid w:val="00102BF8"/>
    <w:rsid w:val="001070C8"/>
    <w:rsid w:val="001754EF"/>
    <w:rsid w:val="00181E5F"/>
    <w:rsid w:val="00184887"/>
    <w:rsid w:val="00192705"/>
    <w:rsid w:val="001C5056"/>
    <w:rsid w:val="001E4036"/>
    <w:rsid w:val="002019E0"/>
    <w:rsid w:val="002122C9"/>
    <w:rsid w:val="00244AEA"/>
    <w:rsid w:val="00250167"/>
    <w:rsid w:val="00282E79"/>
    <w:rsid w:val="00290F87"/>
    <w:rsid w:val="002A2142"/>
    <w:rsid w:val="002A4DA7"/>
    <w:rsid w:val="002A72F6"/>
    <w:rsid w:val="002A7C2B"/>
    <w:rsid w:val="002C2789"/>
    <w:rsid w:val="002E478B"/>
    <w:rsid w:val="002E4FE2"/>
    <w:rsid w:val="0032262E"/>
    <w:rsid w:val="00384D14"/>
    <w:rsid w:val="003B2217"/>
    <w:rsid w:val="003C0A2E"/>
    <w:rsid w:val="004045BE"/>
    <w:rsid w:val="00410727"/>
    <w:rsid w:val="004463CD"/>
    <w:rsid w:val="00447BF0"/>
    <w:rsid w:val="00460013"/>
    <w:rsid w:val="00490A3E"/>
    <w:rsid w:val="004A7BD7"/>
    <w:rsid w:val="004D2BAA"/>
    <w:rsid w:val="0051329A"/>
    <w:rsid w:val="005249F9"/>
    <w:rsid w:val="005327AC"/>
    <w:rsid w:val="005603BB"/>
    <w:rsid w:val="0059486D"/>
    <w:rsid w:val="0059652D"/>
    <w:rsid w:val="005A1475"/>
    <w:rsid w:val="005B109A"/>
    <w:rsid w:val="005C4B57"/>
    <w:rsid w:val="005D0C87"/>
    <w:rsid w:val="006239C7"/>
    <w:rsid w:val="0062564C"/>
    <w:rsid w:val="00652F70"/>
    <w:rsid w:val="00667618"/>
    <w:rsid w:val="006C2E49"/>
    <w:rsid w:val="006D2B18"/>
    <w:rsid w:val="006E1612"/>
    <w:rsid w:val="006F7CDB"/>
    <w:rsid w:val="00704306"/>
    <w:rsid w:val="007264CB"/>
    <w:rsid w:val="00730DCE"/>
    <w:rsid w:val="007C4949"/>
    <w:rsid w:val="007D2629"/>
    <w:rsid w:val="00814A95"/>
    <w:rsid w:val="00822CF7"/>
    <w:rsid w:val="008263A2"/>
    <w:rsid w:val="008371F8"/>
    <w:rsid w:val="00850014"/>
    <w:rsid w:val="00866384"/>
    <w:rsid w:val="00896B63"/>
    <w:rsid w:val="008B0749"/>
    <w:rsid w:val="008E12E9"/>
    <w:rsid w:val="008F7DDE"/>
    <w:rsid w:val="009007AA"/>
    <w:rsid w:val="0091025D"/>
    <w:rsid w:val="00914C0E"/>
    <w:rsid w:val="00920F9C"/>
    <w:rsid w:val="00926E54"/>
    <w:rsid w:val="00973DEE"/>
    <w:rsid w:val="00975AB8"/>
    <w:rsid w:val="00986FD0"/>
    <w:rsid w:val="00995D88"/>
    <w:rsid w:val="009A497C"/>
    <w:rsid w:val="009D406B"/>
    <w:rsid w:val="009D70DB"/>
    <w:rsid w:val="009E3A12"/>
    <w:rsid w:val="00A0290F"/>
    <w:rsid w:val="00A1117C"/>
    <w:rsid w:val="00A53EC6"/>
    <w:rsid w:val="00A60364"/>
    <w:rsid w:val="00A64C92"/>
    <w:rsid w:val="00A938BA"/>
    <w:rsid w:val="00A97A9E"/>
    <w:rsid w:val="00AA421A"/>
    <w:rsid w:val="00AB27CE"/>
    <w:rsid w:val="00AD77E8"/>
    <w:rsid w:val="00AF0630"/>
    <w:rsid w:val="00B13D3D"/>
    <w:rsid w:val="00B14474"/>
    <w:rsid w:val="00B30F42"/>
    <w:rsid w:val="00B40A2C"/>
    <w:rsid w:val="00B508EE"/>
    <w:rsid w:val="00B52ECE"/>
    <w:rsid w:val="00B538D4"/>
    <w:rsid w:val="00B7407F"/>
    <w:rsid w:val="00B951B5"/>
    <w:rsid w:val="00BA76AC"/>
    <w:rsid w:val="00BC0DC5"/>
    <w:rsid w:val="00BC34C4"/>
    <w:rsid w:val="00BD22C1"/>
    <w:rsid w:val="00BE2A85"/>
    <w:rsid w:val="00BE3A0B"/>
    <w:rsid w:val="00BF4047"/>
    <w:rsid w:val="00C16BDE"/>
    <w:rsid w:val="00C60750"/>
    <w:rsid w:val="00C6175C"/>
    <w:rsid w:val="00C758A5"/>
    <w:rsid w:val="00C84D09"/>
    <w:rsid w:val="00C86C70"/>
    <w:rsid w:val="00C86F7B"/>
    <w:rsid w:val="00C9682D"/>
    <w:rsid w:val="00CA6D09"/>
    <w:rsid w:val="00CD1282"/>
    <w:rsid w:val="00CD240D"/>
    <w:rsid w:val="00CE3B51"/>
    <w:rsid w:val="00D12CC0"/>
    <w:rsid w:val="00D15FBD"/>
    <w:rsid w:val="00D165E8"/>
    <w:rsid w:val="00D2290C"/>
    <w:rsid w:val="00DA1EBF"/>
    <w:rsid w:val="00DC59C4"/>
    <w:rsid w:val="00DD4419"/>
    <w:rsid w:val="00E11FFA"/>
    <w:rsid w:val="00E12EDB"/>
    <w:rsid w:val="00E138C3"/>
    <w:rsid w:val="00E13A86"/>
    <w:rsid w:val="00E153A9"/>
    <w:rsid w:val="00E30D9E"/>
    <w:rsid w:val="00E33F1D"/>
    <w:rsid w:val="00E44B2A"/>
    <w:rsid w:val="00E67EE2"/>
    <w:rsid w:val="00E72AD8"/>
    <w:rsid w:val="00E81704"/>
    <w:rsid w:val="00E91286"/>
    <w:rsid w:val="00EA5EAB"/>
    <w:rsid w:val="00EE34D9"/>
    <w:rsid w:val="00EE6722"/>
    <w:rsid w:val="00F1736F"/>
    <w:rsid w:val="00F2321F"/>
    <w:rsid w:val="00F63B85"/>
    <w:rsid w:val="00F70E74"/>
    <w:rsid w:val="00F77A1D"/>
    <w:rsid w:val="00FA55BF"/>
    <w:rsid w:val="00FB58CF"/>
    <w:rsid w:val="00FC2C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7A420"/>
  <w15:docId w15:val="{B0E26410-80FC-4F38-801E-B6CA9A451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070C8"/>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TableGrid3">
    <w:name w:val="Table Grid3"/>
    <w:basedOn w:val="TableNormal"/>
    <w:next w:val="TableGrid"/>
    <w:uiPriority w:val="39"/>
    <w:rsid w:val="002A7C2B"/>
    <w:pPr>
      <w:spacing w:after="0" w:line="240" w:lineRule="auto"/>
      <w:jc w:val="center"/>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327AC"/>
    <w:pPr>
      <w:spacing w:after="0" w:line="240" w:lineRule="auto"/>
      <w:jc w:val="center"/>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86FD0"/>
    <w:pPr>
      <w:spacing w:after="0" w:line="240" w:lineRule="auto"/>
      <w:jc w:val="center"/>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D2BAA"/>
  </w:style>
  <w:style w:type="character" w:styleId="LineNumber">
    <w:name w:val="line number"/>
    <w:basedOn w:val="DefaultParagraphFont"/>
    <w:uiPriority w:val="99"/>
    <w:semiHidden/>
    <w:unhideWhenUsed/>
    <w:rsid w:val="009D70DB"/>
  </w:style>
  <w:style w:type="character" w:customStyle="1" w:styleId="UnresolvedMention">
    <w:name w:val="Unresolved Mention"/>
    <w:basedOn w:val="DefaultParagraphFont"/>
    <w:uiPriority w:val="99"/>
    <w:semiHidden/>
    <w:unhideWhenUsed/>
    <w:rsid w:val="005948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17286</Words>
  <Characters>98536</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2022-02-28T04:21:00Z</dcterms:created>
  <dcterms:modified xsi:type="dcterms:W3CDTF">2022-02-28T04:21:00Z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ZOTERO_PREF_1">
    <vt:lpwstr>&lt;data data-version="3" zotero-version="5.0.96.3"&gt;&lt;session id="yPprx21Z"/&gt;&lt;style id="http://www.zotero.org/styles/apa" locale="en-US" hasBibliography="1" bibliographyStyleHasBeenSet="1"/&gt;&lt;prefs&gt;&lt;pref name="fieldType" value="Field"/&gt;&lt;pref name="delayCitatio</vt:lpwstr>
  </property>
  <property fmtid="{D5CDD505-2E9C-101B-9397-08002B2CF9AE}" pid="4" name="ZOTERO_PREF_2">
    <vt:lpwstr>nUpdates" value="true"/&gt;&lt;pref name="dontAskDelayCitationUpdates" value="true"/&gt;&lt;/prefs&gt;&lt;/data&gt;</vt:lpwstr>
  </property>
</Properties>
</file>