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F7043" w14:textId="77777777"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23E8489C" wp14:editId="21365C4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63529B25" w14:textId="77777777" w:rsidR="006F1887" w:rsidRDefault="006F188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316CE5A" w14:textId="799041AA" w:rsidR="006F1887" w:rsidRDefault="00224401">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224401">
        <w:rPr>
          <w:rFonts w:ascii="Times New Roman" w:eastAsia="Times New Roman" w:hAnsi="Times New Roman" w:cs="Times New Roman"/>
          <w:b/>
          <w:color w:val="000000"/>
          <w:sz w:val="28"/>
          <w:szCs w:val="28"/>
        </w:rPr>
        <w:t>Tertiary Students’ Online Learning Satisfaction during Covid 19 Pandemic Era</w:t>
      </w:r>
      <w:r w:rsidR="00D7686E">
        <w:rPr>
          <w:rFonts w:ascii="Times New Roman" w:eastAsia="Times New Roman" w:hAnsi="Times New Roman" w:cs="Times New Roman"/>
          <w:b/>
          <w:color w:val="000000"/>
          <w:sz w:val="28"/>
          <w:szCs w:val="28"/>
        </w:rPr>
        <w:t xml:space="preserve"> </w:t>
      </w:r>
      <w:r w:rsidRPr="00224401">
        <w:rPr>
          <w:rFonts w:ascii="Times New Roman" w:eastAsia="Times New Roman" w:hAnsi="Times New Roman" w:cs="Times New Roman"/>
          <w:b/>
          <w:color w:val="000000"/>
          <w:sz w:val="28"/>
          <w:szCs w:val="28"/>
        </w:rPr>
        <w:t>- Malaysian study</w:t>
      </w:r>
    </w:p>
    <w:p w14:paraId="4591C74F" w14:textId="77777777" w:rsidR="006F1887" w:rsidRDefault="006F188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3D04F7A" w14:textId="419C719F" w:rsidR="00224401" w:rsidRDefault="0022440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224401">
        <w:rPr>
          <w:rFonts w:ascii="Times New Roman" w:eastAsia="Times New Roman" w:hAnsi="Times New Roman" w:cs="Times New Roman"/>
          <w:color w:val="000000"/>
        </w:rPr>
        <w:t>Soliha</w:t>
      </w:r>
      <w:proofErr w:type="spellEnd"/>
      <w:r w:rsidRPr="00224401">
        <w:rPr>
          <w:rFonts w:ascii="Times New Roman" w:eastAsia="Times New Roman" w:hAnsi="Times New Roman" w:cs="Times New Roman"/>
          <w:color w:val="000000"/>
        </w:rPr>
        <w:t xml:space="preserve"> Sanusi</w:t>
      </w:r>
      <w:r w:rsidRPr="00224401">
        <w:rPr>
          <w:rFonts w:ascii="Times New Roman" w:eastAsia="Times New Roman" w:hAnsi="Times New Roman" w:cs="Times New Roman"/>
          <w:color w:val="000000"/>
          <w:vertAlign w:val="superscript"/>
        </w:rPr>
        <w:t>1</w:t>
      </w:r>
      <w:r w:rsidRPr="00224401">
        <w:rPr>
          <w:rFonts w:ascii="Times New Roman" w:eastAsia="Times New Roman" w:hAnsi="Times New Roman" w:cs="Times New Roman"/>
          <w:color w:val="000000"/>
        </w:rPr>
        <w:t>, Nik Herda Nik Abdullah</w:t>
      </w:r>
      <w:r w:rsidRPr="00224401">
        <w:rPr>
          <w:rFonts w:ascii="Times New Roman" w:eastAsia="Times New Roman" w:hAnsi="Times New Roman" w:cs="Times New Roman"/>
          <w:color w:val="000000"/>
          <w:vertAlign w:val="superscript"/>
        </w:rPr>
        <w:t>2</w:t>
      </w:r>
      <w:r w:rsidRPr="00224401">
        <w:rPr>
          <w:rFonts w:ascii="Times New Roman" w:eastAsia="Times New Roman" w:hAnsi="Times New Roman" w:cs="Times New Roman"/>
          <w:color w:val="000000"/>
        </w:rPr>
        <w:t>, Nabilah Rozzani</w:t>
      </w:r>
      <w:r w:rsidRPr="00224401">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vertAlign w:val="superscript"/>
        </w:rPr>
        <w:t>*</w:t>
      </w:r>
      <w:r w:rsidRPr="00224401">
        <w:rPr>
          <w:rFonts w:ascii="Times New Roman" w:eastAsia="Times New Roman" w:hAnsi="Times New Roman" w:cs="Times New Roman"/>
          <w:color w:val="000000"/>
        </w:rPr>
        <w:t xml:space="preserve">, </w:t>
      </w:r>
      <w:proofErr w:type="spellStart"/>
      <w:r w:rsidRPr="00224401">
        <w:rPr>
          <w:rFonts w:ascii="Times New Roman" w:eastAsia="Times New Roman" w:hAnsi="Times New Roman" w:cs="Times New Roman"/>
          <w:color w:val="000000"/>
        </w:rPr>
        <w:t>Istyakara</w:t>
      </w:r>
      <w:proofErr w:type="spellEnd"/>
      <w:r w:rsidRPr="00224401">
        <w:rPr>
          <w:rFonts w:ascii="Times New Roman" w:eastAsia="Times New Roman" w:hAnsi="Times New Roman" w:cs="Times New Roman"/>
          <w:color w:val="000000"/>
        </w:rPr>
        <w:t xml:space="preserve"> Muslichah</w:t>
      </w:r>
      <w:r w:rsidRPr="00224401">
        <w:rPr>
          <w:rFonts w:ascii="Times New Roman" w:eastAsia="Times New Roman" w:hAnsi="Times New Roman" w:cs="Times New Roman"/>
          <w:color w:val="000000"/>
          <w:vertAlign w:val="superscript"/>
        </w:rPr>
        <w:t>4</w:t>
      </w:r>
    </w:p>
    <w:p w14:paraId="426407C4" w14:textId="77777777" w:rsidR="006F1887" w:rsidRDefault="006F188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28AC65E" w14:textId="08A40ADC" w:rsidR="006F1887" w:rsidRDefault="004D15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F125C3" w:rsidRPr="00F125C3">
        <w:t xml:space="preserve"> </w:t>
      </w:r>
      <w:r w:rsidR="00F125C3" w:rsidRPr="00F125C3">
        <w:rPr>
          <w:rFonts w:ascii="Times New Roman" w:eastAsia="Times New Roman" w:hAnsi="Times New Roman" w:cs="Times New Roman"/>
          <w:color w:val="000000"/>
        </w:rPr>
        <w:t xml:space="preserve">Faculty of Economics and Management, </w:t>
      </w:r>
      <w:proofErr w:type="spellStart"/>
      <w:r w:rsidR="00F125C3" w:rsidRPr="00F125C3">
        <w:rPr>
          <w:rFonts w:ascii="Times New Roman" w:eastAsia="Times New Roman" w:hAnsi="Times New Roman" w:cs="Times New Roman"/>
          <w:color w:val="000000"/>
        </w:rPr>
        <w:t>Universiti</w:t>
      </w:r>
      <w:proofErr w:type="spellEnd"/>
      <w:r w:rsidR="00F125C3" w:rsidRPr="00F125C3">
        <w:rPr>
          <w:rFonts w:ascii="Times New Roman" w:eastAsia="Times New Roman" w:hAnsi="Times New Roman" w:cs="Times New Roman"/>
          <w:color w:val="000000"/>
        </w:rPr>
        <w:t xml:space="preserve"> </w:t>
      </w:r>
      <w:proofErr w:type="spellStart"/>
      <w:r w:rsidR="00F125C3" w:rsidRPr="00F125C3">
        <w:rPr>
          <w:rFonts w:ascii="Times New Roman" w:eastAsia="Times New Roman" w:hAnsi="Times New Roman" w:cs="Times New Roman"/>
          <w:color w:val="000000"/>
        </w:rPr>
        <w:t>Kebangsaan</w:t>
      </w:r>
      <w:proofErr w:type="spellEnd"/>
      <w:r w:rsidR="00F125C3" w:rsidRPr="00F125C3">
        <w:rPr>
          <w:rFonts w:ascii="Times New Roman" w:eastAsia="Times New Roman" w:hAnsi="Times New Roman" w:cs="Times New Roman"/>
          <w:color w:val="000000"/>
        </w:rPr>
        <w:t xml:space="preserve"> Malaysia</w:t>
      </w:r>
    </w:p>
    <w:p w14:paraId="521BD3A0" w14:textId="4D97AA74" w:rsidR="000944BC" w:rsidRDefault="004D1579" w:rsidP="000944B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0944BC" w:rsidRPr="000944BC">
        <w:rPr>
          <w:rFonts w:ascii="Times New Roman" w:eastAsia="Times New Roman" w:hAnsi="Times New Roman" w:cs="Times New Roman"/>
          <w:color w:val="000000"/>
        </w:rPr>
        <w:t xml:space="preserve">School of Accounting and Finance, Faculty of Business &amp; Law, Taylor’s University </w:t>
      </w:r>
    </w:p>
    <w:p w14:paraId="77CA8013" w14:textId="331D71B6" w:rsidR="00F125C3" w:rsidRPr="000944BC" w:rsidRDefault="000944B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sidR="00383738">
        <w:rPr>
          <w:rFonts w:ascii="Times New Roman" w:eastAsia="Times New Roman" w:hAnsi="Times New Roman" w:cs="Times New Roman"/>
          <w:color w:val="000000"/>
        </w:rPr>
        <w:t>Teach for Malaysia</w:t>
      </w:r>
    </w:p>
    <w:p w14:paraId="54E99C33" w14:textId="2C6CD0B0" w:rsidR="00F125C3" w:rsidRPr="000944BC" w:rsidRDefault="000944B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4</w:t>
      </w:r>
      <w:r w:rsidRPr="000944BC">
        <w:t xml:space="preserve"> </w:t>
      </w:r>
      <w:r w:rsidRPr="000944BC">
        <w:rPr>
          <w:rFonts w:ascii="Times New Roman" w:eastAsia="Times New Roman" w:hAnsi="Times New Roman" w:cs="Times New Roman"/>
          <w:color w:val="000000"/>
        </w:rPr>
        <w:t>Department of Management, Faculty of Business and Economics, Universitas Islam Indonesia</w:t>
      </w:r>
    </w:p>
    <w:p w14:paraId="74D8DD1D" w14:textId="77777777" w:rsidR="006F1887" w:rsidRDefault="006F188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EA7A14A" w14:textId="29A7FB9F" w:rsidR="006F1887" w:rsidRDefault="004D157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383738">
        <w:rPr>
          <w:rFonts w:ascii="Times New Roman" w:eastAsia="Times New Roman" w:hAnsi="Times New Roman" w:cs="Times New Roman"/>
          <w:color w:val="000000"/>
        </w:rPr>
        <w:t>Nabilah Rozzani</w:t>
      </w:r>
      <w:r>
        <w:rPr>
          <w:rFonts w:ascii="Times New Roman" w:eastAsia="Times New Roman" w:hAnsi="Times New Roman" w:cs="Times New Roman"/>
          <w:color w:val="000000"/>
        </w:rPr>
        <w:t xml:space="preserve"> (email: </w:t>
      </w:r>
      <w:r w:rsidR="00383738">
        <w:rPr>
          <w:rFonts w:ascii="Times New Roman" w:eastAsia="Times New Roman" w:hAnsi="Times New Roman" w:cs="Times New Roman"/>
          <w:i/>
          <w:color w:val="000000"/>
        </w:rPr>
        <w:t>nabilah.rozzani@gmail.com</w:t>
      </w:r>
      <w:r>
        <w:rPr>
          <w:rFonts w:ascii="Times New Roman" w:eastAsia="Times New Roman" w:hAnsi="Times New Roman" w:cs="Times New Roman"/>
          <w:i/>
          <w:color w:val="000000"/>
        </w:rPr>
        <w:t>)</w:t>
      </w:r>
    </w:p>
    <w:p w14:paraId="113A77CC" w14:textId="77777777" w:rsidR="006F1887" w:rsidRDefault="006F1887">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0B1294F8" w14:textId="77777777" w:rsidR="006F1887" w:rsidRDefault="004D1579">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62E9A8FC" w14:textId="77777777" w:rsidR="006F1887" w:rsidRDefault="006F188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904C2E9" w14:textId="77777777"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06B625B0" w14:textId="7D4AF17E"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14D07787" w14:textId="77777777"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515A0E8" w14:textId="1CBB9E8B" w:rsidR="006F1887" w:rsidRDefault="0038373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w:t>
      </w:r>
      <w:r w:rsidRPr="000B7D9A">
        <w:rPr>
          <w:rFonts w:ascii="Times New Roman" w:eastAsia="Times New Roman" w:hAnsi="Times New Roman" w:cs="Times New Roman"/>
          <w:color w:val="000000"/>
          <w:sz w:val="24"/>
          <w:szCs w:val="24"/>
        </w:rPr>
        <w:t xml:space="preserve"> rapid progression for online learning </w:t>
      </w:r>
      <w:r>
        <w:rPr>
          <w:rFonts w:ascii="Times New Roman" w:eastAsia="Times New Roman" w:hAnsi="Times New Roman" w:cs="Times New Roman"/>
          <w:color w:val="000000"/>
          <w:sz w:val="24"/>
          <w:szCs w:val="24"/>
        </w:rPr>
        <w:t xml:space="preserve">today has </w:t>
      </w:r>
      <w:r w:rsidRPr="000B7D9A">
        <w:rPr>
          <w:rFonts w:ascii="Times New Roman" w:eastAsia="Times New Roman" w:hAnsi="Times New Roman" w:cs="Times New Roman"/>
          <w:color w:val="000000"/>
          <w:sz w:val="24"/>
          <w:szCs w:val="24"/>
        </w:rPr>
        <w:t>bec</w:t>
      </w:r>
      <w:r>
        <w:rPr>
          <w:rFonts w:ascii="Times New Roman" w:eastAsia="Times New Roman" w:hAnsi="Times New Roman" w:cs="Times New Roman"/>
          <w:color w:val="000000"/>
          <w:sz w:val="24"/>
          <w:szCs w:val="24"/>
        </w:rPr>
        <w:t>o</w:t>
      </w:r>
      <w:r w:rsidRPr="000B7D9A">
        <w:rPr>
          <w:rFonts w:ascii="Times New Roman" w:eastAsia="Times New Roman" w:hAnsi="Times New Roman" w:cs="Times New Roman"/>
          <w:color w:val="000000"/>
          <w:sz w:val="24"/>
          <w:szCs w:val="24"/>
        </w:rPr>
        <w:t xml:space="preserve">me even more significant with the Covid 19 pandemic, which had forced </w:t>
      </w:r>
      <w:r w:rsidR="00D7686E">
        <w:rPr>
          <w:rFonts w:ascii="Times New Roman" w:eastAsia="Times New Roman" w:hAnsi="Times New Roman" w:cs="Times New Roman"/>
          <w:color w:val="000000"/>
          <w:sz w:val="24"/>
          <w:szCs w:val="24"/>
        </w:rPr>
        <w:t xml:space="preserve">many </w:t>
      </w:r>
      <w:r w:rsidRPr="000B7D9A">
        <w:rPr>
          <w:rFonts w:ascii="Times New Roman" w:eastAsia="Times New Roman" w:hAnsi="Times New Roman" w:cs="Times New Roman"/>
          <w:color w:val="000000"/>
          <w:sz w:val="24"/>
          <w:szCs w:val="24"/>
        </w:rPr>
        <w:t>schools worldwide to be closed for physical interactions</w:t>
      </w:r>
      <w:r>
        <w:rPr>
          <w:rFonts w:ascii="Times New Roman" w:eastAsia="Times New Roman" w:hAnsi="Times New Roman" w:cs="Times New Roman"/>
          <w:color w:val="000000"/>
          <w:sz w:val="24"/>
          <w:szCs w:val="24"/>
        </w:rPr>
        <w:t>.</w:t>
      </w:r>
      <w:r w:rsidRPr="000944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w:t>
      </w:r>
      <w:r w:rsidRPr="000B7D9A">
        <w:rPr>
          <w:rFonts w:ascii="Times New Roman" w:eastAsia="Times New Roman" w:hAnsi="Times New Roman" w:cs="Times New Roman"/>
          <w:color w:val="000000"/>
          <w:sz w:val="24"/>
          <w:szCs w:val="24"/>
        </w:rPr>
        <w:t xml:space="preserve">ducation providers </w:t>
      </w:r>
      <w:r w:rsidR="00D7686E">
        <w:rPr>
          <w:rFonts w:ascii="Times New Roman" w:eastAsia="Times New Roman" w:hAnsi="Times New Roman" w:cs="Times New Roman"/>
          <w:color w:val="000000"/>
          <w:sz w:val="24"/>
          <w:szCs w:val="24"/>
        </w:rPr>
        <w:t xml:space="preserve">since then </w:t>
      </w:r>
      <w:r>
        <w:rPr>
          <w:rFonts w:ascii="Times New Roman" w:eastAsia="Times New Roman" w:hAnsi="Times New Roman" w:cs="Times New Roman"/>
          <w:color w:val="000000"/>
          <w:sz w:val="24"/>
          <w:szCs w:val="24"/>
        </w:rPr>
        <w:t>have been</w:t>
      </w:r>
      <w:r w:rsidRPr="000B7D9A">
        <w:rPr>
          <w:rFonts w:ascii="Times New Roman" w:eastAsia="Times New Roman" w:hAnsi="Times New Roman" w:cs="Times New Roman"/>
          <w:color w:val="000000"/>
          <w:sz w:val="24"/>
          <w:szCs w:val="24"/>
        </w:rPr>
        <w:t xml:space="preserve"> forced to push forward with the integration of online learning as an alternative to the blackboard-style of learning. From being complementary, online learning has </w:t>
      </w:r>
      <w:r>
        <w:rPr>
          <w:rFonts w:ascii="Times New Roman" w:eastAsia="Times New Roman" w:hAnsi="Times New Roman" w:cs="Times New Roman"/>
          <w:color w:val="000000"/>
          <w:sz w:val="24"/>
          <w:szCs w:val="24"/>
        </w:rPr>
        <w:t>now</w:t>
      </w:r>
      <w:r w:rsidRPr="000B7D9A">
        <w:rPr>
          <w:rFonts w:ascii="Times New Roman" w:eastAsia="Times New Roman" w:hAnsi="Times New Roman" w:cs="Times New Roman"/>
          <w:color w:val="000000"/>
          <w:sz w:val="24"/>
          <w:szCs w:val="24"/>
        </w:rPr>
        <w:t xml:space="preserve"> become the main medium of delivery for teaching and learning for education providers at all levels, including universities. Lecturers and students on tertiary education levels were subconsciously forced to engage with synchronous and asynchronous activities on online platforms.</w:t>
      </w:r>
      <w:r>
        <w:rPr>
          <w:rFonts w:ascii="Times New Roman" w:eastAsia="Times New Roman" w:hAnsi="Times New Roman" w:cs="Times New Roman"/>
          <w:color w:val="000000"/>
          <w:sz w:val="24"/>
          <w:szCs w:val="24"/>
        </w:rPr>
        <w:t xml:space="preserve"> As such, t</w:t>
      </w:r>
      <w:r w:rsidR="000944BC" w:rsidRPr="000944BC">
        <w:rPr>
          <w:rFonts w:ascii="Times New Roman" w:eastAsia="Times New Roman" w:hAnsi="Times New Roman" w:cs="Times New Roman"/>
          <w:color w:val="000000"/>
          <w:sz w:val="24"/>
          <w:szCs w:val="24"/>
        </w:rPr>
        <w:t>his study examines the higher learning institution students’ preparedness, motivation, internet availability, technical support and psychological support that influences students’ online learning satisfaction in Malaysia. Data from 334 respondents were collected online across Malaysia within three months from December 2020 until February 2021. Structural Equation Model using Smart PLS 3.2.4 was used to analyze the data, whereby five hypotheses were examined in the current study. The findings demonstrated that motivation, psychological support, and technical support</w:t>
      </w:r>
      <w:r w:rsidR="00D7686E">
        <w:rPr>
          <w:rFonts w:ascii="Times New Roman" w:eastAsia="Times New Roman" w:hAnsi="Times New Roman" w:cs="Times New Roman"/>
          <w:color w:val="000000"/>
          <w:sz w:val="24"/>
          <w:szCs w:val="24"/>
        </w:rPr>
        <w:t xml:space="preserve"> had</w:t>
      </w:r>
      <w:r w:rsidR="000944BC" w:rsidRPr="000944BC">
        <w:rPr>
          <w:rFonts w:ascii="Times New Roman" w:eastAsia="Times New Roman" w:hAnsi="Times New Roman" w:cs="Times New Roman"/>
          <w:color w:val="000000"/>
          <w:sz w:val="24"/>
          <w:szCs w:val="24"/>
        </w:rPr>
        <w:t xml:space="preserve"> significantly affected students’ satisfaction. The outcomes of this study contributed to the research on online learning during the Covid 19 pandemic as only a few research had been performed</w:t>
      </w:r>
      <w:r w:rsidR="00D7686E">
        <w:rPr>
          <w:rFonts w:ascii="Times New Roman" w:eastAsia="Times New Roman" w:hAnsi="Times New Roman" w:cs="Times New Roman"/>
          <w:color w:val="000000"/>
          <w:sz w:val="24"/>
          <w:szCs w:val="24"/>
        </w:rPr>
        <w:t xml:space="preserve"> on this subject matter</w:t>
      </w:r>
      <w:r w:rsidR="000944BC" w:rsidRPr="000944BC">
        <w:rPr>
          <w:rFonts w:ascii="Times New Roman" w:eastAsia="Times New Roman" w:hAnsi="Times New Roman" w:cs="Times New Roman"/>
          <w:color w:val="000000"/>
          <w:sz w:val="24"/>
          <w:szCs w:val="24"/>
        </w:rPr>
        <w:t xml:space="preserve">, </w:t>
      </w:r>
      <w:r w:rsidR="00D7686E">
        <w:rPr>
          <w:rFonts w:ascii="Times New Roman" w:eastAsia="Times New Roman" w:hAnsi="Times New Roman" w:cs="Times New Roman"/>
          <w:color w:val="000000"/>
          <w:sz w:val="24"/>
          <w:szCs w:val="24"/>
        </w:rPr>
        <w:t>particularly</w:t>
      </w:r>
      <w:r w:rsidR="000944BC" w:rsidRPr="000944BC">
        <w:rPr>
          <w:rFonts w:ascii="Times New Roman" w:eastAsia="Times New Roman" w:hAnsi="Times New Roman" w:cs="Times New Roman"/>
          <w:color w:val="000000"/>
          <w:sz w:val="24"/>
          <w:szCs w:val="24"/>
        </w:rPr>
        <w:t xml:space="preserve"> in Malaysia. It was suggested to compare the study amongst different countries as a comparative study to understand what factors of other countries have contributed to their students’ online learning satisfaction in the higher learning institutions.</w:t>
      </w:r>
      <w:r w:rsidR="004D1579">
        <w:rPr>
          <w:rFonts w:ascii="Times New Roman" w:eastAsia="Times New Roman" w:hAnsi="Times New Roman" w:cs="Times New Roman"/>
          <w:b/>
          <w:color w:val="000000"/>
          <w:sz w:val="24"/>
          <w:szCs w:val="24"/>
        </w:rPr>
        <w:t xml:space="preserve"> </w:t>
      </w:r>
    </w:p>
    <w:p w14:paraId="20E89E17" w14:textId="2384128D" w:rsidR="000944BC" w:rsidRDefault="000944B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D49CFD1" w14:textId="602AE232" w:rsidR="000B7D9A" w:rsidRDefault="000B7D9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B7D9A">
        <w:rPr>
          <w:rFonts w:ascii="Times New Roman" w:eastAsia="Times New Roman" w:hAnsi="Times New Roman" w:cs="Times New Roman"/>
          <w:b/>
          <w:bCs/>
          <w:color w:val="000000"/>
          <w:sz w:val="24"/>
          <w:szCs w:val="24"/>
        </w:rPr>
        <w:t>Keywords</w:t>
      </w:r>
      <w:r w:rsidRPr="000B7D9A">
        <w:rPr>
          <w:rFonts w:ascii="Times New Roman" w:eastAsia="Times New Roman" w:hAnsi="Times New Roman" w:cs="Times New Roman"/>
          <w:color w:val="000000"/>
          <w:sz w:val="24"/>
          <w:szCs w:val="24"/>
        </w:rPr>
        <w:t>: Covid 19, online learning, psychological support, students’ satisfaction, technical support</w:t>
      </w:r>
    </w:p>
    <w:p w14:paraId="4B51FDD8" w14:textId="4180883D" w:rsidR="000B7D9A" w:rsidRDefault="000B7D9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AF75716" w14:textId="77777777" w:rsidR="0059272A" w:rsidRDefault="0059272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CDAD9B" w14:textId="77777777" w:rsidR="00383738" w:rsidRDefault="0038373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85F9154" w14:textId="77777777"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 </w:t>
      </w:r>
    </w:p>
    <w:p w14:paraId="755715DC" w14:textId="168B56FD"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Introduction </w:t>
      </w:r>
    </w:p>
    <w:p w14:paraId="28EE8AAA" w14:textId="77777777"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22433AD" w14:textId="0E6843F7" w:rsidR="000B7D9A" w:rsidRDefault="000B7D9A" w:rsidP="000B7D9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B7D9A">
        <w:rPr>
          <w:rFonts w:ascii="Times New Roman" w:eastAsia="Times New Roman" w:hAnsi="Times New Roman" w:cs="Times New Roman"/>
          <w:color w:val="000000"/>
          <w:sz w:val="24"/>
          <w:szCs w:val="24"/>
        </w:rPr>
        <w:t>The advancement of technology today has been developed tremendously to accommodate the needs of education, which has required a need for fast-moving knowledge transfer to take place within the community. This comes with the rise of online learning as a complementary teaching and learning tool for educators across the globe. As teaching and learning become delivered across multiple platforms across the internet via online learning, these platforms started to become a massive catalyst for people to become more adaptive to the rapid change in global education (</w:t>
      </w:r>
      <w:proofErr w:type="spellStart"/>
      <w:r w:rsidRPr="000B7D9A">
        <w:rPr>
          <w:rFonts w:ascii="Times New Roman" w:eastAsia="Times New Roman" w:hAnsi="Times New Roman" w:cs="Times New Roman"/>
          <w:color w:val="000000"/>
          <w:sz w:val="24"/>
          <w:szCs w:val="24"/>
        </w:rPr>
        <w:t>Koksal</w:t>
      </w:r>
      <w:proofErr w:type="spellEnd"/>
      <w:r w:rsidRPr="000B7D9A">
        <w:rPr>
          <w:rFonts w:ascii="Times New Roman" w:eastAsia="Times New Roman" w:hAnsi="Times New Roman" w:cs="Times New Roman"/>
          <w:color w:val="000000"/>
          <w:sz w:val="24"/>
          <w:szCs w:val="24"/>
        </w:rPr>
        <w:t xml:space="preserve">, 2020). There was already high growth and adoption in education technology, with global education technology investments reaching US$18.66 billion in 2019. The overall market for online education, regardless of it being language applications, virtual tutoring, video conferencing tools, or online learning software, was being projected to reach US$350 billion by 2025 (Li &amp; Lalani, 2020). </w:t>
      </w:r>
    </w:p>
    <w:p w14:paraId="510423B6" w14:textId="77777777" w:rsidR="000B7D9A" w:rsidRPr="000B7D9A" w:rsidRDefault="000B7D9A" w:rsidP="000B7D9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1DF25C1" w14:textId="26DAD3D0" w:rsidR="000B7D9A" w:rsidRDefault="000B7D9A" w:rsidP="000B7D9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B7D9A">
        <w:rPr>
          <w:rFonts w:ascii="Times New Roman" w:eastAsia="Times New Roman" w:hAnsi="Times New Roman" w:cs="Times New Roman"/>
          <w:color w:val="000000"/>
          <w:sz w:val="24"/>
          <w:szCs w:val="24"/>
        </w:rPr>
        <w:t xml:space="preserve">This rapid progression for online learning became even more significant with the Covid 19 pandemic, which had forced schools worldwide to be closed for physical interactions. From this closure, over 1.2 billion learners in 186 countries were forced to be out of their usual classroom setting (Li &amp; Lalani, 2020). Ever since then, all education providers were forced to push forward with the integration of online learning as an alternative to the blackboard-style of learning. From being complementary, online learning has since become the main medium of delivery for teaching and learning for education providers at all levels, including universities. Lecturers and students on tertiary education levels were subconsciously forced to engage with synchronous and asynchronous activities on online platforms. </w:t>
      </w:r>
    </w:p>
    <w:p w14:paraId="33FC8C1C" w14:textId="77777777" w:rsidR="000B7D9A" w:rsidRPr="000B7D9A" w:rsidRDefault="000B7D9A" w:rsidP="000B7D9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C0751D7" w14:textId="7FBFAC36" w:rsidR="006F1887" w:rsidRDefault="000B7D9A" w:rsidP="000B7D9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B7D9A">
        <w:rPr>
          <w:rFonts w:ascii="Times New Roman" w:eastAsia="Times New Roman" w:hAnsi="Times New Roman" w:cs="Times New Roman"/>
          <w:color w:val="000000"/>
          <w:sz w:val="24"/>
          <w:szCs w:val="24"/>
        </w:rPr>
        <w:t>Learning of this gap of adapting with the new mechanics, also to ensure that the quality of education for students remain at a satisfactory level, the current study aims to examine the higher learning institution students’ preparedness, motivation, internet availability, technical support, and psychological support that influences students’ online learning satisfaction in Malaysia. This paper is further structured to be as follows. Section 2 develops the literature review that structures the overall study. The research method is defined in Section 3, with results reported in Section 4. The discussion of the findings and the conclusions drawn are in Section 5.</w:t>
      </w:r>
      <w:r w:rsidR="004D1579">
        <w:rPr>
          <w:rFonts w:ascii="Times New Roman" w:eastAsia="Times New Roman" w:hAnsi="Times New Roman" w:cs="Times New Roman"/>
          <w:b/>
          <w:color w:val="000000"/>
          <w:sz w:val="24"/>
          <w:szCs w:val="24"/>
        </w:rPr>
        <w:t xml:space="preserve"> </w:t>
      </w:r>
    </w:p>
    <w:p w14:paraId="1FDB95E0" w14:textId="51026AEB" w:rsidR="006F1887" w:rsidRDefault="004D1579" w:rsidP="000B7D9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C5FE6AD" w14:textId="77777777" w:rsidR="00D270EC" w:rsidRDefault="00D270EC" w:rsidP="000B7D9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6117403" w14:textId="108A0A00"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269C756D" w14:textId="10E15A79"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65D3B99" w14:textId="77777777" w:rsidR="00256208" w:rsidRPr="00256208" w:rsidRDefault="00256208" w:rsidP="00256208">
      <w:pPr>
        <w:pStyle w:val="Heading2"/>
        <w:spacing w:before="0" w:after="0"/>
        <w:ind w:left="0" w:hanging="2"/>
        <w:rPr>
          <w:rFonts w:asciiTheme="majorBidi" w:hAnsiTheme="majorBidi" w:cstheme="majorBidi"/>
          <w:color w:val="0E101A"/>
          <w:position w:val="0"/>
          <w:sz w:val="24"/>
          <w:szCs w:val="24"/>
          <w:lang w:eastAsia="en-GB"/>
        </w:rPr>
      </w:pPr>
      <w:r w:rsidRPr="00256208">
        <w:rPr>
          <w:rFonts w:asciiTheme="majorBidi" w:hAnsiTheme="majorBidi" w:cstheme="majorBidi"/>
          <w:color w:val="0E101A"/>
          <w:sz w:val="24"/>
          <w:szCs w:val="24"/>
        </w:rPr>
        <w:t>Student satisfaction</w:t>
      </w:r>
    </w:p>
    <w:p w14:paraId="01C44350" w14:textId="77777777" w:rsidR="00256208" w:rsidRDefault="00256208" w:rsidP="00256208">
      <w:pPr>
        <w:pStyle w:val="NormalWeb"/>
        <w:spacing w:before="0" w:beforeAutospacing="0" w:after="0" w:afterAutospacing="0"/>
        <w:ind w:hanging="2"/>
        <w:jc w:val="both"/>
        <w:rPr>
          <w:color w:val="0E101A"/>
        </w:rPr>
      </w:pPr>
    </w:p>
    <w:p w14:paraId="615708A9" w14:textId="073B98E8" w:rsidR="00256208" w:rsidRDefault="00256208" w:rsidP="00256208">
      <w:pPr>
        <w:pStyle w:val="NormalWeb"/>
        <w:spacing w:before="0" w:beforeAutospacing="0" w:after="0" w:afterAutospacing="0"/>
        <w:ind w:hanging="2"/>
        <w:jc w:val="both"/>
        <w:rPr>
          <w:color w:val="0E101A"/>
        </w:rPr>
      </w:pPr>
      <w:r>
        <w:rPr>
          <w:color w:val="0E101A"/>
        </w:rPr>
        <w:t xml:space="preserve">Student satisfaction is the most critical factor in encouraging students to continue learning. </w:t>
      </w:r>
      <w:proofErr w:type="spellStart"/>
      <w:r>
        <w:rPr>
          <w:color w:val="0E101A"/>
        </w:rPr>
        <w:t>Astin</w:t>
      </w:r>
      <w:proofErr w:type="spellEnd"/>
      <w:r>
        <w:rPr>
          <w:color w:val="0E101A"/>
        </w:rPr>
        <w:t xml:space="preserve"> (1993) defines student satisfaction as a student's appraisal of their learning experiences at their academic institution. Meanwhile, </w:t>
      </w:r>
      <w:proofErr w:type="spellStart"/>
      <w:r>
        <w:rPr>
          <w:color w:val="0E101A"/>
        </w:rPr>
        <w:t>Muilenburg</w:t>
      </w:r>
      <w:proofErr w:type="spellEnd"/>
      <w:r>
        <w:rPr>
          <w:color w:val="0E101A"/>
        </w:rPr>
        <w:t xml:space="preserve"> and Berge (2005) stated that significant differences persist in students' perceptions of their online learning experiences. Thus, students' perspectives on their educational experiences </w:t>
      </w:r>
      <w:r w:rsidR="00D270EC">
        <w:rPr>
          <w:color w:val="0E101A"/>
        </w:rPr>
        <w:t>can</w:t>
      </w:r>
      <w:r>
        <w:rPr>
          <w:color w:val="0E101A"/>
        </w:rPr>
        <w:t xml:space="preserve"> influence their commitment to pursuing the course and their overall satisfaction with their online education learning experiences (</w:t>
      </w:r>
      <w:proofErr w:type="spellStart"/>
      <w:r>
        <w:rPr>
          <w:color w:val="0E101A"/>
        </w:rPr>
        <w:t>Carr</w:t>
      </w:r>
      <w:proofErr w:type="spellEnd"/>
      <w:r>
        <w:rPr>
          <w:color w:val="0E101A"/>
        </w:rPr>
        <w:t>, 2000). When evaluating accomplishments in the implementation of online learning, one of the most critical factors considered is student satisfaction (</w:t>
      </w:r>
      <w:proofErr w:type="spellStart"/>
      <w:r>
        <w:rPr>
          <w:color w:val="0E101A"/>
        </w:rPr>
        <w:t>Harsasi</w:t>
      </w:r>
      <w:proofErr w:type="spellEnd"/>
      <w:r>
        <w:rPr>
          <w:color w:val="0E101A"/>
        </w:rPr>
        <w:t xml:space="preserve"> &amp; </w:t>
      </w:r>
      <w:proofErr w:type="spellStart"/>
      <w:r>
        <w:rPr>
          <w:color w:val="0E101A"/>
        </w:rPr>
        <w:t>Sutawijaya</w:t>
      </w:r>
      <w:proofErr w:type="spellEnd"/>
      <w:r>
        <w:rPr>
          <w:color w:val="0E101A"/>
        </w:rPr>
        <w:t>, 2018).</w:t>
      </w:r>
    </w:p>
    <w:p w14:paraId="3A80B5D1" w14:textId="77777777" w:rsidR="00D270EC" w:rsidRDefault="00D270EC" w:rsidP="00256208">
      <w:pPr>
        <w:pStyle w:val="NormalWeb"/>
        <w:spacing w:before="0" w:beforeAutospacing="0" w:after="0" w:afterAutospacing="0"/>
        <w:ind w:hanging="2"/>
        <w:jc w:val="both"/>
        <w:rPr>
          <w:color w:val="0E101A"/>
        </w:rPr>
      </w:pPr>
    </w:p>
    <w:p w14:paraId="62F428DE" w14:textId="61895C2F" w:rsidR="00256208" w:rsidRDefault="00256208" w:rsidP="00256208">
      <w:pPr>
        <w:pStyle w:val="NormalWeb"/>
        <w:spacing w:before="0" w:beforeAutospacing="0" w:after="0" w:afterAutospacing="0"/>
        <w:ind w:hanging="2"/>
        <w:jc w:val="both"/>
        <w:rPr>
          <w:color w:val="0E101A"/>
        </w:rPr>
      </w:pPr>
      <w:r>
        <w:rPr>
          <w:color w:val="0E101A"/>
        </w:rPr>
        <w:lastRenderedPageBreak/>
        <w:t xml:space="preserve">Elliott and Healy (2001) asserted that student satisfaction is a short-term attitude </w:t>
      </w:r>
      <w:r w:rsidR="00D270EC">
        <w:rPr>
          <w:color w:val="0E101A"/>
        </w:rPr>
        <w:t>because of</w:t>
      </w:r>
      <w:r>
        <w:rPr>
          <w:color w:val="0E101A"/>
        </w:rPr>
        <w:t xml:space="preserve"> students' educational experiences being evaluated. Hence, this is a factor that contributes to student retention and is an outcome of the educational system (Navarro et al., 2005). Elliot and Shin (2002), yet again, describe student satisfaction as students' subjective assessments of academic performance and experiences. Thus, student satisfaction can be described in terms of relative interaction and actual performance related to educational services offered during the period of study (Mukhtar et al., 2015). Taking everything into account, student satisfaction can be defined as a short-term </w:t>
      </w:r>
      <w:r w:rsidR="00D270EC">
        <w:rPr>
          <w:color w:val="0E101A"/>
        </w:rPr>
        <w:t>behaviour</w:t>
      </w:r>
      <w:r>
        <w:rPr>
          <w:color w:val="0E101A"/>
        </w:rPr>
        <w:t xml:space="preserve"> formed based on an evaluation of students' experiences, services, and educational facilities (Li et al., 2016). </w:t>
      </w:r>
    </w:p>
    <w:p w14:paraId="0164185E" w14:textId="77777777" w:rsidR="00D270EC" w:rsidRDefault="00D270EC" w:rsidP="00256208">
      <w:pPr>
        <w:pStyle w:val="NormalWeb"/>
        <w:spacing w:before="0" w:beforeAutospacing="0" w:after="0" w:afterAutospacing="0"/>
        <w:ind w:hanging="2"/>
        <w:jc w:val="both"/>
        <w:rPr>
          <w:color w:val="0E101A"/>
        </w:rPr>
      </w:pPr>
    </w:p>
    <w:p w14:paraId="64879754" w14:textId="5B13BC89" w:rsidR="00256208" w:rsidRDefault="00256208" w:rsidP="00256208">
      <w:pPr>
        <w:pStyle w:val="NormalWeb"/>
        <w:spacing w:before="0" w:beforeAutospacing="0" w:after="0" w:afterAutospacing="0"/>
        <w:ind w:hanging="2"/>
        <w:jc w:val="both"/>
        <w:rPr>
          <w:color w:val="0E101A"/>
        </w:rPr>
      </w:pPr>
      <w:r>
        <w:rPr>
          <w:color w:val="0E101A"/>
        </w:rPr>
        <w:t xml:space="preserve">Numerous factors contribute to student satisfaction in a virtual atmosphere. For instance, </w:t>
      </w:r>
      <w:proofErr w:type="spellStart"/>
      <w:r>
        <w:rPr>
          <w:color w:val="0E101A"/>
        </w:rPr>
        <w:t>Bolliger</w:t>
      </w:r>
      <w:proofErr w:type="spellEnd"/>
      <w:r>
        <w:rPr>
          <w:color w:val="0E101A"/>
        </w:rPr>
        <w:t xml:space="preserve"> and </w:t>
      </w:r>
      <w:proofErr w:type="spellStart"/>
      <w:r>
        <w:rPr>
          <w:color w:val="0E101A"/>
        </w:rPr>
        <w:t>Wasilik</w:t>
      </w:r>
      <w:proofErr w:type="spellEnd"/>
      <w:r>
        <w:rPr>
          <w:color w:val="0E101A"/>
        </w:rPr>
        <w:t xml:space="preserve"> (2009) discovered three critical aspects that contribute to online student satisfaction, namely the teacher or educator, the technology tools, and the interaction. This included communications about the course and lesson constituent elements, concerns about the management system, and websites. Furthermore, </w:t>
      </w:r>
      <w:proofErr w:type="spellStart"/>
      <w:r>
        <w:rPr>
          <w:color w:val="0E101A"/>
        </w:rPr>
        <w:t>Liaw</w:t>
      </w:r>
      <w:proofErr w:type="spellEnd"/>
      <w:r>
        <w:rPr>
          <w:color w:val="0E101A"/>
        </w:rPr>
        <w:t xml:space="preserve"> (2008) has identified essential constructs such as students' views on assessment tasks and self-belief, social skills, system quality, and interactive media instruction. On the other hand, they identified some obstacles to virtual learning that students face, including administration matters, technical problems, time constraints, social contact, academic skills, and restricted access to materials.</w:t>
      </w:r>
    </w:p>
    <w:p w14:paraId="1F34C7FC" w14:textId="77777777" w:rsidR="00D270EC" w:rsidRDefault="00D270EC" w:rsidP="00256208">
      <w:pPr>
        <w:pStyle w:val="NormalWeb"/>
        <w:spacing w:before="0" w:beforeAutospacing="0" w:after="0" w:afterAutospacing="0"/>
        <w:ind w:hanging="2"/>
        <w:jc w:val="both"/>
        <w:rPr>
          <w:color w:val="0E101A"/>
        </w:rPr>
      </w:pPr>
    </w:p>
    <w:p w14:paraId="40C5619C" w14:textId="22846195" w:rsidR="00256208" w:rsidRDefault="00256208" w:rsidP="00256208">
      <w:pPr>
        <w:pStyle w:val="NormalWeb"/>
        <w:spacing w:before="0" w:beforeAutospacing="0" w:after="0" w:afterAutospacing="0"/>
        <w:ind w:hanging="2"/>
        <w:jc w:val="both"/>
        <w:rPr>
          <w:color w:val="0E101A"/>
        </w:rPr>
      </w:pPr>
      <w:r>
        <w:rPr>
          <w:color w:val="0E101A"/>
        </w:rPr>
        <w:t>Although numerous studies on online learning at the university level have been conducted, very little research has been conducted on the factors that influence students' satisfaction with online teaching and learning during pandemics Covid</w:t>
      </w:r>
      <w:r w:rsidR="00EC7130">
        <w:rPr>
          <w:color w:val="0E101A"/>
        </w:rPr>
        <w:t xml:space="preserve"> </w:t>
      </w:r>
      <w:r>
        <w:rPr>
          <w:color w:val="0E101A"/>
        </w:rPr>
        <w:t>19. As such, it is critical to investigate the factors that influenced students' satisfaction with higher education during the Covid</w:t>
      </w:r>
      <w:r w:rsidR="00D270EC">
        <w:rPr>
          <w:color w:val="0E101A"/>
        </w:rPr>
        <w:t xml:space="preserve"> </w:t>
      </w:r>
      <w:r>
        <w:rPr>
          <w:color w:val="0E101A"/>
        </w:rPr>
        <w:t>19 pandemic. Thus, it is crucial to elicit student perspectives on educational institutions to facilitate management in implementing policies that improve teaching and learning conditions.</w:t>
      </w:r>
    </w:p>
    <w:p w14:paraId="6F3E6D51" w14:textId="77777777" w:rsidR="00256208" w:rsidRDefault="00256208" w:rsidP="00256208">
      <w:pPr>
        <w:pStyle w:val="NormalWeb"/>
        <w:spacing w:before="0" w:beforeAutospacing="0" w:after="0" w:afterAutospacing="0"/>
        <w:ind w:hanging="2"/>
        <w:jc w:val="both"/>
        <w:rPr>
          <w:color w:val="0E101A"/>
        </w:rPr>
      </w:pPr>
    </w:p>
    <w:p w14:paraId="48F4BFDA" w14:textId="41AFC637" w:rsidR="00256208" w:rsidRDefault="00256208" w:rsidP="00256208">
      <w:pPr>
        <w:pStyle w:val="Heading2"/>
        <w:spacing w:before="0" w:after="0"/>
        <w:ind w:left="0" w:hanging="2"/>
        <w:jc w:val="both"/>
        <w:rPr>
          <w:b w:val="0"/>
          <w:color w:val="0E101A"/>
        </w:rPr>
      </w:pPr>
      <w:r>
        <w:rPr>
          <w:rFonts w:asciiTheme="majorBidi" w:hAnsiTheme="majorBidi" w:cstheme="majorBidi"/>
          <w:color w:val="0E101A"/>
          <w:sz w:val="24"/>
          <w:szCs w:val="24"/>
        </w:rPr>
        <w:t>St</w:t>
      </w:r>
      <w:r w:rsidRPr="00256208">
        <w:rPr>
          <w:rFonts w:asciiTheme="majorBidi" w:hAnsiTheme="majorBidi" w:cstheme="majorBidi"/>
          <w:color w:val="0E101A"/>
          <w:sz w:val="24"/>
          <w:szCs w:val="24"/>
        </w:rPr>
        <w:t>udents’ preparedness and student’s satisfaction</w:t>
      </w:r>
    </w:p>
    <w:p w14:paraId="7070D8BF" w14:textId="77777777" w:rsidR="00256208" w:rsidRDefault="00256208" w:rsidP="00256208">
      <w:pPr>
        <w:pStyle w:val="NormalWeb"/>
        <w:spacing w:before="0" w:beforeAutospacing="0" w:after="0" w:afterAutospacing="0"/>
        <w:ind w:hanging="2"/>
        <w:jc w:val="both"/>
        <w:rPr>
          <w:color w:val="0E101A"/>
        </w:rPr>
      </w:pPr>
    </w:p>
    <w:p w14:paraId="34380D53" w14:textId="79090B2E" w:rsidR="00256208" w:rsidRDefault="00256208" w:rsidP="00256208">
      <w:pPr>
        <w:pStyle w:val="NormalWeb"/>
        <w:spacing w:before="0" w:beforeAutospacing="0" w:after="0" w:afterAutospacing="0"/>
        <w:ind w:hanging="2"/>
        <w:jc w:val="both"/>
        <w:rPr>
          <w:color w:val="0E101A"/>
        </w:rPr>
      </w:pPr>
      <w:r>
        <w:rPr>
          <w:color w:val="0E101A"/>
        </w:rPr>
        <w:t xml:space="preserve">The study began as a reaction to a sequence of queries established by </w:t>
      </w:r>
      <w:proofErr w:type="spellStart"/>
      <w:r>
        <w:rPr>
          <w:color w:val="0E101A"/>
        </w:rPr>
        <w:t>Arif</w:t>
      </w:r>
      <w:proofErr w:type="spellEnd"/>
      <w:r>
        <w:rPr>
          <w:color w:val="0E101A"/>
        </w:rPr>
        <w:t xml:space="preserve"> (2001) regarding students' readiness for online learning. For example, the preparedness of students will consider whether the student is adequately prepared to use computer technology and whether the student possesses the necessary competencies for accessing and navigating through course content. When it comes to educational models, the question will be, is the student prepared for self-evaluation and self-belief to adjust to new learning routes? Lastly, is the student ready to abandon traditional study techniques in </w:t>
      </w:r>
      <w:r w:rsidR="00986F97">
        <w:rPr>
          <w:color w:val="0E101A"/>
        </w:rPr>
        <w:t>favour</w:t>
      </w:r>
      <w:r>
        <w:rPr>
          <w:color w:val="0E101A"/>
        </w:rPr>
        <w:t xml:space="preserve"> of new ones?</w:t>
      </w:r>
    </w:p>
    <w:p w14:paraId="0A58C706" w14:textId="77777777" w:rsidR="00D270EC" w:rsidRDefault="00D270EC" w:rsidP="00256208">
      <w:pPr>
        <w:pStyle w:val="NormalWeb"/>
        <w:spacing w:before="0" w:beforeAutospacing="0" w:after="0" w:afterAutospacing="0"/>
        <w:ind w:hanging="2"/>
        <w:jc w:val="both"/>
        <w:rPr>
          <w:color w:val="0E101A"/>
        </w:rPr>
      </w:pPr>
    </w:p>
    <w:p w14:paraId="6563FF65" w14:textId="4BA05337" w:rsidR="00256208" w:rsidRDefault="00256208" w:rsidP="00256208">
      <w:pPr>
        <w:pStyle w:val="NormalWeb"/>
        <w:spacing w:before="0" w:beforeAutospacing="0" w:after="0" w:afterAutospacing="0"/>
        <w:ind w:hanging="2"/>
        <w:jc w:val="both"/>
        <w:rPr>
          <w:color w:val="0E101A"/>
        </w:rPr>
      </w:pPr>
      <w:r>
        <w:rPr>
          <w:color w:val="0E101A"/>
        </w:rPr>
        <w:t xml:space="preserve">In a university setting where online learning has become the chosen approach to lesson delivery, it may appear realistic to assume that these technology-assisted, instinctive digital students will thrive in such learning conditions. These students frequently strive through online learning. Additionally, attrition rates for online learning classes are mostly more significant than those for conventional face-to-face classes (Waugh &amp; </w:t>
      </w:r>
      <w:proofErr w:type="spellStart"/>
      <w:r>
        <w:rPr>
          <w:color w:val="0E101A"/>
        </w:rPr>
        <w:t>Su</w:t>
      </w:r>
      <w:proofErr w:type="spellEnd"/>
      <w:r>
        <w:rPr>
          <w:color w:val="0E101A"/>
        </w:rPr>
        <w:t>-Searle, 2014). These factors call into doubt students' readiness for university-level online learning settings.</w:t>
      </w:r>
    </w:p>
    <w:p w14:paraId="60A546C3" w14:textId="77777777" w:rsidR="00EC7130" w:rsidRDefault="00EC7130" w:rsidP="00256208">
      <w:pPr>
        <w:pStyle w:val="NormalWeb"/>
        <w:spacing w:before="0" w:beforeAutospacing="0" w:after="0" w:afterAutospacing="0"/>
        <w:ind w:hanging="2"/>
        <w:jc w:val="both"/>
        <w:rPr>
          <w:color w:val="0E101A"/>
        </w:rPr>
      </w:pPr>
    </w:p>
    <w:p w14:paraId="4849A227" w14:textId="439AF2D9" w:rsidR="00256208" w:rsidRDefault="00256208" w:rsidP="00256208">
      <w:pPr>
        <w:pStyle w:val="NormalWeb"/>
        <w:spacing w:before="0" w:beforeAutospacing="0" w:after="0" w:afterAutospacing="0"/>
        <w:ind w:hanging="2"/>
        <w:jc w:val="both"/>
        <w:rPr>
          <w:color w:val="0E101A"/>
        </w:rPr>
      </w:pPr>
      <w:r>
        <w:rPr>
          <w:color w:val="0E101A"/>
        </w:rPr>
        <w:t xml:space="preserve">Despite the speedy growth and recognition of online learning at the university level, not much research seems to have been conducted on students' preparedness or readiness for learning </w:t>
      </w:r>
      <w:r>
        <w:rPr>
          <w:color w:val="0E101A"/>
        </w:rPr>
        <w:lastRenderedPageBreak/>
        <w:t>conditions. Warner et al. (1998) led one of the earliest studies on student preparedness for online learning, employing a sample from the Australian Vocational Education and Training (VET) sector. The findings revealed that students were neither adequately prepared nor receptive to online learning. Parkes et al. (2015) found that students generally lacked perceived preparedness and lacked online learning competencies. While students may be adequately ready to handle the technology associated with online learning, they are not adequately willing for tasks such as reading and writing, being clear and succinct in responses, creating ideas, strategic planning, presenting arguments, and collaborating with others.</w:t>
      </w:r>
    </w:p>
    <w:p w14:paraId="2A635423" w14:textId="77777777" w:rsidR="00D270EC" w:rsidRDefault="00D270EC" w:rsidP="00256208">
      <w:pPr>
        <w:pStyle w:val="NormalWeb"/>
        <w:spacing w:before="0" w:beforeAutospacing="0" w:after="0" w:afterAutospacing="0"/>
        <w:ind w:hanging="2"/>
        <w:jc w:val="both"/>
        <w:rPr>
          <w:color w:val="0E101A"/>
        </w:rPr>
      </w:pPr>
    </w:p>
    <w:p w14:paraId="4BDE918D" w14:textId="2943F5FC" w:rsidR="00256208" w:rsidRDefault="00256208" w:rsidP="00256208">
      <w:pPr>
        <w:pStyle w:val="NormalWeb"/>
        <w:spacing w:before="0" w:beforeAutospacing="0" w:after="0" w:afterAutospacing="0"/>
        <w:ind w:hanging="2"/>
        <w:jc w:val="both"/>
        <w:rPr>
          <w:color w:val="0E101A"/>
        </w:rPr>
      </w:pPr>
      <w:r>
        <w:rPr>
          <w:color w:val="0E101A"/>
        </w:rPr>
        <w:t xml:space="preserve">A study by </w:t>
      </w:r>
      <w:proofErr w:type="spellStart"/>
      <w:r>
        <w:rPr>
          <w:color w:val="0E101A"/>
        </w:rPr>
        <w:t>Abdous</w:t>
      </w:r>
      <w:proofErr w:type="spellEnd"/>
      <w:r>
        <w:rPr>
          <w:color w:val="0E101A"/>
        </w:rPr>
        <w:t xml:space="preserve"> (2019) sheds light on the critical nature of fostering an encouraging online learning experience by improving students' anxiety about completing online lessons. Thus, allowing students to complete an orientation to online learning should help them feel more willing to learn. Based on the findings of previous research and the related literature, </w:t>
      </w:r>
      <w:r w:rsidR="00D270EC">
        <w:rPr>
          <w:color w:val="0E101A"/>
        </w:rPr>
        <w:t>students’</w:t>
      </w:r>
      <w:r>
        <w:rPr>
          <w:color w:val="0E101A"/>
        </w:rPr>
        <w:t xml:space="preserve"> preparedness may be one of the factors that contribute to students' teaching and learning satisfaction. As a result, the following hypothesis is presented:</w:t>
      </w:r>
    </w:p>
    <w:p w14:paraId="2F408E94" w14:textId="77777777" w:rsidR="00D270EC" w:rsidRDefault="00D270EC" w:rsidP="00256208">
      <w:pPr>
        <w:pStyle w:val="NormalWeb"/>
        <w:spacing w:before="0" w:beforeAutospacing="0" w:after="0" w:afterAutospacing="0"/>
        <w:ind w:hanging="2"/>
        <w:jc w:val="both"/>
        <w:rPr>
          <w:color w:val="0E101A"/>
        </w:rPr>
      </w:pPr>
    </w:p>
    <w:p w14:paraId="3482B0D4" w14:textId="5AAA88EC" w:rsidR="00256208" w:rsidRDefault="00256208" w:rsidP="00256208">
      <w:pPr>
        <w:pStyle w:val="NormalWeb"/>
        <w:spacing w:before="0" w:beforeAutospacing="0" w:after="0" w:afterAutospacing="0"/>
        <w:ind w:hanging="2"/>
        <w:jc w:val="both"/>
        <w:rPr>
          <w:color w:val="0E101A"/>
        </w:rPr>
      </w:pPr>
      <w:r>
        <w:rPr>
          <w:color w:val="0E101A"/>
        </w:rPr>
        <w:t>H1: There is a positive relationship between students’ preparedness and students’ learning satisfaction during the Covid</w:t>
      </w:r>
      <w:r w:rsidR="00D270EC">
        <w:rPr>
          <w:color w:val="0E101A"/>
        </w:rPr>
        <w:t xml:space="preserve"> </w:t>
      </w:r>
      <w:r>
        <w:rPr>
          <w:color w:val="0E101A"/>
        </w:rPr>
        <w:t>19 pandemic.</w:t>
      </w:r>
    </w:p>
    <w:p w14:paraId="14C6905B" w14:textId="77777777" w:rsidR="00256208" w:rsidRDefault="00256208" w:rsidP="00256208">
      <w:pPr>
        <w:pStyle w:val="NormalWeb"/>
        <w:spacing w:before="0" w:beforeAutospacing="0" w:after="0" w:afterAutospacing="0"/>
        <w:ind w:hanging="2"/>
        <w:jc w:val="both"/>
        <w:rPr>
          <w:color w:val="0E101A"/>
        </w:rPr>
      </w:pPr>
    </w:p>
    <w:p w14:paraId="209CB6A5" w14:textId="77777777" w:rsidR="00256208" w:rsidRDefault="00256208" w:rsidP="00256208">
      <w:pPr>
        <w:pStyle w:val="NormalWeb"/>
        <w:spacing w:before="0" w:beforeAutospacing="0" w:after="0" w:afterAutospacing="0"/>
        <w:ind w:hanging="2"/>
        <w:jc w:val="both"/>
        <w:rPr>
          <w:color w:val="0E101A"/>
        </w:rPr>
      </w:pPr>
    </w:p>
    <w:p w14:paraId="3717ABA3" w14:textId="77777777" w:rsidR="00256208" w:rsidRPr="00256208" w:rsidRDefault="00256208" w:rsidP="00256208">
      <w:pPr>
        <w:pStyle w:val="Heading2"/>
        <w:spacing w:before="0" w:after="0"/>
        <w:ind w:left="0" w:hanging="2"/>
        <w:jc w:val="both"/>
        <w:rPr>
          <w:rFonts w:asciiTheme="majorBidi" w:hAnsiTheme="majorBidi" w:cstheme="majorBidi"/>
          <w:color w:val="0E101A"/>
          <w:sz w:val="24"/>
          <w:szCs w:val="24"/>
        </w:rPr>
      </w:pPr>
      <w:r w:rsidRPr="00256208">
        <w:rPr>
          <w:rFonts w:asciiTheme="majorBidi" w:hAnsiTheme="majorBidi" w:cstheme="majorBidi"/>
          <w:color w:val="0E101A"/>
          <w:sz w:val="24"/>
          <w:szCs w:val="24"/>
        </w:rPr>
        <w:t>Student’s motivation and student’s satisfaction</w:t>
      </w:r>
    </w:p>
    <w:p w14:paraId="222061EF" w14:textId="77777777" w:rsidR="00256208" w:rsidRDefault="00256208" w:rsidP="00256208">
      <w:pPr>
        <w:pStyle w:val="NormalWeb"/>
        <w:spacing w:before="0" w:beforeAutospacing="0" w:after="0" w:afterAutospacing="0"/>
        <w:ind w:hanging="2"/>
        <w:jc w:val="both"/>
        <w:rPr>
          <w:color w:val="0E101A"/>
        </w:rPr>
      </w:pPr>
    </w:p>
    <w:p w14:paraId="4F59DFDF" w14:textId="5B53B8AC" w:rsidR="00256208" w:rsidRDefault="00256208" w:rsidP="00256208">
      <w:pPr>
        <w:pStyle w:val="NormalWeb"/>
        <w:spacing w:before="0" w:beforeAutospacing="0" w:after="0" w:afterAutospacing="0"/>
        <w:ind w:hanging="2"/>
        <w:jc w:val="both"/>
        <w:rPr>
          <w:color w:val="0E101A"/>
        </w:rPr>
      </w:pPr>
      <w:r>
        <w:rPr>
          <w:color w:val="0E101A"/>
        </w:rPr>
        <w:t xml:space="preserve">According to Johnson et al. (2017), motivation serves as the basis for understanding complex </w:t>
      </w:r>
      <w:proofErr w:type="spellStart"/>
      <w:r>
        <w:rPr>
          <w:color w:val="0E101A"/>
        </w:rPr>
        <w:t>behaviors</w:t>
      </w:r>
      <w:proofErr w:type="spellEnd"/>
      <w:r>
        <w:rPr>
          <w:color w:val="0E101A"/>
        </w:rPr>
        <w:t>. Bekele (2020) asserts that motivation is necessary for constructive learning, as it also influences the acquirement and establishment of higher-order thinking skills. Motivation is defined as students' readiness to initiate learning activities, and it has the potential to determine whether learning is successful (</w:t>
      </w:r>
      <w:proofErr w:type="spellStart"/>
      <w:r>
        <w:rPr>
          <w:color w:val="0E101A"/>
        </w:rPr>
        <w:t>Tomy</w:t>
      </w:r>
      <w:proofErr w:type="spellEnd"/>
      <w:r>
        <w:rPr>
          <w:color w:val="0E101A"/>
        </w:rPr>
        <w:t xml:space="preserve"> &amp; </w:t>
      </w:r>
      <w:proofErr w:type="spellStart"/>
      <w:r>
        <w:rPr>
          <w:color w:val="0E101A"/>
        </w:rPr>
        <w:t>Pardede</w:t>
      </w:r>
      <w:proofErr w:type="spellEnd"/>
      <w:r>
        <w:rPr>
          <w:color w:val="0E101A"/>
        </w:rPr>
        <w:t>, 2019). The intrinsic and extrinsic motivational orientations, as defined by self-determination theory, provide a useful framework for studying motivation in educational settings. Intrinsic and extrinsic motivation are not opposites on a continuum but distinct factors that can coexist and have varying effects on learning (Stutz et al., 2017).</w:t>
      </w:r>
    </w:p>
    <w:p w14:paraId="35E090C0" w14:textId="77777777" w:rsidR="00D270EC" w:rsidRDefault="00D270EC" w:rsidP="00256208">
      <w:pPr>
        <w:pStyle w:val="NormalWeb"/>
        <w:spacing w:before="0" w:beforeAutospacing="0" w:after="0" w:afterAutospacing="0"/>
        <w:ind w:hanging="2"/>
        <w:jc w:val="both"/>
        <w:rPr>
          <w:color w:val="0E101A"/>
        </w:rPr>
      </w:pPr>
    </w:p>
    <w:p w14:paraId="45EE43E1" w14:textId="031DEFAB" w:rsidR="00256208" w:rsidRDefault="00256208" w:rsidP="00256208">
      <w:pPr>
        <w:pStyle w:val="NormalWeb"/>
        <w:spacing w:before="0" w:beforeAutospacing="0" w:after="0" w:afterAutospacing="0"/>
        <w:ind w:hanging="2"/>
        <w:jc w:val="both"/>
        <w:rPr>
          <w:color w:val="0E101A"/>
        </w:rPr>
      </w:pPr>
      <w:r>
        <w:rPr>
          <w:color w:val="0E101A"/>
        </w:rPr>
        <w:t>Students who are intrinsically motivated engage in an activity for internal reasons, such as enjoyment and satisfaction. Students who are intrinsically motivated listen because they find the act of listening rewarding in and of itself or because they enjoy performing listening tasks. Extrinsic motivation, on the other hand, is manifested by an emphasis on achieving instrumental goals that extend beyond the actual learning process. Students who are intrinsically motivated may listen to meet their teachers' requirements, receive praise from their parents, earn a good grade, or gain peer recognition (Stutz et al., 2017). </w:t>
      </w:r>
    </w:p>
    <w:p w14:paraId="2E802566" w14:textId="77777777" w:rsidR="00D270EC" w:rsidRDefault="00D270EC" w:rsidP="00256208">
      <w:pPr>
        <w:pStyle w:val="NormalWeb"/>
        <w:spacing w:before="0" w:beforeAutospacing="0" w:after="0" w:afterAutospacing="0"/>
        <w:ind w:hanging="2"/>
        <w:jc w:val="both"/>
        <w:rPr>
          <w:color w:val="0E101A"/>
        </w:rPr>
      </w:pPr>
    </w:p>
    <w:p w14:paraId="60AEEEB8" w14:textId="62BEAF1F" w:rsidR="00256208" w:rsidRDefault="00256208" w:rsidP="00256208">
      <w:pPr>
        <w:pStyle w:val="NormalWeb"/>
        <w:spacing w:before="0" w:beforeAutospacing="0" w:after="0" w:afterAutospacing="0"/>
        <w:ind w:hanging="2"/>
        <w:jc w:val="both"/>
        <w:rPr>
          <w:color w:val="0E101A"/>
        </w:rPr>
      </w:pPr>
      <w:r>
        <w:rPr>
          <w:color w:val="0E101A"/>
        </w:rPr>
        <w:t xml:space="preserve">Understanding motivation could lead to a satisfying experience for students (Johnson et al., 2017). Motivation is critical for task identification, increasing the likelihood of beneficial experiences affecting satisfaction and increasing the likelihood of retention (Strigas &amp; Jackson, 2003). Johnson et al. (2017) investigated student motivation and satisfaction and discovered that students were motivated by gaining learning experiences while sharing their knowledge, skills, and abilities. </w:t>
      </w:r>
      <w:r>
        <w:rPr>
          <w:color w:val="0E101A"/>
        </w:rPr>
        <w:lastRenderedPageBreak/>
        <w:t>Hence, it is expected that the greater students’ motivation, the greater students’ satisfaction with teaching and learning. The hypothesis is constructed as follows</w:t>
      </w:r>
      <w:r w:rsidR="00D270EC">
        <w:rPr>
          <w:color w:val="0E101A"/>
        </w:rPr>
        <w:t>:</w:t>
      </w:r>
      <w:r>
        <w:rPr>
          <w:color w:val="0E101A"/>
        </w:rPr>
        <w:t> </w:t>
      </w:r>
    </w:p>
    <w:p w14:paraId="59B248C1" w14:textId="77777777" w:rsidR="00D270EC" w:rsidRDefault="00D270EC" w:rsidP="00256208">
      <w:pPr>
        <w:pStyle w:val="NormalWeb"/>
        <w:spacing w:before="0" w:beforeAutospacing="0" w:after="0" w:afterAutospacing="0"/>
        <w:ind w:hanging="2"/>
        <w:jc w:val="both"/>
        <w:rPr>
          <w:color w:val="0E101A"/>
        </w:rPr>
      </w:pPr>
    </w:p>
    <w:p w14:paraId="3208FCD5" w14:textId="77777777" w:rsidR="00256208" w:rsidRDefault="00256208" w:rsidP="00256208">
      <w:pPr>
        <w:pStyle w:val="NormalWeb"/>
        <w:spacing w:before="0" w:beforeAutospacing="0" w:after="0" w:afterAutospacing="0"/>
        <w:ind w:hanging="2"/>
        <w:jc w:val="both"/>
        <w:rPr>
          <w:color w:val="0E101A"/>
        </w:rPr>
      </w:pPr>
      <w:r>
        <w:rPr>
          <w:color w:val="0E101A"/>
        </w:rPr>
        <w:t>H2: There is a positive relationship between student’s motivation and students learning satisfaction</w:t>
      </w:r>
    </w:p>
    <w:p w14:paraId="1DD8581D" w14:textId="77777777" w:rsidR="00256208" w:rsidRDefault="00256208" w:rsidP="00256208">
      <w:pPr>
        <w:pStyle w:val="NormalWeb"/>
        <w:spacing w:before="0" w:beforeAutospacing="0" w:after="0" w:afterAutospacing="0"/>
        <w:ind w:hanging="2"/>
        <w:jc w:val="both"/>
        <w:rPr>
          <w:color w:val="0E101A"/>
        </w:rPr>
      </w:pPr>
    </w:p>
    <w:p w14:paraId="0FB9171F" w14:textId="77777777" w:rsidR="00256208" w:rsidRPr="00256208" w:rsidRDefault="00256208" w:rsidP="00256208">
      <w:pPr>
        <w:pStyle w:val="Heading2"/>
        <w:spacing w:before="0" w:after="0"/>
        <w:ind w:left="0" w:hanging="2"/>
        <w:jc w:val="both"/>
        <w:rPr>
          <w:rFonts w:asciiTheme="majorBidi" w:hAnsiTheme="majorBidi" w:cstheme="majorBidi"/>
          <w:color w:val="0E101A"/>
          <w:sz w:val="24"/>
          <w:szCs w:val="24"/>
        </w:rPr>
      </w:pPr>
      <w:r w:rsidRPr="00256208">
        <w:rPr>
          <w:rFonts w:asciiTheme="majorBidi" w:hAnsiTheme="majorBidi" w:cstheme="majorBidi"/>
          <w:color w:val="0E101A"/>
          <w:sz w:val="24"/>
          <w:szCs w:val="24"/>
        </w:rPr>
        <w:t>Internet availability and student’s satisfaction</w:t>
      </w:r>
    </w:p>
    <w:p w14:paraId="4AB8B7C9" w14:textId="77777777" w:rsidR="00256208" w:rsidRDefault="00256208" w:rsidP="00256208">
      <w:pPr>
        <w:pStyle w:val="NormalWeb"/>
        <w:spacing w:before="0" w:beforeAutospacing="0" w:after="0" w:afterAutospacing="0"/>
        <w:ind w:hanging="2"/>
        <w:jc w:val="both"/>
        <w:rPr>
          <w:color w:val="0E101A"/>
        </w:rPr>
      </w:pPr>
    </w:p>
    <w:p w14:paraId="2B6F645A" w14:textId="068BE79D" w:rsidR="00256208" w:rsidRDefault="00256208" w:rsidP="00256208">
      <w:pPr>
        <w:pStyle w:val="NormalWeb"/>
        <w:spacing w:before="0" w:beforeAutospacing="0" w:after="0" w:afterAutospacing="0"/>
        <w:ind w:hanging="2"/>
        <w:jc w:val="both"/>
        <w:rPr>
          <w:color w:val="0E101A"/>
        </w:rPr>
      </w:pPr>
      <w:r>
        <w:rPr>
          <w:color w:val="0E101A"/>
        </w:rPr>
        <w:t xml:space="preserve">According to </w:t>
      </w:r>
      <w:proofErr w:type="spellStart"/>
      <w:r>
        <w:rPr>
          <w:color w:val="0E101A"/>
        </w:rPr>
        <w:t>Shitta</w:t>
      </w:r>
      <w:proofErr w:type="spellEnd"/>
      <w:r>
        <w:rPr>
          <w:color w:val="0E101A"/>
        </w:rPr>
        <w:t xml:space="preserve"> (2002), the internet has indeed been described as an interactive high-speed line that connects, grips, and translates the whole world into a global village in which individuals can easily connect, find, and communicate with each other, and share knowledge instantly from one point in the world to another. This technology has transformed higher educational practice related to academic learning and will continue to be viable in the future (</w:t>
      </w:r>
      <w:proofErr w:type="spellStart"/>
      <w:r>
        <w:rPr>
          <w:color w:val="0E101A"/>
        </w:rPr>
        <w:t>Apuke</w:t>
      </w:r>
      <w:proofErr w:type="spellEnd"/>
      <w:r>
        <w:rPr>
          <w:color w:val="0E101A"/>
        </w:rPr>
        <w:t xml:space="preserve"> &amp; </w:t>
      </w:r>
      <w:proofErr w:type="spellStart"/>
      <w:r>
        <w:rPr>
          <w:color w:val="0E101A"/>
        </w:rPr>
        <w:t>Iyendo</w:t>
      </w:r>
      <w:proofErr w:type="spellEnd"/>
      <w:r>
        <w:rPr>
          <w:color w:val="0E101A"/>
        </w:rPr>
        <w:t xml:space="preserve">, 2018). </w:t>
      </w:r>
      <w:r w:rsidR="00986F97">
        <w:rPr>
          <w:color w:val="0E101A"/>
        </w:rPr>
        <w:t>In addition,</w:t>
      </w:r>
      <w:r>
        <w:rPr>
          <w:color w:val="0E101A"/>
        </w:rPr>
        <w:t xml:space="preserve"> Hussain (2012)</w:t>
      </w:r>
      <w:r w:rsidR="00986F97">
        <w:rPr>
          <w:color w:val="0E101A"/>
        </w:rPr>
        <w:t xml:space="preserve"> argued that</w:t>
      </w:r>
      <w:r>
        <w:rPr>
          <w:color w:val="0E101A"/>
        </w:rPr>
        <w:t xml:space="preserve"> the use of the internet in tertiary education has enhanced academic development and research. It </w:t>
      </w:r>
      <w:r w:rsidR="00986F97">
        <w:rPr>
          <w:color w:val="0E101A"/>
        </w:rPr>
        <w:t xml:space="preserve">has </w:t>
      </w:r>
      <w:r>
        <w:rPr>
          <w:color w:val="0E101A"/>
        </w:rPr>
        <w:t>also promoted virtual conversations to share research findings.</w:t>
      </w:r>
    </w:p>
    <w:p w14:paraId="727EE723" w14:textId="77777777" w:rsidR="00D270EC" w:rsidRDefault="00D270EC" w:rsidP="00256208">
      <w:pPr>
        <w:pStyle w:val="NormalWeb"/>
        <w:spacing w:before="0" w:beforeAutospacing="0" w:after="0" w:afterAutospacing="0"/>
        <w:ind w:hanging="2"/>
        <w:jc w:val="both"/>
        <w:rPr>
          <w:color w:val="0E101A"/>
        </w:rPr>
      </w:pPr>
    </w:p>
    <w:p w14:paraId="4B14513E" w14:textId="288135CC" w:rsidR="00256208" w:rsidRDefault="00256208" w:rsidP="00256208">
      <w:pPr>
        <w:pStyle w:val="NormalWeb"/>
        <w:spacing w:before="0" w:beforeAutospacing="0" w:after="0" w:afterAutospacing="0"/>
        <w:ind w:hanging="2"/>
        <w:jc w:val="both"/>
        <w:rPr>
          <w:color w:val="0E101A"/>
        </w:rPr>
      </w:pPr>
      <w:proofErr w:type="spellStart"/>
      <w:r>
        <w:rPr>
          <w:color w:val="0E101A"/>
        </w:rPr>
        <w:t>Apuke</w:t>
      </w:r>
      <w:proofErr w:type="spellEnd"/>
      <w:r>
        <w:rPr>
          <w:color w:val="0E101A"/>
        </w:rPr>
        <w:t xml:space="preserve"> and </w:t>
      </w:r>
      <w:proofErr w:type="spellStart"/>
      <w:r>
        <w:rPr>
          <w:color w:val="0E101A"/>
        </w:rPr>
        <w:t>Iyendo</w:t>
      </w:r>
      <w:proofErr w:type="spellEnd"/>
      <w:r>
        <w:rPr>
          <w:color w:val="0E101A"/>
        </w:rPr>
        <w:t xml:space="preserve"> (2018) shed light on internet access, financial constraints, and implementation of online learning. Given the students facing a financial constraint, they expect that lecturers will utilize facilities such as the free Messenger application included in the online learning system. This finding is consistent with </w:t>
      </w:r>
      <w:proofErr w:type="spellStart"/>
      <w:r>
        <w:rPr>
          <w:color w:val="0E101A"/>
        </w:rPr>
        <w:t>Allo</w:t>
      </w:r>
      <w:proofErr w:type="spellEnd"/>
      <w:r>
        <w:rPr>
          <w:color w:val="0E101A"/>
        </w:rPr>
        <w:t xml:space="preserve"> (2020) discovery that most respondents believe it is more expensive to offer courses via online learning than fully face-to-face learning. Therefore, if decisions about learning modes were made solely </w:t>
      </w:r>
      <w:r w:rsidR="00D270EC">
        <w:rPr>
          <w:color w:val="0E101A"/>
        </w:rPr>
        <w:t>based on</w:t>
      </w:r>
      <w:r>
        <w:rPr>
          <w:color w:val="0E101A"/>
        </w:rPr>
        <w:t xml:space="preserve"> cost, </w:t>
      </w:r>
      <w:r w:rsidR="00D270EC">
        <w:rPr>
          <w:color w:val="0E101A"/>
        </w:rPr>
        <w:t>most</w:t>
      </w:r>
      <w:r>
        <w:rPr>
          <w:color w:val="0E101A"/>
        </w:rPr>
        <w:t xml:space="preserve"> respondents would prefer traditional classroom learning over online learning. In the shade of widespread access to the internet, the current study demonstrates that while individual tasks are preferable for maintaining physical distance during a pandemic, they require group tasks to assist friends who lack internet access.</w:t>
      </w:r>
    </w:p>
    <w:p w14:paraId="41BF9F31" w14:textId="77777777" w:rsidR="00D270EC" w:rsidRDefault="00D270EC" w:rsidP="00256208">
      <w:pPr>
        <w:pStyle w:val="NormalWeb"/>
        <w:spacing w:before="0" w:beforeAutospacing="0" w:after="0" w:afterAutospacing="0"/>
        <w:ind w:hanging="2"/>
        <w:jc w:val="both"/>
        <w:rPr>
          <w:color w:val="0E101A"/>
        </w:rPr>
      </w:pPr>
    </w:p>
    <w:p w14:paraId="657D8512" w14:textId="5FCB0349" w:rsidR="00256208" w:rsidRDefault="00256208" w:rsidP="00256208">
      <w:pPr>
        <w:pStyle w:val="NormalWeb"/>
        <w:spacing w:before="0" w:beforeAutospacing="0" w:after="0" w:afterAutospacing="0"/>
        <w:ind w:hanging="2"/>
        <w:jc w:val="both"/>
        <w:rPr>
          <w:color w:val="0E101A"/>
        </w:rPr>
      </w:pPr>
      <w:r>
        <w:rPr>
          <w:color w:val="0E101A"/>
        </w:rPr>
        <w:t xml:space="preserve">From the discussion above, </w:t>
      </w:r>
      <w:r w:rsidR="00986F97">
        <w:rPr>
          <w:color w:val="0E101A"/>
        </w:rPr>
        <w:t xml:space="preserve">it has been found that </w:t>
      </w:r>
      <w:r w:rsidR="00D270EC">
        <w:rPr>
          <w:color w:val="0E101A"/>
        </w:rPr>
        <w:t>students</w:t>
      </w:r>
      <w:r>
        <w:rPr>
          <w:color w:val="0E101A"/>
        </w:rPr>
        <w:t xml:space="preserve"> </w:t>
      </w:r>
      <w:r w:rsidR="00986F97">
        <w:rPr>
          <w:color w:val="0E101A"/>
        </w:rPr>
        <w:t xml:space="preserve">would </w:t>
      </w:r>
      <w:r>
        <w:rPr>
          <w:color w:val="0E101A"/>
        </w:rPr>
        <w:t xml:space="preserve">enthusiastically </w:t>
      </w:r>
      <w:proofErr w:type="gramStart"/>
      <w:r>
        <w:rPr>
          <w:color w:val="0E101A"/>
        </w:rPr>
        <w:t>supported</w:t>
      </w:r>
      <w:proofErr w:type="gramEnd"/>
      <w:r>
        <w:rPr>
          <w:color w:val="0E101A"/>
        </w:rPr>
        <w:t xml:space="preserve"> the online learning system as a means of extending their learning beyond the traditional face-to-face classroom model. Students are taught in this system to become accustomed to working online and paperless. Thus, the issue is the network availability and the financial capability of students. While </w:t>
      </w:r>
      <w:r w:rsidR="00D270EC">
        <w:rPr>
          <w:color w:val="0E101A"/>
        </w:rPr>
        <w:t>most</w:t>
      </w:r>
      <w:r>
        <w:rPr>
          <w:color w:val="0E101A"/>
        </w:rPr>
        <w:t xml:space="preserve"> students can afford to purchase an Internet data package and get a good network, some are not even able to buy it. Hence, this study will examine the influence of internet availability on students’ satisfaction. The next hypothesis is as follows</w:t>
      </w:r>
      <w:r w:rsidR="00D270EC">
        <w:rPr>
          <w:color w:val="0E101A"/>
        </w:rPr>
        <w:t>:</w:t>
      </w:r>
    </w:p>
    <w:p w14:paraId="0A0A984E" w14:textId="77777777" w:rsidR="00D270EC" w:rsidRDefault="00D270EC" w:rsidP="00256208">
      <w:pPr>
        <w:pStyle w:val="NormalWeb"/>
        <w:spacing w:before="0" w:beforeAutospacing="0" w:after="0" w:afterAutospacing="0"/>
        <w:ind w:hanging="2"/>
        <w:jc w:val="both"/>
        <w:rPr>
          <w:color w:val="0E101A"/>
        </w:rPr>
      </w:pPr>
    </w:p>
    <w:p w14:paraId="1B6703AB" w14:textId="77777777" w:rsidR="00256208" w:rsidRDefault="00256208" w:rsidP="00256208">
      <w:pPr>
        <w:pStyle w:val="NormalWeb"/>
        <w:spacing w:before="0" w:beforeAutospacing="0" w:after="0" w:afterAutospacing="0"/>
        <w:ind w:hanging="2"/>
        <w:jc w:val="both"/>
        <w:rPr>
          <w:color w:val="0E101A"/>
        </w:rPr>
      </w:pPr>
      <w:r>
        <w:rPr>
          <w:color w:val="0E101A"/>
        </w:rPr>
        <w:t>H3: There is a positive relationship between internet availability and students’ learning satisfaction</w:t>
      </w:r>
    </w:p>
    <w:p w14:paraId="5A0481D3" w14:textId="77777777" w:rsidR="00256208" w:rsidRDefault="00256208" w:rsidP="00256208">
      <w:pPr>
        <w:pStyle w:val="NormalWeb"/>
        <w:spacing w:before="0" w:beforeAutospacing="0" w:after="0" w:afterAutospacing="0"/>
        <w:ind w:hanging="2"/>
        <w:jc w:val="both"/>
        <w:rPr>
          <w:color w:val="0E101A"/>
        </w:rPr>
      </w:pPr>
    </w:p>
    <w:p w14:paraId="79F55929" w14:textId="77777777" w:rsidR="00256208" w:rsidRPr="00D270EC" w:rsidRDefault="00256208" w:rsidP="00256208">
      <w:pPr>
        <w:pStyle w:val="Heading2"/>
        <w:spacing w:before="0" w:after="0"/>
        <w:ind w:left="0" w:hanging="2"/>
        <w:jc w:val="both"/>
        <w:rPr>
          <w:rFonts w:asciiTheme="majorBidi" w:hAnsiTheme="majorBidi" w:cstheme="majorBidi"/>
          <w:color w:val="0E101A"/>
          <w:sz w:val="24"/>
          <w:szCs w:val="24"/>
        </w:rPr>
      </w:pPr>
      <w:r w:rsidRPr="00D270EC">
        <w:rPr>
          <w:rFonts w:asciiTheme="majorBidi" w:hAnsiTheme="majorBidi" w:cstheme="majorBidi"/>
          <w:color w:val="0E101A"/>
          <w:sz w:val="24"/>
          <w:szCs w:val="24"/>
        </w:rPr>
        <w:t>Technical support and student’s satisfaction</w:t>
      </w:r>
    </w:p>
    <w:p w14:paraId="546A6E1B" w14:textId="77777777" w:rsidR="00256208" w:rsidRDefault="00256208" w:rsidP="00256208">
      <w:pPr>
        <w:pStyle w:val="NormalWeb"/>
        <w:spacing w:before="0" w:beforeAutospacing="0" w:after="0" w:afterAutospacing="0"/>
        <w:ind w:hanging="2"/>
        <w:jc w:val="both"/>
        <w:rPr>
          <w:color w:val="0E101A"/>
        </w:rPr>
      </w:pPr>
    </w:p>
    <w:p w14:paraId="120EF786" w14:textId="0A49FA8A" w:rsidR="00256208" w:rsidRDefault="00256208" w:rsidP="00256208">
      <w:pPr>
        <w:pStyle w:val="NormalWeb"/>
        <w:spacing w:before="0" w:beforeAutospacing="0" w:after="0" w:afterAutospacing="0"/>
        <w:ind w:hanging="2"/>
        <w:jc w:val="both"/>
        <w:rPr>
          <w:color w:val="0E101A"/>
        </w:rPr>
      </w:pPr>
      <w:r>
        <w:rPr>
          <w:color w:val="0E101A"/>
        </w:rPr>
        <w:t xml:space="preserve">According to Lee et al. (2011), technical support entails assisting students with any technical problems which may arise while taking online or blended lessons. Whether it is online or blended learning, technology use has increased. According to Song et al. (2004), the critical element that creates challenges and determines student satisfaction in online learning conditions is the technical problem. </w:t>
      </w:r>
      <w:proofErr w:type="spellStart"/>
      <w:r>
        <w:rPr>
          <w:color w:val="0E101A"/>
        </w:rPr>
        <w:t>Muilenburg</w:t>
      </w:r>
      <w:proofErr w:type="spellEnd"/>
      <w:r>
        <w:rPr>
          <w:color w:val="0E101A"/>
        </w:rPr>
        <w:t xml:space="preserve"> and Berge (2005) found that students familiar with technologies used in online learning perceived significantly fewer difficulties in online learning than those unfamiliar. As a result, educators and instructors must ensure that students feel safe and secure when </w:t>
      </w:r>
      <w:r>
        <w:rPr>
          <w:color w:val="0E101A"/>
        </w:rPr>
        <w:lastRenderedPageBreak/>
        <w:t>interacting with online technologies and resolve technical issues (</w:t>
      </w:r>
      <w:proofErr w:type="spellStart"/>
      <w:r>
        <w:rPr>
          <w:color w:val="0E101A"/>
        </w:rPr>
        <w:t>Muilenburg</w:t>
      </w:r>
      <w:proofErr w:type="spellEnd"/>
      <w:r>
        <w:rPr>
          <w:color w:val="0E101A"/>
        </w:rPr>
        <w:t xml:space="preserve"> &amp; Berge, 2005; Song et al., 2004).</w:t>
      </w:r>
    </w:p>
    <w:p w14:paraId="531D2CA4" w14:textId="77777777" w:rsidR="00986F97" w:rsidRDefault="00986F97" w:rsidP="00256208">
      <w:pPr>
        <w:pStyle w:val="NormalWeb"/>
        <w:spacing w:before="0" w:beforeAutospacing="0" w:after="0" w:afterAutospacing="0"/>
        <w:ind w:hanging="2"/>
        <w:jc w:val="both"/>
        <w:rPr>
          <w:color w:val="0E101A"/>
        </w:rPr>
      </w:pPr>
    </w:p>
    <w:p w14:paraId="633A90DE" w14:textId="4D53F042" w:rsidR="00256208" w:rsidRDefault="00256208" w:rsidP="00256208">
      <w:pPr>
        <w:pStyle w:val="NormalWeb"/>
        <w:spacing w:before="0" w:beforeAutospacing="0" w:after="0" w:afterAutospacing="0"/>
        <w:ind w:hanging="2"/>
        <w:jc w:val="both"/>
        <w:rPr>
          <w:color w:val="0E101A"/>
        </w:rPr>
      </w:pPr>
      <w:r>
        <w:rPr>
          <w:color w:val="0E101A"/>
        </w:rPr>
        <w:t>With adequate technical support from institutions such as laptops, mobile phones, and technical support services, many of these issues are alleviated, and learners develop a greater sense of confidence in the system, which ultimately increases their satisfaction with educational programs (</w:t>
      </w:r>
      <w:proofErr w:type="spellStart"/>
      <w:r>
        <w:rPr>
          <w:color w:val="0E101A"/>
        </w:rPr>
        <w:t>Itasanmi</w:t>
      </w:r>
      <w:proofErr w:type="spellEnd"/>
      <w:r>
        <w:rPr>
          <w:color w:val="0E101A"/>
        </w:rPr>
        <w:t xml:space="preserve"> &amp; Oni, 2021). Technical support is a critical component of any open and distance learning system. It entails activities that are responsive to student's needs and make online learning and services extremely accessible to learners by providing a diverse range of support. </w:t>
      </w:r>
      <w:r w:rsidR="00986F97">
        <w:rPr>
          <w:color w:val="0E101A"/>
        </w:rPr>
        <w:t>In this manner, technical support would</w:t>
      </w:r>
      <w:r>
        <w:rPr>
          <w:color w:val="0E101A"/>
        </w:rPr>
        <w:t xml:space="preserve"> include information support, institutional support, academic support, and timely feedback to students (Aftab et al., 2019). Recent studies such as Aftab et al. (2019)</w:t>
      </w:r>
      <w:r w:rsidR="00EC7130">
        <w:rPr>
          <w:color w:val="0E101A"/>
        </w:rPr>
        <w:t>, also</w:t>
      </w:r>
      <w:r>
        <w:rPr>
          <w:color w:val="0E101A"/>
        </w:rPr>
        <w:t xml:space="preserve"> </w:t>
      </w:r>
      <w:proofErr w:type="spellStart"/>
      <w:r>
        <w:rPr>
          <w:color w:val="0E101A"/>
        </w:rPr>
        <w:t>Itasanmi</w:t>
      </w:r>
      <w:proofErr w:type="spellEnd"/>
      <w:r>
        <w:rPr>
          <w:color w:val="0E101A"/>
        </w:rPr>
        <w:t xml:space="preserve"> and Oni (2021) demonstrate</w:t>
      </w:r>
      <w:r w:rsidR="00986F97">
        <w:rPr>
          <w:color w:val="0E101A"/>
        </w:rPr>
        <w:t>d</w:t>
      </w:r>
      <w:r>
        <w:rPr>
          <w:color w:val="0E101A"/>
        </w:rPr>
        <w:t xml:space="preserve"> that technical support services contribute the most to learners' satisfaction in open distance learning programs. Thus, it </w:t>
      </w:r>
      <w:r w:rsidR="00986F97">
        <w:rPr>
          <w:color w:val="0E101A"/>
        </w:rPr>
        <w:t>wa</w:t>
      </w:r>
      <w:r>
        <w:rPr>
          <w:color w:val="0E101A"/>
        </w:rPr>
        <w:t xml:space="preserve">s concluded that technical support has a positive influence on students’ satisfaction. Based on the </w:t>
      </w:r>
      <w:r w:rsidR="00986F97">
        <w:rPr>
          <w:color w:val="0E101A"/>
        </w:rPr>
        <w:t>discussio</w:t>
      </w:r>
      <w:r>
        <w:rPr>
          <w:color w:val="0E101A"/>
        </w:rPr>
        <w:t>n above, the</w:t>
      </w:r>
      <w:r w:rsidR="00986F97">
        <w:rPr>
          <w:color w:val="0E101A"/>
        </w:rPr>
        <w:t xml:space="preserve"> fourth</w:t>
      </w:r>
      <w:r>
        <w:rPr>
          <w:color w:val="0E101A"/>
        </w:rPr>
        <w:t xml:space="preserve"> hypothesis is </w:t>
      </w:r>
      <w:r w:rsidR="00986F97">
        <w:rPr>
          <w:color w:val="0E101A"/>
        </w:rPr>
        <w:t xml:space="preserve">developed </w:t>
      </w:r>
      <w:r>
        <w:rPr>
          <w:color w:val="0E101A"/>
        </w:rPr>
        <w:t>as follows:</w:t>
      </w:r>
    </w:p>
    <w:p w14:paraId="3DB66D9D" w14:textId="77777777" w:rsidR="00D270EC" w:rsidRDefault="00D270EC" w:rsidP="00256208">
      <w:pPr>
        <w:pStyle w:val="NormalWeb"/>
        <w:spacing w:before="0" w:beforeAutospacing="0" w:after="0" w:afterAutospacing="0"/>
        <w:ind w:hanging="2"/>
        <w:jc w:val="both"/>
        <w:rPr>
          <w:color w:val="0E101A"/>
        </w:rPr>
      </w:pPr>
    </w:p>
    <w:p w14:paraId="58D46F89" w14:textId="77777777" w:rsidR="00256208" w:rsidRDefault="00256208" w:rsidP="00256208">
      <w:pPr>
        <w:pStyle w:val="NormalWeb"/>
        <w:spacing w:before="0" w:beforeAutospacing="0" w:after="0" w:afterAutospacing="0"/>
        <w:ind w:hanging="2"/>
        <w:jc w:val="both"/>
        <w:rPr>
          <w:color w:val="0E101A"/>
        </w:rPr>
      </w:pPr>
      <w:r>
        <w:rPr>
          <w:color w:val="0E101A"/>
        </w:rPr>
        <w:t>H4: There is a positive relationship between technical support and students’ learning satisfaction</w:t>
      </w:r>
    </w:p>
    <w:p w14:paraId="68C7C145" w14:textId="77777777" w:rsidR="00256208" w:rsidRDefault="00256208" w:rsidP="00256208">
      <w:pPr>
        <w:pStyle w:val="NormalWeb"/>
        <w:spacing w:before="0" w:beforeAutospacing="0" w:after="0" w:afterAutospacing="0"/>
        <w:ind w:hanging="2"/>
        <w:jc w:val="both"/>
        <w:rPr>
          <w:color w:val="0E101A"/>
        </w:rPr>
      </w:pPr>
    </w:p>
    <w:p w14:paraId="524E607D" w14:textId="77777777" w:rsidR="00256208" w:rsidRPr="00256208" w:rsidRDefault="00256208" w:rsidP="00256208">
      <w:pPr>
        <w:pStyle w:val="Heading2"/>
        <w:spacing w:before="0" w:after="0"/>
        <w:ind w:left="0" w:hanging="2"/>
        <w:jc w:val="both"/>
        <w:rPr>
          <w:rFonts w:asciiTheme="majorBidi" w:hAnsiTheme="majorBidi" w:cstheme="majorBidi"/>
          <w:color w:val="0E101A"/>
          <w:sz w:val="24"/>
          <w:szCs w:val="24"/>
        </w:rPr>
      </w:pPr>
      <w:r w:rsidRPr="00256208">
        <w:rPr>
          <w:rFonts w:asciiTheme="majorBidi" w:hAnsiTheme="majorBidi" w:cstheme="majorBidi"/>
          <w:color w:val="0E101A"/>
          <w:sz w:val="24"/>
          <w:szCs w:val="24"/>
        </w:rPr>
        <w:t>Psychological support-enjoyment and student’s satisfaction</w:t>
      </w:r>
    </w:p>
    <w:p w14:paraId="23D86EE2" w14:textId="77777777" w:rsidR="00256208" w:rsidRPr="00256208" w:rsidRDefault="00256208" w:rsidP="00256208">
      <w:pPr>
        <w:pStyle w:val="NormalWeb"/>
        <w:spacing w:before="0" w:beforeAutospacing="0" w:after="0" w:afterAutospacing="0"/>
        <w:ind w:hanging="2"/>
        <w:jc w:val="both"/>
        <w:rPr>
          <w:rFonts w:asciiTheme="majorBidi" w:hAnsiTheme="majorBidi" w:cstheme="majorBidi"/>
          <w:b/>
          <w:color w:val="0E101A"/>
        </w:rPr>
      </w:pPr>
    </w:p>
    <w:p w14:paraId="412294EA" w14:textId="1115C24B" w:rsidR="00256208" w:rsidRDefault="00256208" w:rsidP="00256208">
      <w:pPr>
        <w:pStyle w:val="NormalWeb"/>
        <w:spacing w:before="0" w:beforeAutospacing="0" w:after="0" w:afterAutospacing="0"/>
        <w:ind w:hanging="2"/>
        <w:jc w:val="both"/>
        <w:rPr>
          <w:color w:val="0E101A"/>
        </w:rPr>
      </w:pPr>
      <w:r>
        <w:rPr>
          <w:color w:val="0E101A"/>
        </w:rPr>
        <w:t xml:space="preserve">In essence, the enjoyment of the learning environment for student satisfaction can be defined as the pleasure of </w:t>
      </w:r>
      <w:r w:rsidR="00986F97">
        <w:rPr>
          <w:color w:val="0E101A"/>
        </w:rPr>
        <w:t>fulfilment</w:t>
      </w:r>
      <w:r>
        <w:rPr>
          <w:color w:val="0E101A"/>
        </w:rPr>
        <w:t xml:space="preserve"> associated with learning activities and the experience related to those activities (Kangas et al., 2017). This definition places a greater emphasis on positive attitudes and feelings toward the learning process, which are typically prompted by learning motivation (Chang &amp; Chang, 2012; </w:t>
      </w:r>
      <w:proofErr w:type="spellStart"/>
      <w:r>
        <w:rPr>
          <w:color w:val="0E101A"/>
        </w:rPr>
        <w:t>Topala</w:t>
      </w:r>
      <w:proofErr w:type="spellEnd"/>
      <w:r>
        <w:rPr>
          <w:color w:val="0E101A"/>
        </w:rPr>
        <w:t xml:space="preserve"> &amp; </w:t>
      </w:r>
      <w:proofErr w:type="spellStart"/>
      <w:r>
        <w:rPr>
          <w:color w:val="0E101A"/>
        </w:rPr>
        <w:t>Tomozii</w:t>
      </w:r>
      <w:proofErr w:type="spellEnd"/>
      <w:r>
        <w:rPr>
          <w:color w:val="0E101A"/>
        </w:rPr>
        <w:t>, 2014). For instance, Chang and Chang (2012) discovered a more significant correlation between student satisfaction and enjoyment. Hence, it is reasonable to presume that the more students engaged in enjoyment learning, the greater their satisfaction with their learning environment.</w:t>
      </w:r>
    </w:p>
    <w:p w14:paraId="52FAFC50" w14:textId="77777777" w:rsidR="00D270EC" w:rsidRDefault="00D270EC" w:rsidP="00256208">
      <w:pPr>
        <w:pStyle w:val="NormalWeb"/>
        <w:spacing w:before="0" w:beforeAutospacing="0" w:after="0" w:afterAutospacing="0"/>
        <w:ind w:hanging="2"/>
        <w:jc w:val="both"/>
        <w:rPr>
          <w:color w:val="0E101A"/>
        </w:rPr>
      </w:pPr>
    </w:p>
    <w:p w14:paraId="66B7B36A" w14:textId="076E157E" w:rsidR="00256208" w:rsidRDefault="00256208" w:rsidP="00256208">
      <w:pPr>
        <w:pStyle w:val="NormalWeb"/>
        <w:spacing w:before="0" w:beforeAutospacing="0" w:after="0" w:afterAutospacing="0"/>
        <w:ind w:hanging="2"/>
        <w:jc w:val="both"/>
        <w:rPr>
          <w:color w:val="0E101A"/>
        </w:rPr>
      </w:pPr>
      <w:r>
        <w:rPr>
          <w:color w:val="0E101A"/>
        </w:rPr>
        <w:t>Teachers could transform any lesson into one that is more stimulating and enjoyable for both students and teachers. However, this skill entails teachers' capacities for playfulness and teaching design (</w:t>
      </w:r>
      <w:proofErr w:type="spellStart"/>
      <w:r>
        <w:rPr>
          <w:color w:val="0E101A"/>
        </w:rPr>
        <w:t>Hyvonen</w:t>
      </w:r>
      <w:proofErr w:type="spellEnd"/>
      <w:r>
        <w:rPr>
          <w:color w:val="0E101A"/>
        </w:rPr>
        <w:t xml:space="preserve">, 2011). The findings demonstrate the importance of teachers being inspired and involved in related pedagogical approaches in ensuring student satisfaction with a creative learning environment. This finding agrees with </w:t>
      </w:r>
      <w:proofErr w:type="spellStart"/>
      <w:r>
        <w:rPr>
          <w:color w:val="0E101A"/>
        </w:rPr>
        <w:t>Frenzel</w:t>
      </w:r>
      <w:proofErr w:type="spellEnd"/>
      <w:r>
        <w:rPr>
          <w:color w:val="0E101A"/>
        </w:rPr>
        <w:t xml:space="preserve"> et al. (2009) that teacher passion is associated with student enjoyment in a learning environment. Additionally, research indicates that student satisfaction and the ability of schools to change sustainably is contingent upon teachers' pedagogical and emotional engagement (Kangas et al., 2017). Gil-</w:t>
      </w:r>
      <w:proofErr w:type="spellStart"/>
      <w:r>
        <w:rPr>
          <w:color w:val="0E101A"/>
        </w:rPr>
        <w:t>Ariase</w:t>
      </w:r>
      <w:proofErr w:type="spellEnd"/>
      <w:r>
        <w:rPr>
          <w:color w:val="0E101A"/>
        </w:rPr>
        <w:t xml:space="preserve"> et al. (2020) indicated that students who expressed greater enjoyment during lessons will have a higher level of satisfaction. Based on the discussion above, it is expected that psychological support-enjoyment will be one of the factors influencing students’ satisfaction. Thus, the last hypothesis is </w:t>
      </w:r>
      <w:r w:rsidR="00986F97">
        <w:rPr>
          <w:color w:val="0E101A"/>
        </w:rPr>
        <w:t xml:space="preserve">developed </w:t>
      </w:r>
      <w:r>
        <w:rPr>
          <w:color w:val="0E101A"/>
        </w:rPr>
        <w:t>as below</w:t>
      </w:r>
      <w:r w:rsidR="00EC7130">
        <w:rPr>
          <w:color w:val="0E101A"/>
        </w:rPr>
        <w:t>:</w:t>
      </w:r>
    </w:p>
    <w:p w14:paraId="3E9A03E9" w14:textId="77777777" w:rsidR="00EC7130" w:rsidRDefault="00EC7130" w:rsidP="00256208">
      <w:pPr>
        <w:pStyle w:val="NormalWeb"/>
        <w:spacing w:before="0" w:beforeAutospacing="0" w:after="0" w:afterAutospacing="0"/>
        <w:ind w:hanging="2"/>
        <w:jc w:val="both"/>
        <w:rPr>
          <w:color w:val="0E101A"/>
        </w:rPr>
      </w:pPr>
    </w:p>
    <w:p w14:paraId="306AE49E" w14:textId="77777777" w:rsidR="00256208" w:rsidRDefault="00256208" w:rsidP="00256208">
      <w:pPr>
        <w:pStyle w:val="NormalWeb"/>
        <w:spacing w:before="0" w:beforeAutospacing="0" w:after="0" w:afterAutospacing="0"/>
        <w:ind w:hanging="2"/>
        <w:jc w:val="both"/>
        <w:rPr>
          <w:color w:val="0E101A"/>
        </w:rPr>
      </w:pPr>
      <w:r>
        <w:rPr>
          <w:color w:val="0E101A"/>
        </w:rPr>
        <w:t>H5: There is a positive relationship between psychological support and students’ learning satisfaction</w:t>
      </w:r>
    </w:p>
    <w:p w14:paraId="30589CF0" w14:textId="528979E1" w:rsidR="00256208" w:rsidRPr="00256208" w:rsidRDefault="0025620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7F158CA5" w14:textId="77777777" w:rsidR="00256208" w:rsidRDefault="002562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95E78C2" w14:textId="31E15918"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Method and </w:t>
      </w:r>
      <w:r w:rsidR="00D270EC">
        <w:rPr>
          <w:rFonts w:ascii="Times New Roman" w:eastAsia="Times New Roman" w:hAnsi="Times New Roman" w:cs="Times New Roman"/>
          <w:b/>
          <w:color w:val="000000"/>
          <w:sz w:val="24"/>
          <w:szCs w:val="24"/>
        </w:rPr>
        <w:t xml:space="preserve">Study Area </w:t>
      </w:r>
    </w:p>
    <w:p w14:paraId="784B6A50" w14:textId="77777777" w:rsidR="006F1887"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D202966" w14:textId="2D23AB89" w:rsidR="006A7BED" w:rsidRDefault="006A7BED"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7BED">
        <w:rPr>
          <w:rFonts w:ascii="Times New Roman" w:eastAsia="Times New Roman" w:hAnsi="Times New Roman" w:cs="Times New Roman"/>
          <w:color w:val="000000"/>
          <w:sz w:val="24"/>
          <w:szCs w:val="24"/>
        </w:rPr>
        <w:t>The study employed a quantitative method, where students' satisfaction was considered as a variable that could be evaluated in the survey questionnaire. This research utilized cross-sectional quantitative survey method. A sample of 336 respondents from different disciplines of study were chosen from the public and private higher learning institutes in Malaysia. There were more than 700,000 higher learning institution students in Malaysia in 2019 (</w:t>
      </w:r>
      <w:proofErr w:type="spellStart"/>
      <w:r w:rsidRPr="006A7BED">
        <w:rPr>
          <w:rFonts w:ascii="Times New Roman" w:eastAsia="Times New Roman" w:hAnsi="Times New Roman" w:cs="Times New Roman"/>
          <w:color w:val="000000"/>
          <w:sz w:val="24"/>
          <w:szCs w:val="24"/>
        </w:rPr>
        <w:t>Hirschmann</w:t>
      </w:r>
      <w:proofErr w:type="spellEnd"/>
      <w:r w:rsidRPr="006A7BED">
        <w:rPr>
          <w:rFonts w:ascii="Times New Roman" w:eastAsia="Times New Roman" w:hAnsi="Times New Roman" w:cs="Times New Roman"/>
          <w:color w:val="000000"/>
          <w:sz w:val="24"/>
          <w:szCs w:val="24"/>
        </w:rPr>
        <w:t>, 2020). Therefore, a total of 384 is required to be sampled as respondents to the current study (</w:t>
      </w:r>
      <w:proofErr w:type="spellStart"/>
      <w:r w:rsidRPr="006A7BED">
        <w:rPr>
          <w:rFonts w:ascii="Times New Roman" w:eastAsia="Times New Roman" w:hAnsi="Times New Roman" w:cs="Times New Roman"/>
          <w:color w:val="000000"/>
          <w:sz w:val="24"/>
          <w:szCs w:val="24"/>
        </w:rPr>
        <w:t>Krejcie</w:t>
      </w:r>
      <w:proofErr w:type="spellEnd"/>
      <w:r w:rsidRPr="006A7BED">
        <w:rPr>
          <w:rFonts w:ascii="Times New Roman" w:eastAsia="Times New Roman" w:hAnsi="Times New Roman" w:cs="Times New Roman"/>
          <w:color w:val="000000"/>
          <w:sz w:val="24"/>
          <w:szCs w:val="24"/>
        </w:rPr>
        <w:t xml:space="preserve"> &amp; Morgan, 1970).</w:t>
      </w:r>
    </w:p>
    <w:p w14:paraId="4C787AFD" w14:textId="77777777" w:rsidR="00D270EC" w:rsidRPr="006A7BED" w:rsidRDefault="00D270EC"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5E0F0AA" w14:textId="45131C0B" w:rsidR="006A7BED" w:rsidRDefault="006A7BED"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7BED">
        <w:rPr>
          <w:rFonts w:ascii="Times New Roman" w:eastAsia="Times New Roman" w:hAnsi="Times New Roman" w:cs="Times New Roman"/>
          <w:color w:val="000000"/>
          <w:sz w:val="24"/>
          <w:szCs w:val="24"/>
        </w:rPr>
        <w:t xml:space="preserve">Meanwhile, a minimum sample of 117 is required for a medium effect size of 0.15 (Green, 1991). The purposive sampling technique was used, whereby respondents received an online survey administered by the university's academics. The survey took about three months to complete starting from January 2021 until the end of March 2021. Involvement was genuinely voluntary and unknown. </w:t>
      </w:r>
    </w:p>
    <w:p w14:paraId="0927AD90" w14:textId="77777777" w:rsidR="00D270EC" w:rsidRPr="006A7BED" w:rsidRDefault="00D270EC"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17D95F4" w14:textId="776FFB71" w:rsidR="006A7BED" w:rsidRDefault="006A7BED"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7BED">
        <w:rPr>
          <w:rFonts w:ascii="Times New Roman" w:eastAsia="Times New Roman" w:hAnsi="Times New Roman" w:cs="Times New Roman"/>
          <w:color w:val="000000"/>
          <w:sz w:val="24"/>
          <w:szCs w:val="24"/>
        </w:rPr>
        <w:t>The questionnaire consisted of seven sections, which aimed at studying the online teaching and learning satisfaction amongst tertiary students in Malaysia. It consisted of student’s T&amp;L online satisfaction items (6 items), students’ preparedness (5 items), students’ motivation (4 items), internet availability (4 items</w:t>
      </w:r>
      <w:r w:rsidR="00D270EC" w:rsidRPr="006A7BED">
        <w:rPr>
          <w:rFonts w:ascii="Times New Roman" w:eastAsia="Times New Roman" w:hAnsi="Times New Roman" w:cs="Times New Roman"/>
          <w:color w:val="000000"/>
          <w:sz w:val="24"/>
          <w:szCs w:val="24"/>
        </w:rPr>
        <w:t>), technical</w:t>
      </w:r>
      <w:r w:rsidRPr="006A7BED">
        <w:rPr>
          <w:rFonts w:ascii="Times New Roman" w:eastAsia="Times New Roman" w:hAnsi="Times New Roman" w:cs="Times New Roman"/>
          <w:color w:val="000000"/>
          <w:sz w:val="24"/>
          <w:szCs w:val="24"/>
        </w:rPr>
        <w:t xml:space="preserve"> support (4 items), and psychological support (5 items), (</w:t>
      </w:r>
      <w:proofErr w:type="spellStart"/>
      <w:r w:rsidRPr="006A7BED">
        <w:rPr>
          <w:rFonts w:ascii="Times New Roman" w:eastAsia="Times New Roman" w:hAnsi="Times New Roman" w:cs="Times New Roman"/>
          <w:color w:val="000000"/>
          <w:sz w:val="24"/>
          <w:szCs w:val="24"/>
        </w:rPr>
        <w:t>Bolliger</w:t>
      </w:r>
      <w:proofErr w:type="spellEnd"/>
      <w:r w:rsidRPr="006A7BED">
        <w:rPr>
          <w:rFonts w:ascii="Times New Roman" w:eastAsia="Times New Roman" w:hAnsi="Times New Roman" w:cs="Times New Roman"/>
          <w:color w:val="000000"/>
          <w:sz w:val="24"/>
          <w:szCs w:val="24"/>
        </w:rPr>
        <w:t xml:space="preserve"> &amp; </w:t>
      </w:r>
      <w:proofErr w:type="spellStart"/>
      <w:r w:rsidRPr="006A7BED">
        <w:rPr>
          <w:rFonts w:ascii="Times New Roman" w:eastAsia="Times New Roman" w:hAnsi="Times New Roman" w:cs="Times New Roman"/>
          <w:color w:val="000000"/>
          <w:sz w:val="24"/>
          <w:szCs w:val="24"/>
        </w:rPr>
        <w:t>Wasilik</w:t>
      </w:r>
      <w:proofErr w:type="spellEnd"/>
      <w:r w:rsidRPr="006A7BED">
        <w:rPr>
          <w:rFonts w:ascii="Times New Roman" w:eastAsia="Times New Roman" w:hAnsi="Times New Roman" w:cs="Times New Roman"/>
          <w:color w:val="000000"/>
          <w:sz w:val="24"/>
          <w:szCs w:val="24"/>
        </w:rPr>
        <w:t>, 2009).  There were five essential demographic items (i.e., age, gender, ethnicity, education background and current stage of learning). Total of 33 items were asked for 7 subsections. Among the items asked in the survey questionnaire include the students' satisfaction with their current online learning, their internet application, tools being used in the class, enjoyment, and their psychological level. A seven-point Likert-type measure varying from strongly disagree (1) to strongly agree (7) was offered as answer alternatives for all the elements. Only one answer was permitted per element.</w:t>
      </w:r>
    </w:p>
    <w:p w14:paraId="1E0E0BE6" w14:textId="77777777" w:rsidR="00D270EC" w:rsidRPr="006A7BED" w:rsidRDefault="00D270EC"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9EE9692" w14:textId="1BEB351F" w:rsidR="006A7BED" w:rsidRDefault="006A7BED"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7BED">
        <w:rPr>
          <w:rFonts w:ascii="Times New Roman" w:eastAsia="Times New Roman" w:hAnsi="Times New Roman" w:cs="Times New Roman"/>
          <w:color w:val="000000"/>
          <w:sz w:val="24"/>
          <w:szCs w:val="24"/>
        </w:rPr>
        <w:t xml:space="preserve">The study utilized the Structural Equation Model via Partial Least Squares (PLS) technique to examine the model of the study by using </w:t>
      </w:r>
      <w:proofErr w:type="spellStart"/>
      <w:r w:rsidRPr="006A7BED">
        <w:rPr>
          <w:rFonts w:ascii="Times New Roman" w:eastAsia="Times New Roman" w:hAnsi="Times New Roman" w:cs="Times New Roman"/>
          <w:color w:val="000000"/>
          <w:sz w:val="24"/>
          <w:szCs w:val="24"/>
        </w:rPr>
        <w:t>SmartPLS</w:t>
      </w:r>
      <w:proofErr w:type="spellEnd"/>
      <w:r w:rsidRPr="006A7BED">
        <w:rPr>
          <w:rFonts w:ascii="Times New Roman" w:eastAsia="Times New Roman" w:hAnsi="Times New Roman" w:cs="Times New Roman"/>
          <w:color w:val="000000"/>
          <w:sz w:val="24"/>
          <w:szCs w:val="24"/>
        </w:rPr>
        <w:t xml:space="preserve"> 3.0 software (</w:t>
      </w:r>
      <w:proofErr w:type="spellStart"/>
      <w:r w:rsidRPr="006A7BED">
        <w:rPr>
          <w:rFonts w:ascii="Times New Roman" w:eastAsia="Times New Roman" w:hAnsi="Times New Roman" w:cs="Times New Roman"/>
          <w:color w:val="000000"/>
          <w:sz w:val="24"/>
          <w:szCs w:val="24"/>
        </w:rPr>
        <w:t>Ringle</w:t>
      </w:r>
      <w:proofErr w:type="spellEnd"/>
      <w:r w:rsidRPr="006A7BED">
        <w:rPr>
          <w:rFonts w:ascii="Times New Roman" w:eastAsia="Times New Roman" w:hAnsi="Times New Roman" w:cs="Times New Roman"/>
          <w:color w:val="000000"/>
          <w:sz w:val="24"/>
          <w:szCs w:val="24"/>
        </w:rPr>
        <w:t xml:space="preserve"> et al., 2015). It starts with descriptive analysis by using SPSS. It continues with the two-state analytical procedure suggested by Hair et al. (2019). It begins through the measurement model evaluation (validity and reliability), continued with the structural model evaluation to check the hypothesis relationship.</w:t>
      </w:r>
    </w:p>
    <w:p w14:paraId="2961B371" w14:textId="77777777" w:rsidR="00D270EC" w:rsidRPr="006A7BED" w:rsidRDefault="00D270EC"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00F2DBA" w14:textId="242DACFA" w:rsidR="006A7BED" w:rsidRDefault="006A7BED"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7BED">
        <w:rPr>
          <w:rFonts w:ascii="Times New Roman" w:eastAsia="Times New Roman" w:hAnsi="Times New Roman" w:cs="Times New Roman"/>
          <w:color w:val="000000"/>
          <w:sz w:val="24"/>
          <w:szCs w:val="24"/>
        </w:rPr>
        <w:t>For data analysis using Structural Equation Model, a two-step assessment procedure of both measurement and structural models has an advantage over one step assessment procedure (</w:t>
      </w:r>
      <w:proofErr w:type="spellStart"/>
      <w:r w:rsidRPr="006A7BED">
        <w:rPr>
          <w:rFonts w:ascii="Times New Roman" w:eastAsia="Times New Roman" w:hAnsi="Times New Roman" w:cs="Times New Roman"/>
          <w:color w:val="000000"/>
          <w:sz w:val="24"/>
          <w:szCs w:val="24"/>
        </w:rPr>
        <w:t>Schumacker</w:t>
      </w:r>
      <w:proofErr w:type="spellEnd"/>
      <w:r w:rsidRPr="006A7BED">
        <w:rPr>
          <w:rFonts w:ascii="Times New Roman" w:eastAsia="Times New Roman" w:hAnsi="Times New Roman" w:cs="Times New Roman"/>
          <w:color w:val="000000"/>
          <w:sz w:val="24"/>
          <w:szCs w:val="24"/>
        </w:rPr>
        <w:t xml:space="preserve"> &amp; Lomax, 2004; Hair et al., 2010). The measurement model would specify the measurement for each selected construct, while the structural model would specify the connection between variables in the structural model (Hair et al., 2017). Many researchers choose PLS as their main statistical method for analysis because PLS offers concurrent assessment of both models, taking the lead to more precise assessments (Barclay et al., 1995). Due to the same reason, PLS is chosen as the data analysis technique for the current study.</w:t>
      </w:r>
    </w:p>
    <w:p w14:paraId="0751ABC5" w14:textId="77777777" w:rsidR="00D270EC" w:rsidRPr="006A7BED" w:rsidRDefault="00D270EC"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C208E09" w14:textId="0C32B3E6" w:rsidR="006A7BED" w:rsidRDefault="006A7BED"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7BED">
        <w:rPr>
          <w:rFonts w:ascii="Times New Roman" w:eastAsia="Times New Roman" w:hAnsi="Times New Roman" w:cs="Times New Roman"/>
          <w:color w:val="000000"/>
          <w:sz w:val="24"/>
          <w:szCs w:val="24"/>
        </w:rPr>
        <w:t xml:space="preserve">Figure 1 below indicates the study's measurement model that will be discussed further in the next section. It consists of students’ satisfaction, students’ preparedness, students’ motivation, internet availability, technical support, and psychological support. </w:t>
      </w:r>
    </w:p>
    <w:p w14:paraId="5D7E6C90" w14:textId="77777777" w:rsidR="00D270EC" w:rsidRPr="006A7BED" w:rsidRDefault="00D270EC"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7F5C49E" w14:textId="77777777" w:rsidR="006A7BED" w:rsidRPr="00532496" w:rsidRDefault="006A7BED" w:rsidP="006A7BED">
      <w:pPr>
        <w:spacing w:after="0" w:line="240" w:lineRule="auto"/>
        <w:ind w:left="0" w:hanging="2"/>
        <w:jc w:val="center"/>
        <w:rPr>
          <w:szCs w:val="24"/>
        </w:rPr>
      </w:pPr>
      <w:r w:rsidRPr="00532496">
        <w:rPr>
          <w:noProof/>
          <w:szCs w:val="24"/>
        </w:rPr>
        <w:drawing>
          <wp:inline distT="0" distB="0" distL="0" distR="0" wp14:anchorId="5AAC4E6B" wp14:editId="1F493CFC">
            <wp:extent cx="3606283" cy="2060575"/>
            <wp:effectExtent l="19050" t="19050" r="13335" b="15875"/>
            <wp:docPr id="2" name="Picture 1" descr="Bubble chart&#10;&#10;Description automatically generated with medium confidence">
              <a:extLst xmlns:a="http://schemas.openxmlformats.org/drawingml/2006/main">
                <a:ext uri="{FF2B5EF4-FFF2-40B4-BE49-F238E27FC236}">
                  <a16:creationId xmlns:a16="http://schemas.microsoft.com/office/drawing/2014/main" id="{1EFA7429-4D8F-4FCF-8BA9-F17E4946CC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ubble chart&#10;&#10;Description automatically generated with medium confidence">
                      <a:extLst>
                        <a:ext uri="{FF2B5EF4-FFF2-40B4-BE49-F238E27FC236}">
                          <a16:creationId xmlns:a16="http://schemas.microsoft.com/office/drawing/2014/main" id="{1EFA7429-4D8F-4FCF-8BA9-F17E4946CCFD}"/>
                        </a:ext>
                      </a:extLst>
                    </pic:cNvPr>
                    <pic:cNvPicPr>
                      <a:picLocks noChangeAspect="1"/>
                    </pic:cNvPicPr>
                  </pic:nvPicPr>
                  <pic:blipFill>
                    <a:blip r:embed="rId8"/>
                    <a:stretch>
                      <a:fillRect/>
                    </a:stretch>
                  </pic:blipFill>
                  <pic:spPr>
                    <a:xfrm>
                      <a:off x="0" y="0"/>
                      <a:ext cx="3627187" cy="2072519"/>
                    </a:xfrm>
                    <a:prstGeom prst="rect">
                      <a:avLst/>
                    </a:prstGeom>
                    <a:ln w="19050">
                      <a:solidFill>
                        <a:schemeClr val="tx1"/>
                      </a:solidFill>
                    </a:ln>
                  </pic:spPr>
                </pic:pic>
              </a:graphicData>
            </a:graphic>
          </wp:inline>
        </w:drawing>
      </w:r>
    </w:p>
    <w:p w14:paraId="4A84909A" w14:textId="34DB8955" w:rsidR="006A7BED" w:rsidRPr="00986F97" w:rsidRDefault="006A7BED" w:rsidP="006A7BED">
      <w:pPr>
        <w:spacing w:after="0" w:line="240" w:lineRule="auto"/>
        <w:ind w:left="0" w:hanging="2"/>
        <w:jc w:val="center"/>
        <w:rPr>
          <w:rFonts w:ascii="Times New Roman" w:hAnsi="Times New Roman" w:cs="Times New Roman"/>
          <w:b/>
          <w:bCs/>
          <w:sz w:val="24"/>
          <w:szCs w:val="24"/>
        </w:rPr>
      </w:pPr>
      <w:r w:rsidRPr="00986F97">
        <w:rPr>
          <w:rFonts w:ascii="Times New Roman" w:hAnsi="Times New Roman" w:cs="Times New Roman"/>
          <w:b/>
          <w:bCs/>
          <w:sz w:val="24"/>
          <w:szCs w:val="24"/>
        </w:rPr>
        <w:t>Figure 1: Measurement model of the study</w:t>
      </w:r>
    </w:p>
    <w:p w14:paraId="115B42B3" w14:textId="3858AE1E" w:rsidR="006F1887" w:rsidRDefault="004D1579" w:rsidP="006A7BE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097FF69" w14:textId="253B3919" w:rsidR="006F1887" w:rsidRDefault="004D1579" w:rsidP="003005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Results and</w:t>
      </w:r>
      <w:r w:rsidR="00D270EC">
        <w:rPr>
          <w:rFonts w:ascii="Times New Roman" w:eastAsia="Times New Roman" w:hAnsi="Times New Roman" w:cs="Times New Roman"/>
          <w:b/>
          <w:color w:val="000000"/>
          <w:sz w:val="24"/>
          <w:szCs w:val="24"/>
        </w:rPr>
        <w:t xml:space="preserve"> Discussion </w:t>
      </w:r>
    </w:p>
    <w:p w14:paraId="348D4A91" w14:textId="2B725C11" w:rsidR="003005F0" w:rsidRDefault="003005F0" w:rsidP="003005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5970B1C" w14:textId="77777777" w:rsidR="003005F0" w:rsidRPr="003005F0" w:rsidRDefault="003005F0" w:rsidP="00D270EC">
      <w:pPr>
        <w:spacing w:line="240" w:lineRule="auto"/>
        <w:ind w:left="0" w:hanging="2"/>
        <w:jc w:val="both"/>
        <w:rPr>
          <w:rFonts w:asciiTheme="majorBidi" w:hAnsiTheme="majorBidi" w:cstheme="majorBidi"/>
          <w:sz w:val="24"/>
          <w:szCs w:val="24"/>
        </w:rPr>
      </w:pPr>
      <w:r w:rsidRPr="003005F0">
        <w:rPr>
          <w:rFonts w:asciiTheme="majorBidi" w:hAnsiTheme="majorBidi" w:cstheme="majorBidi"/>
          <w:sz w:val="24"/>
          <w:szCs w:val="24"/>
        </w:rPr>
        <w:t>The overall number of acceptable completed questionnaires was 336 from the tertiary students in Malaysia. The questionnaire required the respondents to provide their background information, such as gender, age, ethnicity, current education level, and educational background. Table 1 provides a summary of the demographic of the respondents. In summary, about three-quarters of the respondents are female with a non-science background and ages between 20-24 because this is the range that teenagers are in tertiary education in Malaysia.</w:t>
      </w:r>
    </w:p>
    <w:tbl>
      <w:tblPr>
        <w:tblW w:w="6237" w:type="dxa"/>
        <w:jc w:val="center"/>
        <w:tblLook w:val="04A0" w:firstRow="1" w:lastRow="0" w:firstColumn="1" w:lastColumn="0" w:noHBand="0" w:noVBand="1"/>
      </w:tblPr>
      <w:tblGrid>
        <w:gridCol w:w="2722"/>
        <w:gridCol w:w="1778"/>
        <w:gridCol w:w="1308"/>
        <w:gridCol w:w="1503"/>
      </w:tblGrid>
      <w:tr w:rsidR="003005F0" w:rsidRPr="003005F0" w14:paraId="752D3334" w14:textId="77777777" w:rsidTr="00E77717">
        <w:trPr>
          <w:trHeight w:val="300"/>
          <w:jc w:val="center"/>
        </w:trPr>
        <w:tc>
          <w:tcPr>
            <w:tcW w:w="7222" w:type="dxa"/>
            <w:gridSpan w:val="4"/>
            <w:tcBorders>
              <w:top w:val="nil"/>
              <w:left w:val="nil"/>
              <w:bottom w:val="nil"/>
              <w:right w:val="nil"/>
            </w:tcBorders>
            <w:shd w:val="clear" w:color="auto" w:fill="auto"/>
            <w:noWrap/>
            <w:vAlign w:val="center"/>
            <w:hideMark/>
          </w:tcPr>
          <w:p w14:paraId="6E921499" w14:textId="77777777" w:rsidR="003005F0" w:rsidRPr="003005F0" w:rsidRDefault="003005F0" w:rsidP="00E77717">
            <w:pPr>
              <w:spacing w:after="0" w:line="240" w:lineRule="auto"/>
              <w:ind w:left="0" w:hanging="2"/>
              <w:jc w:val="center"/>
              <w:rPr>
                <w:rFonts w:asciiTheme="majorBidi" w:eastAsia="Times New Roman" w:hAnsiTheme="majorBidi" w:cstheme="majorBidi"/>
                <w:sz w:val="24"/>
                <w:szCs w:val="24"/>
                <w:lang w:val="en-GB" w:eastAsia="en-GB"/>
              </w:rPr>
            </w:pPr>
            <w:r w:rsidRPr="003005F0">
              <w:rPr>
                <w:rFonts w:asciiTheme="majorBidi" w:eastAsia="Times New Roman" w:hAnsiTheme="majorBidi" w:cstheme="majorBidi"/>
                <w:b/>
                <w:bCs/>
                <w:color w:val="000000"/>
                <w:sz w:val="24"/>
                <w:szCs w:val="24"/>
                <w:lang w:val="en-GB" w:eastAsia="en-GB"/>
              </w:rPr>
              <w:t>Table 1: Demographic profile of respondents.</w:t>
            </w:r>
          </w:p>
        </w:tc>
      </w:tr>
      <w:tr w:rsidR="003005F0" w:rsidRPr="003005F0" w14:paraId="588B5E11" w14:textId="77777777" w:rsidTr="00E77717">
        <w:trPr>
          <w:trHeight w:val="310"/>
          <w:jc w:val="center"/>
        </w:trPr>
        <w:tc>
          <w:tcPr>
            <w:tcW w:w="2722" w:type="dxa"/>
            <w:tcBorders>
              <w:top w:val="single" w:sz="4" w:space="0" w:color="auto"/>
              <w:left w:val="nil"/>
              <w:bottom w:val="single" w:sz="4" w:space="0" w:color="auto"/>
              <w:right w:val="nil"/>
            </w:tcBorders>
            <w:shd w:val="clear" w:color="auto" w:fill="auto"/>
            <w:noWrap/>
            <w:vAlign w:val="bottom"/>
            <w:hideMark/>
          </w:tcPr>
          <w:p w14:paraId="62125B62" w14:textId="77777777" w:rsidR="003005F0" w:rsidRPr="003005F0" w:rsidRDefault="003005F0" w:rsidP="00E77717">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Items</w:t>
            </w:r>
          </w:p>
        </w:tc>
        <w:tc>
          <w:tcPr>
            <w:tcW w:w="1778" w:type="dxa"/>
            <w:tcBorders>
              <w:top w:val="single" w:sz="4" w:space="0" w:color="auto"/>
              <w:left w:val="nil"/>
              <w:bottom w:val="single" w:sz="4" w:space="0" w:color="auto"/>
              <w:right w:val="nil"/>
            </w:tcBorders>
            <w:shd w:val="clear" w:color="auto" w:fill="auto"/>
            <w:noWrap/>
            <w:vAlign w:val="bottom"/>
            <w:hideMark/>
          </w:tcPr>
          <w:p w14:paraId="7548A46D" w14:textId="77777777" w:rsidR="003005F0" w:rsidRPr="003005F0" w:rsidRDefault="003005F0" w:rsidP="00E77717">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Categories</w:t>
            </w:r>
          </w:p>
        </w:tc>
        <w:tc>
          <w:tcPr>
            <w:tcW w:w="1219" w:type="dxa"/>
            <w:tcBorders>
              <w:top w:val="single" w:sz="4" w:space="0" w:color="auto"/>
              <w:left w:val="nil"/>
              <w:bottom w:val="single" w:sz="4" w:space="0" w:color="auto"/>
              <w:right w:val="nil"/>
            </w:tcBorders>
            <w:shd w:val="clear" w:color="auto" w:fill="auto"/>
            <w:noWrap/>
            <w:vAlign w:val="bottom"/>
            <w:hideMark/>
          </w:tcPr>
          <w:p w14:paraId="7ED8E407" w14:textId="77777777" w:rsidR="003005F0" w:rsidRPr="003005F0" w:rsidRDefault="003005F0" w:rsidP="00E77717">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Frequency</w:t>
            </w:r>
          </w:p>
        </w:tc>
        <w:tc>
          <w:tcPr>
            <w:tcW w:w="1503" w:type="dxa"/>
            <w:tcBorders>
              <w:top w:val="single" w:sz="4" w:space="0" w:color="auto"/>
              <w:left w:val="nil"/>
              <w:bottom w:val="single" w:sz="4" w:space="0" w:color="auto"/>
              <w:right w:val="nil"/>
            </w:tcBorders>
            <w:shd w:val="clear" w:color="auto" w:fill="auto"/>
            <w:noWrap/>
            <w:vAlign w:val="bottom"/>
            <w:hideMark/>
          </w:tcPr>
          <w:p w14:paraId="61B0D940" w14:textId="77777777" w:rsidR="003005F0" w:rsidRPr="003005F0" w:rsidRDefault="003005F0" w:rsidP="00E77717">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Percentage (%)</w:t>
            </w:r>
          </w:p>
        </w:tc>
      </w:tr>
      <w:tr w:rsidR="003005F0" w:rsidRPr="003005F0" w14:paraId="0680C841"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75A488A4"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Gender</w:t>
            </w:r>
          </w:p>
        </w:tc>
        <w:tc>
          <w:tcPr>
            <w:tcW w:w="1778" w:type="dxa"/>
            <w:tcBorders>
              <w:top w:val="nil"/>
              <w:left w:val="nil"/>
              <w:bottom w:val="nil"/>
              <w:right w:val="nil"/>
            </w:tcBorders>
            <w:shd w:val="clear" w:color="000000" w:fill="FFFFFF"/>
            <w:vAlign w:val="center"/>
            <w:hideMark/>
          </w:tcPr>
          <w:p w14:paraId="441AECF2"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Male</w:t>
            </w:r>
          </w:p>
        </w:tc>
        <w:tc>
          <w:tcPr>
            <w:tcW w:w="1219" w:type="dxa"/>
            <w:tcBorders>
              <w:top w:val="nil"/>
              <w:left w:val="nil"/>
              <w:bottom w:val="nil"/>
              <w:right w:val="nil"/>
            </w:tcBorders>
            <w:shd w:val="clear" w:color="000000" w:fill="FFFFFF"/>
            <w:vAlign w:val="center"/>
            <w:hideMark/>
          </w:tcPr>
          <w:p w14:paraId="5800D302"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93</w:t>
            </w:r>
          </w:p>
        </w:tc>
        <w:tc>
          <w:tcPr>
            <w:tcW w:w="1503" w:type="dxa"/>
            <w:tcBorders>
              <w:top w:val="nil"/>
              <w:left w:val="nil"/>
              <w:bottom w:val="nil"/>
              <w:right w:val="nil"/>
            </w:tcBorders>
            <w:shd w:val="clear" w:color="000000" w:fill="FFFFFF"/>
            <w:vAlign w:val="center"/>
            <w:hideMark/>
          </w:tcPr>
          <w:p w14:paraId="32ABDE6D"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27.7</w:t>
            </w:r>
          </w:p>
        </w:tc>
      </w:tr>
      <w:tr w:rsidR="003005F0" w:rsidRPr="003005F0" w14:paraId="3B31CE29"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158F1220"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2CB7050E"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Female</w:t>
            </w:r>
          </w:p>
        </w:tc>
        <w:tc>
          <w:tcPr>
            <w:tcW w:w="1219" w:type="dxa"/>
            <w:tcBorders>
              <w:top w:val="nil"/>
              <w:left w:val="nil"/>
              <w:bottom w:val="nil"/>
              <w:right w:val="nil"/>
            </w:tcBorders>
            <w:shd w:val="clear" w:color="000000" w:fill="FFFFFF"/>
            <w:vAlign w:val="center"/>
            <w:hideMark/>
          </w:tcPr>
          <w:p w14:paraId="0449C31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243</w:t>
            </w:r>
          </w:p>
        </w:tc>
        <w:tc>
          <w:tcPr>
            <w:tcW w:w="1503" w:type="dxa"/>
            <w:tcBorders>
              <w:top w:val="nil"/>
              <w:left w:val="nil"/>
              <w:bottom w:val="nil"/>
              <w:right w:val="nil"/>
            </w:tcBorders>
            <w:shd w:val="clear" w:color="000000" w:fill="FFFFFF"/>
            <w:vAlign w:val="center"/>
            <w:hideMark/>
          </w:tcPr>
          <w:p w14:paraId="1CCE8E32"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72.3</w:t>
            </w:r>
          </w:p>
        </w:tc>
      </w:tr>
      <w:tr w:rsidR="003005F0" w:rsidRPr="003005F0" w14:paraId="2B0030CE"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00BEC501"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auto" w:fill="auto"/>
            <w:noWrap/>
            <w:vAlign w:val="bottom"/>
            <w:hideMark/>
          </w:tcPr>
          <w:p w14:paraId="31985D21"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219" w:type="dxa"/>
            <w:tcBorders>
              <w:top w:val="nil"/>
              <w:left w:val="nil"/>
              <w:bottom w:val="nil"/>
              <w:right w:val="nil"/>
            </w:tcBorders>
            <w:shd w:val="clear" w:color="auto" w:fill="auto"/>
            <w:noWrap/>
            <w:vAlign w:val="bottom"/>
            <w:hideMark/>
          </w:tcPr>
          <w:p w14:paraId="3D398372"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503" w:type="dxa"/>
            <w:tcBorders>
              <w:top w:val="nil"/>
              <w:left w:val="nil"/>
              <w:bottom w:val="nil"/>
              <w:right w:val="nil"/>
            </w:tcBorders>
            <w:shd w:val="clear" w:color="auto" w:fill="auto"/>
            <w:noWrap/>
            <w:vAlign w:val="bottom"/>
            <w:hideMark/>
          </w:tcPr>
          <w:p w14:paraId="62748431"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25202EE5"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415D22FB"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Age</w:t>
            </w:r>
          </w:p>
        </w:tc>
        <w:tc>
          <w:tcPr>
            <w:tcW w:w="1778" w:type="dxa"/>
            <w:tcBorders>
              <w:top w:val="nil"/>
              <w:left w:val="nil"/>
              <w:bottom w:val="nil"/>
              <w:right w:val="nil"/>
            </w:tcBorders>
            <w:shd w:val="clear" w:color="000000" w:fill="FFFFFF"/>
            <w:vAlign w:val="center"/>
            <w:hideMark/>
          </w:tcPr>
          <w:p w14:paraId="2D13D05A"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15-19</w:t>
            </w:r>
          </w:p>
        </w:tc>
        <w:tc>
          <w:tcPr>
            <w:tcW w:w="1219" w:type="dxa"/>
            <w:tcBorders>
              <w:top w:val="nil"/>
              <w:left w:val="nil"/>
              <w:bottom w:val="nil"/>
              <w:right w:val="nil"/>
            </w:tcBorders>
            <w:shd w:val="clear" w:color="000000" w:fill="FFFFFF"/>
            <w:vAlign w:val="center"/>
            <w:hideMark/>
          </w:tcPr>
          <w:p w14:paraId="6C2CC603"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82</w:t>
            </w:r>
          </w:p>
        </w:tc>
        <w:tc>
          <w:tcPr>
            <w:tcW w:w="1503" w:type="dxa"/>
            <w:tcBorders>
              <w:top w:val="nil"/>
              <w:left w:val="nil"/>
              <w:bottom w:val="nil"/>
              <w:right w:val="nil"/>
            </w:tcBorders>
            <w:shd w:val="clear" w:color="000000" w:fill="FFFFFF"/>
            <w:vAlign w:val="center"/>
            <w:hideMark/>
          </w:tcPr>
          <w:p w14:paraId="0CB55F92"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24.4</w:t>
            </w:r>
          </w:p>
        </w:tc>
      </w:tr>
      <w:tr w:rsidR="003005F0" w:rsidRPr="003005F0" w14:paraId="09B03505"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5EB3CC4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32B08567"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20-24</w:t>
            </w:r>
          </w:p>
        </w:tc>
        <w:tc>
          <w:tcPr>
            <w:tcW w:w="1219" w:type="dxa"/>
            <w:tcBorders>
              <w:top w:val="nil"/>
              <w:left w:val="nil"/>
              <w:bottom w:val="nil"/>
              <w:right w:val="nil"/>
            </w:tcBorders>
            <w:shd w:val="clear" w:color="000000" w:fill="FFFFFF"/>
            <w:vAlign w:val="center"/>
            <w:hideMark/>
          </w:tcPr>
          <w:p w14:paraId="38FA9071"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250</w:t>
            </w:r>
          </w:p>
        </w:tc>
        <w:tc>
          <w:tcPr>
            <w:tcW w:w="1503" w:type="dxa"/>
            <w:tcBorders>
              <w:top w:val="nil"/>
              <w:left w:val="nil"/>
              <w:bottom w:val="nil"/>
              <w:right w:val="nil"/>
            </w:tcBorders>
            <w:shd w:val="clear" w:color="000000" w:fill="FFFFFF"/>
            <w:vAlign w:val="center"/>
            <w:hideMark/>
          </w:tcPr>
          <w:p w14:paraId="7F84189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74.4</w:t>
            </w:r>
          </w:p>
        </w:tc>
      </w:tr>
      <w:tr w:rsidR="003005F0" w:rsidRPr="003005F0" w14:paraId="335564A2"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47EEC47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2DF456FC"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25-29</w:t>
            </w:r>
          </w:p>
        </w:tc>
        <w:tc>
          <w:tcPr>
            <w:tcW w:w="1219" w:type="dxa"/>
            <w:tcBorders>
              <w:top w:val="nil"/>
              <w:left w:val="nil"/>
              <w:bottom w:val="nil"/>
              <w:right w:val="nil"/>
            </w:tcBorders>
            <w:shd w:val="clear" w:color="000000" w:fill="FFFFFF"/>
            <w:vAlign w:val="center"/>
            <w:hideMark/>
          </w:tcPr>
          <w:p w14:paraId="11B9D32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w:t>
            </w:r>
          </w:p>
        </w:tc>
        <w:tc>
          <w:tcPr>
            <w:tcW w:w="1503" w:type="dxa"/>
            <w:tcBorders>
              <w:top w:val="nil"/>
              <w:left w:val="nil"/>
              <w:bottom w:val="nil"/>
              <w:right w:val="nil"/>
            </w:tcBorders>
            <w:shd w:val="clear" w:color="000000" w:fill="FFFFFF"/>
            <w:vAlign w:val="center"/>
            <w:hideMark/>
          </w:tcPr>
          <w:p w14:paraId="20E604DD"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w:t>
            </w:r>
          </w:p>
        </w:tc>
      </w:tr>
      <w:tr w:rsidR="003005F0" w:rsidRPr="003005F0" w14:paraId="62EFB5BF"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6E02663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6D18B4EE"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Above 34</w:t>
            </w:r>
          </w:p>
        </w:tc>
        <w:tc>
          <w:tcPr>
            <w:tcW w:w="1219" w:type="dxa"/>
            <w:tcBorders>
              <w:top w:val="nil"/>
              <w:left w:val="nil"/>
              <w:bottom w:val="nil"/>
              <w:right w:val="nil"/>
            </w:tcBorders>
            <w:shd w:val="clear" w:color="000000" w:fill="FFFFFF"/>
            <w:vAlign w:val="center"/>
            <w:hideMark/>
          </w:tcPr>
          <w:p w14:paraId="67E20405"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w:t>
            </w:r>
          </w:p>
        </w:tc>
        <w:tc>
          <w:tcPr>
            <w:tcW w:w="1503" w:type="dxa"/>
            <w:tcBorders>
              <w:top w:val="nil"/>
              <w:left w:val="nil"/>
              <w:bottom w:val="nil"/>
              <w:right w:val="nil"/>
            </w:tcBorders>
            <w:shd w:val="clear" w:color="000000" w:fill="FFFFFF"/>
            <w:vAlign w:val="center"/>
            <w:hideMark/>
          </w:tcPr>
          <w:p w14:paraId="64C133D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w:t>
            </w:r>
          </w:p>
        </w:tc>
      </w:tr>
      <w:tr w:rsidR="003005F0" w:rsidRPr="003005F0" w14:paraId="0964AC6E"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211C4205"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auto" w:fill="auto"/>
            <w:noWrap/>
            <w:vAlign w:val="bottom"/>
            <w:hideMark/>
          </w:tcPr>
          <w:p w14:paraId="541D874B"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219" w:type="dxa"/>
            <w:tcBorders>
              <w:top w:val="nil"/>
              <w:left w:val="nil"/>
              <w:bottom w:val="nil"/>
              <w:right w:val="nil"/>
            </w:tcBorders>
            <w:shd w:val="clear" w:color="auto" w:fill="auto"/>
            <w:noWrap/>
            <w:vAlign w:val="bottom"/>
            <w:hideMark/>
          </w:tcPr>
          <w:p w14:paraId="0BDC1B0C"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503" w:type="dxa"/>
            <w:tcBorders>
              <w:top w:val="nil"/>
              <w:left w:val="nil"/>
              <w:bottom w:val="nil"/>
              <w:right w:val="nil"/>
            </w:tcBorders>
            <w:shd w:val="clear" w:color="auto" w:fill="auto"/>
            <w:noWrap/>
            <w:vAlign w:val="bottom"/>
            <w:hideMark/>
          </w:tcPr>
          <w:p w14:paraId="160643D3"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3108AE55"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7637A2F8"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Ethnicity</w:t>
            </w:r>
          </w:p>
        </w:tc>
        <w:tc>
          <w:tcPr>
            <w:tcW w:w="1778" w:type="dxa"/>
            <w:tcBorders>
              <w:top w:val="nil"/>
              <w:left w:val="nil"/>
              <w:bottom w:val="nil"/>
              <w:right w:val="nil"/>
            </w:tcBorders>
            <w:shd w:val="clear" w:color="000000" w:fill="FFFFFF"/>
            <w:vAlign w:val="center"/>
            <w:hideMark/>
          </w:tcPr>
          <w:p w14:paraId="4F73E7F9"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Malay</w:t>
            </w:r>
          </w:p>
        </w:tc>
        <w:tc>
          <w:tcPr>
            <w:tcW w:w="1219" w:type="dxa"/>
            <w:tcBorders>
              <w:top w:val="nil"/>
              <w:left w:val="nil"/>
              <w:bottom w:val="nil"/>
              <w:right w:val="nil"/>
            </w:tcBorders>
            <w:shd w:val="clear" w:color="000000" w:fill="FFFFFF"/>
            <w:vAlign w:val="center"/>
            <w:hideMark/>
          </w:tcPr>
          <w:p w14:paraId="2C971A3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203</w:t>
            </w:r>
          </w:p>
        </w:tc>
        <w:tc>
          <w:tcPr>
            <w:tcW w:w="1503" w:type="dxa"/>
            <w:tcBorders>
              <w:top w:val="nil"/>
              <w:left w:val="nil"/>
              <w:bottom w:val="nil"/>
              <w:right w:val="nil"/>
            </w:tcBorders>
            <w:shd w:val="clear" w:color="000000" w:fill="FFFFFF"/>
            <w:vAlign w:val="center"/>
            <w:hideMark/>
          </w:tcPr>
          <w:p w14:paraId="3BD68DBF"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60.4</w:t>
            </w:r>
          </w:p>
        </w:tc>
      </w:tr>
      <w:tr w:rsidR="003005F0" w:rsidRPr="003005F0" w14:paraId="4DF1F591"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3514B378"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7635CC18"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Chinese</w:t>
            </w:r>
          </w:p>
        </w:tc>
        <w:tc>
          <w:tcPr>
            <w:tcW w:w="1219" w:type="dxa"/>
            <w:tcBorders>
              <w:top w:val="nil"/>
              <w:left w:val="nil"/>
              <w:bottom w:val="nil"/>
              <w:right w:val="nil"/>
            </w:tcBorders>
            <w:shd w:val="clear" w:color="000000" w:fill="FFFFFF"/>
            <w:vAlign w:val="center"/>
            <w:hideMark/>
          </w:tcPr>
          <w:p w14:paraId="08E3BC31"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70</w:t>
            </w:r>
          </w:p>
        </w:tc>
        <w:tc>
          <w:tcPr>
            <w:tcW w:w="1503" w:type="dxa"/>
            <w:tcBorders>
              <w:top w:val="nil"/>
              <w:left w:val="nil"/>
              <w:bottom w:val="nil"/>
              <w:right w:val="nil"/>
            </w:tcBorders>
            <w:shd w:val="clear" w:color="000000" w:fill="FFFFFF"/>
            <w:vAlign w:val="center"/>
            <w:hideMark/>
          </w:tcPr>
          <w:p w14:paraId="23B766DD"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20.8</w:t>
            </w:r>
          </w:p>
        </w:tc>
      </w:tr>
      <w:tr w:rsidR="003005F0" w:rsidRPr="003005F0" w14:paraId="0C635E4F"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566687E0"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3677922A"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Indian</w:t>
            </w:r>
          </w:p>
        </w:tc>
        <w:tc>
          <w:tcPr>
            <w:tcW w:w="1219" w:type="dxa"/>
            <w:tcBorders>
              <w:top w:val="nil"/>
              <w:left w:val="nil"/>
              <w:bottom w:val="nil"/>
              <w:right w:val="nil"/>
            </w:tcBorders>
            <w:shd w:val="clear" w:color="000000" w:fill="FFFFFF"/>
            <w:vAlign w:val="center"/>
            <w:hideMark/>
          </w:tcPr>
          <w:p w14:paraId="242F1D6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29</w:t>
            </w:r>
          </w:p>
        </w:tc>
        <w:tc>
          <w:tcPr>
            <w:tcW w:w="1503" w:type="dxa"/>
            <w:tcBorders>
              <w:top w:val="nil"/>
              <w:left w:val="nil"/>
              <w:bottom w:val="nil"/>
              <w:right w:val="nil"/>
            </w:tcBorders>
            <w:shd w:val="clear" w:color="000000" w:fill="FFFFFF"/>
            <w:vAlign w:val="center"/>
            <w:hideMark/>
          </w:tcPr>
          <w:p w14:paraId="3E88424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8.6</w:t>
            </w:r>
          </w:p>
        </w:tc>
      </w:tr>
      <w:tr w:rsidR="003005F0" w:rsidRPr="003005F0" w14:paraId="3C64579B"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5B25BF3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52264606"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Other</w:t>
            </w:r>
          </w:p>
        </w:tc>
        <w:tc>
          <w:tcPr>
            <w:tcW w:w="1219" w:type="dxa"/>
            <w:tcBorders>
              <w:top w:val="nil"/>
              <w:left w:val="nil"/>
              <w:bottom w:val="nil"/>
              <w:right w:val="nil"/>
            </w:tcBorders>
            <w:shd w:val="clear" w:color="000000" w:fill="FFFFFF"/>
            <w:vAlign w:val="center"/>
            <w:hideMark/>
          </w:tcPr>
          <w:p w14:paraId="21593D3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34</w:t>
            </w:r>
          </w:p>
        </w:tc>
        <w:tc>
          <w:tcPr>
            <w:tcW w:w="1503" w:type="dxa"/>
            <w:tcBorders>
              <w:top w:val="nil"/>
              <w:left w:val="nil"/>
              <w:bottom w:val="nil"/>
              <w:right w:val="nil"/>
            </w:tcBorders>
            <w:shd w:val="clear" w:color="000000" w:fill="FFFFFF"/>
            <w:vAlign w:val="center"/>
            <w:hideMark/>
          </w:tcPr>
          <w:p w14:paraId="778ECD3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10.1</w:t>
            </w:r>
          </w:p>
        </w:tc>
      </w:tr>
      <w:tr w:rsidR="003005F0" w:rsidRPr="003005F0" w14:paraId="4CEF71FD"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7081A2D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auto" w:fill="auto"/>
            <w:noWrap/>
            <w:vAlign w:val="bottom"/>
            <w:hideMark/>
          </w:tcPr>
          <w:p w14:paraId="3851ABB0"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219" w:type="dxa"/>
            <w:tcBorders>
              <w:top w:val="nil"/>
              <w:left w:val="nil"/>
              <w:bottom w:val="nil"/>
              <w:right w:val="nil"/>
            </w:tcBorders>
            <w:shd w:val="clear" w:color="auto" w:fill="auto"/>
            <w:noWrap/>
            <w:vAlign w:val="bottom"/>
            <w:hideMark/>
          </w:tcPr>
          <w:p w14:paraId="303449CB"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503" w:type="dxa"/>
            <w:tcBorders>
              <w:top w:val="nil"/>
              <w:left w:val="nil"/>
              <w:bottom w:val="nil"/>
              <w:right w:val="nil"/>
            </w:tcBorders>
            <w:shd w:val="clear" w:color="auto" w:fill="auto"/>
            <w:noWrap/>
            <w:vAlign w:val="bottom"/>
            <w:hideMark/>
          </w:tcPr>
          <w:p w14:paraId="60FFB5D4"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13E1D194"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18F4C6F0"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Education level</w:t>
            </w:r>
          </w:p>
        </w:tc>
        <w:tc>
          <w:tcPr>
            <w:tcW w:w="1778" w:type="dxa"/>
            <w:tcBorders>
              <w:top w:val="nil"/>
              <w:left w:val="nil"/>
              <w:bottom w:val="nil"/>
              <w:right w:val="nil"/>
            </w:tcBorders>
            <w:shd w:val="clear" w:color="000000" w:fill="FFFFFF"/>
            <w:vAlign w:val="center"/>
            <w:hideMark/>
          </w:tcPr>
          <w:p w14:paraId="0180985E"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Certificate</w:t>
            </w:r>
          </w:p>
        </w:tc>
        <w:tc>
          <w:tcPr>
            <w:tcW w:w="1219" w:type="dxa"/>
            <w:tcBorders>
              <w:top w:val="nil"/>
              <w:left w:val="nil"/>
              <w:bottom w:val="nil"/>
              <w:right w:val="nil"/>
            </w:tcBorders>
            <w:shd w:val="clear" w:color="000000" w:fill="FFFFFF"/>
            <w:vAlign w:val="center"/>
            <w:hideMark/>
          </w:tcPr>
          <w:p w14:paraId="3D6203F3"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7</w:t>
            </w:r>
          </w:p>
        </w:tc>
        <w:tc>
          <w:tcPr>
            <w:tcW w:w="1503" w:type="dxa"/>
            <w:tcBorders>
              <w:top w:val="nil"/>
              <w:left w:val="nil"/>
              <w:bottom w:val="nil"/>
              <w:right w:val="nil"/>
            </w:tcBorders>
            <w:shd w:val="clear" w:color="000000" w:fill="FFFFFF"/>
            <w:vAlign w:val="center"/>
            <w:hideMark/>
          </w:tcPr>
          <w:p w14:paraId="743E44C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2.1</w:t>
            </w:r>
          </w:p>
        </w:tc>
      </w:tr>
      <w:tr w:rsidR="003005F0" w:rsidRPr="003005F0" w14:paraId="741F7433"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5931C64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65913FE7"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Diploma</w:t>
            </w:r>
          </w:p>
        </w:tc>
        <w:tc>
          <w:tcPr>
            <w:tcW w:w="1219" w:type="dxa"/>
            <w:tcBorders>
              <w:top w:val="nil"/>
              <w:left w:val="nil"/>
              <w:bottom w:val="nil"/>
              <w:right w:val="nil"/>
            </w:tcBorders>
            <w:shd w:val="clear" w:color="000000" w:fill="FFFFFF"/>
            <w:vAlign w:val="center"/>
            <w:hideMark/>
          </w:tcPr>
          <w:p w14:paraId="104D6925"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187</w:t>
            </w:r>
          </w:p>
        </w:tc>
        <w:tc>
          <w:tcPr>
            <w:tcW w:w="1503" w:type="dxa"/>
            <w:tcBorders>
              <w:top w:val="nil"/>
              <w:left w:val="nil"/>
              <w:bottom w:val="nil"/>
              <w:right w:val="nil"/>
            </w:tcBorders>
            <w:shd w:val="clear" w:color="000000" w:fill="FFFFFF"/>
            <w:vAlign w:val="center"/>
            <w:hideMark/>
          </w:tcPr>
          <w:p w14:paraId="04C77D52"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55.7</w:t>
            </w:r>
          </w:p>
        </w:tc>
      </w:tr>
      <w:tr w:rsidR="003005F0" w:rsidRPr="003005F0" w14:paraId="3C557852"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75B9B851"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70E0FBED"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Degree</w:t>
            </w:r>
          </w:p>
        </w:tc>
        <w:tc>
          <w:tcPr>
            <w:tcW w:w="1219" w:type="dxa"/>
            <w:tcBorders>
              <w:top w:val="nil"/>
              <w:left w:val="nil"/>
              <w:bottom w:val="nil"/>
              <w:right w:val="nil"/>
            </w:tcBorders>
            <w:shd w:val="clear" w:color="000000" w:fill="FFFFFF"/>
            <w:vAlign w:val="center"/>
            <w:hideMark/>
          </w:tcPr>
          <w:p w14:paraId="022DA0B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141</w:t>
            </w:r>
          </w:p>
        </w:tc>
        <w:tc>
          <w:tcPr>
            <w:tcW w:w="1503" w:type="dxa"/>
            <w:tcBorders>
              <w:top w:val="nil"/>
              <w:left w:val="nil"/>
              <w:bottom w:val="nil"/>
              <w:right w:val="nil"/>
            </w:tcBorders>
            <w:shd w:val="clear" w:color="000000" w:fill="FFFFFF"/>
            <w:vAlign w:val="center"/>
            <w:hideMark/>
          </w:tcPr>
          <w:p w14:paraId="2B7B82C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42</w:t>
            </w:r>
          </w:p>
        </w:tc>
      </w:tr>
      <w:tr w:rsidR="003005F0" w:rsidRPr="003005F0" w14:paraId="544C274E"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35F5B2B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000000" w:fill="FFFFFF"/>
            <w:vAlign w:val="center"/>
            <w:hideMark/>
          </w:tcPr>
          <w:p w14:paraId="2DD5D08D"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Master</w:t>
            </w:r>
          </w:p>
        </w:tc>
        <w:tc>
          <w:tcPr>
            <w:tcW w:w="1219" w:type="dxa"/>
            <w:tcBorders>
              <w:top w:val="nil"/>
              <w:left w:val="nil"/>
              <w:bottom w:val="nil"/>
              <w:right w:val="nil"/>
            </w:tcBorders>
            <w:shd w:val="clear" w:color="000000" w:fill="FFFFFF"/>
            <w:vAlign w:val="center"/>
            <w:hideMark/>
          </w:tcPr>
          <w:p w14:paraId="7EAE824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w:t>
            </w:r>
          </w:p>
        </w:tc>
        <w:tc>
          <w:tcPr>
            <w:tcW w:w="1503" w:type="dxa"/>
            <w:tcBorders>
              <w:top w:val="nil"/>
              <w:left w:val="nil"/>
              <w:bottom w:val="nil"/>
              <w:right w:val="nil"/>
            </w:tcBorders>
            <w:shd w:val="clear" w:color="000000" w:fill="FFFFFF"/>
            <w:vAlign w:val="center"/>
            <w:hideMark/>
          </w:tcPr>
          <w:p w14:paraId="07C9659F"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0.3</w:t>
            </w:r>
          </w:p>
        </w:tc>
      </w:tr>
      <w:tr w:rsidR="003005F0" w:rsidRPr="003005F0" w14:paraId="2D67C0A0"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088CAB10"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778" w:type="dxa"/>
            <w:tcBorders>
              <w:top w:val="nil"/>
              <w:left w:val="nil"/>
              <w:bottom w:val="nil"/>
              <w:right w:val="nil"/>
            </w:tcBorders>
            <w:shd w:val="clear" w:color="auto" w:fill="auto"/>
            <w:noWrap/>
            <w:vAlign w:val="bottom"/>
            <w:hideMark/>
          </w:tcPr>
          <w:p w14:paraId="178B427B"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219" w:type="dxa"/>
            <w:tcBorders>
              <w:top w:val="nil"/>
              <w:left w:val="nil"/>
              <w:bottom w:val="nil"/>
              <w:right w:val="nil"/>
            </w:tcBorders>
            <w:shd w:val="clear" w:color="auto" w:fill="auto"/>
            <w:noWrap/>
            <w:vAlign w:val="bottom"/>
            <w:hideMark/>
          </w:tcPr>
          <w:p w14:paraId="54822EF7"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503" w:type="dxa"/>
            <w:tcBorders>
              <w:top w:val="nil"/>
              <w:left w:val="nil"/>
              <w:bottom w:val="nil"/>
              <w:right w:val="nil"/>
            </w:tcBorders>
            <w:shd w:val="clear" w:color="auto" w:fill="auto"/>
            <w:noWrap/>
            <w:vAlign w:val="bottom"/>
            <w:hideMark/>
          </w:tcPr>
          <w:p w14:paraId="2150A21C"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2F5396A4" w14:textId="77777777" w:rsidTr="00E77717">
        <w:trPr>
          <w:trHeight w:val="227"/>
          <w:jc w:val="center"/>
        </w:trPr>
        <w:tc>
          <w:tcPr>
            <w:tcW w:w="2722" w:type="dxa"/>
            <w:tcBorders>
              <w:top w:val="nil"/>
              <w:left w:val="nil"/>
              <w:bottom w:val="nil"/>
              <w:right w:val="nil"/>
            </w:tcBorders>
            <w:shd w:val="clear" w:color="auto" w:fill="auto"/>
            <w:noWrap/>
            <w:vAlign w:val="bottom"/>
            <w:hideMark/>
          </w:tcPr>
          <w:p w14:paraId="0055734D"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Education background</w:t>
            </w:r>
          </w:p>
        </w:tc>
        <w:tc>
          <w:tcPr>
            <w:tcW w:w="1778" w:type="dxa"/>
            <w:tcBorders>
              <w:top w:val="nil"/>
              <w:left w:val="nil"/>
              <w:bottom w:val="nil"/>
              <w:right w:val="nil"/>
            </w:tcBorders>
            <w:shd w:val="clear" w:color="000000" w:fill="FFFFFF"/>
            <w:vAlign w:val="center"/>
            <w:hideMark/>
          </w:tcPr>
          <w:p w14:paraId="6934F4C9"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Science</w:t>
            </w:r>
          </w:p>
        </w:tc>
        <w:tc>
          <w:tcPr>
            <w:tcW w:w="1219" w:type="dxa"/>
            <w:tcBorders>
              <w:top w:val="nil"/>
              <w:left w:val="nil"/>
              <w:bottom w:val="nil"/>
              <w:right w:val="nil"/>
            </w:tcBorders>
            <w:shd w:val="clear" w:color="000000" w:fill="FFFFFF"/>
            <w:vAlign w:val="center"/>
            <w:hideMark/>
          </w:tcPr>
          <w:p w14:paraId="2F9FBC7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39</w:t>
            </w:r>
          </w:p>
        </w:tc>
        <w:tc>
          <w:tcPr>
            <w:tcW w:w="1503" w:type="dxa"/>
            <w:tcBorders>
              <w:top w:val="nil"/>
              <w:left w:val="nil"/>
              <w:bottom w:val="nil"/>
              <w:right w:val="nil"/>
            </w:tcBorders>
            <w:shd w:val="clear" w:color="000000" w:fill="FFFFFF"/>
            <w:vAlign w:val="center"/>
            <w:hideMark/>
          </w:tcPr>
          <w:p w14:paraId="1E0E8D68"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11.6</w:t>
            </w:r>
          </w:p>
        </w:tc>
      </w:tr>
      <w:tr w:rsidR="003005F0" w:rsidRPr="003005F0" w14:paraId="38D71ABC" w14:textId="77777777" w:rsidTr="00E77717">
        <w:trPr>
          <w:trHeight w:val="227"/>
          <w:jc w:val="center"/>
        </w:trPr>
        <w:tc>
          <w:tcPr>
            <w:tcW w:w="2722" w:type="dxa"/>
            <w:tcBorders>
              <w:top w:val="nil"/>
              <w:left w:val="nil"/>
              <w:bottom w:val="single" w:sz="4" w:space="0" w:color="auto"/>
              <w:right w:val="nil"/>
            </w:tcBorders>
            <w:shd w:val="clear" w:color="auto" w:fill="auto"/>
            <w:noWrap/>
            <w:vAlign w:val="bottom"/>
            <w:hideMark/>
          </w:tcPr>
          <w:p w14:paraId="34C6CC79"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 </w:t>
            </w:r>
          </w:p>
        </w:tc>
        <w:tc>
          <w:tcPr>
            <w:tcW w:w="1778" w:type="dxa"/>
            <w:tcBorders>
              <w:top w:val="nil"/>
              <w:left w:val="nil"/>
              <w:bottom w:val="single" w:sz="4" w:space="0" w:color="auto"/>
              <w:right w:val="nil"/>
            </w:tcBorders>
            <w:shd w:val="clear" w:color="000000" w:fill="FFFFFF"/>
            <w:vAlign w:val="center"/>
            <w:hideMark/>
          </w:tcPr>
          <w:p w14:paraId="499F0EF4"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Non-Science</w:t>
            </w:r>
          </w:p>
        </w:tc>
        <w:tc>
          <w:tcPr>
            <w:tcW w:w="1219" w:type="dxa"/>
            <w:tcBorders>
              <w:top w:val="nil"/>
              <w:left w:val="nil"/>
              <w:bottom w:val="single" w:sz="4" w:space="0" w:color="auto"/>
              <w:right w:val="nil"/>
            </w:tcBorders>
            <w:shd w:val="clear" w:color="000000" w:fill="FFFFFF"/>
            <w:vAlign w:val="center"/>
            <w:hideMark/>
          </w:tcPr>
          <w:p w14:paraId="760D8E0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297</w:t>
            </w:r>
          </w:p>
        </w:tc>
        <w:tc>
          <w:tcPr>
            <w:tcW w:w="1503" w:type="dxa"/>
            <w:tcBorders>
              <w:top w:val="nil"/>
              <w:left w:val="nil"/>
              <w:bottom w:val="single" w:sz="4" w:space="0" w:color="auto"/>
              <w:right w:val="nil"/>
            </w:tcBorders>
            <w:shd w:val="clear" w:color="000000" w:fill="FFFFFF"/>
            <w:vAlign w:val="center"/>
            <w:hideMark/>
          </w:tcPr>
          <w:p w14:paraId="010F08F4"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88.4</w:t>
            </w:r>
          </w:p>
        </w:tc>
      </w:tr>
    </w:tbl>
    <w:p w14:paraId="62EA6B42" w14:textId="77777777" w:rsidR="003005F0" w:rsidRPr="003005F0" w:rsidRDefault="003005F0" w:rsidP="00D270EC">
      <w:pPr>
        <w:spacing w:line="240" w:lineRule="auto"/>
        <w:ind w:left="0" w:hanging="2"/>
        <w:jc w:val="both"/>
        <w:rPr>
          <w:rFonts w:asciiTheme="majorBidi" w:hAnsiTheme="majorBidi" w:cstheme="majorBidi"/>
          <w:sz w:val="24"/>
          <w:szCs w:val="24"/>
        </w:rPr>
      </w:pPr>
      <w:r w:rsidRPr="003005F0">
        <w:rPr>
          <w:rFonts w:asciiTheme="majorBidi" w:hAnsiTheme="majorBidi" w:cstheme="majorBidi"/>
          <w:sz w:val="24"/>
          <w:szCs w:val="24"/>
        </w:rPr>
        <w:lastRenderedPageBreak/>
        <w:t xml:space="preserve">The convergent validity is an extent whereby various measuring devices are applied to determine the related idea that might be incongruent. Numerous indicators were utilized to explain the convergent validity, which consists of signs such as composite reliability (CR) and average variance extracted (AVE) (Hair et al., 2010). </w:t>
      </w:r>
    </w:p>
    <w:p w14:paraId="5621A55B" w14:textId="77777777" w:rsidR="003005F0" w:rsidRPr="003005F0" w:rsidRDefault="003005F0" w:rsidP="00D270EC">
      <w:pPr>
        <w:spacing w:line="240" w:lineRule="auto"/>
        <w:ind w:left="0" w:hanging="2"/>
        <w:jc w:val="both"/>
        <w:rPr>
          <w:rFonts w:asciiTheme="majorBidi" w:hAnsiTheme="majorBidi" w:cstheme="majorBidi"/>
          <w:sz w:val="24"/>
          <w:szCs w:val="24"/>
        </w:rPr>
      </w:pPr>
      <w:r w:rsidRPr="003005F0">
        <w:rPr>
          <w:rFonts w:asciiTheme="majorBidi" w:hAnsiTheme="majorBidi" w:cstheme="majorBidi"/>
          <w:sz w:val="24"/>
          <w:szCs w:val="24"/>
        </w:rPr>
        <w:t xml:space="preserve">Table 2 implies the composite reliability values, which indicated the degree to which construct indicators would estimate latent construct, which exceeds a suggested value of 0.7 (Hair, </w:t>
      </w:r>
      <w:proofErr w:type="spellStart"/>
      <w:r w:rsidRPr="003005F0">
        <w:rPr>
          <w:rFonts w:asciiTheme="majorBidi" w:hAnsiTheme="majorBidi" w:cstheme="majorBidi"/>
          <w:sz w:val="24"/>
          <w:szCs w:val="24"/>
        </w:rPr>
        <w:t>Sarstedt</w:t>
      </w:r>
      <w:proofErr w:type="spellEnd"/>
      <w:r w:rsidRPr="003005F0">
        <w:rPr>
          <w:rFonts w:asciiTheme="majorBidi" w:hAnsiTheme="majorBidi" w:cstheme="majorBidi"/>
          <w:sz w:val="24"/>
          <w:szCs w:val="24"/>
        </w:rPr>
        <w:t xml:space="preserve"> &amp; </w:t>
      </w:r>
      <w:proofErr w:type="spellStart"/>
      <w:r w:rsidRPr="003005F0">
        <w:rPr>
          <w:rFonts w:asciiTheme="majorBidi" w:hAnsiTheme="majorBidi" w:cstheme="majorBidi"/>
          <w:sz w:val="24"/>
          <w:szCs w:val="24"/>
        </w:rPr>
        <w:t>Ringle</w:t>
      </w:r>
      <w:proofErr w:type="spellEnd"/>
      <w:r w:rsidRPr="003005F0">
        <w:rPr>
          <w:rFonts w:asciiTheme="majorBidi" w:hAnsiTheme="majorBidi" w:cstheme="majorBidi"/>
          <w:sz w:val="24"/>
          <w:szCs w:val="24"/>
        </w:rPr>
        <w:t>, 2019). The overall figure of variances in the indicators given by the latent construct was depicted by the extracted average variance, which exceeded the required value of 0.5 (Hair et al., 2010). The outcomes for convergent validity are demonstrated in Table 2.</w:t>
      </w:r>
    </w:p>
    <w:tbl>
      <w:tblPr>
        <w:tblW w:w="9031" w:type="dxa"/>
        <w:jc w:val="center"/>
        <w:tblLook w:val="04A0" w:firstRow="1" w:lastRow="0" w:firstColumn="1" w:lastColumn="0" w:noHBand="0" w:noVBand="1"/>
      </w:tblPr>
      <w:tblGrid>
        <w:gridCol w:w="3735"/>
        <w:gridCol w:w="734"/>
        <w:gridCol w:w="1074"/>
        <w:gridCol w:w="1371"/>
        <w:gridCol w:w="1491"/>
        <w:gridCol w:w="955"/>
      </w:tblGrid>
      <w:tr w:rsidR="003005F0" w:rsidRPr="003005F0" w14:paraId="77492181" w14:textId="77777777" w:rsidTr="00E77717">
        <w:trPr>
          <w:trHeight w:val="300"/>
          <w:jc w:val="center"/>
        </w:trPr>
        <w:tc>
          <w:tcPr>
            <w:tcW w:w="9031" w:type="dxa"/>
            <w:gridSpan w:val="6"/>
            <w:tcBorders>
              <w:top w:val="nil"/>
              <w:left w:val="nil"/>
              <w:bottom w:val="nil"/>
              <w:right w:val="nil"/>
            </w:tcBorders>
            <w:shd w:val="clear" w:color="auto" w:fill="auto"/>
            <w:noWrap/>
            <w:vAlign w:val="center"/>
            <w:hideMark/>
          </w:tcPr>
          <w:p w14:paraId="63D180DA" w14:textId="77777777" w:rsidR="003005F0" w:rsidRPr="003005F0" w:rsidRDefault="003005F0" w:rsidP="00E77717">
            <w:pPr>
              <w:spacing w:after="0" w:line="240" w:lineRule="auto"/>
              <w:ind w:left="0" w:hanging="2"/>
              <w:jc w:val="center"/>
              <w:rPr>
                <w:rFonts w:asciiTheme="majorBidi" w:eastAsia="Times New Roman" w:hAnsiTheme="majorBidi" w:cstheme="majorBidi"/>
                <w:sz w:val="24"/>
                <w:szCs w:val="24"/>
                <w:lang w:val="en-GB" w:eastAsia="en-GB"/>
              </w:rPr>
            </w:pPr>
            <w:r w:rsidRPr="003005F0">
              <w:rPr>
                <w:rFonts w:asciiTheme="majorBidi" w:eastAsia="Times New Roman" w:hAnsiTheme="majorBidi" w:cstheme="majorBidi"/>
                <w:b/>
                <w:bCs/>
                <w:color w:val="000000"/>
                <w:sz w:val="24"/>
                <w:szCs w:val="24"/>
                <w:lang w:val="en-GB" w:eastAsia="en-GB"/>
              </w:rPr>
              <w:t>Table 2: Convergent Validity</w:t>
            </w:r>
          </w:p>
        </w:tc>
      </w:tr>
      <w:tr w:rsidR="003005F0" w:rsidRPr="003005F0" w14:paraId="17490093" w14:textId="77777777" w:rsidTr="00E77717">
        <w:trPr>
          <w:trHeight w:hRule="exact" w:val="649"/>
          <w:jc w:val="center"/>
        </w:trPr>
        <w:tc>
          <w:tcPr>
            <w:tcW w:w="3373" w:type="dxa"/>
            <w:tcBorders>
              <w:top w:val="single" w:sz="4" w:space="0" w:color="auto"/>
              <w:left w:val="nil"/>
              <w:bottom w:val="single" w:sz="4" w:space="0" w:color="auto"/>
              <w:right w:val="nil"/>
            </w:tcBorders>
            <w:shd w:val="clear" w:color="auto" w:fill="auto"/>
            <w:noWrap/>
            <w:vAlign w:val="center"/>
            <w:hideMark/>
          </w:tcPr>
          <w:p w14:paraId="4B974ACC" w14:textId="77777777" w:rsidR="003005F0" w:rsidRPr="003005F0" w:rsidRDefault="003005F0" w:rsidP="00E77717">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Construct</w:t>
            </w:r>
          </w:p>
        </w:tc>
        <w:tc>
          <w:tcPr>
            <w:tcW w:w="738" w:type="dxa"/>
            <w:tcBorders>
              <w:top w:val="single" w:sz="4" w:space="0" w:color="auto"/>
              <w:left w:val="nil"/>
              <w:bottom w:val="single" w:sz="4" w:space="0" w:color="auto"/>
              <w:right w:val="nil"/>
            </w:tcBorders>
            <w:shd w:val="clear" w:color="auto" w:fill="auto"/>
            <w:noWrap/>
            <w:vAlign w:val="center"/>
            <w:hideMark/>
          </w:tcPr>
          <w:p w14:paraId="061D548C" w14:textId="77777777" w:rsidR="003005F0" w:rsidRPr="003005F0" w:rsidRDefault="003005F0" w:rsidP="00E77717">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Item</w:t>
            </w:r>
          </w:p>
        </w:tc>
        <w:tc>
          <w:tcPr>
            <w:tcW w:w="1080" w:type="dxa"/>
            <w:tcBorders>
              <w:top w:val="single" w:sz="4" w:space="0" w:color="auto"/>
              <w:left w:val="nil"/>
              <w:bottom w:val="single" w:sz="4" w:space="0" w:color="auto"/>
              <w:right w:val="nil"/>
            </w:tcBorders>
            <w:shd w:val="clear" w:color="auto" w:fill="auto"/>
            <w:noWrap/>
            <w:vAlign w:val="center"/>
            <w:hideMark/>
          </w:tcPr>
          <w:p w14:paraId="2E412992" w14:textId="77777777" w:rsidR="003005F0" w:rsidRPr="003005F0" w:rsidRDefault="003005F0" w:rsidP="00E77717">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Loading</w:t>
            </w:r>
          </w:p>
        </w:tc>
        <w:tc>
          <w:tcPr>
            <w:tcW w:w="1380" w:type="dxa"/>
            <w:tcBorders>
              <w:top w:val="single" w:sz="4" w:space="0" w:color="auto"/>
              <w:left w:val="nil"/>
              <w:bottom w:val="single" w:sz="4" w:space="0" w:color="auto"/>
              <w:right w:val="nil"/>
            </w:tcBorders>
            <w:shd w:val="clear" w:color="auto" w:fill="auto"/>
            <w:vAlign w:val="center"/>
            <w:hideMark/>
          </w:tcPr>
          <w:p w14:paraId="14E48E0C" w14:textId="77777777" w:rsidR="003005F0" w:rsidRPr="003005F0" w:rsidRDefault="003005F0" w:rsidP="00E77717">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Cronbach Alpha</w:t>
            </w:r>
          </w:p>
        </w:tc>
        <w:tc>
          <w:tcPr>
            <w:tcW w:w="1500" w:type="dxa"/>
            <w:tcBorders>
              <w:top w:val="single" w:sz="4" w:space="0" w:color="auto"/>
              <w:left w:val="nil"/>
              <w:bottom w:val="single" w:sz="4" w:space="0" w:color="auto"/>
              <w:right w:val="nil"/>
            </w:tcBorders>
            <w:shd w:val="clear" w:color="auto" w:fill="auto"/>
            <w:vAlign w:val="center"/>
            <w:hideMark/>
          </w:tcPr>
          <w:p w14:paraId="1F2A2B31" w14:textId="77777777" w:rsidR="003005F0" w:rsidRPr="003005F0" w:rsidRDefault="003005F0" w:rsidP="00E77717">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Composite Reliability</w:t>
            </w:r>
          </w:p>
        </w:tc>
        <w:tc>
          <w:tcPr>
            <w:tcW w:w="960" w:type="dxa"/>
            <w:tcBorders>
              <w:top w:val="single" w:sz="4" w:space="0" w:color="auto"/>
              <w:left w:val="nil"/>
              <w:bottom w:val="single" w:sz="4" w:space="0" w:color="auto"/>
              <w:right w:val="nil"/>
            </w:tcBorders>
            <w:shd w:val="clear" w:color="auto" w:fill="auto"/>
            <w:vAlign w:val="center"/>
            <w:hideMark/>
          </w:tcPr>
          <w:p w14:paraId="2FC7BF8F" w14:textId="77777777" w:rsidR="003005F0" w:rsidRPr="003005F0" w:rsidRDefault="003005F0" w:rsidP="00E77717">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AVE</w:t>
            </w:r>
          </w:p>
          <w:p w14:paraId="1D0C92BD" w14:textId="77777777" w:rsidR="003005F0" w:rsidRPr="003005F0" w:rsidRDefault="003005F0" w:rsidP="00E77717">
            <w:pPr>
              <w:spacing w:after="0" w:line="240" w:lineRule="auto"/>
              <w:ind w:left="0" w:hanging="2"/>
              <w:rPr>
                <w:rFonts w:asciiTheme="majorBidi" w:eastAsia="Times New Roman" w:hAnsiTheme="majorBidi" w:cstheme="majorBidi"/>
                <w:b/>
                <w:bCs/>
                <w:color w:val="000000"/>
                <w:sz w:val="24"/>
                <w:szCs w:val="24"/>
                <w:lang w:val="en-GB" w:eastAsia="en-GB"/>
              </w:rPr>
            </w:pPr>
          </w:p>
          <w:p w14:paraId="06662292" w14:textId="77777777" w:rsidR="003005F0" w:rsidRPr="003005F0" w:rsidRDefault="003005F0" w:rsidP="00E77717">
            <w:pPr>
              <w:spacing w:after="0" w:line="240" w:lineRule="auto"/>
              <w:ind w:left="0" w:hanging="2"/>
              <w:rPr>
                <w:rFonts w:asciiTheme="majorBidi" w:eastAsia="Times New Roman" w:hAnsiTheme="majorBidi" w:cstheme="majorBidi"/>
                <w:b/>
                <w:bCs/>
                <w:color w:val="000000"/>
                <w:sz w:val="24"/>
                <w:szCs w:val="24"/>
                <w:lang w:val="en-GB" w:eastAsia="en-GB"/>
              </w:rPr>
            </w:pPr>
          </w:p>
        </w:tc>
      </w:tr>
      <w:tr w:rsidR="003005F0" w:rsidRPr="003005F0" w14:paraId="544844B3"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66A7D075"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Psychological support (PS)</w:t>
            </w:r>
          </w:p>
        </w:tc>
        <w:tc>
          <w:tcPr>
            <w:tcW w:w="738" w:type="dxa"/>
            <w:tcBorders>
              <w:top w:val="nil"/>
              <w:left w:val="nil"/>
              <w:bottom w:val="nil"/>
              <w:right w:val="nil"/>
            </w:tcBorders>
            <w:shd w:val="clear" w:color="auto" w:fill="auto"/>
            <w:noWrap/>
            <w:vAlign w:val="bottom"/>
            <w:hideMark/>
          </w:tcPr>
          <w:p w14:paraId="4EF4F62A"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PS1</w:t>
            </w:r>
          </w:p>
        </w:tc>
        <w:tc>
          <w:tcPr>
            <w:tcW w:w="1080" w:type="dxa"/>
            <w:tcBorders>
              <w:top w:val="nil"/>
              <w:left w:val="nil"/>
              <w:bottom w:val="nil"/>
              <w:right w:val="nil"/>
            </w:tcBorders>
            <w:shd w:val="clear" w:color="auto" w:fill="auto"/>
            <w:noWrap/>
            <w:vAlign w:val="bottom"/>
            <w:hideMark/>
          </w:tcPr>
          <w:p w14:paraId="2694850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0.839</w:t>
            </w:r>
          </w:p>
        </w:tc>
        <w:tc>
          <w:tcPr>
            <w:tcW w:w="1380" w:type="dxa"/>
            <w:tcBorders>
              <w:top w:val="nil"/>
              <w:left w:val="nil"/>
              <w:bottom w:val="nil"/>
              <w:right w:val="nil"/>
            </w:tcBorders>
            <w:shd w:val="clear" w:color="auto" w:fill="auto"/>
            <w:noWrap/>
            <w:vAlign w:val="bottom"/>
            <w:hideMark/>
          </w:tcPr>
          <w:p w14:paraId="2AC0E465"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0.823</w:t>
            </w:r>
          </w:p>
        </w:tc>
        <w:tc>
          <w:tcPr>
            <w:tcW w:w="1500" w:type="dxa"/>
            <w:tcBorders>
              <w:top w:val="nil"/>
              <w:left w:val="nil"/>
              <w:bottom w:val="nil"/>
              <w:right w:val="nil"/>
            </w:tcBorders>
            <w:shd w:val="clear" w:color="auto" w:fill="auto"/>
            <w:noWrap/>
            <w:vAlign w:val="bottom"/>
            <w:hideMark/>
          </w:tcPr>
          <w:p w14:paraId="4506B1A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0.876</w:t>
            </w:r>
          </w:p>
        </w:tc>
        <w:tc>
          <w:tcPr>
            <w:tcW w:w="960" w:type="dxa"/>
            <w:tcBorders>
              <w:top w:val="nil"/>
              <w:left w:val="nil"/>
              <w:bottom w:val="nil"/>
              <w:right w:val="nil"/>
            </w:tcBorders>
            <w:shd w:val="clear" w:color="auto" w:fill="auto"/>
            <w:noWrap/>
            <w:vAlign w:val="bottom"/>
            <w:hideMark/>
          </w:tcPr>
          <w:p w14:paraId="2CDA785D"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0.588</w:t>
            </w:r>
          </w:p>
        </w:tc>
      </w:tr>
      <w:tr w:rsidR="003005F0" w:rsidRPr="003005F0" w14:paraId="62FEAA95"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73807AB7"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738" w:type="dxa"/>
            <w:tcBorders>
              <w:top w:val="nil"/>
              <w:left w:val="nil"/>
              <w:bottom w:val="nil"/>
              <w:right w:val="nil"/>
            </w:tcBorders>
            <w:shd w:val="clear" w:color="auto" w:fill="auto"/>
            <w:noWrap/>
            <w:vAlign w:val="bottom"/>
            <w:hideMark/>
          </w:tcPr>
          <w:p w14:paraId="22F0A9B4"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PS2</w:t>
            </w:r>
          </w:p>
        </w:tc>
        <w:tc>
          <w:tcPr>
            <w:tcW w:w="1080" w:type="dxa"/>
            <w:tcBorders>
              <w:top w:val="nil"/>
              <w:left w:val="nil"/>
              <w:bottom w:val="nil"/>
              <w:right w:val="nil"/>
            </w:tcBorders>
            <w:shd w:val="clear" w:color="auto" w:fill="auto"/>
            <w:noWrap/>
            <w:vAlign w:val="bottom"/>
            <w:hideMark/>
          </w:tcPr>
          <w:p w14:paraId="05AB358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0.849</w:t>
            </w:r>
          </w:p>
        </w:tc>
        <w:tc>
          <w:tcPr>
            <w:tcW w:w="1380" w:type="dxa"/>
            <w:tcBorders>
              <w:top w:val="nil"/>
              <w:left w:val="nil"/>
              <w:bottom w:val="nil"/>
              <w:right w:val="nil"/>
            </w:tcBorders>
            <w:shd w:val="clear" w:color="auto" w:fill="auto"/>
            <w:noWrap/>
            <w:vAlign w:val="bottom"/>
            <w:hideMark/>
          </w:tcPr>
          <w:p w14:paraId="143185C4"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4AE55E22"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5C592574"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5EC03574"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5EE2EEFE"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42F77072"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PS3</w:t>
            </w:r>
          </w:p>
        </w:tc>
        <w:tc>
          <w:tcPr>
            <w:tcW w:w="1080" w:type="dxa"/>
            <w:tcBorders>
              <w:top w:val="nil"/>
              <w:left w:val="nil"/>
              <w:bottom w:val="nil"/>
              <w:right w:val="nil"/>
            </w:tcBorders>
            <w:shd w:val="clear" w:color="auto" w:fill="auto"/>
            <w:noWrap/>
            <w:vAlign w:val="bottom"/>
            <w:hideMark/>
          </w:tcPr>
          <w:p w14:paraId="29A1AE04"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0.782</w:t>
            </w:r>
          </w:p>
        </w:tc>
        <w:tc>
          <w:tcPr>
            <w:tcW w:w="1380" w:type="dxa"/>
            <w:tcBorders>
              <w:top w:val="nil"/>
              <w:left w:val="nil"/>
              <w:bottom w:val="nil"/>
              <w:right w:val="nil"/>
            </w:tcBorders>
            <w:shd w:val="clear" w:color="auto" w:fill="auto"/>
            <w:noWrap/>
            <w:vAlign w:val="bottom"/>
            <w:hideMark/>
          </w:tcPr>
          <w:p w14:paraId="3A9D98CF"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4AFC105F"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430CD7D1"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006A4E1F"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0ECF9CC1"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4DBD4405"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PS4</w:t>
            </w:r>
          </w:p>
        </w:tc>
        <w:tc>
          <w:tcPr>
            <w:tcW w:w="1080" w:type="dxa"/>
            <w:tcBorders>
              <w:top w:val="nil"/>
              <w:left w:val="nil"/>
              <w:bottom w:val="nil"/>
              <w:right w:val="nil"/>
            </w:tcBorders>
            <w:shd w:val="clear" w:color="auto" w:fill="auto"/>
            <w:noWrap/>
            <w:vAlign w:val="bottom"/>
            <w:hideMark/>
          </w:tcPr>
          <w:p w14:paraId="70E75E9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0.663</w:t>
            </w:r>
          </w:p>
        </w:tc>
        <w:tc>
          <w:tcPr>
            <w:tcW w:w="1380" w:type="dxa"/>
            <w:tcBorders>
              <w:top w:val="nil"/>
              <w:left w:val="nil"/>
              <w:bottom w:val="nil"/>
              <w:right w:val="nil"/>
            </w:tcBorders>
            <w:shd w:val="clear" w:color="auto" w:fill="auto"/>
            <w:noWrap/>
            <w:vAlign w:val="bottom"/>
            <w:hideMark/>
          </w:tcPr>
          <w:p w14:paraId="77249A7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52470912"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0A33CDC9"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030BC736"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0943B449"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056810C4"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PS5</w:t>
            </w:r>
          </w:p>
        </w:tc>
        <w:tc>
          <w:tcPr>
            <w:tcW w:w="1080" w:type="dxa"/>
            <w:tcBorders>
              <w:top w:val="nil"/>
              <w:left w:val="nil"/>
              <w:bottom w:val="nil"/>
              <w:right w:val="nil"/>
            </w:tcBorders>
            <w:shd w:val="clear" w:color="auto" w:fill="auto"/>
            <w:noWrap/>
            <w:vAlign w:val="bottom"/>
            <w:hideMark/>
          </w:tcPr>
          <w:p w14:paraId="0457EFAF"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0.681</w:t>
            </w:r>
          </w:p>
        </w:tc>
        <w:tc>
          <w:tcPr>
            <w:tcW w:w="1380" w:type="dxa"/>
            <w:tcBorders>
              <w:top w:val="nil"/>
              <w:left w:val="nil"/>
              <w:bottom w:val="nil"/>
              <w:right w:val="nil"/>
            </w:tcBorders>
            <w:shd w:val="clear" w:color="auto" w:fill="auto"/>
            <w:noWrap/>
            <w:vAlign w:val="bottom"/>
            <w:hideMark/>
          </w:tcPr>
          <w:p w14:paraId="3C92B872"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63BAC185"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0E9EF438"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480D563A"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75E6254D"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Internet availability (SIA)</w:t>
            </w:r>
          </w:p>
        </w:tc>
        <w:tc>
          <w:tcPr>
            <w:tcW w:w="738" w:type="dxa"/>
            <w:tcBorders>
              <w:top w:val="nil"/>
              <w:left w:val="nil"/>
              <w:bottom w:val="nil"/>
              <w:right w:val="nil"/>
            </w:tcBorders>
            <w:shd w:val="clear" w:color="auto" w:fill="auto"/>
            <w:noWrap/>
            <w:vAlign w:val="bottom"/>
            <w:hideMark/>
          </w:tcPr>
          <w:p w14:paraId="1931EE24"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SIA1</w:t>
            </w:r>
          </w:p>
        </w:tc>
        <w:tc>
          <w:tcPr>
            <w:tcW w:w="1080" w:type="dxa"/>
            <w:tcBorders>
              <w:top w:val="nil"/>
              <w:left w:val="nil"/>
              <w:bottom w:val="nil"/>
              <w:right w:val="nil"/>
            </w:tcBorders>
            <w:shd w:val="clear" w:color="auto" w:fill="auto"/>
            <w:noWrap/>
            <w:vAlign w:val="bottom"/>
            <w:hideMark/>
          </w:tcPr>
          <w:p w14:paraId="2B89AC87"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0.921</w:t>
            </w:r>
          </w:p>
        </w:tc>
        <w:tc>
          <w:tcPr>
            <w:tcW w:w="1380" w:type="dxa"/>
            <w:tcBorders>
              <w:top w:val="nil"/>
              <w:left w:val="nil"/>
              <w:bottom w:val="nil"/>
              <w:right w:val="nil"/>
            </w:tcBorders>
            <w:shd w:val="clear" w:color="auto" w:fill="auto"/>
            <w:noWrap/>
            <w:vAlign w:val="bottom"/>
            <w:hideMark/>
          </w:tcPr>
          <w:p w14:paraId="5BAC7B87"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0.836</w:t>
            </w:r>
          </w:p>
        </w:tc>
        <w:tc>
          <w:tcPr>
            <w:tcW w:w="1500" w:type="dxa"/>
            <w:tcBorders>
              <w:top w:val="nil"/>
              <w:left w:val="nil"/>
              <w:bottom w:val="nil"/>
              <w:right w:val="nil"/>
            </w:tcBorders>
            <w:shd w:val="clear" w:color="auto" w:fill="auto"/>
            <w:noWrap/>
            <w:vAlign w:val="bottom"/>
            <w:hideMark/>
          </w:tcPr>
          <w:p w14:paraId="030BC4A3"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0.893</w:t>
            </w:r>
          </w:p>
        </w:tc>
        <w:tc>
          <w:tcPr>
            <w:tcW w:w="960" w:type="dxa"/>
            <w:tcBorders>
              <w:top w:val="nil"/>
              <w:left w:val="nil"/>
              <w:bottom w:val="nil"/>
              <w:right w:val="nil"/>
            </w:tcBorders>
            <w:shd w:val="clear" w:color="auto" w:fill="auto"/>
            <w:noWrap/>
            <w:vAlign w:val="bottom"/>
            <w:hideMark/>
          </w:tcPr>
          <w:p w14:paraId="7583457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0.68</w:t>
            </w:r>
          </w:p>
        </w:tc>
      </w:tr>
      <w:tr w:rsidR="003005F0" w:rsidRPr="003005F0" w14:paraId="2A6669FC"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42B1D80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738" w:type="dxa"/>
            <w:tcBorders>
              <w:top w:val="nil"/>
              <w:left w:val="nil"/>
              <w:bottom w:val="nil"/>
              <w:right w:val="nil"/>
            </w:tcBorders>
            <w:shd w:val="clear" w:color="auto" w:fill="auto"/>
            <w:noWrap/>
            <w:vAlign w:val="bottom"/>
            <w:hideMark/>
          </w:tcPr>
          <w:p w14:paraId="3BBA0A31"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SIA2</w:t>
            </w:r>
          </w:p>
        </w:tc>
        <w:tc>
          <w:tcPr>
            <w:tcW w:w="1080" w:type="dxa"/>
            <w:tcBorders>
              <w:top w:val="nil"/>
              <w:left w:val="nil"/>
              <w:bottom w:val="nil"/>
              <w:right w:val="nil"/>
            </w:tcBorders>
            <w:shd w:val="clear" w:color="auto" w:fill="auto"/>
            <w:noWrap/>
            <w:vAlign w:val="bottom"/>
            <w:hideMark/>
          </w:tcPr>
          <w:p w14:paraId="6B25DEB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0.854</w:t>
            </w:r>
          </w:p>
        </w:tc>
        <w:tc>
          <w:tcPr>
            <w:tcW w:w="1380" w:type="dxa"/>
            <w:tcBorders>
              <w:top w:val="nil"/>
              <w:left w:val="nil"/>
              <w:bottom w:val="nil"/>
              <w:right w:val="nil"/>
            </w:tcBorders>
            <w:shd w:val="clear" w:color="auto" w:fill="auto"/>
            <w:noWrap/>
            <w:vAlign w:val="bottom"/>
            <w:hideMark/>
          </w:tcPr>
          <w:p w14:paraId="26DE791D"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3FD9049C"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03929B8F"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6544F1F5"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35FCA264"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37EEB8DC"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SIA3</w:t>
            </w:r>
          </w:p>
        </w:tc>
        <w:tc>
          <w:tcPr>
            <w:tcW w:w="1080" w:type="dxa"/>
            <w:tcBorders>
              <w:top w:val="nil"/>
              <w:left w:val="nil"/>
              <w:bottom w:val="nil"/>
              <w:right w:val="nil"/>
            </w:tcBorders>
            <w:shd w:val="clear" w:color="auto" w:fill="auto"/>
            <w:noWrap/>
            <w:vAlign w:val="bottom"/>
            <w:hideMark/>
          </w:tcPr>
          <w:p w14:paraId="5C36A44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0.863</w:t>
            </w:r>
          </w:p>
        </w:tc>
        <w:tc>
          <w:tcPr>
            <w:tcW w:w="1380" w:type="dxa"/>
            <w:tcBorders>
              <w:top w:val="nil"/>
              <w:left w:val="nil"/>
              <w:bottom w:val="nil"/>
              <w:right w:val="nil"/>
            </w:tcBorders>
            <w:shd w:val="clear" w:color="auto" w:fill="auto"/>
            <w:noWrap/>
            <w:vAlign w:val="bottom"/>
            <w:hideMark/>
          </w:tcPr>
          <w:p w14:paraId="374998F4"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1D7D9BF7"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76D5059B"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2DEFB5AF"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21033E84"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148200C2"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SIA4</w:t>
            </w:r>
          </w:p>
        </w:tc>
        <w:tc>
          <w:tcPr>
            <w:tcW w:w="1080" w:type="dxa"/>
            <w:tcBorders>
              <w:top w:val="nil"/>
              <w:left w:val="nil"/>
              <w:bottom w:val="nil"/>
              <w:right w:val="nil"/>
            </w:tcBorders>
            <w:shd w:val="clear" w:color="auto" w:fill="auto"/>
            <w:noWrap/>
            <w:vAlign w:val="bottom"/>
            <w:hideMark/>
          </w:tcPr>
          <w:p w14:paraId="5A63CBC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0.633</w:t>
            </w:r>
          </w:p>
        </w:tc>
        <w:tc>
          <w:tcPr>
            <w:tcW w:w="1380" w:type="dxa"/>
            <w:tcBorders>
              <w:top w:val="nil"/>
              <w:left w:val="nil"/>
              <w:bottom w:val="nil"/>
              <w:right w:val="nil"/>
            </w:tcBorders>
            <w:shd w:val="clear" w:color="auto" w:fill="auto"/>
            <w:noWrap/>
            <w:vAlign w:val="bottom"/>
            <w:hideMark/>
          </w:tcPr>
          <w:p w14:paraId="418E293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05D060ED"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2623292F"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50A8FC41"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6019CA99"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motivation</w:t>
            </w:r>
          </w:p>
        </w:tc>
        <w:tc>
          <w:tcPr>
            <w:tcW w:w="738" w:type="dxa"/>
            <w:tcBorders>
              <w:top w:val="nil"/>
              <w:left w:val="nil"/>
              <w:bottom w:val="nil"/>
              <w:right w:val="nil"/>
            </w:tcBorders>
            <w:shd w:val="clear" w:color="auto" w:fill="auto"/>
            <w:noWrap/>
            <w:vAlign w:val="bottom"/>
            <w:hideMark/>
          </w:tcPr>
          <w:p w14:paraId="587E291F"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SM1</w:t>
            </w:r>
          </w:p>
        </w:tc>
        <w:tc>
          <w:tcPr>
            <w:tcW w:w="1080" w:type="dxa"/>
            <w:tcBorders>
              <w:top w:val="nil"/>
              <w:left w:val="nil"/>
              <w:bottom w:val="nil"/>
              <w:right w:val="nil"/>
            </w:tcBorders>
            <w:shd w:val="clear" w:color="auto" w:fill="auto"/>
            <w:noWrap/>
            <w:vAlign w:val="bottom"/>
            <w:hideMark/>
          </w:tcPr>
          <w:p w14:paraId="7AFC666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0.844</w:t>
            </w:r>
          </w:p>
        </w:tc>
        <w:tc>
          <w:tcPr>
            <w:tcW w:w="1380" w:type="dxa"/>
            <w:tcBorders>
              <w:top w:val="nil"/>
              <w:left w:val="nil"/>
              <w:bottom w:val="nil"/>
              <w:right w:val="nil"/>
            </w:tcBorders>
            <w:shd w:val="clear" w:color="auto" w:fill="auto"/>
            <w:noWrap/>
            <w:vAlign w:val="bottom"/>
            <w:hideMark/>
          </w:tcPr>
          <w:p w14:paraId="3FF2271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0.794</w:t>
            </w:r>
          </w:p>
        </w:tc>
        <w:tc>
          <w:tcPr>
            <w:tcW w:w="1500" w:type="dxa"/>
            <w:tcBorders>
              <w:top w:val="nil"/>
              <w:left w:val="nil"/>
              <w:bottom w:val="nil"/>
              <w:right w:val="nil"/>
            </w:tcBorders>
            <w:shd w:val="clear" w:color="auto" w:fill="auto"/>
            <w:noWrap/>
            <w:vAlign w:val="bottom"/>
            <w:hideMark/>
          </w:tcPr>
          <w:p w14:paraId="47D329F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0.866</w:t>
            </w:r>
          </w:p>
        </w:tc>
        <w:tc>
          <w:tcPr>
            <w:tcW w:w="960" w:type="dxa"/>
            <w:tcBorders>
              <w:top w:val="nil"/>
              <w:left w:val="nil"/>
              <w:bottom w:val="nil"/>
              <w:right w:val="nil"/>
            </w:tcBorders>
            <w:shd w:val="clear" w:color="auto" w:fill="auto"/>
            <w:noWrap/>
            <w:vAlign w:val="bottom"/>
            <w:hideMark/>
          </w:tcPr>
          <w:p w14:paraId="0AFE1645"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0.622</w:t>
            </w:r>
          </w:p>
        </w:tc>
      </w:tr>
      <w:tr w:rsidR="003005F0" w:rsidRPr="003005F0" w14:paraId="1A86D5CA"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7DE22360"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738" w:type="dxa"/>
            <w:tcBorders>
              <w:top w:val="nil"/>
              <w:left w:val="nil"/>
              <w:bottom w:val="nil"/>
              <w:right w:val="nil"/>
            </w:tcBorders>
            <w:shd w:val="clear" w:color="auto" w:fill="auto"/>
            <w:noWrap/>
            <w:vAlign w:val="bottom"/>
            <w:hideMark/>
          </w:tcPr>
          <w:p w14:paraId="67740AF1"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SM2</w:t>
            </w:r>
          </w:p>
        </w:tc>
        <w:tc>
          <w:tcPr>
            <w:tcW w:w="1080" w:type="dxa"/>
            <w:tcBorders>
              <w:top w:val="nil"/>
              <w:left w:val="nil"/>
              <w:bottom w:val="nil"/>
              <w:right w:val="nil"/>
            </w:tcBorders>
            <w:shd w:val="clear" w:color="auto" w:fill="auto"/>
            <w:noWrap/>
            <w:vAlign w:val="bottom"/>
            <w:hideMark/>
          </w:tcPr>
          <w:p w14:paraId="69D49D22"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0.841</w:t>
            </w:r>
          </w:p>
        </w:tc>
        <w:tc>
          <w:tcPr>
            <w:tcW w:w="1380" w:type="dxa"/>
            <w:tcBorders>
              <w:top w:val="nil"/>
              <w:left w:val="nil"/>
              <w:bottom w:val="nil"/>
              <w:right w:val="nil"/>
            </w:tcBorders>
            <w:shd w:val="clear" w:color="auto" w:fill="auto"/>
            <w:noWrap/>
            <w:vAlign w:val="bottom"/>
            <w:hideMark/>
          </w:tcPr>
          <w:p w14:paraId="1C9D1C8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525C7EEC"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417E04B1"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6F42051D"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41C477E8"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2938CABC"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SM3</w:t>
            </w:r>
          </w:p>
        </w:tc>
        <w:tc>
          <w:tcPr>
            <w:tcW w:w="1080" w:type="dxa"/>
            <w:tcBorders>
              <w:top w:val="nil"/>
              <w:left w:val="nil"/>
              <w:bottom w:val="nil"/>
              <w:right w:val="nil"/>
            </w:tcBorders>
            <w:shd w:val="clear" w:color="auto" w:fill="auto"/>
            <w:noWrap/>
            <w:vAlign w:val="bottom"/>
            <w:hideMark/>
          </w:tcPr>
          <w:p w14:paraId="02C664C5"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0.835</w:t>
            </w:r>
          </w:p>
        </w:tc>
        <w:tc>
          <w:tcPr>
            <w:tcW w:w="1380" w:type="dxa"/>
            <w:tcBorders>
              <w:top w:val="nil"/>
              <w:left w:val="nil"/>
              <w:bottom w:val="nil"/>
              <w:right w:val="nil"/>
            </w:tcBorders>
            <w:shd w:val="clear" w:color="auto" w:fill="auto"/>
            <w:noWrap/>
            <w:vAlign w:val="bottom"/>
            <w:hideMark/>
          </w:tcPr>
          <w:p w14:paraId="10147E3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7D3A8A46"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49D79A29"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1F1731BA"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52CB0ACB"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5269DEE5"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SM4</w:t>
            </w:r>
          </w:p>
        </w:tc>
        <w:tc>
          <w:tcPr>
            <w:tcW w:w="1080" w:type="dxa"/>
            <w:tcBorders>
              <w:top w:val="nil"/>
              <w:left w:val="nil"/>
              <w:bottom w:val="nil"/>
              <w:right w:val="nil"/>
            </w:tcBorders>
            <w:shd w:val="clear" w:color="auto" w:fill="auto"/>
            <w:noWrap/>
            <w:vAlign w:val="bottom"/>
            <w:hideMark/>
          </w:tcPr>
          <w:p w14:paraId="4298C62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0.61</w:t>
            </w:r>
          </w:p>
        </w:tc>
        <w:tc>
          <w:tcPr>
            <w:tcW w:w="1380" w:type="dxa"/>
            <w:tcBorders>
              <w:top w:val="nil"/>
              <w:left w:val="nil"/>
              <w:bottom w:val="nil"/>
              <w:right w:val="nil"/>
            </w:tcBorders>
            <w:shd w:val="clear" w:color="auto" w:fill="auto"/>
            <w:noWrap/>
            <w:vAlign w:val="bottom"/>
            <w:hideMark/>
          </w:tcPr>
          <w:p w14:paraId="79F72454"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19399A03"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51D6235B"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5814D280"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57DB73FA"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satisfaction</w:t>
            </w:r>
          </w:p>
        </w:tc>
        <w:tc>
          <w:tcPr>
            <w:tcW w:w="738" w:type="dxa"/>
            <w:tcBorders>
              <w:top w:val="nil"/>
              <w:left w:val="nil"/>
              <w:bottom w:val="nil"/>
              <w:right w:val="nil"/>
            </w:tcBorders>
            <w:shd w:val="clear" w:color="auto" w:fill="auto"/>
            <w:noWrap/>
            <w:vAlign w:val="bottom"/>
            <w:hideMark/>
          </w:tcPr>
          <w:p w14:paraId="18FD1BA2"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SS1</w:t>
            </w:r>
          </w:p>
        </w:tc>
        <w:tc>
          <w:tcPr>
            <w:tcW w:w="1080" w:type="dxa"/>
            <w:tcBorders>
              <w:top w:val="nil"/>
              <w:left w:val="nil"/>
              <w:bottom w:val="nil"/>
              <w:right w:val="nil"/>
            </w:tcBorders>
            <w:shd w:val="clear" w:color="auto" w:fill="auto"/>
            <w:noWrap/>
            <w:vAlign w:val="bottom"/>
            <w:hideMark/>
          </w:tcPr>
          <w:p w14:paraId="4119D93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0.811</w:t>
            </w:r>
          </w:p>
        </w:tc>
        <w:tc>
          <w:tcPr>
            <w:tcW w:w="1380" w:type="dxa"/>
            <w:tcBorders>
              <w:top w:val="nil"/>
              <w:left w:val="nil"/>
              <w:bottom w:val="nil"/>
              <w:right w:val="nil"/>
            </w:tcBorders>
            <w:shd w:val="clear" w:color="auto" w:fill="auto"/>
            <w:noWrap/>
            <w:vAlign w:val="bottom"/>
            <w:hideMark/>
          </w:tcPr>
          <w:p w14:paraId="17AED1C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0.871</w:t>
            </w:r>
          </w:p>
        </w:tc>
        <w:tc>
          <w:tcPr>
            <w:tcW w:w="1500" w:type="dxa"/>
            <w:tcBorders>
              <w:top w:val="nil"/>
              <w:left w:val="nil"/>
              <w:bottom w:val="nil"/>
              <w:right w:val="nil"/>
            </w:tcBorders>
            <w:shd w:val="clear" w:color="auto" w:fill="auto"/>
            <w:noWrap/>
            <w:vAlign w:val="bottom"/>
            <w:hideMark/>
          </w:tcPr>
          <w:p w14:paraId="28B254A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0.903</w:t>
            </w:r>
          </w:p>
        </w:tc>
        <w:tc>
          <w:tcPr>
            <w:tcW w:w="960" w:type="dxa"/>
            <w:tcBorders>
              <w:top w:val="nil"/>
              <w:left w:val="nil"/>
              <w:bottom w:val="nil"/>
              <w:right w:val="nil"/>
            </w:tcBorders>
            <w:shd w:val="clear" w:color="auto" w:fill="auto"/>
            <w:noWrap/>
            <w:vAlign w:val="bottom"/>
            <w:hideMark/>
          </w:tcPr>
          <w:p w14:paraId="5C66353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0.608</w:t>
            </w:r>
          </w:p>
        </w:tc>
      </w:tr>
      <w:tr w:rsidR="003005F0" w:rsidRPr="003005F0" w14:paraId="7FBE8983"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31DC6FF0"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738" w:type="dxa"/>
            <w:tcBorders>
              <w:top w:val="nil"/>
              <w:left w:val="nil"/>
              <w:bottom w:val="nil"/>
              <w:right w:val="nil"/>
            </w:tcBorders>
            <w:shd w:val="clear" w:color="auto" w:fill="auto"/>
            <w:noWrap/>
            <w:vAlign w:val="bottom"/>
            <w:hideMark/>
          </w:tcPr>
          <w:p w14:paraId="70BF1231"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SS2</w:t>
            </w:r>
          </w:p>
        </w:tc>
        <w:tc>
          <w:tcPr>
            <w:tcW w:w="1080" w:type="dxa"/>
            <w:tcBorders>
              <w:top w:val="nil"/>
              <w:left w:val="nil"/>
              <w:bottom w:val="nil"/>
              <w:right w:val="nil"/>
            </w:tcBorders>
            <w:shd w:val="clear" w:color="auto" w:fill="auto"/>
            <w:noWrap/>
            <w:vAlign w:val="bottom"/>
            <w:hideMark/>
          </w:tcPr>
          <w:p w14:paraId="6D29D0F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0.794</w:t>
            </w:r>
          </w:p>
        </w:tc>
        <w:tc>
          <w:tcPr>
            <w:tcW w:w="1380" w:type="dxa"/>
            <w:tcBorders>
              <w:top w:val="nil"/>
              <w:left w:val="nil"/>
              <w:bottom w:val="nil"/>
              <w:right w:val="nil"/>
            </w:tcBorders>
            <w:shd w:val="clear" w:color="auto" w:fill="auto"/>
            <w:noWrap/>
            <w:vAlign w:val="bottom"/>
            <w:hideMark/>
          </w:tcPr>
          <w:p w14:paraId="78438F64"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52E0D78D"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16BA2F8A"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7B079AA7"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4BAE5243"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7996AEED"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SS3</w:t>
            </w:r>
          </w:p>
        </w:tc>
        <w:tc>
          <w:tcPr>
            <w:tcW w:w="1080" w:type="dxa"/>
            <w:tcBorders>
              <w:top w:val="nil"/>
              <w:left w:val="nil"/>
              <w:bottom w:val="nil"/>
              <w:right w:val="nil"/>
            </w:tcBorders>
            <w:shd w:val="clear" w:color="auto" w:fill="auto"/>
            <w:noWrap/>
            <w:vAlign w:val="bottom"/>
            <w:hideMark/>
          </w:tcPr>
          <w:p w14:paraId="24C1AB17"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0.773</w:t>
            </w:r>
          </w:p>
        </w:tc>
        <w:tc>
          <w:tcPr>
            <w:tcW w:w="1380" w:type="dxa"/>
            <w:tcBorders>
              <w:top w:val="nil"/>
              <w:left w:val="nil"/>
              <w:bottom w:val="nil"/>
              <w:right w:val="nil"/>
            </w:tcBorders>
            <w:shd w:val="clear" w:color="auto" w:fill="auto"/>
            <w:noWrap/>
            <w:vAlign w:val="bottom"/>
            <w:hideMark/>
          </w:tcPr>
          <w:p w14:paraId="34CD67E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4717B487"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73756DF1"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77888659"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6DC4EC48"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36A96A7C"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SS4</w:t>
            </w:r>
          </w:p>
        </w:tc>
        <w:tc>
          <w:tcPr>
            <w:tcW w:w="1080" w:type="dxa"/>
            <w:tcBorders>
              <w:top w:val="nil"/>
              <w:left w:val="nil"/>
              <w:bottom w:val="nil"/>
              <w:right w:val="nil"/>
            </w:tcBorders>
            <w:shd w:val="clear" w:color="auto" w:fill="auto"/>
            <w:noWrap/>
            <w:vAlign w:val="bottom"/>
            <w:hideMark/>
          </w:tcPr>
          <w:p w14:paraId="1C66F948"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0.797</w:t>
            </w:r>
          </w:p>
        </w:tc>
        <w:tc>
          <w:tcPr>
            <w:tcW w:w="1380" w:type="dxa"/>
            <w:tcBorders>
              <w:top w:val="nil"/>
              <w:left w:val="nil"/>
              <w:bottom w:val="nil"/>
              <w:right w:val="nil"/>
            </w:tcBorders>
            <w:shd w:val="clear" w:color="auto" w:fill="auto"/>
            <w:noWrap/>
            <w:vAlign w:val="bottom"/>
            <w:hideMark/>
          </w:tcPr>
          <w:p w14:paraId="3575F7A7"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09AA99DD"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70DD5EBE"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2A0D43FA"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4B96F0C1"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789EEFA8"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SS5</w:t>
            </w:r>
          </w:p>
        </w:tc>
        <w:tc>
          <w:tcPr>
            <w:tcW w:w="1080" w:type="dxa"/>
            <w:tcBorders>
              <w:top w:val="nil"/>
              <w:left w:val="nil"/>
              <w:bottom w:val="nil"/>
              <w:right w:val="nil"/>
            </w:tcBorders>
            <w:shd w:val="clear" w:color="auto" w:fill="auto"/>
            <w:noWrap/>
            <w:vAlign w:val="bottom"/>
            <w:hideMark/>
          </w:tcPr>
          <w:p w14:paraId="045CEE2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0.753</w:t>
            </w:r>
          </w:p>
        </w:tc>
        <w:tc>
          <w:tcPr>
            <w:tcW w:w="1380" w:type="dxa"/>
            <w:tcBorders>
              <w:top w:val="nil"/>
              <w:left w:val="nil"/>
              <w:bottom w:val="nil"/>
              <w:right w:val="nil"/>
            </w:tcBorders>
            <w:shd w:val="clear" w:color="auto" w:fill="auto"/>
            <w:noWrap/>
            <w:vAlign w:val="bottom"/>
            <w:hideMark/>
          </w:tcPr>
          <w:p w14:paraId="7C2A0EC8"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74861812"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57566FD6"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158556FC"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59F5A27D"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3F6778FD"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SS6</w:t>
            </w:r>
          </w:p>
        </w:tc>
        <w:tc>
          <w:tcPr>
            <w:tcW w:w="1080" w:type="dxa"/>
            <w:tcBorders>
              <w:top w:val="nil"/>
              <w:left w:val="nil"/>
              <w:bottom w:val="nil"/>
              <w:right w:val="nil"/>
            </w:tcBorders>
            <w:shd w:val="clear" w:color="auto" w:fill="auto"/>
            <w:noWrap/>
            <w:vAlign w:val="bottom"/>
            <w:hideMark/>
          </w:tcPr>
          <w:p w14:paraId="7F996B1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0.747</w:t>
            </w:r>
          </w:p>
        </w:tc>
        <w:tc>
          <w:tcPr>
            <w:tcW w:w="1380" w:type="dxa"/>
            <w:tcBorders>
              <w:top w:val="nil"/>
              <w:left w:val="nil"/>
              <w:bottom w:val="nil"/>
              <w:right w:val="nil"/>
            </w:tcBorders>
            <w:shd w:val="clear" w:color="auto" w:fill="auto"/>
            <w:noWrap/>
            <w:vAlign w:val="bottom"/>
            <w:hideMark/>
          </w:tcPr>
          <w:p w14:paraId="3BAEEBE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409D2249"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67391FC9"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101A2106"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3766C9C7"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 xml:space="preserve">Students' preparedness </w:t>
            </w:r>
            <w:proofErr w:type="spellStart"/>
            <w:r w:rsidRPr="003005F0">
              <w:rPr>
                <w:rFonts w:asciiTheme="majorBidi" w:eastAsia="Times New Roman" w:hAnsiTheme="majorBidi" w:cstheme="majorBidi"/>
                <w:color w:val="000000"/>
                <w:sz w:val="24"/>
                <w:szCs w:val="24"/>
                <w:lang w:val="en-GB" w:eastAsia="en-GB"/>
              </w:rPr>
              <w:t>preparenesswillingness</w:t>
            </w:r>
            <w:proofErr w:type="spellEnd"/>
            <w:r w:rsidRPr="003005F0">
              <w:rPr>
                <w:rFonts w:asciiTheme="majorBidi" w:eastAsia="Times New Roman" w:hAnsiTheme="majorBidi" w:cstheme="majorBidi"/>
                <w:color w:val="000000"/>
                <w:sz w:val="24"/>
                <w:szCs w:val="24"/>
                <w:lang w:val="en-GB" w:eastAsia="en-GB"/>
              </w:rPr>
              <w:t>/preparedness</w:t>
            </w:r>
          </w:p>
        </w:tc>
        <w:tc>
          <w:tcPr>
            <w:tcW w:w="738" w:type="dxa"/>
            <w:tcBorders>
              <w:top w:val="nil"/>
              <w:left w:val="nil"/>
              <w:bottom w:val="nil"/>
              <w:right w:val="nil"/>
            </w:tcBorders>
            <w:shd w:val="clear" w:color="auto" w:fill="auto"/>
            <w:noWrap/>
            <w:vAlign w:val="bottom"/>
            <w:hideMark/>
          </w:tcPr>
          <w:p w14:paraId="7D57B506"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SW2</w:t>
            </w:r>
          </w:p>
        </w:tc>
        <w:tc>
          <w:tcPr>
            <w:tcW w:w="1080" w:type="dxa"/>
            <w:tcBorders>
              <w:top w:val="nil"/>
              <w:left w:val="nil"/>
              <w:bottom w:val="nil"/>
              <w:right w:val="nil"/>
            </w:tcBorders>
            <w:shd w:val="clear" w:color="auto" w:fill="auto"/>
            <w:noWrap/>
            <w:vAlign w:val="bottom"/>
            <w:hideMark/>
          </w:tcPr>
          <w:p w14:paraId="28C8B04D"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0.772</w:t>
            </w:r>
          </w:p>
        </w:tc>
        <w:tc>
          <w:tcPr>
            <w:tcW w:w="1380" w:type="dxa"/>
            <w:tcBorders>
              <w:top w:val="nil"/>
              <w:left w:val="nil"/>
              <w:bottom w:val="nil"/>
              <w:right w:val="nil"/>
            </w:tcBorders>
            <w:shd w:val="clear" w:color="auto" w:fill="auto"/>
            <w:noWrap/>
            <w:vAlign w:val="bottom"/>
            <w:hideMark/>
          </w:tcPr>
          <w:p w14:paraId="36203D0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0.735</w:t>
            </w:r>
          </w:p>
        </w:tc>
        <w:tc>
          <w:tcPr>
            <w:tcW w:w="1500" w:type="dxa"/>
            <w:tcBorders>
              <w:top w:val="nil"/>
              <w:left w:val="nil"/>
              <w:bottom w:val="nil"/>
              <w:right w:val="nil"/>
            </w:tcBorders>
            <w:shd w:val="clear" w:color="auto" w:fill="auto"/>
            <w:noWrap/>
            <w:vAlign w:val="bottom"/>
            <w:hideMark/>
          </w:tcPr>
          <w:p w14:paraId="0DD24B8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0.85</w:t>
            </w:r>
          </w:p>
        </w:tc>
        <w:tc>
          <w:tcPr>
            <w:tcW w:w="960" w:type="dxa"/>
            <w:tcBorders>
              <w:top w:val="nil"/>
              <w:left w:val="nil"/>
              <w:bottom w:val="nil"/>
              <w:right w:val="nil"/>
            </w:tcBorders>
            <w:shd w:val="clear" w:color="auto" w:fill="auto"/>
            <w:noWrap/>
            <w:vAlign w:val="bottom"/>
            <w:hideMark/>
          </w:tcPr>
          <w:p w14:paraId="57A92C6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0.654</w:t>
            </w:r>
          </w:p>
        </w:tc>
      </w:tr>
      <w:tr w:rsidR="003005F0" w:rsidRPr="003005F0" w14:paraId="25FA6949"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5571AB5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738" w:type="dxa"/>
            <w:tcBorders>
              <w:top w:val="nil"/>
              <w:left w:val="nil"/>
              <w:bottom w:val="nil"/>
              <w:right w:val="nil"/>
            </w:tcBorders>
            <w:shd w:val="clear" w:color="auto" w:fill="auto"/>
            <w:noWrap/>
            <w:vAlign w:val="bottom"/>
            <w:hideMark/>
          </w:tcPr>
          <w:p w14:paraId="04C6D903"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SW3</w:t>
            </w:r>
          </w:p>
        </w:tc>
        <w:tc>
          <w:tcPr>
            <w:tcW w:w="1080" w:type="dxa"/>
            <w:tcBorders>
              <w:top w:val="nil"/>
              <w:left w:val="nil"/>
              <w:bottom w:val="nil"/>
              <w:right w:val="nil"/>
            </w:tcBorders>
            <w:shd w:val="clear" w:color="auto" w:fill="auto"/>
            <w:noWrap/>
            <w:vAlign w:val="bottom"/>
            <w:hideMark/>
          </w:tcPr>
          <w:p w14:paraId="5B80089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0.798</w:t>
            </w:r>
          </w:p>
        </w:tc>
        <w:tc>
          <w:tcPr>
            <w:tcW w:w="1380" w:type="dxa"/>
            <w:tcBorders>
              <w:top w:val="nil"/>
              <w:left w:val="nil"/>
              <w:bottom w:val="nil"/>
              <w:right w:val="nil"/>
            </w:tcBorders>
            <w:shd w:val="clear" w:color="auto" w:fill="auto"/>
            <w:noWrap/>
            <w:vAlign w:val="bottom"/>
            <w:hideMark/>
          </w:tcPr>
          <w:p w14:paraId="59D6E4D8"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241617B3"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7E97F0B6"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06B8B7E0"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12A5D00B"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7E2AE426"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SW4</w:t>
            </w:r>
          </w:p>
        </w:tc>
        <w:tc>
          <w:tcPr>
            <w:tcW w:w="1080" w:type="dxa"/>
            <w:tcBorders>
              <w:top w:val="nil"/>
              <w:left w:val="nil"/>
              <w:bottom w:val="nil"/>
              <w:right w:val="nil"/>
            </w:tcBorders>
            <w:shd w:val="clear" w:color="auto" w:fill="auto"/>
            <w:noWrap/>
            <w:vAlign w:val="bottom"/>
            <w:hideMark/>
          </w:tcPr>
          <w:p w14:paraId="4E7F81CF"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0.854</w:t>
            </w:r>
          </w:p>
        </w:tc>
        <w:tc>
          <w:tcPr>
            <w:tcW w:w="1380" w:type="dxa"/>
            <w:tcBorders>
              <w:top w:val="nil"/>
              <w:left w:val="nil"/>
              <w:bottom w:val="nil"/>
              <w:right w:val="nil"/>
            </w:tcBorders>
            <w:shd w:val="clear" w:color="auto" w:fill="auto"/>
            <w:noWrap/>
            <w:vAlign w:val="bottom"/>
            <w:hideMark/>
          </w:tcPr>
          <w:p w14:paraId="0CA3D3B8"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03FDF471"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4097482D"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33DC759E"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7772B176"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Technical support</w:t>
            </w:r>
          </w:p>
        </w:tc>
        <w:tc>
          <w:tcPr>
            <w:tcW w:w="738" w:type="dxa"/>
            <w:tcBorders>
              <w:top w:val="nil"/>
              <w:left w:val="nil"/>
              <w:bottom w:val="nil"/>
              <w:right w:val="nil"/>
            </w:tcBorders>
            <w:shd w:val="clear" w:color="auto" w:fill="auto"/>
            <w:noWrap/>
            <w:vAlign w:val="bottom"/>
            <w:hideMark/>
          </w:tcPr>
          <w:p w14:paraId="060EF8B4"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TS1</w:t>
            </w:r>
          </w:p>
        </w:tc>
        <w:tc>
          <w:tcPr>
            <w:tcW w:w="1080" w:type="dxa"/>
            <w:tcBorders>
              <w:top w:val="nil"/>
              <w:left w:val="nil"/>
              <w:bottom w:val="nil"/>
              <w:right w:val="nil"/>
            </w:tcBorders>
            <w:shd w:val="clear" w:color="auto" w:fill="auto"/>
            <w:noWrap/>
            <w:vAlign w:val="bottom"/>
            <w:hideMark/>
          </w:tcPr>
          <w:p w14:paraId="0767B62F"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0.741</w:t>
            </w:r>
          </w:p>
        </w:tc>
        <w:tc>
          <w:tcPr>
            <w:tcW w:w="1380" w:type="dxa"/>
            <w:tcBorders>
              <w:top w:val="nil"/>
              <w:left w:val="nil"/>
              <w:bottom w:val="nil"/>
              <w:right w:val="nil"/>
            </w:tcBorders>
            <w:shd w:val="clear" w:color="auto" w:fill="auto"/>
            <w:noWrap/>
            <w:vAlign w:val="bottom"/>
            <w:hideMark/>
          </w:tcPr>
          <w:p w14:paraId="30C4E3A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0.705</w:t>
            </w:r>
          </w:p>
        </w:tc>
        <w:tc>
          <w:tcPr>
            <w:tcW w:w="1500" w:type="dxa"/>
            <w:tcBorders>
              <w:top w:val="nil"/>
              <w:left w:val="nil"/>
              <w:bottom w:val="nil"/>
              <w:right w:val="nil"/>
            </w:tcBorders>
            <w:shd w:val="clear" w:color="auto" w:fill="auto"/>
            <w:noWrap/>
            <w:vAlign w:val="bottom"/>
            <w:hideMark/>
          </w:tcPr>
          <w:p w14:paraId="0C5EF29D"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0.812</w:t>
            </w:r>
          </w:p>
        </w:tc>
        <w:tc>
          <w:tcPr>
            <w:tcW w:w="960" w:type="dxa"/>
            <w:tcBorders>
              <w:top w:val="nil"/>
              <w:left w:val="nil"/>
              <w:bottom w:val="nil"/>
              <w:right w:val="nil"/>
            </w:tcBorders>
            <w:shd w:val="clear" w:color="auto" w:fill="auto"/>
            <w:noWrap/>
            <w:vAlign w:val="bottom"/>
            <w:hideMark/>
          </w:tcPr>
          <w:p w14:paraId="318E1C32"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0.522</w:t>
            </w:r>
          </w:p>
        </w:tc>
      </w:tr>
      <w:tr w:rsidR="003005F0" w:rsidRPr="003005F0" w14:paraId="07A98680"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2B9904D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738" w:type="dxa"/>
            <w:tcBorders>
              <w:top w:val="nil"/>
              <w:left w:val="nil"/>
              <w:bottom w:val="nil"/>
              <w:right w:val="nil"/>
            </w:tcBorders>
            <w:shd w:val="clear" w:color="auto" w:fill="auto"/>
            <w:noWrap/>
            <w:vAlign w:val="bottom"/>
            <w:hideMark/>
          </w:tcPr>
          <w:p w14:paraId="285C83A7"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TS2</w:t>
            </w:r>
          </w:p>
        </w:tc>
        <w:tc>
          <w:tcPr>
            <w:tcW w:w="1080" w:type="dxa"/>
            <w:tcBorders>
              <w:top w:val="nil"/>
              <w:left w:val="nil"/>
              <w:bottom w:val="nil"/>
              <w:right w:val="nil"/>
            </w:tcBorders>
            <w:shd w:val="clear" w:color="auto" w:fill="auto"/>
            <w:noWrap/>
            <w:vAlign w:val="bottom"/>
            <w:hideMark/>
          </w:tcPr>
          <w:p w14:paraId="003370B1"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0.634</w:t>
            </w:r>
          </w:p>
        </w:tc>
        <w:tc>
          <w:tcPr>
            <w:tcW w:w="1380" w:type="dxa"/>
            <w:tcBorders>
              <w:top w:val="nil"/>
              <w:left w:val="nil"/>
              <w:bottom w:val="nil"/>
              <w:right w:val="nil"/>
            </w:tcBorders>
            <w:shd w:val="clear" w:color="auto" w:fill="auto"/>
            <w:noWrap/>
            <w:vAlign w:val="bottom"/>
            <w:hideMark/>
          </w:tcPr>
          <w:p w14:paraId="5076F3A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7E6EB7E4"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7891AD12"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0EC69D7A" w14:textId="77777777" w:rsidTr="00E77717">
        <w:trPr>
          <w:trHeight w:hRule="exact" w:val="255"/>
          <w:jc w:val="center"/>
        </w:trPr>
        <w:tc>
          <w:tcPr>
            <w:tcW w:w="3373" w:type="dxa"/>
            <w:tcBorders>
              <w:top w:val="nil"/>
              <w:left w:val="nil"/>
              <w:bottom w:val="nil"/>
              <w:right w:val="nil"/>
            </w:tcBorders>
            <w:shd w:val="clear" w:color="auto" w:fill="auto"/>
            <w:noWrap/>
            <w:vAlign w:val="bottom"/>
            <w:hideMark/>
          </w:tcPr>
          <w:p w14:paraId="0D9992D4"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738" w:type="dxa"/>
            <w:tcBorders>
              <w:top w:val="nil"/>
              <w:left w:val="nil"/>
              <w:bottom w:val="nil"/>
              <w:right w:val="nil"/>
            </w:tcBorders>
            <w:shd w:val="clear" w:color="auto" w:fill="auto"/>
            <w:noWrap/>
            <w:vAlign w:val="bottom"/>
            <w:hideMark/>
          </w:tcPr>
          <w:p w14:paraId="57A27694"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TS3</w:t>
            </w:r>
          </w:p>
        </w:tc>
        <w:tc>
          <w:tcPr>
            <w:tcW w:w="1080" w:type="dxa"/>
            <w:tcBorders>
              <w:top w:val="nil"/>
              <w:left w:val="nil"/>
              <w:bottom w:val="nil"/>
              <w:right w:val="nil"/>
            </w:tcBorders>
            <w:shd w:val="clear" w:color="auto" w:fill="auto"/>
            <w:noWrap/>
            <w:vAlign w:val="bottom"/>
            <w:hideMark/>
          </w:tcPr>
          <w:p w14:paraId="0EABE203"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0.701</w:t>
            </w:r>
          </w:p>
        </w:tc>
        <w:tc>
          <w:tcPr>
            <w:tcW w:w="1380" w:type="dxa"/>
            <w:tcBorders>
              <w:top w:val="nil"/>
              <w:left w:val="nil"/>
              <w:bottom w:val="nil"/>
              <w:right w:val="nil"/>
            </w:tcBorders>
            <w:shd w:val="clear" w:color="auto" w:fill="auto"/>
            <w:noWrap/>
            <w:vAlign w:val="bottom"/>
            <w:hideMark/>
          </w:tcPr>
          <w:p w14:paraId="730A432F"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500" w:type="dxa"/>
            <w:tcBorders>
              <w:top w:val="nil"/>
              <w:left w:val="nil"/>
              <w:bottom w:val="nil"/>
              <w:right w:val="nil"/>
            </w:tcBorders>
            <w:shd w:val="clear" w:color="auto" w:fill="auto"/>
            <w:noWrap/>
            <w:vAlign w:val="bottom"/>
            <w:hideMark/>
          </w:tcPr>
          <w:p w14:paraId="6BC067D2"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60" w:type="dxa"/>
            <w:tcBorders>
              <w:top w:val="nil"/>
              <w:left w:val="nil"/>
              <w:bottom w:val="nil"/>
              <w:right w:val="nil"/>
            </w:tcBorders>
            <w:shd w:val="clear" w:color="auto" w:fill="auto"/>
            <w:noWrap/>
            <w:vAlign w:val="bottom"/>
            <w:hideMark/>
          </w:tcPr>
          <w:p w14:paraId="4F5BC5F8"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0D984EE5" w14:textId="77777777" w:rsidTr="00E77717">
        <w:trPr>
          <w:trHeight w:hRule="exact" w:val="255"/>
          <w:jc w:val="center"/>
        </w:trPr>
        <w:tc>
          <w:tcPr>
            <w:tcW w:w="3373" w:type="dxa"/>
            <w:tcBorders>
              <w:top w:val="nil"/>
              <w:left w:val="nil"/>
              <w:bottom w:val="single" w:sz="4" w:space="0" w:color="auto"/>
              <w:right w:val="nil"/>
            </w:tcBorders>
            <w:shd w:val="clear" w:color="auto" w:fill="auto"/>
            <w:noWrap/>
            <w:vAlign w:val="bottom"/>
            <w:hideMark/>
          </w:tcPr>
          <w:p w14:paraId="749417C0"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 </w:t>
            </w:r>
          </w:p>
        </w:tc>
        <w:tc>
          <w:tcPr>
            <w:tcW w:w="738" w:type="dxa"/>
            <w:tcBorders>
              <w:top w:val="nil"/>
              <w:left w:val="nil"/>
              <w:bottom w:val="single" w:sz="4" w:space="0" w:color="auto"/>
              <w:right w:val="nil"/>
            </w:tcBorders>
            <w:shd w:val="clear" w:color="auto" w:fill="auto"/>
            <w:noWrap/>
            <w:vAlign w:val="bottom"/>
            <w:hideMark/>
          </w:tcPr>
          <w:p w14:paraId="7060170F"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TS4</w:t>
            </w:r>
          </w:p>
        </w:tc>
        <w:tc>
          <w:tcPr>
            <w:tcW w:w="1080" w:type="dxa"/>
            <w:tcBorders>
              <w:top w:val="nil"/>
              <w:left w:val="nil"/>
              <w:bottom w:val="single" w:sz="4" w:space="0" w:color="auto"/>
              <w:right w:val="nil"/>
            </w:tcBorders>
            <w:shd w:val="clear" w:color="auto" w:fill="auto"/>
            <w:noWrap/>
            <w:vAlign w:val="bottom"/>
            <w:hideMark/>
          </w:tcPr>
          <w:p w14:paraId="3161937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0.803</w:t>
            </w:r>
          </w:p>
        </w:tc>
        <w:tc>
          <w:tcPr>
            <w:tcW w:w="1380" w:type="dxa"/>
            <w:tcBorders>
              <w:top w:val="nil"/>
              <w:left w:val="nil"/>
              <w:bottom w:val="single" w:sz="4" w:space="0" w:color="auto"/>
              <w:right w:val="nil"/>
            </w:tcBorders>
            <w:shd w:val="clear" w:color="auto" w:fill="auto"/>
            <w:noWrap/>
            <w:vAlign w:val="bottom"/>
            <w:hideMark/>
          </w:tcPr>
          <w:p w14:paraId="0762D6D5"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 </w:t>
            </w:r>
          </w:p>
        </w:tc>
        <w:tc>
          <w:tcPr>
            <w:tcW w:w="1500" w:type="dxa"/>
            <w:tcBorders>
              <w:top w:val="nil"/>
              <w:left w:val="nil"/>
              <w:bottom w:val="single" w:sz="4" w:space="0" w:color="auto"/>
              <w:right w:val="nil"/>
            </w:tcBorders>
            <w:shd w:val="clear" w:color="auto" w:fill="auto"/>
            <w:noWrap/>
            <w:vAlign w:val="bottom"/>
            <w:hideMark/>
          </w:tcPr>
          <w:p w14:paraId="75D86F5C"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 </w:t>
            </w:r>
          </w:p>
        </w:tc>
        <w:tc>
          <w:tcPr>
            <w:tcW w:w="960" w:type="dxa"/>
            <w:tcBorders>
              <w:top w:val="nil"/>
              <w:left w:val="nil"/>
              <w:bottom w:val="single" w:sz="4" w:space="0" w:color="auto"/>
              <w:right w:val="nil"/>
            </w:tcBorders>
            <w:shd w:val="clear" w:color="auto" w:fill="auto"/>
            <w:noWrap/>
            <w:vAlign w:val="bottom"/>
            <w:hideMark/>
          </w:tcPr>
          <w:p w14:paraId="0B350F4A"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 </w:t>
            </w:r>
          </w:p>
        </w:tc>
      </w:tr>
    </w:tbl>
    <w:p w14:paraId="271765D5" w14:textId="77777777" w:rsidR="003005F0" w:rsidRPr="003005F0" w:rsidRDefault="003005F0" w:rsidP="00EC7130">
      <w:pPr>
        <w:spacing w:after="0" w:line="240" w:lineRule="auto"/>
        <w:ind w:left="0" w:hanging="2"/>
        <w:rPr>
          <w:rFonts w:asciiTheme="majorBidi" w:hAnsiTheme="majorBidi" w:cstheme="majorBidi"/>
          <w:sz w:val="24"/>
          <w:szCs w:val="24"/>
        </w:rPr>
      </w:pPr>
    </w:p>
    <w:p w14:paraId="47AA7086" w14:textId="77777777" w:rsidR="003005F0" w:rsidRPr="003005F0" w:rsidRDefault="003005F0" w:rsidP="00D270EC">
      <w:pPr>
        <w:spacing w:line="240" w:lineRule="auto"/>
        <w:ind w:left="0" w:hanging="2"/>
        <w:jc w:val="both"/>
        <w:rPr>
          <w:rFonts w:asciiTheme="majorBidi" w:hAnsiTheme="majorBidi" w:cstheme="majorBidi"/>
          <w:sz w:val="24"/>
          <w:szCs w:val="24"/>
          <w:lang w:val="en-GB"/>
        </w:rPr>
      </w:pPr>
      <w:r w:rsidRPr="003005F0">
        <w:rPr>
          <w:rFonts w:asciiTheme="majorBidi" w:hAnsiTheme="majorBidi" w:cstheme="majorBidi"/>
          <w:sz w:val="24"/>
          <w:szCs w:val="24"/>
        </w:rPr>
        <w:t>Discriminant validity suggests how far the measures fail to interpret other variables, which is indicated by low correlations amongst the extent of interest and the measures of different constructs (Cheung &amp; Lee, 2010). Comparing squared correlations between constructs and variance for a specific construct becomes potential to establish discriminant validity (</w:t>
      </w:r>
      <w:proofErr w:type="spellStart"/>
      <w:r w:rsidRPr="003005F0">
        <w:rPr>
          <w:rFonts w:asciiTheme="majorBidi" w:hAnsiTheme="majorBidi" w:cstheme="majorBidi"/>
          <w:sz w:val="24"/>
          <w:szCs w:val="24"/>
        </w:rPr>
        <w:t>Fornell</w:t>
      </w:r>
      <w:proofErr w:type="spellEnd"/>
      <w:r w:rsidRPr="003005F0">
        <w:rPr>
          <w:rFonts w:asciiTheme="majorBidi" w:hAnsiTheme="majorBidi" w:cstheme="majorBidi"/>
          <w:sz w:val="24"/>
          <w:szCs w:val="24"/>
        </w:rPr>
        <w:t xml:space="preserve"> &amp; </w:t>
      </w:r>
      <w:proofErr w:type="spellStart"/>
      <w:r w:rsidRPr="003005F0">
        <w:rPr>
          <w:rFonts w:asciiTheme="majorBidi" w:hAnsiTheme="majorBidi" w:cstheme="majorBidi"/>
          <w:sz w:val="24"/>
          <w:szCs w:val="24"/>
        </w:rPr>
        <w:t>Larcker</w:t>
      </w:r>
      <w:proofErr w:type="spellEnd"/>
      <w:r w:rsidRPr="003005F0">
        <w:rPr>
          <w:rFonts w:asciiTheme="majorBidi" w:hAnsiTheme="majorBidi" w:cstheme="majorBidi"/>
          <w:sz w:val="24"/>
          <w:szCs w:val="24"/>
        </w:rPr>
        <w:t xml:space="preserve">, 1981). </w:t>
      </w:r>
      <w:r w:rsidRPr="003005F0">
        <w:rPr>
          <w:rFonts w:asciiTheme="majorBidi" w:hAnsiTheme="majorBidi" w:cstheme="majorBidi"/>
          <w:sz w:val="24"/>
          <w:szCs w:val="24"/>
          <w:lang w:val="en-GB"/>
        </w:rPr>
        <w:t xml:space="preserve">This study assessed discriminant validity through </w:t>
      </w:r>
      <w:proofErr w:type="spellStart"/>
      <w:r w:rsidRPr="003005F0">
        <w:rPr>
          <w:rFonts w:asciiTheme="majorBidi" w:hAnsiTheme="majorBidi" w:cstheme="majorBidi"/>
          <w:sz w:val="24"/>
          <w:szCs w:val="24"/>
          <w:lang w:val="en-GB"/>
        </w:rPr>
        <w:t>heterotrait-monotrait</w:t>
      </w:r>
      <w:proofErr w:type="spellEnd"/>
      <w:r w:rsidRPr="003005F0">
        <w:rPr>
          <w:rFonts w:asciiTheme="majorBidi" w:hAnsiTheme="majorBidi" w:cstheme="majorBidi"/>
          <w:sz w:val="24"/>
          <w:szCs w:val="24"/>
          <w:lang w:val="en-GB"/>
        </w:rPr>
        <w:t xml:space="preserve"> ratio (HTMT). While discriminant validity had a problem when the HTMT value was greater than the value of 0.90 (Gold, Malhotra &amp; Segars, 2001), all values in Table 3 showed to be lesser than the suggested value of 0.90. This situation indicated that no discriminant validity had been established.</w:t>
      </w:r>
      <w:r w:rsidRPr="003005F0">
        <w:rPr>
          <w:rFonts w:asciiTheme="majorBidi" w:hAnsiTheme="majorBidi" w:cstheme="majorBidi"/>
          <w:sz w:val="24"/>
          <w:szCs w:val="24"/>
        </w:rPr>
        <w:t xml:space="preserve"> </w:t>
      </w:r>
      <w:r w:rsidRPr="003005F0">
        <w:rPr>
          <w:rFonts w:asciiTheme="majorBidi" w:hAnsiTheme="majorBidi" w:cstheme="majorBidi"/>
          <w:sz w:val="24"/>
          <w:szCs w:val="24"/>
        </w:rPr>
        <w:lastRenderedPageBreak/>
        <w:t>Overall, the measurement model had indicated the presence of adequate convergent and discriminant validity.</w:t>
      </w:r>
    </w:p>
    <w:tbl>
      <w:tblPr>
        <w:tblW w:w="9369" w:type="dxa"/>
        <w:jc w:val="center"/>
        <w:tblLook w:val="04A0" w:firstRow="1" w:lastRow="0" w:firstColumn="1" w:lastColumn="0" w:noHBand="0" w:noVBand="1"/>
      </w:tblPr>
      <w:tblGrid>
        <w:gridCol w:w="4059"/>
        <w:gridCol w:w="917"/>
        <w:gridCol w:w="912"/>
        <w:gridCol w:w="1001"/>
        <w:gridCol w:w="999"/>
        <w:gridCol w:w="1472"/>
        <w:gridCol w:w="9"/>
      </w:tblGrid>
      <w:tr w:rsidR="003005F0" w:rsidRPr="003005F0" w14:paraId="02D34728" w14:textId="77777777" w:rsidTr="00986F97">
        <w:trPr>
          <w:trHeight w:val="300"/>
          <w:jc w:val="center"/>
        </w:trPr>
        <w:tc>
          <w:tcPr>
            <w:tcW w:w="9369" w:type="dxa"/>
            <w:gridSpan w:val="7"/>
            <w:tcBorders>
              <w:top w:val="nil"/>
              <w:left w:val="nil"/>
              <w:bottom w:val="nil"/>
              <w:right w:val="nil"/>
            </w:tcBorders>
            <w:shd w:val="clear" w:color="auto" w:fill="auto"/>
            <w:noWrap/>
            <w:vAlign w:val="center"/>
            <w:hideMark/>
          </w:tcPr>
          <w:p w14:paraId="70AB9DD7" w14:textId="77777777" w:rsidR="003005F0" w:rsidRPr="003005F0" w:rsidRDefault="003005F0" w:rsidP="00E77717">
            <w:pPr>
              <w:spacing w:after="0" w:line="240" w:lineRule="auto"/>
              <w:ind w:left="0" w:hanging="2"/>
              <w:jc w:val="center"/>
              <w:rPr>
                <w:rFonts w:asciiTheme="majorBidi" w:eastAsia="Times New Roman" w:hAnsiTheme="majorBidi" w:cstheme="majorBidi"/>
                <w:sz w:val="24"/>
                <w:szCs w:val="24"/>
                <w:lang w:val="en-GB" w:eastAsia="en-GB"/>
              </w:rPr>
            </w:pPr>
            <w:r w:rsidRPr="003005F0">
              <w:rPr>
                <w:rFonts w:asciiTheme="majorBidi" w:eastAsia="Times New Roman" w:hAnsiTheme="majorBidi" w:cstheme="majorBidi"/>
                <w:b/>
                <w:bCs/>
                <w:color w:val="000000"/>
                <w:sz w:val="24"/>
                <w:szCs w:val="24"/>
                <w:lang w:val="en-GB" w:eastAsia="en-GB"/>
              </w:rPr>
              <w:t>Table 3: Discriminant Validity based on HTMT criterion</w:t>
            </w:r>
          </w:p>
        </w:tc>
      </w:tr>
      <w:tr w:rsidR="003005F0" w:rsidRPr="003005F0" w14:paraId="684A77B1" w14:textId="77777777" w:rsidTr="00986F97">
        <w:trPr>
          <w:trHeight w:val="255"/>
          <w:jc w:val="center"/>
        </w:trPr>
        <w:tc>
          <w:tcPr>
            <w:tcW w:w="4059" w:type="dxa"/>
            <w:tcBorders>
              <w:top w:val="single" w:sz="4" w:space="0" w:color="auto"/>
              <w:left w:val="nil"/>
              <w:bottom w:val="single" w:sz="4" w:space="0" w:color="auto"/>
              <w:right w:val="nil"/>
            </w:tcBorders>
            <w:shd w:val="clear" w:color="auto" w:fill="auto"/>
            <w:noWrap/>
            <w:vAlign w:val="bottom"/>
            <w:hideMark/>
          </w:tcPr>
          <w:p w14:paraId="7E5D7B5B"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Factors</w:t>
            </w:r>
          </w:p>
        </w:tc>
        <w:tc>
          <w:tcPr>
            <w:tcW w:w="917" w:type="dxa"/>
            <w:tcBorders>
              <w:top w:val="single" w:sz="4" w:space="0" w:color="auto"/>
              <w:left w:val="nil"/>
              <w:bottom w:val="single" w:sz="4" w:space="0" w:color="auto"/>
              <w:right w:val="nil"/>
            </w:tcBorders>
            <w:shd w:val="clear" w:color="auto" w:fill="auto"/>
            <w:noWrap/>
            <w:vAlign w:val="bottom"/>
            <w:hideMark/>
          </w:tcPr>
          <w:p w14:paraId="63524A3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w:t>
            </w:r>
          </w:p>
        </w:tc>
        <w:tc>
          <w:tcPr>
            <w:tcW w:w="912" w:type="dxa"/>
            <w:tcBorders>
              <w:top w:val="single" w:sz="4" w:space="0" w:color="auto"/>
              <w:left w:val="nil"/>
              <w:bottom w:val="single" w:sz="4" w:space="0" w:color="auto"/>
              <w:right w:val="nil"/>
            </w:tcBorders>
            <w:shd w:val="clear" w:color="auto" w:fill="auto"/>
            <w:noWrap/>
            <w:vAlign w:val="bottom"/>
            <w:hideMark/>
          </w:tcPr>
          <w:p w14:paraId="66F72AED"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w:t>
            </w:r>
          </w:p>
        </w:tc>
        <w:tc>
          <w:tcPr>
            <w:tcW w:w="1001" w:type="dxa"/>
            <w:tcBorders>
              <w:top w:val="single" w:sz="4" w:space="0" w:color="auto"/>
              <w:left w:val="nil"/>
              <w:bottom w:val="single" w:sz="4" w:space="0" w:color="auto"/>
              <w:right w:val="nil"/>
            </w:tcBorders>
            <w:shd w:val="clear" w:color="auto" w:fill="auto"/>
            <w:noWrap/>
            <w:vAlign w:val="bottom"/>
            <w:hideMark/>
          </w:tcPr>
          <w:p w14:paraId="3336B05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3</w:t>
            </w:r>
          </w:p>
        </w:tc>
        <w:tc>
          <w:tcPr>
            <w:tcW w:w="999" w:type="dxa"/>
            <w:tcBorders>
              <w:top w:val="single" w:sz="4" w:space="0" w:color="auto"/>
              <w:left w:val="nil"/>
              <w:bottom w:val="single" w:sz="4" w:space="0" w:color="auto"/>
              <w:right w:val="nil"/>
            </w:tcBorders>
            <w:shd w:val="clear" w:color="auto" w:fill="auto"/>
            <w:noWrap/>
            <w:vAlign w:val="bottom"/>
            <w:hideMark/>
          </w:tcPr>
          <w:p w14:paraId="54180F8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4</w:t>
            </w:r>
          </w:p>
        </w:tc>
        <w:tc>
          <w:tcPr>
            <w:tcW w:w="1481" w:type="dxa"/>
            <w:gridSpan w:val="2"/>
            <w:tcBorders>
              <w:top w:val="single" w:sz="4" w:space="0" w:color="auto"/>
              <w:left w:val="nil"/>
              <w:bottom w:val="single" w:sz="4" w:space="0" w:color="auto"/>
              <w:right w:val="nil"/>
            </w:tcBorders>
            <w:shd w:val="clear" w:color="auto" w:fill="auto"/>
            <w:noWrap/>
            <w:vAlign w:val="bottom"/>
            <w:hideMark/>
          </w:tcPr>
          <w:p w14:paraId="3A18E65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5</w:t>
            </w:r>
          </w:p>
        </w:tc>
      </w:tr>
      <w:tr w:rsidR="003005F0" w:rsidRPr="003005F0" w14:paraId="0F18D8FB" w14:textId="77777777" w:rsidTr="00986F97">
        <w:trPr>
          <w:trHeight w:val="255"/>
          <w:jc w:val="center"/>
        </w:trPr>
        <w:tc>
          <w:tcPr>
            <w:tcW w:w="4976" w:type="dxa"/>
            <w:gridSpan w:val="2"/>
            <w:tcBorders>
              <w:top w:val="nil"/>
              <w:left w:val="nil"/>
              <w:bottom w:val="nil"/>
              <w:right w:val="nil"/>
            </w:tcBorders>
            <w:shd w:val="clear" w:color="auto" w:fill="auto"/>
            <w:noWrap/>
            <w:vAlign w:val="bottom"/>
            <w:hideMark/>
          </w:tcPr>
          <w:p w14:paraId="0BDEAF73"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Internet availability (SIA)</w:t>
            </w:r>
          </w:p>
        </w:tc>
        <w:tc>
          <w:tcPr>
            <w:tcW w:w="912" w:type="dxa"/>
            <w:tcBorders>
              <w:top w:val="nil"/>
              <w:left w:val="nil"/>
              <w:bottom w:val="nil"/>
              <w:right w:val="nil"/>
            </w:tcBorders>
            <w:shd w:val="clear" w:color="auto" w:fill="auto"/>
            <w:noWrap/>
            <w:vAlign w:val="bottom"/>
            <w:hideMark/>
          </w:tcPr>
          <w:p w14:paraId="78FD82B3"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p>
        </w:tc>
        <w:tc>
          <w:tcPr>
            <w:tcW w:w="1001" w:type="dxa"/>
            <w:tcBorders>
              <w:top w:val="nil"/>
              <w:left w:val="nil"/>
              <w:bottom w:val="nil"/>
              <w:right w:val="nil"/>
            </w:tcBorders>
            <w:shd w:val="clear" w:color="auto" w:fill="auto"/>
            <w:noWrap/>
            <w:vAlign w:val="bottom"/>
            <w:hideMark/>
          </w:tcPr>
          <w:p w14:paraId="308C0883"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99" w:type="dxa"/>
            <w:tcBorders>
              <w:top w:val="nil"/>
              <w:left w:val="nil"/>
              <w:bottom w:val="nil"/>
              <w:right w:val="nil"/>
            </w:tcBorders>
            <w:shd w:val="clear" w:color="auto" w:fill="auto"/>
            <w:noWrap/>
            <w:vAlign w:val="bottom"/>
            <w:hideMark/>
          </w:tcPr>
          <w:p w14:paraId="072F4A42"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481" w:type="dxa"/>
            <w:gridSpan w:val="2"/>
            <w:tcBorders>
              <w:top w:val="nil"/>
              <w:left w:val="nil"/>
              <w:bottom w:val="nil"/>
              <w:right w:val="nil"/>
            </w:tcBorders>
            <w:shd w:val="clear" w:color="auto" w:fill="auto"/>
            <w:noWrap/>
            <w:vAlign w:val="bottom"/>
            <w:hideMark/>
          </w:tcPr>
          <w:p w14:paraId="3C407016"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1908D1A7" w14:textId="77777777" w:rsidTr="00986F97">
        <w:trPr>
          <w:trHeight w:val="255"/>
          <w:jc w:val="center"/>
        </w:trPr>
        <w:tc>
          <w:tcPr>
            <w:tcW w:w="4059" w:type="dxa"/>
            <w:tcBorders>
              <w:top w:val="nil"/>
              <w:left w:val="nil"/>
              <w:bottom w:val="nil"/>
              <w:right w:val="nil"/>
            </w:tcBorders>
            <w:shd w:val="clear" w:color="auto" w:fill="auto"/>
            <w:noWrap/>
            <w:vAlign w:val="bottom"/>
            <w:hideMark/>
          </w:tcPr>
          <w:p w14:paraId="4748D89E"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Psychological support (PS)</w:t>
            </w:r>
          </w:p>
        </w:tc>
        <w:tc>
          <w:tcPr>
            <w:tcW w:w="917" w:type="dxa"/>
            <w:tcBorders>
              <w:top w:val="nil"/>
              <w:left w:val="nil"/>
              <w:bottom w:val="nil"/>
              <w:right w:val="nil"/>
            </w:tcBorders>
            <w:shd w:val="clear" w:color="auto" w:fill="auto"/>
            <w:noWrap/>
            <w:vAlign w:val="bottom"/>
            <w:hideMark/>
          </w:tcPr>
          <w:p w14:paraId="50AB1185"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0.527</w:t>
            </w:r>
          </w:p>
        </w:tc>
        <w:tc>
          <w:tcPr>
            <w:tcW w:w="912" w:type="dxa"/>
            <w:tcBorders>
              <w:top w:val="nil"/>
              <w:left w:val="nil"/>
              <w:bottom w:val="nil"/>
              <w:right w:val="nil"/>
            </w:tcBorders>
            <w:shd w:val="clear" w:color="auto" w:fill="auto"/>
            <w:noWrap/>
            <w:vAlign w:val="bottom"/>
            <w:hideMark/>
          </w:tcPr>
          <w:p w14:paraId="4DCBF947"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001" w:type="dxa"/>
            <w:tcBorders>
              <w:top w:val="nil"/>
              <w:left w:val="nil"/>
              <w:bottom w:val="nil"/>
              <w:right w:val="nil"/>
            </w:tcBorders>
            <w:shd w:val="clear" w:color="auto" w:fill="auto"/>
            <w:noWrap/>
            <w:vAlign w:val="bottom"/>
            <w:hideMark/>
          </w:tcPr>
          <w:p w14:paraId="2526EA18"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999" w:type="dxa"/>
            <w:tcBorders>
              <w:top w:val="nil"/>
              <w:left w:val="nil"/>
              <w:bottom w:val="nil"/>
              <w:right w:val="nil"/>
            </w:tcBorders>
            <w:shd w:val="clear" w:color="auto" w:fill="auto"/>
            <w:noWrap/>
            <w:vAlign w:val="bottom"/>
            <w:hideMark/>
          </w:tcPr>
          <w:p w14:paraId="60EF5144"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481" w:type="dxa"/>
            <w:gridSpan w:val="2"/>
            <w:tcBorders>
              <w:top w:val="nil"/>
              <w:left w:val="nil"/>
              <w:bottom w:val="nil"/>
              <w:right w:val="nil"/>
            </w:tcBorders>
            <w:shd w:val="clear" w:color="auto" w:fill="auto"/>
            <w:noWrap/>
            <w:vAlign w:val="bottom"/>
            <w:hideMark/>
          </w:tcPr>
          <w:p w14:paraId="580D8088"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6FC320D4" w14:textId="77777777" w:rsidTr="00986F97">
        <w:trPr>
          <w:trHeight w:val="255"/>
          <w:jc w:val="center"/>
        </w:trPr>
        <w:tc>
          <w:tcPr>
            <w:tcW w:w="4059" w:type="dxa"/>
            <w:tcBorders>
              <w:top w:val="nil"/>
              <w:left w:val="nil"/>
              <w:bottom w:val="nil"/>
              <w:right w:val="nil"/>
            </w:tcBorders>
            <w:shd w:val="clear" w:color="auto" w:fill="auto"/>
            <w:noWrap/>
            <w:vAlign w:val="bottom"/>
            <w:hideMark/>
          </w:tcPr>
          <w:p w14:paraId="025FAAE5"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motivation (SM)</w:t>
            </w:r>
          </w:p>
        </w:tc>
        <w:tc>
          <w:tcPr>
            <w:tcW w:w="917" w:type="dxa"/>
            <w:tcBorders>
              <w:top w:val="nil"/>
              <w:left w:val="nil"/>
              <w:bottom w:val="nil"/>
              <w:right w:val="nil"/>
            </w:tcBorders>
            <w:shd w:val="clear" w:color="auto" w:fill="auto"/>
            <w:noWrap/>
            <w:vAlign w:val="bottom"/>
            <w:hideMark/>
          </w:tcPr>
          <w:p w14:paraId="2B2BC1A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0.659</w:t>
            </w:r>
          </w:p>
        </w:tc>
        <w:tc>
          <w:tcPr>
            <w:tcW w:w="912" w:type="dxa"/>
            <w:tcBorders>
              <w:top w:val="nil"/>
              <w:left w:val="nil"/>
              <w:bottom w:val="nil"/>
              <w:right w:val="nil"/>
            </w:tcBorders>
            <w:shd w:val="clear" w:color="auto" w:fill="auto"/>
            <w:noWrap/>
            <w:vAlign w:val="bottom"/>
            <w:hideMark/>
          </w:tcPr>
          <w:p w14:paraId="48B0C876"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0.82</w:t>
            </w:r>
          </w:p>
        </w:tc>
        <w:tc>
          <w:tcPr>
            <w:tcW w:w="1001" w:type="dxa"/>
            <w:tcBorders>
              <w:top w:val="nil"/>
              <w:left w:val="nil"/>
              <w:bottom w:val="nil"/>
              <w:right w:val="nil"/>
            </w:tcBorders>
            <w:shd w:val="clear" w:color="auto" w:fill="auto"/>
            <w:noWrap/>
            <w:vAlign w:val="bottom"/>
            <w:hideMark/>
          </w:tcPr>
          <w:p w14:paraId="41072877"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999" w:type="dxa"/>
            <w:tcBorders>
              <w:top w:val="nil"/>
              <w:left w:val="nil"/>
              <w:bottom w:val="nil"/>
              <w:right w:val="nil"/>
            </w:tcBorders>
            <w:shd w:val="clear" w:color="auto" w:fill="auto"/>
            <w:noWrap/>
            <w:vAlign w:val="bottom"/>
            <w:hideMark/>
          </w:tcPr>
          <w:p w14:paraId="4AA82FA7"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c>
          <w:tcPr>
            <w:tcW w:w="1481" w:type="dxa"/>
            <w:gridSpan w:val="2"/>
            <w:tcBorders>
              <w:top w:val="nil"/>
              <w:left w:val="nil"/>
              <w:bottom w:val="nil"/>
              <w:right w:val="nil"/>
            </w:tcBorders>
            <w:shd w:val="clear" w:color="auto" w:fill="auto"/>
            <w:noWrap/>
            <w:vAlign w:val="bottom"/>
            <w:hideMark/>
          </w:tcPr>
          <w:p w14:paraId="3138EC04"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1AA5D80D" w14:textId="77777777" w:rsidTr="00986F97">
        <w:trPr>
          <w:trHeight w:val="255"/>
          <w:jc w:val="center"/>
        </w:trPr>
        <w:tc>
          <w:tcPr>
            <w:tcW w:w="4059" w:type="dxa"/>
            <w:tcBorders>
              <w:top w:val="nil"/>
              <w:left w:val="nil"/>
              <w:bottom w:val="nil"/>
              <w:right w:val="nil"/>
            </w:tcBorders>
            <w:shd w:val="clear" w:color="auto" w:fill="auto"/>
            <w:noWrap/>
            <w:vAlign w:val="bottom"/>
            <w:hideMark/>
          </w:tcPr>
          <w:p w14:paraId="2BCF5AE1"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preparedness (SW)</w:t>
            </w:r>
          </w:p>
        </w:tc>
        <w:tc>
          <w:tcPr>
            <w:tcW w:w="917" w:type="dxa"/>
            <w:tcBorders>
              <w:top w:val="nil"/>
              <w:left w:val="nil"/>
              <w:bottom w:val="nil"/>
              <w:right w:val="nil"/>
            </w:tcBorders>
            <w:shd w:val="clear" w:color="auto" w:fill="auto"/>
            <w:noWrap/>
            <w:vAlign w:val="bottom"/>
            <w:hideMark/>
          </w:tcPr>
          <w:p w14:paraId="4CDE38F0"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0.385</w:t>
            </w:r>
          </w:p>
        </w:tc>
        <w:tc>
          <w:tcPr>
            <w:tcW w:w="912" w:type="dxa"/>
            <w:tcBorders>
              <w:top w:val="nil"/>
              <w:left w:val="nil"/>
              <w:bottom w:val="nil"/>
              <w:right w:val="nil"/>
            </w:tcBorders>
            <w:shd w:val="clear" w:color="auto" w:fill="auto"/>
            <w:noWrap/>
            <w:vAlign w:val="bottom"/>
            <w:hideMark/>
          </w:tcPr>
          <w:p w14:paraId="043B28C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0.746</w:t>
            </w:r>
          </w:p>
        </w:tc>
        <w:tc>
          <w:tcPr>
            <w:tcW w:w="1001" w:type="dxa"/>
            <w:tcBorders>
              <w:top w:val="nil"/>
              <w:left w:val="nil"/>
              <w:bottom w:val="nil"/>
              <w:right w:val="nil"/>
            </w:tcBorders>
            <w:shd w:val="clear" w:color="auto" w:fill="auto"/>
            <w:noWrap/>
            <w:vAlign w:val="bottom"/>
            <w:hideMark/>
          </w:tcPr>
          <w:p w14:paraId="6C99239A"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0.867</w:t>
            </w:r>
          </w:p>
        </w:tc>
        <w:tc>
          <w:tcPr>
            <w:tcW w:w="999" w:type="dxa"/>
            <w:tcBorders>
              <w:top w:val="nil"/>
              <w:left w:val="nil"/>
              <w:bottom w:val="nil"/>
              <w:right w:val="nil"/>
            </w:tcBorders>
            <w:shd w:val="clear" w:color="auto" w:fill="auto"/>
            <w:noWrap/>
            <w:vAlign w:val="bottom"/>
            <w:hideMark/>
          </w:tcPr>
          <w:p w14:paraId="49F7B0B3"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1481" w:type="dxa"/>
            <w:gridSpan w:val="2"/>
            <w:tcBorders>
              <w:top w:val="nil"/>
              <w:left w:val="nil"/>
              <w:bottom w:val="nil"/>
              <w:right w:val="nil"/>
            </w:tcBorders>
            <w:shd w:val="clear" w:color="auto" w:fill="auto"/>
            <w:noWrap/>
            <w:vAlign w:val="bottom"/>
            <w:hideMark/>
          </w:tcPr>
          <w:p w14:paraId="3E429047" w14:textId="77777777" w:rsidR="003005F0" w:rsidRPr="003005F0" w:rsidRDefault="003005F0" w:rsidP="00E77717">
            <w:pPr>
              <w:spacing w:after="0" w:line="240" w:lineRule="auto"/>
              <w:ind w:left="0" w:hanging="2"/>
              <w:rPr>
                <w:rFonts w:asciiTheme="majorBidi" w:eastAsia="Times New Roman" w:hAnsiTheme="majorBidi" w:cstheme="majorBidi"/>
                <w:sz w:val="24"/>
                <w:szCs w:val="24"/>
                <w:lang w:val="en-GB" w:eastAsia="en-GB"/>
              </w:rPr>
            </w:pPr>
          </w:p>
        </w:tc>
      </w:tr>
      <w:tr w:rsidR="003005F0" w:rsidRPr="003005F0" w14:paraId="3881EE02" w14:textId="77777777" w:rsidTr="00986F97">
        <w:trPr>
          <w:trHeight w:val="255"/>
          <w:jc w:val="center"/>
        </w:trPr>
        <w:tc>
          <w:tcPr>
            <w:tcW w:w="4059" w:type="dxa"/>
            <w:tcBorders>
              <w:top w:val="nil"/>
              <w:left w:val="nil"/>
              <w:bottom w:val="nil"/>
              <w:right w:val="nil"/>
            </w:tcBorders>
            <w:shd w:val="clear" w:color="auto" w:fill="auto"/>
            <w:noWrap/>
            <w:vAlign w:val="bottom"/>
            <w:hideMark/>
          </w:tcPr>
          <w:p w14:paraId="675E1F8C"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satisfaction (SS)</w:t>
            </w:r>
          </w:p>
        </w:tc>
        <w:tc>
          <w:tcPr>
            <w:tcW w:w="917" w:type="dxa"/>
            <w:tcBorders>
              <w:top w:val="nil"/>
              <w:left w:val="nil"/>
              <w:bottom w:val="nil"/>
              <w:right w:val="nil"/>
            </w:tcBorders>
            <w:shd w:val="clear" w:color="auto" w:fill="auto"/>
            <w:noWrap/>
            <w:vAlign w:val="bottom"/>
            <w:hideMark/>
          </w:tcPr>
          <w:p w14:paraId="20ED19E0"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0.557</w:t>
            </w:r>
          </w:p>
        </w:tc>
        <w:tc>
          <w:tcPr>
            <w:tcW w:w="912" w:type="dxa"/>
            <w:tcBorders>
              <w:top w:val="nil"/>
              <w:left w:val="nil"/>
              <w:bottom w:val="nil"/>
              <w:right w:val="nil"/>
            </w:tcBorders>
            <w:shd w:val="clear" w:color="auto" w:fill="auto"/>
            <w:noWrap/>
            <w:vAlign w:val="bottom"/>
            <w:hideMark/>
          </w:tcPr>
          <w:p w14:paraId="43065BF3"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0.847</w:t>
            </w:r>
          </w:p>
        </w:tc>
        <w:tc>
          <w:tcPr>
            <w:tcW w:w="1001" w:type="dxa"/>
            <w:tcBorders>
              <w:top w:val="nil"/>
              <w:left w:val="nil"/>
              <w:bottom w:val="nil"/>
              <w:right w:val="nil"/>
            </w:tcBorders>
            <w:shd w:val="clear" w:color="auto" w:fill="auto"/>
            <w:noWrap/>
            <w:vAlign w:val="bottom"/>
            <w:hideMark/>
          </w:tcPr>
          <w:p w14:paraId="66024E3E"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0.862</w:t>
            </w:r>
          </w:p>
        </w:tc>
        <w:tc>
          <w:tcPr>
            <w:tcW w:w="999" w:type="dxa"/>
            <w:tcBorders>
              <w:top w:val="nil"/>
              <w:left w:val="nil"/>
              <w:bottom w:val="nil"/>
              <w:right w:val="nil"/>
            </w:tcBorders>
            <w:shd w:val="clear" w:color="auto" w:fill="auto"/>
            <w:noWrap/>
            <w:vAlign w:val="bottom"/>
            <w:hideMark/>
          </w:tcPr>
          <w:p w14:paraId="01809FFB"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0.682</w:t>
            </w:r>
          </w:p>
        </w:tc>
        <w:tc>
          <w:tcPr>
            <w:tcW w:w="1481" w:type="dxa"/>
            <w:gridSpan w:val="2"/>
            <w:tcBorders>
              <w:top w:val="nil"/>
              <w:left w:val="nil"/>
              <w:bottom w:val="nil"/>
              <w:right w:val="nil"/>
            </w:tcBorders>
            <w:shd w:val="clear" w:color="auto" w:fill="auto"/>
            <w:noWrap/>
            <w:vAlign w:val="bottom"/>
            <w:hideMark/>
          </w:tcPr>
          <w:p w14:paraId="3E861289"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p>
        </w:tc>
      </w:tr>
      <w:tr w:rsidR="003005F0" w:rsidRPr="003005F0" w14:paraId="5CEBC91C" w14:textId="77777777" w:rsidTr="00986F97">
        <w:trPr>
          <w:trHeight w:val="255"/>
          <w:jc w:val="center"/>
        </w:trPr>
        <w:tc>
          <w:tcPr>
            <w:tcW w:w="4059" w:type="dxa"/>
            <w:tcBorders>
              <w:top w:val="nil"/>
              <w:left w:val="nil"/>
              <w:bottom w:val="single" w:sz="4" w:space="0" w:color="auto"/>
              <w:right w:val="nil"/>
            </w:tcBorders>
            <w:shd w:val="clear" w:color="auto" w:fill="auto"/>
            <w:noWrap/>
            <w:vAlign w:val="bottom"/>
            <w:hideMark/>
          </w:tcPr>
          <w:p w14:paraId="6B9498AB" w14:textId="77777777" w:rsidR="003005F0" w:rsidRPr="003005F0" w:rsidRDefault="003005F0" w:rsidP="00E7771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Technical support (TS)</w:t>
            </w:r>
          </w:p>
        </w:tc>
        <w:tc>
          <w:tcPr>
            <w:tcW w:w="917" w:type="dxa"/>
            <w:tcBorders>
              <w:top w:val="nil"/>
              <w:left w:val="nil"/>
              <w:bottom w:val="single" w:sz="4" w:space="0" w:color="auto"/>
              <w:right w:val="nil"/>
            </w:tcBorders>
            <w:shd w:val="clear" w:color="auto" w:fill="auto"/>
            <w:noWrap/>
            <w:vAlign w:val="bottom"/>
            <w:hideMark/>
          </w:tcPr>
          <w:p w14:paraId="3EB1BF13"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0.537</w:t>
            </w:r>
          </w:p>
        </w:tc>
        <w:tc>
          <w:tcPr>
            <w:tcW w:w="912" w:type="dxa"/>
            <w:tcBorders>
              <w:top w:val="nil"/>
              <w:left w:val="nil"/>
              <w:bottom w:val="single" w:sz="4" w:space="0" w:color="auto"/>
              <w:right w:val="nil"/>
            </w:tcBorders>
            <w:shd w:val="clear" w:color="auto" w:fill="auto"/>
            <w:noWrap/>
            <w:vAlign w:val="bottom"/>
            <w:hideMark/>
          </w:tcPr>
          <w:p w14:paraId="43FC058F"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0.556</w:t>
            </w:r>
          </w:p>
        </w:tc>
        <w:tc>
          <w:tcPr>
            <w:tcW w:w="1001" w:type="dxa"/>
            <w:tcBorders>
              <w:top w:val="nil"/>
              <w:left w:val="nil"/>
              <w:bottom w:val="single" w:sz="4" w:space="0" w:color="auto"/>
              <w:right w:val="nil"/>
            </w:tcBorders>
            <w:shd w:val="clear" w:color="auto" w:fill="auto"/>
            <w:noWrap/>
            <w:vAlign w:val="bottom"/>
            <w:hideMark/>
          </w:tcPr>
          <w:p w14:paraId="366E07A1"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0.587</w:t>
            </w:r>
          </w:p>
        </w:tc>
        <w:tc>
          <w:tcPr>
            <w:tcW w:w="999" w:type="dxa"/>
            <w:tcBorders>
              <w:top w:val="nil"/>
              <w:left w:val="nil"/>
              <w:bottom w:val="single" w:sz="4" w:space="0" w:color="auto"/>
              <w:right w:val="nil"/>
            </w:tcBorders>
            <w:shd w:val="clear" w:color="auto" w:fill="auto"/>
            <w:noWrap/>
            <w:vAlign w:val="bottom"/>
            <w:hideMark/>
          </w:tcPr>
          <w:p w14:paraId="36278CAC"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0.572</w:t>
            </w:r>
          </w:p>
        </w:tc>
        <w:tc>
          <w:tcPr>
            <w:tcW w:w="1481" w:type="dxa"/>
            <w:gridSpan w:val="2"/>
            <w:tcBorders>
              <w:top w:val="nil"/>
              <w:left w:val="nil"/>
              <w:bottom w:val="single" w:sz="4" w:space="0" w:color="auto"/>
              <w:right w:val="nil"/>
            </w:tcBorders>
            <w:shd w:val="clear" w:color="auto" w:fill="auto"/>
            <w:noWrap/>
            <w:vAlign w:val="bottom"/>
            <w:hideMark/>
          </w:tcPr>
          <w:p w14:paraId="264C6C84" w14:textId="77777777" w:rsidR="003005F0" w:rsidRPr="003005F0" w:rsidRDefault="003005F0" w:rsidP="00E77717">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0.564</w:t>
            </w:r>
          </w:p>
        </w:tc>
      </w:tr>
      <w:tr w:rsidR="003005F0" w:rsidRPr="003005F0" w14:paraId="5C9FF6F8" w14:textId="77777777" w:rsidTr="00986F97">
        <w:trPr>
          <w:gridAfter w:val="1"/>
          <w:wAfter w:w="9" w:type="dxa"/>
          <w:trHeight w:val="310"/>
          <w:jc w:val="center"/>
        </w:trPr>
        <w:tc>
          <w:tcPr>
            <w:tcW w:w="9360" w:type="dxa"/>
            <w:gridSpan w:val="6"/>
            <w:tcBorders>
              <w:top w:val="nil"/>
              <w:left w:val="nil"/>
              <w:bottom w:val="nil"/>
              <w:right w:val="nil"/>
            </w:tcBorders>
            <w:shd w:val="clear" w:color="auto" w:fill="auto"/>
            <w:noWrap/>
            <w:vAlign w:val="bottom"/>
            <w:hideMark/>
          </w:tcPr>
          <w:p w14:paraId="5E93869C" w14:textId="3BA2B4AE" w:rsidR="003005F0" w:rsidRPr="003005F0" w:rsidRDefault="003005F0" w:rsidP="00986F97">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Note: Diagonals represent the square root of the average variance extracted while the other entries represent the correlations.</w:t>
            </w:r>
          </w:p>
        </w:tc>
      </w:tr>
    </w:tbl>
    <w:p w14:paraId="7FD2824C" w14:textId="6EF4DBE1" w:rsidR="003005F0" w:rsidRDefault="003005F0" w:rsidP="00D270EC">
      <w:pPr>
        <w:spacing w:after="0" w:line="240" w:lineRule="auto"/>
        <w:ind w:left="0" w:hanging="2"/>
        <w:jc w:val="both"/>
        <w:rPr>
          <w:rFonts w:asciiTheme="majorBidi" w:hAnsiTheme="majorBidi" w:cstheme="majorBidi"/>
          <w:sz w:val="24"/>
          <w:szCs w:val="24"/>
        </w:rPr>
      </w:pPr>
    </w:p>
    <w:p w14:paraId="42A427A0" w14:textId="0878BF1A" w:rsidR="00986F97" w:rsidRDefault="00986F97" w:rsidP="00D270EC">
      <w:pPr>
        <w:spacing w:after="0" w:line="240" w:lineRule="auto"/>
        <w:ind w:left="0" w:hanging="2"/>
        <w:jc w:val="both"/>
        <w:rPr>
          <w:rFonts w:asciiTheme="majorBidi" w:hAnsiTheme="majorBidi" w:cstheme="majorBidi"/>
          <w:sz w:val="24"/>
          <w:szCs w:val="24"/>
          <w:lang w:val="en-GB"/>
        </w:rPr>
      </w:pPr>
      <w:r w:rsidRPr="003005F0">
        <w:rPr>
          <w:rFonts w:asciiTheme="majorBidi" w:hAnsiTheme="majorBidi" w:cstheme="majorBidi"/>
          <w:sz w:val="24"/>
          <w:szCs w:val="24"/>
        </w:rPr>
        <w:t xml:space="preserve">The structural model indicated causal relationships amongst the constructs in the model (Sang, Lee &amp; Lee, 2010). It started with assessing the variance inflation factor (VIF), R-squared, F square, Q square, and path coefficients (Hair et al., 2014). </w:t>
      </w:r>
      <w:r w:rsidRPr="003005F0">
        <w:rPr>
          <w:rFonts w:asciiTheme="majorBidi" w:hAnsiTheme="majorBidi" w:cstheme="majorBidi"/>
          <w:sz w:val="24"/>
          <w:szCs w:val="24"/>
          <w:lang w:val="en-GB"/>
        </w:rPr>
        <w:t xml:space="preserve">The collinearity issue should be addressed during the initial stages of the structural model. This was evaluated by examining the VIF value. The model requires the VIF value to be less than 5 to ensure no multicollinearity occurred before hypotheses testing. Table 4 shows no potential of multicollinearity in the model, as the VIF value is less than 5, i.e., </w:t>
      </w:r>
      <w:r w:rsidRPr="003005F0">
        <w:rPr>
          <w:rFonts w:asciiTheme="majorBidi" w:eastAsia="Times New Roman" w:hAnsiTheme="majorBidi" w:cstheme="majorBidi"/>
          <w:color w:val="000000"/>
          <w:sz w:val="24"/>
          <w:szCs w:val="24"/>
          <w:lang w:val="en-GB" w:eastAsia="en-GB"/>
        </w:rPr>
        <w:t xml:space="preserve">internet availability </w:t>
      </w:r>
      <w:r w:rsidRPr="003005F0">
        <w:rPr>
          <w:rFonts w:asciiTheme="majorBidi" w:hAnsiTheme="majorBidi" w:cstheme="majorBidi"/>
          <w:sz w:val="24"/>
          <w:szCs w:val="24"/>
          <w:lang w:val="en-GB"/>
        </w:rPr>
        <w:t>(</w:t>
      </w:r>
      <w:r w:rsidRPr="003005F0">
        <w:rPr>
          <w:rFonts w:asciiTheme="majorBidi" w:eastAsia="Times New Roman" w:hAnsiTheme="majorBidi" w:cstheme="majorBidi"/>
          <w:color w:val="000000"/>
          <w:sz w:val="24"/>
          <w:szCs w:val="24"/>
          <w:lang w:val="en-GB" w:eastAsia="en-GB"/>
        </w:rPr>
        <w:t>1.614</w:t>
      </w:r>
      <w:r w:rsidRPr="003005F0">
        <w:rPr>
          <w:rFonts w:asciiTheme="majorBidi" w:hAnsiTheme="majorBidi" w:cstheme="majorBidi"/>
          <w:sz w:val="24"/>
          <w:szCs w:val="24"/>
          <w:lang w:val="en-GB"/>
        </w:rPr>
        <w:t xml:space="preserve">), </w:t>
      </w:r>
      <w:r w:rsidRPr="003005F0">
        <w:rPr>
          <w:rFonts w:asciiTheme="majorBidi" w:eastAsia="Times New Roman" w:hAnsiTheme="majorBidi" w:cstheme="majorBidi"/>
          <w:color w:val="000000"/>
          <w:sz w:val="24"/>
          <w:szCs w:val="24"/>
          <w:lang w:val="en-GB" w:eastAsia="en-GB"/>
        </w:rPr>
        <w:t xml:space="preserve">psychological support </w:t>
      </w:r>
      <w:r w:rsidRPr="003005F0">
        <w:rPr>
          <w:rFonts w:asciiTheme="majorBidi" w:hAnsiTheme="majorBidi" w:cstheme="majorBidi"/>
          <w:sz w:val="24"/>
          <w:szCs w:val="24"/>
          <w:lang w:val="en-GB"/>
        </w:rPr>
        <w:t>(</w:t>
      </w:r>
      <w:r w:rsidRPr="003005F0">
        <w:rPr>
          <w:rFonts w:asciiTheme="majorBidi" w:eastAsia="Times New Roman" w:hAnsiTheme="majorBidi" w:cstheme="majorBidi"/>
          <w:color w:val="000000"/>
          <w:sz w:val="24"/>
          <w:szCs w:val="24"/>
          <w:lang w:val="en-GB" w:eastAsia="en-GB"/>
        </w:rPr>
        <w:t>2.027</w:t>
      </w:r>
      <w:r w:rsidRPr="003005F0">
        <w:rPr>
          <w:rFonts w:asciiTheme="majorBidi" w:hAnsiTheme="majorBidi" w:cstheme="majorBidi"/>
          <w:sz w:val="24"/>
          <w:szCs w:val="24"/>
          <w:lang w:val="en-GB"/>
        </w:rPr>
        <w:t xml:space="preserve">), </w:t>
      </w:r>
      <w:r w:rsidRPr="003005F0">
        <w:rPr>
          <w:rFonts w:asciiTheme="majorBidi" w:eastAsia="Times New Roman" w:hAnsiTheme="majorBidi" w:cstheme="majorBidi"/>
          <w:color w:val="000000"/>
          <w:sz w:val="24"/>
          <w:szCs w:val="24"/>
          <w:lang w:val="en-GB" w:eastAsia="en-GB"/>
        </w:rPr>
        <w:t xml:space="preserve">students' motivation </w:t>
      </w:r>
      <w:r w:rsidRPr="003005F0">
        <w:rPr>
          <w:rFonts w:asciiTheme="majorBidi" w:hAnsiTheme="majorBidi" w:cstheme="majorBidi"/>
          <w:sz w:val="24"/>
          <w:szCs w:val="24"/>
          <w:lang w:val="en-GB"/>
        </w:rPr>
        <w:t>(</w:t>
      </w:r>
      <w:r w:rsidRPr="003005F0">
        <w:rPr>
          <w:rFonts w:asciiTheme="majorBidi" w:eastAsia="Times New Roman" w:hAnsiTheme="majorBidi" w:cstheme="majorBidi"/>
          <w:color w:val="000000"/>
          <w:sz w:val="24"/>
          <w:szCs w:val="24"/>
          <w:lang w:val="en-GB" w:eastAsia="en-GB"/>
        </w:rPr>
        <w:t>2.594</w:t>
      </w:r>
      <w:r w:rsidRPr="003005F0">
        <w:rPr>
          <w:rFonts w:asciiTheme="majorBidi" w:hAnsiTheme="majorBidi" w:cstheme="majorBidi"/>
          <w:sz w:val="24"/>
          <w:szCs w:val="24"/>
          <w:lang w:val="en-GB"/>
        </w:rPr>
        <w:t>), student preparedness (</w:t>
      </w:r>
      <w:r w:rsidRPr="003005F0">
        <w:rPr>
          <w:rFonts w:asciiTheme="majorBidi" w:eastAsia="Times New Roman" w:hAnsiTheme="majorBidi" w:cstheme="majorBidi"/>
          <w:color w:val="000000"/>
          <w:sz w:val="24"/>
          <w:szCs w:val="24"/>
          <w:lang w:val="en-GB" w:eastAsia="en-GB"/>
        </w:rPr>
        <w:t>1.903</w:t>
      </w:r>
      <w:r w:rsidRPr="003005F0">
        <w:rPr>
          <w:rFonts w:asciiTheme="majorBidi" w:hAnsiTheme="majorBidi" w:cstheme="majorBidi"/>
          <w:sz w:val="24"/>
          <w:szCs w:val="24"/>
          <w:lang w:val="en-GB"/>
        </w:rPr>
        <w:t>) and technical support (1.463). After that, the analysis will investigate the effect size by using the F square.</w:t>
      </w:r>
    </w:p>
    <w:p w14:paraId="1B47EDFD" w14:textId="28EC818E" w:rsidR="00986F97" w:rsidRDefault="00986F97" w:rsidP="00D270EC">
      <w:pPr>
        <w:spacing w:after="0" w:line="240" w:lineRule="auto"/>
        <w:ind w:left="0" w:hanging="2"/>
        <w:jc w:val="both"/>
        <w:rPr>
          <w:rFonts w:asciiTheme="majorBidi" w:hAnsiTheme="majorBidi" w:cstheme="majorBidi"/>
          <w:sz w:val="24"/>
          <w:szCs w:val="24"/>
          <w:lang w:val="en-GB"/>
        </w:rPr>
      </w:pPr>
    </w:p>
    <w:tbl>
      <w:tblPr>
        <w:tblW w:w="8777" w:type="dxa"/>
        <w:jc w:val="center"/>
        <w:tblLook w:val="04A0" w:firstRow="1" w:lastRow="0" w:firstColumn="1" w:lastColumn="0" w:noHBand="0" w:noVBand="1"/>
      </w:tblPr>
      <w:tblGrid>
        <w:gridCol w:w="3009"/>
        <w:gridCol w:w="1336"/>
        <w:gridCol w:w="966"/>
        <w:gridCol w:w="1226"/>
        <w:gridCol w:w="1330"/>
        <w:gridCol w:w="910"/>
      </w:tblGrid>
      <w:tr w:rsidR="00986F97" w:rsidRPr="003005F0" w14:paraId="7B7FDF97" w14:textId="77777777" w:rsidTr="009979BE">
        <w:trPr>
          <w:trHeight w:val="310"/>
          <w:jc w:val="center"/>
        </w:trPr>
        <w:tc>
          <w:tcPr>
            <w:tcW w:w="8777" w:type="dxa"/>
            <w:gridSpan w:val="6"/>
            <w:tcBorders>
              <w:top w:val="nil"/>
              <w:left w:val="nil"/>
              <w:bottom w:val="nil"/>
              <w:right w:val="nil"/>
            </w:tcBorders>
            <w:shd w:val="clear" w:color="auto" w:fill="auto"/>
            <w:noWrap/>
            <w:vAlign w:val="center"/>
            <w:hideMark/>
          </w:tcPr>
          <w:p w14:paraId="02185BA1" w14:textId="77777777" w:rsidR="00986F97" w:rsidRPr="003005F0" w:rsidRDefault="00986F97" w:rsidP="009979BE">
            <w:pPr>
              <w:spacing w:after="0" w:line="240" w:lineRule="auto"/>
              <w:ind w:left="0" w:hanging="2"/>
              <w:jc w:val="center"/>
              <w:rPr>
                <w:rFonts w:asciiTheme="majorBidi" w:eastAsia="Times New Roman" w:hAnsiTheme="majorBidi" w:cstheme="majorBidi"/>
                <w:sz w:val="24"/>
                <w:szCs w:val="24"/>
                <w:lang w:val="en-GB" w:eastAsia="en-GB"/>
              </w:rPr>
            </w:pPr>
            <w:r w:rsidRPr="003005F0">
              <w:rPr>
                <w:rFonts w:asciiTheme="majorBidi" w:eastAsia="Times New Roman" w:hAnsiTheme="majorBidi" w:cstheme="majorBidi"/>
                <w:b/>
                <w:bCs/>
                <w:color w:val="000000"/>
                <w:sz w:val="24"/>
                <w:szCs w:val="24"/>
                <w:lang w:val="en-GB" w:eastAsia="en-GB"/>
              </w:rPr>
              <w:t>Table 4: Initial Structural Model Analysis</w:t>
            </w:r>
          </w:p>
        </w:tc>
      </w:tr>
      <w:tr w:rsidR="00986F97" w:rsidRPr="003005F0" w14:paraId="27CBC2B8" w14:textId="77777777" w:rsidTr="009979BE">
        <w:trPr>
          <w:trHeight w:val="320"/>
          <w:jc w:val="center"/>
        </w:trPr>
        <w:tc>
          <w:tcPr>
            <w:tcW w:w="3009" w:type="dxa"/>
            <w:vMerge w:val="restart"/>
            <w:tcBorders>
              <w:top w:val="double" w:sz="6" w:space="0" w:color="auto"/>
              <w:left w:val="nil"/>
              <w:bottom w:val="single" w:sz="8" w:space="0" w:color="000000"/>
              <w:right w:val="nil"/>
            </w:tcBorders>
            <w:shd w:val="clear" w:color="auto" w:fill="auto"/>
            <w:noWrap/>
            <w:vAlign w:val="center"/>
            <w:hideMark/>
          </w:tcPr>
          <w:p w14:paraId="73B19539"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Item</w:t>
            </w:r>
          </w:p>
        </w:tc>
        <w:tc>
          <w:tcPr>
            <w:tcW w:w="1336" w:type="dxa"/>
            <w:vMerge w:val="restart"/>
            <w:tcBorders>
              <w:top w:val="double" w:sz="6" w:space="0" w:color="auto"/>
              <w:left w:val="nil"/>
              <w:bottom w:val="single" w:sz="8" w:space="0" w:color="000000"/>
              <w:right w:val="nil"/>
            </w:tcBorders>
            <w:shd w:val="clear" w:color="auto" w:fill="auto"/>
            <w:vAlign w:val="center"/>
            <w:hideMark/>
          </w:tcPr>
          <w:p w14:paraId="7EB695BA"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Path Coefficient</w:t>
            </w:r>
          </w:p>
        </w:tc>
        <w:tc>
          <w:tcPr>
            <w:tcW w:w="966" w:type="dxa"/>
            <w:vMerge w:val="restart"/>
            <w:tcBorders>
              <w:top w:val="double" w:sz="6" w:space="0" w:color="auto"/>
              <w:left w:val="nil"/>
              <w:bottom w:val="single" w:sz="8" w:space="0" w:color="000000"/>
              <w:right w:val="nil"/>
            </w:tcBorders>
            <w:shd w:val="clear" w:color="auto" w:fill="auto"/>
            <w:noWrap/>
            <w:vAlign w:val="center"/>
            <w:hideMark/>
          </w:tcPr>
          <w:p w14:paraId="3D9B01AC"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VIF</w:t>
            </w:r>
          </w:p>
        </w:tc>
        <w:tc>
          <w:tcPr>
            <w:tcW w:w="1226" w:type="dxa"/>
            <w:tcBorders>
              <w:top w:val="double" w:sz="6" w:space="0" w:color="auto"/>
              <w:left w:val="nil"/>
              <w:bottom w:val="nil"/>
              <w:right w:val="nil"/>
            </w:tcBorders>
            <w:shd w:val="clear" w:color="auto" w:fill="auto"/>
            <w:noWrap/>
            <w:vAlign w:val="center"/>
            <w:hideMark/>
          </w:tcPr>
          <w:p w14:paraId="7E9BFC1F"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 xml:space="preserve">F </w:t>
            </w:r>
          </w:p>
        </w:tc>
        <w:tc>
          <w:tcPr>
            <w:tcW w:w="1330" w:type="dxa"/>
            <w:vMerge w:val="restart"/>
            <w:tcBorders>
              <w:top w:val="double" w:sz="6" w:space="0" w:color="auto"/>
              <w:left w:val="nil"/>
              <w:bottom w:val="single" w:sz="8" w:space="0" w:color="000000"/>
              <w:right w:val="nil"/>
            </w:tcBorders>
            <w:shd w:val="clear" w:color="auto" w:fill="auto"/>
            <w:noWrap/>
            <w:vAlign w:val="center"/>
            <w:hideMark/>
          </w:tcPr>
          <w:p w14:paraId="41242CE5"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R square</w:t>
            </w:r>
          </w:p>
        </w:tc>
        <w:tc>
          <w:tcPr>
            <w:tcW w:w="910" w:type="dxa"/>
            <w:vMerge w:val="restart"/>
            <w:tcBorders>
              <w:top w:val="double" w:sz="6" w:space="0" w:color="auto"/>
              <w:left w:val="nil"/>
              <w:bottom w:val="single" w:sz="8" w:space="0" w:color="000000"/>
              <w:right w:val="nil"/>
            </w:tcBorders>
            <w:shd w:val="clear" w:color="auto" w:fill="auto"/>
            <w:noWrap/>
            <w:vAlign w:val="center"/>
            <w:hideMark/>
          </w:tcPr>
          <w:p w14:paraId="23DB1BF1"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Q square</w:t>
            </w:r>
          </w:p>
        </w:tc>
      </w:tr>
      <w:tr w:rsidR="00986F97" w:rsidRPr="003005F0" w14:paraId="57E03660" w14:textId="77777777" w:rsidTr="009979BE">
        <w:trPr>
          <w:trHeight w:val="320"/>
          <w:jc w:val="center"/>
        </w:trPr>
        <w:tc>
          <w:tcPr>
            <w:tcW w:w="3009" w:type="dxa"/>
            <w:vMerge/>
            <w:tcBorders>
              <w:top w:val="double" w:sz="6" w:space="0" w:color="auto"/>
              <w:left w:val="nil"/>
              <w:bottom w:val="single" w:sz="8" w:space="0" w:color="000000"/>
              <w:right w:val="nil"/>
            </w:tcBorders>
            <w:vAlign w:val="center"/>
            <w:hideMark/>
          </w:tcPr>
          <w:p w14:paraId="4EF9E256"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p>
        </w:tc>
        <w:tc>
          <w:tcPr>
            <w:tcW w:w="1336" w:type="dxa"/>
            <w:vMerge/>
            <w:tcBorders>
              <w:top w:val="double" w:sz="6" w:space="0" w:color="auto"/>
              <w:left w:val="nil"/>
              <w:bottom w:val="single" w:sz="8" w:space="0" w:color="000000"/>
              <w:right w:val="nil"/>
            </w:tcBorders>
            <w:vAlign w:val="center"/>
            <w:hideMark/>
          </w:tcPr>
          <w:p w14:paraId="636CE0BF"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p>
        </w:tc>
        <w:tc>
          <w:tcPr>
            <w:tcW w:w="966" w:type="dxa"/>
            <w:vMerge/>
            <w:tcBorders>
              <w:top w:val="double" w:sz="6" w:space="0" w:color="auto"/>
              <w:left w:val="nil"/>
              <w:bottom w:val="single" w:sz="8" w:space="0" w:color="000000"/>
              <w:right w:val="nil"/>
            </w:tcBorders>
            <w:vAlign w:val="center"/>
            <w:hideMark/>
          </w:tcPr>
          <w:p w14:paraId="62F6E19E"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p>
        </w:tc>
        <w:tc>
          <w:tcPr>
            <w:tcW w:w="1226" w:type="dxa"/>
            <w:tcBorders>
              <w:top w:val="nil"/>
              <w:left w:val="nil"/>
              <w:bottom w:val="single" w:sz="8" w:space="0" w:color="auto"/>
              <w:right w:val="nil"/>
            </w:tcBorders>
            <w:shd w:val="clear" w:color="auto" w:fill="auto"/>
            <w:noWrap/>
            <w:vAlign w:val="center"/>
            <w:hideMark/>
          </w:tcPr>
          <w:p w14:paraId="343A4942"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Square</w:t>
            </w:r>
          </w:p>
        </w:tc>
        <w:tc>
          <w:tcPr>
            <w:tcW w:w="1330" w:type="dxa"/>
            <w:vMerge/>
            <w:tcBorders>
              <w:top w:val="double" w:sz="6" w:space="0" w:color="auto"/>
              <w:left w:val="nil"/>
              <w:bottom w:val="single" w:sz="8" w:space="0" w:color="000000"/>
              <w:right w:val="nil"/>
            </w:tcBorders>
            <w:vAlign w:val="center"/>
            <w:hideMark/>
          </w:tcPr>
          <w:p w14:paraId="3B19412B"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p>
        </w:tc>
        <w:tc>
          <w:tcPr>
            <w:tcW w:w="910" w:type="dxa"/>
            <w:vMerge/>
            <w:tcBorders>
              <w:top w:val="double" w:sz="6" w:space="0" w:color="auto"/>
              <w:left w:val="nil"/>
              <w:bottom w:val="single" w:sz="8" w:space="0" w:color="000000"/>
              <w:right w:val="nil"/>
            </w:tcBorders>
            <w:vAlign w:val="center"/>
            <w:hideMark/>
          </w:tcPr>
          <w:p w14:paraId="52E5E071" w14:textId="77777777" w:rsidR="00986F97" w:rsidRPr="003005F0" w:rsidRDefault="00986F97" w:rsidP="009979BE">
            <w:pPr>
              <w:spacing w:after="0" w:line="240" w:lineRule="auto"/>
              <w:ind w:left="0" w:hanging="2"/>
              <w:rPr>
                <w:rFonts w:asciiTheme="majorBidi" w:eastAsia="Times New Roman" w:hAnsiTheme="majorBidi" w:cstheme="majorBidi"/>
                <w:b/>
                <w:bCs/>
                <w:color w:val="000000"/>
                <w:sz w:val="24"/>
                <w:szCs w:val="24"/>
                <w:lang w:val="en-GB" w:eastAsia="en-GB"/>
              </w:rPr>
            </w:pPr>
          </w:p>
        </w:tc>
      </w:tr>
      <w:tr w:rsidR="00986F97" w:rsidRPr="003005F0" w14:paraId="78F77A57" w14:textId="77777777" w:rsidTr="009979BE">
        <w:trPr>
          <w:trHeight w:val="255"/>
          <w:jc w:val="center"/>
        </w:trPr>
        <w:tc>
          <w:tcPr>
            <w:tcW w:w="3009" w:type="dxa"/>
            <w:tcBorders>
              <w:top w:val="nil"/>
              <w:left w:val="nil"/>
              <w:bottom w:val="nil"/>
              <w:right w:val="nil"/>
            </w:tcBorders>
            <w:shd w:val="clear" w:color="auto" w:fill="auto"/>
            <w:noWrap/>
            <w:vAlign w:val="bottom"/>
            <w:hideMark/>
          </w:tcPr>
          <w:p w14:paraId="4F92ED38" w14:textId="77777777" w:rsidR="00986F97" w:rsidRPr="003005F0" w:rsidRDefault="00986F97" w:rsidP="009979BE">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Internet availability (SIA)</w:t>
            </w:r>
          </w:p>
        </w:tc>
        <w:tc>
          <w:tcPr>
            <w:tcW w:w="1336" w:type="dxa"/>
            <w:tcBorders>
              <w:top w:val="nil"/>
              <w:left w:val="nil"/>
              <w:bottom w:val="nil"/>
              <w:right w:val="nil"/>
            </w:tcBorders>
            <w:shd w:val="clear" w:color="auto" w:fill="auto"/>
            <w:noWrap/>
            <w:vAlign w:val="bottom"/>
            <w:hideMark/>
          </w:tcPr>
          <w:p w14:paraId="52A37035"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0.034</w:t>
            </w:r>
          </w:p>
        </w:tc>
        <w:tc>
          <w:tcPr>
            <w:tcW w:w="966" w:type="dxa"/>
            <w:tcBorders>
              <w:top w:val="nil"/>
              <w:left w:val="nil"/>
              <w:bottom w:val="nil"/>
              <w:right w:val="nil"/>
            </w:tcBorders>
            <w:shd w:val="clear" w:color="auto" w:fill="auto"/>
            <w:noWrap/>
            <w:vAlign w:val="bottom"/>
            <w:hideMark/>
          </w:tcPr>
          <w:p w14:paraId="63148C8D"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1.614</w:t>
            </w:r>
          </w:p>
        </w:tc>
        <w:tc>
          <w:tcPr>
            <w:tcW w:w="1226" w:type="dxa"/>
            <w:tcBorders>
              <w:top w:val="nil"/>
              <w:left w:val="nil"/>
              <w:bottom w:val="nil"/>
              <w:right w:val="nil"/>
            </w:tcBorders>
            <w:shd w:val="clear" w:color="auto" w:fill="auto"/>
            <w:noWrap/>
            <w:vAlign w:val="bottom"/>
            <w:hideMark/>
          </w:tcPr>
          <w:p w14:paraId="2660DB42"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0.002</w:t>
            </w:r>
          </w:p>
        </w:tc>
        <w:tc>
          <w:tcPr>
            <w:tcW w:w="1330" w:type="dxa"/>
            <w:tcBorders>
              <w:top w:val="nil"/>
              <w:left w:val="nil"/>
              <w:bottom w:val="nil"/>
              <w:right w:val="nil"/>
            </w:tcBorders>
            <w:shd w:val="clear" w:color="auto" w:fill="auto"/>
            <w:noWrap/>
            <w:vAlign w:val="bottom"/>
            <w:hideMark/>
          </w:tcPr>
          <w:p w14:paraId="6CC84B3D"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910" w:type="dxa"/>
            <w:tcBorders>
              <w:top w:val="nil"/>
              <w:left w:val="nil"/>
              <w:bottom w:val="nil"/>
              <w:right w:val="nil"/>
            </w:tcBorders>
            <w:shd w:val="clear" w:color="auto" w:fill="auto"/>
            <w:noWrap/>
            <w:vAlign w:val="bottom"/>
            <w:hideMark/>
          </w:tcPr>
          <w:p w14:paraId="5AFB6250" w14:textId="77777777" w:rsidR="00986F97" w:rsidRPr="003005F0" w:rsidRDefault="00986F97" w:rsidP="009979BE">
            <w:pPr>
              <w:spacing w:after="0" w:line="240" w:lineRule="auto"/>
              <w:ind w:left="0" w:hanging="2"/>
              <w:rPr>
                <w:rFonts w:asciiTheme="majorBidi" w:eastAsia="Times New Roman" w:hAnsiTheme="majorBidi" w:cstheme="majorBidi"/>
                <w:sz w:val="24"/>
                <w:szCs w:val="24"/>
                <w:lang w:val="en-GB" w:eastAsia="en-GB"/>
              </w:rPr>
            </w:pPr>
          </w:p>
        </w:tc>
      </w:tr>
      <w:tr w:rsidR="00986F97" w:rsidRPr="003005F0" w14:paraId="064AD5AB" w14:textId="77777777" w:rsidTr="009979BE">
        <w:trPr>
          <w:trHeight w:val="255"/>
          <w:jc w:val="center"/>
        </w:trPr>
        <w:tc>
          <w:tcPr>
            <w:tcW w:w="3009" w:type="dxa"/>
            <w:tcBorders>
              <w:top w:val="nil"/>
              <w:left w:val="nil"/>
              <w:bottom w:val="nil"/>
              <w:right w:val="nil"/>
            </w:tcBorders>
            <w:shd w:val="clear" w:color="auto" w:fill="auto"/>
            <w:noWrap/>
            <w:vAlign w:val="bottom"/>
            <w:hideMark/>
          </w:tcPr>
          <w:p w14:paraId="491D4F4B" w14:textId="77777777" w:rsidR="00986F97" w:rsidRPr="003005F0" w:rsidRDefault="00986F97" w:rsidP="009979BE">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Psychological support (PS)</w:t>
            </w:r>
          </w:p>
        </w:tc>
        <w:tc>
          <w:tcPr>
            <w:tcW w:w="1336" w:type="dxa"/>
            <w:tcBorders>
              <w:top w:val="nil"/>
              <w:left w:val="nil"/>
              <w:bottom w:val="nil"/>
              <w:right w:val="nil"/>
            </w:tcBorders>
            <w:shd w:val="clear" w:color="auto" w:fill="auto"/>
            <w:noWrap/>
            <w:vAlign w:val="bottom"/>
            <w:hideMark/>
          </w:tcPr>
          <w:p w14:paraId="0477DB79"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0.409</w:t>
            </w:r>
          </w:p>
        </w:tc>
        <w:tc>
          <w:tcPr>
            <w:tcW w:w="966" w:type="dxa"/>
            <w:tcBorders>
              <w:top w:val="nil"/>
              <w:left w:val="nil"/>
              <w:bottom w:val="nil"/>
              <w:right w:val="nil"/>
            </w:tcBorders>
            <w:shd w:val="clear" w:color="auto" w:fill="auto"/>
            <w:noWrap/>
            <w:vAlign w:val="bottom"/>
            <w:hideMark/>
          </w:tcPr>
          <w:p w14:paraId="052B61AA"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2.027</w:t>
            </w:r>
          </w:p>
        </w:tc>
        <w:tc>
          <w:tcPr>
            <w:tcW w:w="1226" w:type="dxa"/>
            <w:tcBorders>
              <w:top w:val="nil"/>
              <w:left w:val="nil"/>
              <w:bottom w:val="nil"/>
              <w:right w:val="nil"/>
            </w:tcBorders>
            <w:shd w:val="clear" w:color="auto" w:fill="auto"/>
            <w:noWrap/>
            <w:vAlign w:val="bottom"/>
            <w:hideMark/>
          </w:tcPr>
          <w:p w14:paraId="6C4E6CC7"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0.242</w:t>
            </w:r>
          </w:p>
        </w:tc>
        <w:tc>
          <w:tcPr>
            <w:tcW w:w="1330" w:type="dxa"/>
            <w:tcBorders>
              <w:top w:val="nil"/>
              <w:left w:val="nil"/>
              <w:bottom w:val="nil"/>
              <w:right w:val="nil"/>
            </w:tcBorders>
            <w:shd w:val="clear" w:color="auto" w:fill="auto"/>
            <w:noWrap/>
            <w:vAlign w:val="bottom"/>
            <w:hideMark/>
          </w:tcPr>
          <w:p w14:paraId="17B00D13"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910" w:type="dxa"/>
            <w:tcBorders>
              <w:top w:val="nil"/>
              <w:left w:val="nil"/>
              <w:bottom w:val="nil"/>
              <w:right w:val="nil"/>
            </w:tcBorders>
            <w:shd w:val="clear" w:color="auto" w:fill="auto"/>
            <w:noWrap/>
            <w:vAlign w:val="bottom"/>
            <w:hideMark/>
          </w:tcPr>
          <w:p w14:paraId="57F25244" w14:textId="77777777" w:rsidR="00986F97" w:rsidRPr="003005F0" w:rsidRDefault="00986F97" w:rsidP="009979BE">
            <w:pPr>
              <w:spacing w:after="0" w:line="240" w:lineRule="auto"/>
              <w:ind w:left="0" w:hanging="2"/>
              <w:rPr>
                <w:rFonts w:asciiTheme="majorBidi" w:eastAsia="Times New Roman" w:hAnsiTheme="majorBidi" w:cstheme="majorBidi"/>
                <w:sz w:val="24"/>
                <w:szCs w:val="24"/>
                <w:lang w:val="en-GB" w:eastAsia="en-GB"/>
              </w:rPr>
            </w:pPr>
          </w:p>
        </w:tc>
      </w:tr>
      <w:tr w:rsidR="00986F97" w:rsidRPr="003005F0" w14:paraId="6415A3A7" w14:textId="77777777" w:rsidTr="009979BE">
        <w:trPr>
          <w:trHeight w:val="255"/>
          <w:jc w:val="center"/>
        </w:trPr>
        <w:tc>
          <w:tcPr>
            <w:tcW w:w="3009" w:type="dxa"/>
            <w:tcBorders>
              <w:top w:val="nil"/>
              <w:left w:val="nil"/>
              <w:bottom w:val="nil"/>
              <w:right w:val="nil"/>
            </w:tcBorders>
            <w:shd w:val="clear" w:color="auto" w:fill="auto"/>
            <w:noWrap/>
            <w:vAlign w:val="bottom"/>
            <w:hideMark/>
          </w:tcPr>
          <w:p w14:paraId="7FF3C839" w14:textId="77777777" w:rsidR="00986F97" w:rsidRPr="003005F0" w:rsidRDefault="00986F97" w:rsidP="009979BE">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motivation (SM)</w:t>
            </w:r>
          </w:p>
        </w:tc>
        <w:tc>
          <w:tcPr>
            <w:tcW w:w="1336" w:type="dxa"/>
            <w:tcBorders>
              <w:top w:val="nil"/>
              <w:left w:val="nil"/>
              <w:bottom w:val="nil"/>
              <w:right w:val="nil"/>
            </w:tcBorders>
            <w:shd w:val="clear" w:color="auto" w:fill="auto"/>
            <w:noWrap/>
            <w:vAlign w:val="bottom"/>
            <w:hideMark/>
          </w:tcPr>
          <w:p w14:paraId="4655415F"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0.387</w:t>
            </w:r>
          </w:p>
        </w:tc>
        <w:tc>
          <w:tcPr>
            <w:tcW w:w="966" w:type="dxa"/>
            <w:tcBorders>
              <w:top w:val="nil"/>
              <w:left w:val="nil"/>
              <w:bottom w:val="nil"/>
              <w:right w:val="nil"/>
            </w:tcBorders>
            <w:shd w:val="clear" w:color="auto" w:fill="auto"/>
            <w:noWrap/>
            <w:vAlign w:val="bottom"/>
            <w:hideMark/>
          </w:tcPr>
          <w:p w14:paraId="4FB9AD5B"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2.594</w:t>
            </w:r>
          </w:p>
        </w:tc>
        <w:tc>
          <w:tcPr>
            <w:tcW w:w="1226" w:type="dxa"/>
            <w:tcBorders>
              <w:top w:val="nil"/>
              <w:left w:val="nil"/>
              <w:bottom w:val="nil"/>
              <w:right w:val="nil"/>
            </w:tcBorders>
            <w:shd w:val="clear" w:color="auto" w:fill="auto"/>
            <w:noWrap/>
            <w:vAlign w:val="bottom"/>
            <w:hideMark/>
          </w:tcPr>
          <w:p w14:paraId="213C5FB7"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0.169</w:t>
            </w:r>
          </w:p>
        </w:tc>
        <w:tc>
          <w:tcPr>
            <w:tcW w:w="1330" w:type="dxa"/>
            <w:tcBorders>
              <w:top w:val="nil"/>
              <w:left w:val="nil"/>
              <w:bottom w:val="nil"/>
              <w:right w:val="nil"/>
            </w:tcBorders>
            <w:shd w:val="clear" w:color="auto" w:fill="auto"/>
            <w:noWrap/>
            <w:vAlign w:val="bottom"/>
            <w:hideMark/>
          </w:tcPr>
          <w:p w14:paraId="2430B949"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0.658</w:t>
            </w:r>
          </w:p>
        </w:tc>
        <w:tc>
          <w:tcPr>
            <w:tcW w:w="910" w:type="dxa"/>
            <w:tcBorders>
              <w:top w:val="nil"/>
              <w:left w:val="nil"/>
              <w:bottom w:val="nil"/>
              <w:right w:val="nil"/>
            </w:tcBorders>
            <w:shd w:val="clear" w:color="auto" w:fill="auto"/>
            <w:noWrap/>
            <w:vAlign w:val="bottom"/>
            <w:hideMark/>
          </w:tcPr>
          <w:p w14:paraId="7C40FC22"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0.388</w:t>
            </w:r>
          </w:p>
        </w:tc>
      </w:tr>
      <w:tr w:rsidR="00986F97" w:rsidRPr="003005F0" w14:paraId="38D72448" w14:textId="77777777" w:rsidTr="009979BE">
        <w:trPr>
          <w:trHeight w:val="255"/>
          <w:jc w:val="center"/>
        </w:trPr>
        <w:tc>
          <w:tcPr>
            <w:tcW w:w="3009" w:type="dxa"/>
            <w:tcBorders>
              <w:top w:val="nil"/>
              <w:left w:val="nil"/>
              <w:bottom w:val="nil"/>
              <w:right w:val="nil"/>
            </w:tcBorders>
            <w:shd w:val="clear" w:color="auto" w:fill="auto"/>
            <w:noWrap/>
            <w:vAlign w:val="bottom"/>
            <w:hideMark/>
          </w:tcPr>
          <w:p w14:paraId="2D342EE3" w14:textId="77777777" w:rsidR="00986F97" w:rsidRPr="003005F0" w:rsidRDefault="00986F97" w:rsidP="009979BE">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preparedness (SW)</w:t>
            </w:r>
          </w:p>
        </w:tc>
        <w:tc>
          <w:tcPr>
            <w:tcW w:w="1336" w:type="dxa"/>
            <w:tcBorders>
              <w:top w:val="nil"/>
              <w:left w:val="nil"/>
              <w:bottom w:val="nil"/>
              <w:right w:val="nil"/>
            </w:tcBorders>
            <w:shd w:val="clear" w:color="auto" w:fill="auto"/>
            <w:noWrap/>
            <w:vAlign w:val="bottom"/>
            <w:hideMark/>
          </w:tcPr>
          <w:p w14:paraId="45F77F8C"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0.021</w:t>
            </w:r>
          </w:p>
        </w:tc>
        <w:tc>
          <w:tcPr>
            <w:tcW w:w="966" w:type="dxa"/>
            <w:tcBorders>
              <w:top w:val="nil"/>
              <w:left w:val="nil"/>
              <w:bottom w:val="nil"/>
              <w:right w:val="nil"/>
            </w:tcBorders>
            <w:shd w:val="clear" w:color="auto" w:fill="auto"/>
            <w:noWrap/>
            <w:vAlign w:val="bottom"/>
            <w:hideMark/>
          </w:tcPr>
          <w:p w14:paraId="42E509D5"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1.903</w:t>
            </w:r>
          </w:p>
        </w:tc>
        <w:tc>
          <w:tcPr>
            <w:tcW w:w="1226" w:type="dxa"/>
            <w:tcBorders>
              <w:top w:val="nil"/>
              <w:left w:val="nil"/>
              <w:bottom w:val="nil"/>
              <w:right w:val="nil"/>
            </w:tcBorders>
            <w:shd w:val="clear" w:color="auto" w:fill="auto"/>
            <w:noWrap/>
            <w:vAlign w:val="bottom"/>
            <w:hideMark/>
          </w:tcPr>
          <w:p w14:paraId="67B70066"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0.001</w:t>
            </w:r>
          </w:p>
        </w:tc>
        <w:tc>
          <w:tcPr>
            <w:tcW w:w="1330" w:type="dxa"/>
            <w:tcBorders>
              <w:top w:val="nil"/>
              <w:left w:val="nil"/>
              <w:bottom w:val="nil"/>
              <w:right w:val="nil"/>
            </w:tcBorders>
            <w:shd w:val="clear" w:color="auto" w:fill="auto"/>
            <w:noWrap/>
            <w:vAlign w:val="bottom"/>
            <w:hideMark/>
          </w:tcPr>
          <w:p w14:paraId="729748F4"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p>
        </w:tc>
        <w:tc>
          <w:tcPr>
            <w:tcW w:w="910" w:type="dxa"/>
            <w:tcBorders>
              <w:top w:val="nil"/>
              <w:left w:val="nil"/>
              <w:bottom w:val="nil"/>
              <w:right w:val="nil"/>
            </w:tcBorders>
            <w:shd w:val="clear" w:color="auto" w:fill="auto"/>
            <w:noWrap/>
            <w:vAlign w:val="bottom"/>
            <w:hideMark/>
          </w:tcPr>
          <w:p w14:paraId="30D6BB2B" w14:textId="77777777" w:rsidR="00986F97" w:rsidRPr="003005F0" w:rsidRDefault="00986F97" w:rsidP="009979BE">
            <w:pPr>
              <w:spacing w:after="0" w:line="240" w:lineRule="auto"/>
              <w:ind w:left="0" w:hanging="2"/>
              <w:rPr>
                <w:rFonts w:asciiTheme="majorBidi" w:eastAsia="Times New Roman" w:hAnsiTheme="majorBidi" w:cstheme="majorBidi"/>
                <w:sz w:val="24"/>
                <w:szCs w:val="24"/>
                <w:lang w:val="en-GB" w:eastAsia="en-GB"/>
              </w:rPr>
            </w:pPr>
          </w:p>
        </w:tc>
      </w:tr>
      <w:tr w:rsidR="00986F97" w:rsidRPr="003005F0" w14:paraId="33C8DBBD" w14:textId="77777777" w:rsidTr="009979BE">
        <w:trPr>
          <w:trHeight w:val="255"/>
          <w:jc w:val="center"/>
        </w:trPr>
        <w:tc>
          <w:tcPr>
            <w:tcW w:w="3009" w:type="dxa"/>
            <w:tcBorders>
              <w:top w:val="nil"/>
              <w:left w:val="nil"/>
              <w:bottom w:val="single" w:sz="4" w:space="0" w:color="auto"/>
              <w:right w:val="nil"/>
            </w:tcBorders>
            <w:shd w:val="clear" w:color="auto" w:fill="auto"/>
            <w:noWrap/>
            <w:vAlign w:val="bottom"/>
            <w:hideMark/>
          </w:tcPr>
          <w:p w14:paraId="3097B8D2" w14:textId="77777777" w:rsidR="00986F97" w:rsidRPr="003005F0" w:rsidRDefault="00986F97" w:rsidP="009979BE">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Technical support (TS)</w:t>
            </w:r>
          </w:p>
        </w:tc>
        <w:tc>
          <w:tcPr>
            <w:tcW w:w="1336" w:type="dxa"/>
            <w:tcBorders>
              <w:top w:val="nil"/>
              <w:left w:val="nil"/>
              <w:bottom w:val="single" w:sz="4" w:space="0" w:color="auto"/>
              <w:right w:val="nil"/>
            </w:tcBorders>
            <w:shd w:val="clear" w:color="auto" w:fill="auto"/>
            <w:noWrap/>
            <w:vAlign w:val="bottom"/>
            <w:hideMark/>
          </w:tcPr>
          <w:p w14:paraId="479A21E3"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0.093</w:t>
            </w:r>
          </w:p>
        </w:tc>
        <w:tc>
          <w:tcPr>
            <w:tcW w:w="966" w:type="dxa"/>
            <w:tcBorders>
              <w:top w:val="nil"/>
              <w:left w:val="nil"/>
              <w:bottom w:val="single" w:sz="4" w:space="0" w:color="auto"/>
              <w:right w:val="nil"/>
            </w:tcBorders>
            <w:shd w:val="clear" w:color="auto" w:fill="auto"/>
            <w:noWrap/>
            <w:vAlign w:val="bottom"/>
            <w:hideMark/>
          </w:tcPr>
          <w:p w14:paraId="7F12D3E2"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1.463</w:t>
            </w:r>
          </w:p>
        </w:tc>
        <w:tc>
          <w:tcPr>
            <w:tcW w:w="1226" w:type="dxa"/>
            <w:tcBorders>
              <w:top w:val="nil"/>
              <w:left w:val="nil"/>
              <w:bottom w:val="single" w:sz="4" w:space="0" w:color="auto"/>
              <w:right w:val="nil"/>
            </w:tcBorders>
            <w:shd w:val="clear" w:color="auto" w:fill="auto"/>
            <w:noWrap/>
            <w:vAlign w:val="bottom"/>
            <w:hideMark/>
          </w:tcPr>
          <w:p w14:paraId="10577DD0" w14:textId="77777777" w:rsidR="00986F97" w:rsidRPr="003005F0" w:rsidRDefault="00986F97" w:rsidP="009979BE">
            <w:pPr>
              <w:spacing w:after="0" w:line="240" w:lineRule="auto"/>
              <w:ind w:left="0" w:hanging="2"/>
              <w:jc w:val="right"/>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0.017</w:t>
            </w:r>
          </w:p>
        </w:tc>
        <w:tc>
          <w:tcPr>
            <w:tcW w:w="1330" w:type="dxa"/>
            <w:tcBorders>
              <w:top w:val="nil"/>
              <w:left w:val="nil"/>
              <w:bottom w:val="single" w:sz="4" w:space="0" w:color="auto"/>
              <w:right w:val="nil"/>
            </w:tcBorders>
            <w:shd w:val="clear" w:color="auto" w:fill="auto"/>
            <w:noWrap/>
            <w:vAlign w:val="bottom"/>
            <w:hideMark/>
          </w:tcPr>
          <w:p w14:paraId="07826005" w14:textId="77777777" w:rsidR="00986F97" w:rsidRPr="003005F0" w:rsidRDefault="00986F97" w:rsidP="009979BE">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 </w:t>
            </w:r>
          </w:p>
        </w:tc>
        <w:tc>
          <w:tcPr>
            <w:tcW w:w="910" w:type="dxa"/>
            <w:tcBorders>
              <w:top w:val="nil"/>
              <w:left w:val="nil"/>
              <w:bottom w:val="single" w:sz="4" w:space="0" w:color="auto"/>
              <w:right w:val="nil"/>
            </w:tcBorders>
            <w:shd w:val="clear" w:color="auto" w:fill="auto"/>
            <w:noWrap/>
            <w:vAlign w:val="bottom"/>
            <w:hideMark/>
          </w:tcPr>
          <w:p w14:paraId="2FAA4FEC" w14:textId="77777777" w:rsidR="00986F97" w:rsidRPr="003005F0" w:rsidRDefault="00986F97" w:rsidP="009979BE">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 </w:t>
            </w:r>
          </w:p>
        </w:tc>
      </w:tr>
    </w:tbl>
    <w:p w14:paraId="5841A582" w14:textId="77777777" w:rsidR="00986F97" w:rsidRPr="003005F0" w:rsidRDefault="00986F97" w:rsidP="00D270EC">
      <w:pPr>
        <w:spacing w:after="0" w:line="240" w:lineRule="auto"/>
        <w:ind w:left="0" w:hanging="2"/>
        <w:jc w:val="both"/>
        <w:rPr>
          <w:rFonts w:asciiTheme="majorBidi" w:hAnsiTheme="majorBidi" w:cstheme="majorBidi"/>
          <w:sz w:val="24"/>
          <w:szCs w:val="24"/>
        </w:rPr>
      </w:pPr>
    </w:p>
    <w:p w14:paraId="49DDA7A1" w14:textId="77777777" w:rsidR="003005F0" w:rsidRPr="003005F0" w:rsidRDefault="003005F0" w:rsidP="00D270EC">
      <w:pPr>
        <w:spacing w:line="240" w:lineRule="auto"/>
        <w:ind w:left="0" w:hanging="2"/>
        <w:jc w:val="both"/>
        <w:rPr>
          <w:rFonts w:asciiTheme="majorBidi" w:hAnsiTheme="majorBidi" w:cstheme="majorBidi"/>
          <w:sz w:val="24"/>
          <w:szCs w:val="24"/>
        </w:rPr>
      </w:pPr>
      <w:r w:rsidRPr="003005F0">
        <w:rPr>
          <w:rFonts w:asciiTheme="majorBidi" w:hAnsiTheme="majorBidi" w:cstheme="majorBidi"/>
          <w:sz w:val="24"/>
          <w:szCs w:val="24"/>
        </w:rPr>
        <w:t>To acquire t-values, a bootstrapping procedure with 500 resamples was performed. Thus, the measurement model in Figure 1 shows an R-squared value of 65.8% and p-values of the relationships amongst the constructs. Table 5 indicates the results from the tested hypotheses.</w:t>
      </w:r>
    </w:p>
    <w:p w14:paraId="57749571" w14:textId="15A94E2A" w:rsidR="003005F0" w:rsidRDefault="003005F0" w:rsidP="00D270EC">
      <w:pPr>
        <w:spacing w:line="240" w:lineRule="auto"/>
        <w:ind w:left="0" w:hanging="2"/>
        <w:jc w:val="both"/>
        <w:rPr>
          <w:rFonts w:asciiTheme="majorBidi" w:hAnsiTheme="majorBidi" w:cstheme="majorBidi"/>
          <w:sz w:val="24"/>
          <w:szCs w:val="24"/>
          <w:lang w:val="en-GB"/>
        </w:rPr>
      </w:pPr>
      <w:r w:rsidRPr="003005F0">
        <w:rPr>
          <w:rFonts w:asciiTheme="majorBidi" w:hAnsiTheme="majorBidi" w:cstheme="majorBidi"/>
          <w:sz w:val="24"/>
          <w:szCs w:val="24"/>
          <w:lang w:val="en-GB"/>
        </w:rPr>
        <w:t>The predictor's effect size was evaluated using the Cohen’s f</w:t>
      </w:r>
      <w:r w:rsidRPr="003005F0">
        <w:rPr>
          <w:rFonts w:asciiTheme="majorBidi" w:hAnsiTheme="majorBidi" w:cstheme="majorBidi"/>
          <w:sz w:val="24"/>
          <w:szCs w:val="24"/>
          <w:vertAlign w:val="superscript"/>
          <w:lang w:val="en-GB"/>
        </w:rPr>
        <w:t>2</w:t>
      </w:r>
      <w:r w:rsidRPr="003005F0">
        <w:rPr>
          <w:rFonts w:asciiTheme="majorBidi" w:hAnsiTheme="majorBidi" w:cstheme="majorBidi"/>
          <w:sz w:val="24"/>
          <w:szCs w:val="24"/>
          <w:lang w:val="en-GB"/>
        </w:rPr>
        <w:t>, which measured the relative impact of an independent variable on the dependent variable. The effect size of the predictor from Table 4 construct indicated that the f</w:t>
      </w:r>
      <w:r w:rsidRPr="003005F0">
        <w:rPr>
          <w:rFonts w:asciiTheme="majorBidi" w:hAnsiTheme="majorBidi" w:cstheme="majorBidi"/>
          <w:sz w:val="24"/>
          <w:szCs w:val="24"/>
          <w:vertAlign w:val="superscript"/>
          <w:lang w:val="en-GB"/>
        </w:rPr>
        <w:t>2</w:t>
      </w:r>
      <w:r w:rsidRPr="003005F0">
        <w:rPr>
          <w:rFonts w:asciiTheme="majorBidi" w:hAnsiTheme="majorBidi" w:cstheme="majorBidi"/>
          <w:sz w:val="24"/>
          <w:szCs w:val="24"/>
          <w:lang w:val="en-GB"/>
        </w:rPr>
        <w:t xml:space="preserve"> value of 0.242 and 0.169 for psychological support and students’ motivation were of medium effect size (</w:t>
      </w:r>
      <w:r w:rsidRPr="003005F0">
        <w:rPr>
          <w:rFonts w:asciiTheme="majorBidi" w:hAnsiTheme="majorBidi" w:cstheme="majorBidi"/>
          <w:sz w:val="24"/>
          <w:szCs w:val="24"/>
          <w:lang w:val="en-GB"/>
        </w:rPr>
        <w:fldChar w:fldCharType="begin" w:fldLock="1"/>
      </w:r>
      <w:r w:rsidRPr="003005F0">
        <w:rPr>
          <w:rFonts w:asciiTheme="majorBidi" w:hAnsiTheme="majorBidi" w:cstheme="majorBidi"/>
          <w:sz w:val="24"/>
          <w:szCs w:val="24"/>
          <w:lang w:val="en-GB"/>
        </w:rPr>
        <w:instrText>ADDIN CSL_CITATION { "citationItems" : [ { "id" : "ITEM-1", "itemData" : { "abstract" : "Cohen, J. (1992). A power primer. Psychological bulletin, 112(1), 155.", "author" : [ { "dropping-particle" : "", "family" : "Cohen", "given" : "Jacob", "non-dropping-particle" : "", "parse-names" : false, "suffix" : "" } ], "container-title" : "Psychological bulletin", "id" : "ITEM-1", "issue" : "1", "issued" : { "date-parts" : [ [ "1992" ] ] }, "page" : "155", "title" : "A power primer", "type" : "article-journal", "volume" : "112" }, "uris" : [ "http://www.mendeley.com/documents/?uuid=6bcf9417-b21a-4df4-b5d5-388134f44a28" ] } ], "mendeley" : { "formattedCitation" : "(Cohen, 1992)", "manualFormatting" : "Cohen,1992)", "plainTextFormattedCitation" : "(Cohen, 1992)", "previouslyFormattedCitation" : "(Cohen, 1992)" }, "properties" : { "noteIndex" : 0 }, "schema" : "https://github.com/citation-style-language/schema/raw/master/csl-citation.json" }</w:instrText>
      </w:r>
      <w:r w:rsidRPr="003005F0">
        <w:rPr>
          <w:rFonts w:asciiTheme="majorBidi" w:hAnsiTheme="majorBidi" w:cstheme="majorBidi"/>
          <w:sz w:val="24"/>
          <w:szCs w:val="24"/>
          <w:lang w:val="en-GB"/>
        </w:rPr>
        <w:fldChar w:fldCharType="separate"/>
      </w:r>
      <w:r w:rsidRPr="003005F0">
        <w:rPr>
          <w:rFonts w:asciiTheme="majorBidi" w:hAnsiTheme="majorBidi" w:cstheme="majorBidi"/>
          <w:sz w:val="24"/>
          <w:szCs w:val="24"/>
          <w:lang w:val="en-GB"/>
        </w:rPr>
        <w:t>Cohen,</w:t>
      </w:r>
      <w:r w:rsidR="00D270EC">
        <w:rPr>
          <w:rFonts w:asciiTheme="majorBidi" w:hAnsiTheme="majorBidi" w:cstheme="majorBidi"/>
          <w:sz w:val="24"/>
          <w:szCs w:val="24"/>
          <w:lang w:val="en-GB"/>
        </w:rPr>
        <w:t xml:space="preserve"> </w:t>
      </w:r>
      <w:r w:rsidRPr="003005F0">
        <w:rPr>
          <w:rFonts w:asciiTheme="majorBidi" w:hAnsiTheme="majorBidi" w:cstheme="majorBidi"/>
          <w:sz w:val="24"/>
          <w:szCs w:val="24"/>
          <w:lang w:val="en-GB"/>
        </w:rPr>
        <w:t>1992)</w:t>
      </w:r>
      <w:r w:rsidRPr="003005F0">
        <w:rPr>
          <w:rFonts w:asciiTheme="majorBidi" w:hAnsiTheme="majorBidi" w:cstheme="majorBidi"/>
          <w:sz w:val="24"/>
          <w:szCs w:val="24"/>
        </w:rPr>
        <w:fldChar w:fldCharType="end"/>
      </w:r>
      <w:r w:rsidRPr="003005F0">
        <w:rPr>
          <w:rFonts w:asciiTheme="majorBidi" w:hAnsiTheme="majorBidi" w:cstheme="majorBidi"/>
          <w:sz w:val="24"/>
          <w:szCs w:val="24"/>
          <w:lang w:val="en-GB"/>
        </w:rPr>
        <w:t>. F</w:t>
      </w:r>
      <w:r w:rsidRPr="003005F0">
        <w:rPr>
          <w:rFonts w:asciiTheme="majorBidi" w:hAnsiTheme="majorBidi" w:cstheme="majorBidi"/>
          <w:sz w:val="24"/>
          <w:szCs w:val="24"/>
          <w:vertAlign w:val="superscript"/>
          <w:lang w:val="en-GB"/>
        </w:rPr>
        <w:t>2</w:t>
      </w:r>
      <w:r w:rsidRPr="003005F0">
        <w:rPr>
          <w:rFonts w:asciiTheme="majorBidi" w:hAnsiTheme="majorBidi" w:cstheme="majorBidi"/>
          <w:sz w:val="24"/>
          <w:szCs w:val="24"/>
          <w:lang w:val="en-GB"/>
        </w:rPr>
        <w:t xml:space="preserve"> for the rest of the variables were of small effect size (0.002, 0.001, and 0.017, respectively). </w:t>
      </w:r>
    </w:p>
    <w:p w14:paraId="1B284CB8" w14:textId="7413FB4E" w:rsidR="00EC7130" w:rsidRDefault="00EC7130" w:rsidP="00D270EC">
      <w:pPr>
        <w:spacing w:line="240" w:lineRule="auto"/>
        <w:ind w:left="0" w:hanging="2"/>
        <w:jc w:val="both"/>
        <w:rPr>
          <w:rFonts w:asciiTheme="majorBidi" w:hAnsiTheme="majorBidi" w:cstheme="majorBidi"/>
          <w:sz w:val="24"/>
          <w:szCs w:val="24"/>
          <w:lang w:val="en-GB"/>
        </w:rPr>
      </w:pPr>
    </w:p>
    <w:p w14:paraId="3D9CDA55" w14:textId="77777777" w:rsidR="00EC7130" w:rsidRPr="003005F0" w:rsidRDefault="00EC7130" w:rsidP="00D270EC">
      <w:pPr>
        <w:spacing w:line="240" w:lineRule="auto"/>
        <w:ind w:left="0" w:hanging="2"/>
        <w:jc w:val="both"/>
        <w:rPr>
          <w:rFonts w:asciiTheme="majorBidi" w:hAnsiTheme="majorBidi" w:cstheme="majorBidi"/>
          <w:sz w:val="24"/>
          <w:szCs w:val="24"/>
          <w:lang w:val="en-GB"/>
        </w:rPr>
      </w:pPr>
    </w:p>
    <w:tbl>
      <w:tblPr>
        <w:tblW w:w="9413" w:type="dxa"/>
        <w:tblLook w:val="04A0" w:firstRow="1" w:lastRow="0" w:firstColumn="1" w:lastColumn="0" w:noHBand="0" w:noVBand="1"/>
      </w:tblPr>
      <w:tblGrid>
        <w:gridCol w:w="567"/>
        <w:gridCol w:w="2629"/>
        <w:gridCol w:w="1080"/>
        <w:gridCol w:w="1380"/>
        <w:gridCol w:w="1500"/>
        <w:gridCol w:w="960"/>
        <w:gridCol w:w="1297"/>
      </w:tblGrid>
      <w:tr w:rsidR="003005F0" w:rsidRPr="003005F0" w14:paraId="49D5AF02" w14:textId="77777777" w:rsidTr="00E77717">
        <w:trPr>
          <w:trHeight w:val="310"/>
        </w:trPr>
        <w:tc>
          <w:tcPr>
            <w:tcW w:w="9413" w:type="dxa"/>
            <w:gridSpan w:val="7"/>
            <w:tcBorders>
              <w:top w:val="nil"/>
              <w:left w:val="nil"/>
              <w:bottom w:val="single" w:sz="8" w:space="0" w:color="auto"/>
              <w:right w:val="nil"/>
            </w:tcBorders>
            <w:shd w:val="clear" w:color="auto" w:fill="auto"/>
            <w:noWrap/>
            <w:vAlign w:val="center"/>
            <w:hideMark/>
          </w:tcPr>
          <w:p w14:paraId="2E95F49B" w14:textId="77777777" w:rsidR="003005F0" w:rsidRPr="003005F0" w:rsidRDefault="003005F0" w:rsidP="00E77717">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lastRenderedPageBreak/>
              <w:t>Table 5: Structural Model and Hypothesis Testing</w:t>
            </w:r>
          </w:p>
        </w:tc>
      </w:tr>
      <w:tr w:rsidR="003005F0" w:rsidRPr="003005F0" w14:paraId="33C700DC" w14:textId="77777777" w:rsidTr="00EC7130">
        <w:trPr>
          <w:trHeight w:val="610"/>
        </w:trPr>
        <w:tc>
          <w:tcPr>
            <w:tcW w:w="567" w:type="dxa"/>
            <w:tcBorders>
              <w:top w:val="nil"/>
              <w:left w:val="nil"/>
              <w:bottom w:val="single" w:sz="8" w:space="0" w:color="auto"/>
              <w:right w:val="nil"/>
            </w:tcBorders>
            <w:shd w:val="clear" w:color="000000" w:fill="FFFFFF"/>
            <w:vAlign w:val="center"/>
            <w:hideMark/>
          </w:tcPr>
          <w:p w14:paraId="25A7AB42" w14:textId="77777777" w:rsidR="003005F0" w:rsidRPr="003005F0" w:rsidRDefault="003005F0" w:rsidP="00EC7130">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H</w:t>
            </w:r>
          </w:p>
        </w:tc>
        <w:tc>
          <w:tcPr>
            <w:tcW w:w="2629" w:type="dxa"/>
            <w:tcBorders>
              <w:top w:val="nil"/>
              <w:left w:val="nil"/>
              <w:bottom w:val="single" w:sz="8" w:space="0" w:color="auto"/>
              <w:right w:val="nil"/>
            </w:tcBorders>
            <w:shd w:val="clear" w:color="000000" w:fill="FFFFFF"/>
            <w:vAlign w:val="center"/>
            <w:hideMark/>
          </w:tcPr>
          <w:p w14:paraId="2C61BA0D" w14:textId="77777777" w:rsidR="003005F0" w:rsidRPr="003005F0" w:rsidRDefault="003005F0" w:rsidP="00EC7130">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Variable</w:t>
            </w:r>
          </w:p>
        </w:tc>
        <w:tc>
          <w:tcPr>
            <w:tcW w:w="1080" w:type="dxa"/>
            <w:tcBorders>
              <w:top w:val="nil"/>
              <w:left w:val="nil"/>
              <w:bottom w:val="single" w:sz="8" w:space="0" w:color="auto"/>
              <w:right w:val="nil"/>
            </w:tcBorders>
            <w:shd w:val="clear" w:color="000000" w:fill="FFFFFF"/>
            <w:vAlign w:val="center"/>
            <w:hideMark/>
          </w:tcPr>
          <w:p w14:paraId="3C2B4B9B" w14:textId="77777777" w:rsidR="003005F0" w:rsidRPr="003005F0" w:rsidRDefault="003005F0" w:rsidP="00EC7130">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Beta Coeff.</w:t>
            </w:r>
          </w:p>
        </w:tc>
        <w:tc>
          <w:tcPr>
            <w:tcW w:w="1380" w:type="dxa"/>
            <w:tcBorders>
              <w:top w:val="nil"/>
              <w:left w:val="nil"/>
              <w:bottom w:val="single" w:sz="8" w:space="0" w:color="auto"/>
              <w:right w:val="nil"/>
            </w:tcBorders>
            <w:shd w:val="clear" w:color="000000" w:fill="FFFFFF"/>
            <w:vAlign w:val="center"/>
            <w:hideMark/>
          </w:tcPr>
          <w:p w14:paraId="64004CB4" w14:textId="77777777" w:rsidR="003005F0" w:rsidRPr="003005F0" w:rsidRDefault="003005F0" w:rsidP="00EC7130">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Std. Error</w:t>
            </w:r>
          </w:p>
        </w:tc>
        <w:tc>
          <w:tcPr>
            <w:tcW w:w="1500" w:type="dxa"/>
            <w:tcBorders>
              <w:top w:val="nil"/>
              <w:left w:val="nil"/>
              <w:bottom w:val="single" w:sz="8" w:space="0" w:color="auto"/>
              <w:right w:val="nil"/>
            </w:tcBorders>
            <w:shd w:val="clear" w:color="000000" w:fill="FFFFFF"/>
            <w:vAlign w:val="center"/>
            <w:hideMark/>
          </w:tcPr>
          <w:p w14:paraId="7A8B7598" w14:textId="77777777" w:rsidR="003005F0" w:rsidRPr="003005F0" w:rsidRDefault="003005F0" w:rsidP="00EC7130">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T Values</w:t>
            </w:r>
          </w:p>
        </w:tc>
        <w:tc>
          <w:tcPr>
            <w:tcW w:w="960" w:type="dxa"/>
            <w:tcBorders>
              <w:top w:val="nil"/>
              <w:left w:val="nil"/>
              <w:bottom w:val="single" w:sz="8" w:space="0" w:color="auto"/>
              <w:right w:val="nil"/>
            </w:tcBorders>
            <w:shd w:val="clear" w:color="000000" w:fill="FFFFFF"/>
            <w:vAlign w:val="center"/>
            <w:hideMark/>
          </w:tcPr>
          <w:p w14:paraId="532B511D" w14:textId="77777777" w:rsidR="003005F0" w:rsidRPr="003005F0" w:rsidRDefault="003005F0" w:rsidP="00EC7130">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P Values</w:t>
            </w:r>
          </w:p>
        </w:tc>
        <w:tc>
          <w:tcPr>
            <w:tcW w:w="1297" w:type="dxa"/>
            <w:tcBorders>
              <w:top w:val="nil"/>
              <w:left w:val="nil"/>
              <w:bottom w:val="single" w:sz="8" w:space="0" w:color="auto"/>
              <w:right w:val="nil"/>
            </w:tcBorders>
            <w:shd w:val="clear" w:color="000000" w:fill="FFFFFF"/>
            <w:vAlign w:val="center"/>
            <w:hideMark/>
          </w:tcPr>
          <w:p w14:paraId="3FD399FB" w14:textId="77777777" w:rsidR="003005F0" w:rsidRPr="003005F0" w:rsidRDefault="003005F0" w:rsidP="00EC7130">
            <w:pPr>
              <w:spacing w:after="0" w:line="240" w:lineRule="auto"/>
              <w:ind w:left="0" w:hanging="2"/>
              <w:jc w:val="center"/>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Decision</w:t>
            </w:r>
          </w:p>
        </w:tc>
      </w:tr>
      <w:tr w:rsidR="003005F0" w:rsidRPr="003005F0" w14:paraId="2A62A453" w14:textId="77777777" w:rsidTr="00EC7130">
        <w:trPr>
          <w:trHeight w:val="930"/>
        </w:trPr>
        <w:tc>
          <w:tcPr>
            <w:tcW w:w="567" w:type="dxa"/>
            <w:tcBorders>
              <w:top w:val="nil"/>
              <w:left w:val="nil"/>
              <w:bottom w:val="nil"/>
              <w:right w:val="nil"/>
            </w:tcBorders>
            <w:shd w:val="clear" w:color="auto" w:fill="auto"/>
            <w:noWrap/>
            <w:vAlign w:val="center"/>
            <w:hideMark/>
          </w:tcPr>
          <w:p w14:paraId="7478C71E"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H1</w:t>
            </w:r>
          </w:p>
        </w:tc>
        <w:tc>
          <w:tcPr>
            <w:tcW w:w="2629" w:type="dxa"/>
            <w:tcBorders>
              <w:top w:val="nil"/>
              <w:left w:val="nil"/>
              <w:bottom w:val="nil"/>
              <w:right w:val="nil"/>
            </w:tcBorders>
            <w:shd w:val="clear" w:color="auto" w:fill="auto"/>
            <w:vAlign w:val="center"/>
            <w:hideMark/>
          </w:tcPr>
          <w:p w14:paraId="587BC9E0"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Internet availability (SIA) -&gt; Students' satisfaction (SS)</w:t>
            </w:r>
          </w:p>
        </w:tc>
        <w:tc>
          <w:tcPr>
            <w:tcW w:w="1080" w:type="dxa"/>
            <w:tcBorders>
              <w:top w:val="nil"/>
              <w:left w:val="nil"/>
              <w:bottom w:val="nil"/>
              <w:right w:val="nil"/>
            </w:tcBorders>
            <w:shd w:val="clear" w:color="auto" w:fill="auto"/>
            <w:noWrap/>
            <w:vAlign w:val="center"/>
            <w:hideMark/>
          </w:tcPr>
          <w:p w14:paraId="1FFC7982"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0.034</w:t>
            </w:r>
          </w:p>
        </w:tc>
        <w:tc>
          <w:tcPr>
            <w:tcW w:w="1380" w:type="dxa"/>
            <w:tcBorders>
              <w:top w:val="nil"/>
              <w:left w:val="nil"/>
              <w:bottom w:val="nil"/>
              <w:right w:val="nil"/>
            </w:tcBorders>
            <w:shd w:val="clear" w:color="auto" w:fill="auto"/>
            <w:noWrap/>
            <w:vAlign w:val="center"/>
            <w:hideMark/>
          </w:tcPr>
          <w:p w14:paraId="33CE2F9E"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0.046</w:t>
            </w:r>
          </w:p>
        </w:tc>
        <w:tc>
          <w:tcPr>
            <w:tcW w:w="1500" w:type="dxa"/>
            <w:tcBorders>
              <w:top w:val="nil"/>
              <w:left w:val="nil"/>
              <w:bottom w:val="nil"/>
              <w:right w:val="nil"/>
            </w:tcBorders>
            <w:shd w:val="clear" w:color="auto" w:fill="auto"/>
            <w:noWrap/>
            <w:vAlign w:val="center"/>
            <w:hideMark/>
          </w:tcPr>
          <w:p w14:paraId="08058D81"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0.751</w:t>
            </w:r>
          </w:p>
        </w:tc>
        <w:tc>
          <w:tcPr>
            <w:tcW w:w="960" w:type="dxa"/>
            <w:tcBorders>
              <w:top w:val="nil"/>
              <w:left w:val="nil"/>
              <w:bottom w:val="nil"/>
              <w:right w:val="nil"/>
            </w:tcBorders>
            <w:shd w:val="clear" w:color="auto" w:fill="auto"/>
            <w:noWrap/>
            <w:vAlign w:val="center"/>
            <w:hideMark/>
          </w:tcPr>
          <w:p w14:paraId="58123DD1"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0.453</w:t>
            </w:r>
          </w:p>
        </w:tc>
        <w:tc>
          <w:tcPr>
            <w:tcW w:w="1297" w:type="dxa"/>
            <w:tcBorders>
              <w:top w:val="nil"/>
              <w:left w:val="nil"/>
              <w:bottom w:val="nil"/>
              <w:right w:val="nil"/>
            </w:tcBorders>
            <w:shd w:val="clear" w:color="auto" w:fill="auto"/>
            <w:vAlign w:val="center"/>
            <w:hideMark/>
          </w:tcPr>
          <w:p w14:paraId="4EDA5E5B"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Not supported</w:t>
            </w:r>
          </w:p>
        </w:tc>
      </w:tr>
      <w:tr w:rsidR="003005F0" w:rsidRPr="003005F0" w14:paraId="1A60554F" w14:textId="77777777" w:rsidTr="00EC7130">
        <w:trPr>
          <w:trHeight w:val="1240"/>
        </w:trPr>
        <w:tc>
          <w:tcPr>
            <w:tcW w:w="567" w:type="dxa"/>
            <w:tcBorders>
              <w:top w:val="nil"/>
              <w:left w:val="nil"/>
              <w:bottom w:val="nil"/>
              <w:right w:val="nil"/>
            </w:tcBorders>
            <w:shd w:val="clear" w:color="auto" w:fill="auto"/>
            <w:noWrap/>
            <w:vAlign w:val="center"/>
            <w:hideMark/>
          </w:tcPr>
          <w:p w14:paraId="2546C0C5"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H2</w:t>
            </w:r>
          </w:p>
        </w:tc>
        <w:tc>
          <w:tcPr>
            <w:tcW w:w="2629" w:type="dxa"/>
            <w:tcBorders>
              <w:top w:val="nil"/>
              <w:left w:val="nil"/>
              <w:bottom w:val="nil"/>
              <w:right w:val="nil"/>
            </w:tcBorders>
            <w:shd w:val="clear" w:color="auto" w:fill="auto"/>
            <w:vAlign w:val="center"/>
            <w:hideMark/>
          </w:tcPr>
          <w:p w14:paraId="265E1D62"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Psychological support (PS) -&gt; Students' satisfaction (SS)</w:t>
            </w:r>
          </w:p>
        </w:tc>
        <w:tc>
          <w:tcPr>
            <w:tcW w:w="1080" w:type="dxa"/>
            <w:tcBorders>
              <w:top w:val="nil"/>
              <w:left w:val="nil"/>
              <w:bottom w:val="nil"/>
              <w:right w:val="nil"/>
            </w:tcBorders>
            <w:shd w:val="clear" w:color="auto" w:fill="auto"/>
            <w:noWrap/>
            <w:vAlign w:val="center"/>
            <w:hideMark/>
          </w:tcPr>
          <w:p w14:paraId="039A0DF3"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0.409</w:t>
            </w:r>
          </w:p>
        </w:tc>
        <w:tc>
          <w:tcPr>
            <w:tcW w:w="1380" w:type="dxa"/>
            <w:tcBorders>
              <w:top w:val="nil"/>
              <w:left w:val="nil"/>
              <w:bottom w:val="nil"/>
              <w:right w:val="nil"/>
            </w:tcBorders>
            <w:shd w:val="clear" w:color="auto" w:fill="auto"/>
            <w:noWrap/>
            <w:vAlign w:val="center"/>
            <w:hideMark/>
          </w:tcPr>
          <w:p w14:paraId="4815D27B"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0.047</w:t>
            </w:r>
          </w:p>
        </w:tc>
        <w:tc>
          <w:tcPr>
            <w:tcW w:w="1500" w:type="dxa"/>
            <w:tcBorders>
              <w:top w:val="nil"/>
              <w:left w:val="nil"/>
              <w:bottom w:val="nil"/>
              <w:right w:val="nil"/>
            </w:tcBorders>
            <w:shd w:val="clear" w:color="auto" w:fill="auto"/>
            <w:noWrap/>
            <w:vAlign w:val="center"/>
            <w:hideMark/>
          </w:tcPr>
          <w:p w14:paraId="0838A329"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8.730</w:t>
            </w:r>
          </w:p>
        </w:tc>
        <w:tc>
          <w:tcPr>
            <w:tcW w:w="960" w:type="dxa"/>
            <w:tcBorders>
              <w:top w:val="nil"/>
              <w:left w:val="nil"/>
              <w:bottom w:val="nil"/>
              <w:right w:val="nil"/>
            </w:tcBorders>
            <w:shd w:val="clear" w:color="auto" w:fill="auto"/>
            <w:noWrap/>
            <w:vAlign w:val="center"/>
            <w:hideMark/>
          </w:tcPr>
          <w:p w14:paraId="7FD813A3"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0.000</w:t>
            </w:r>
          </w:p>
        </w:tc>
        <w:tc>
          <w:tcPr>
            <w:tcW w:w="1297" w:type="dxa"/>
            <w:tcBorders>
              <w:top w:val="nil"/>
              <w:left w:val="nil"/>
              <w:bottom w:val="nil"/>
              <w:right w:val="nil"/>
            </w:tcBorders>
            <w:shd w:val="clear" w:color="auto" w:fill="auto"/>
            <w:noWrap/>
            <w:vAlign w:val="center"/>
            <w:hideMark/>
          </w:tcPr>
          <w:p w14:paraId="1F7659D0" w14:textId="77777777" w:rsidR="003005F0" w:rsidRPr="003005F0" w:rsidRDefault="003005F0" w:rsidP="00EC7130">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Supported</w:t>
            </w:r>
          </w:p>
        </w:tc>
      </w:tr>
      <w:tr w:rsidR="003005F0" w:rsidRPr="003005F0" w14:paraId="0772BFDC" w14:textId="77777777" w:rsidTr="00EC7130">
        <w:trPr>
          <w:trHeight w:val="930"/>
        </w:trPr>
        <w:tc>
          <w:tcPr>
            <w:tcW w:w="567" w:type="dxa"/>
            <w:tcBorders>
              <w:top w:val="nil"/>
              <w:left w:val="nil"/>
              <w:bottom w:val="nil"/>
              <w:right w:val="nil"/>
            </w:tcBorders>
            <w:shd w:val="clear" w:color="auto" w:fill="auto"/>
            <w:noWrap/>
            <w:vAlign w:val="center"/>
            <w:hideMark/>
          </w:tcPr>
          <w:p w14:paraId="7CB57BE1"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H3</w:t>
            </w:r>
          </w:p>
        </w:tc>
        <w:tc>
          <w:tcPr>
            <w:tcW w:w="2629" w:type="dxa"/>
            <w:tcBorders>
              <w:top w:val="nil"/>
              <w:left w:val="nil"/>
              <w:bottom w:val="nil"/>
              <w:right w:val="nil"/>
            </w:tcBorders>
            <w:shd w:val="clear" w:color="auto" w:fill="auto"/>
            <w:vAlign w:val="center"/>
            <w:hideMark/>
          </w:tcPr>
          <w:p w14:paraId="595E722E"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motivation (SM) -&gt; Students' satisfaction (SS)</w:t>
            </w:r>
          </w:p>
        </w:tc>
        <w:tc>
          <w:tcPr>
            <w:tcW w:w="1080" w:type="dxa"/>
            <w:tcBorders>
              <w:top w:val="nil"/>
              <w:left w:val="nil"/>
              <w:bottom w:val="nil"/>
              <w:right w:val="nil"/>
            </w:tcBorders>
            <w:shd w:val="clear" w:color="auto" w:fill="auto"/>
            <w:noWrap/>
            <w:vAlign w:val="center"/>
            <w:hideMark/>
          </w:tcPr>
          <w:p w14:paraId="174F29E7"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0.387</w:t>
            </w:r>
          </w:p>
        </w:tc>
        <w:tc>
          <w:tcPr>
            <w:tcW w:w="1380" w:type="dxa"/>
            <w:tcBorders>
              <w:top w:val="nil"/>
              <w:left w:val="nil"/>
              <w:bottom w:val="nil"/>
              <w:right w:val="nil"/>
            </w:tcBorders>
            <w:shd w:val="clear" w:color="auto" w:fill="auto"/>
            <w:noWrap/>
            <w:vAlign w:val="center"/>
            <w:hideMark/>
          </w:tcPr>
          <w:p w14:paraId="53073891"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0.056</w:t>
            </w:r>
          </w:p>
        </w:tc>
        <w:tc>
          <w:tcPr>
            <w:tcW w:w="1500" w:type="dxa"/>
            <w:tcBorders>
              <w:top w:val="nil"/>
              <w:left w:val="nil"/>
              <w:bottom w:val="nil"/>
              <w:right w:val="nil"/>
            </w:tcBorders>
            <w:shd w:val="clear" w:color="auto" w:fill="auto"/>
            <w:noWrap/>
            <w:vAlign w:val="center"/>
            <w:hideMark/>
          </w:tcPr>
          <w:p w14:paraId="5711EE9D"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6.917</w:t>
            </w:r>
          </w:p>
        </w:tc>
        <w:tc>
          <w:tcPr>
            <w:tcW w:w="960" w:type="dxa"/>
            <w:tcBorders>
              <w:top w:val="nil"/>
              <w:left w:val="nil"/>
              <w:bottom w:val="nil"/>
              <w:right w:val="nil"/>
            </w:tcBorders>
            <w:shd w:val="clear" w:color="auto" w:fill="auto"/>
            <w:noWrap/>
            <w:vAlign w:val="center"/>
            <w:hideMark/>
          </w:tcPr>
          <w:p w14:paraId="65FBD200"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0.000</w:t>
            </w:r>
          </w:p>
        </w:tc>
        <w:tc>
          <w:tcPr>
            <w:tcW w:w="1297" w:type="dxa"/>
            <w:tcBorders>
              <w:top w:val="nil"/>
              <w:left w:val="nil"/>
              <w:bottom w:val="nil"/>
              <w:right w:val="nil"/>
            </w:tcBorders>
            <w:shd w:val="clear" w:color="auto" w:fill="auto"/>
            <w:noWrap/>
            <w:vAlign w:val="center"/>
            <w:hideMark/>
          </w:tcPr>
          <w:p w14:paraId="08B44975" w14:textId="77777777" w:rsidR="003005F0" w:rsidRPr="003005F0" w:rsidRDefault="003005F0" w:rsidP="00EC7130">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Supported</w:t>
            </w:r>
          </w:p>
        </w:tc>
      </w:tr>
      <w:tr w:rsidR="003005F0" w:rsidRPr="003005F0" w14:paraId="7EDB734F" w14:textId="77777777" w:rsidTr="00EC7130">
        <w:trPr>
          <w:trHeight w:val="800"/>
        </w:trPr>
        <w:tc>
          <w:tcPr>
            <w:tcW w:w="567" w:type="dxa"/>
            <w:tcBorders>
              <w:top w:val="nil"/>
              <w:left w:val="nil"/>
              <w:bottom w:val="nil"/>
              <w:right w:val="nil"/>
            </w:tcBorders>
            <w:shd w:val="clear" w:color="auto" w:fill="auto"/>
            <w:noWrap/>
            <w:vAlign w:val="center"/>
            <w:hideMark/>
          </w:tcPr>
          <w:p w14:paraId="583710CB"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H4</w:t>
            </w:r>
          </w:p>
        </w:tc>
        <w:tc>
          <w:tcPr>
            <w:tcW w:w="2629" w:type="dxa"/>
            <w:tcBorders>
              <w:top w:val="nil"/>
              <w:left w:val="nil"/>
              <w:bottom w:val="nil"/>
              <w:right w:val="nil"/>
            </w:tcBorders>
            <w:shd w:val="clear" w:color="auto" w:fill="auto"/>
            <w:vAlign w:val="center"/>
            <w:hideMark/>
          </w:tcPr>
          <w:p w14:paraId="538C2C96"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Students' preparedness (SW) -&gt; Students' satisfaction (SS)</w:t>
            </w:r>
          </w:p>
        </w:tc>
        <w:tc>
          <w:tcPr>
            <w:tcW w:w="1080" w:type="dxa"/>
            <w:tcBorders>
              <w:top w:val="nil"/>
              <w:left w:val="nil"/>
              <w:bottom w:val="nil"/>
              <w:right w:val="nil"/>
            </w:tcBorders>
            <w:shd w:val="clear" w:color="auto" w:fill="auto"/>
            <w:noWrap/>
            <w:vAlign w:val="center"/>
            <w:hideMark/>
          </w:tcPr>
          <w:p w14:paraId="43976576"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0.021</w:t>
            </w:r>
          </w:p>
        </w:tc>
        <w:tc>
          <w:tcPr>
            <w:tcW w:w="1380" w:type="dxa"/>
            <w:tcBorders>
              <w:top w:val="nil"/>
              <w:left w:val="nil"/>
              <w:right w:val="nil"/>
            </w:tcBorders>
            <w:shd w:val="clear" w:color="auto" w:fill="auto"/>
            <w:noWrap/>
            <w:vAlign w:val="center"/>
            <w:hideMark/>
          </w:tcPr>
          <w:p w14:paraId="221C3A15"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0.049</w:t>
            </w:r>
          </w:p>
        </w:tc>
        <w:tc>
          <w:tcPr>
            <w:tcW w:w="1500" w:type="dxa"/>
            <w:tcBorders>
              <w:top w:val="nil"/>
              <w:left w:val="nil"/>
              <w:right w:val="nil"/>
            </w:tcBorders>
            <w:shd w:val="clear" w:color="auto" w:fill="auto"/>
            <w:noWrap/>
            <w:vAlign w:val="center"/>
            <w:hideMark/>
          </w:tcPr>
          <w:p w14:paraId="2FED05C8"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0.434</w:t>
            </w:r>
          </w:p>
        </w:tc>
        <w:tc>
          <w:tcPr>
            <w:tcW w:w="960" w:type="dxa"/>
            <w:tcBorders>
              <w:top w:val="nil"/>
              <w:left w:val="nil"/>
              <w:bottom w:val="nil"/>
              <w:right w:val="nil"/>
            </w:tcBorders>
            <w:shd w:val="clear" w:color="auto" w:fill="auto"/>
            <w:noWrap/>
            <w:vAlign w:val="center"/>
            <w:hideMark/>
          </w:tcPr>
          <w:p w14:paraId="33038E71"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0.665</w:t>
            </w:r>
          </w:p>
        </w:tc>
        <w:tc>
          <w:tcPr>
            <w:tcW w:w="1297" w:type="dxa"/>
            <w:tcBorders>
              <w:top w:val="nil"/>
              <w:left w:val="nil"/>
              <w:bottom w:val="nil"/>
              <w:right w:val="nil"/>
            </w:tcBorders>
            <w:shd w:val="clear" w:color="auto" w:fill="auto"/>
            <w:vAlign w:val="center"/>
            <w:hideMark/>
          </w:tcPr>
          <w:p w14:paraId="2A7C5527"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Not supported</w:t>
            </w:r>
          </w:p>
        </w:tc>
      </w:tr>
      <w:tr w:rsidR="003005F0" w:rsidRPr="003005F0" w14:paraId="0D72F45C" w14:textId="77777777" w:rsidTr="00EC7130">
        <w:trPr>
          <w:trHeight w:val="930"/>
        </w:trPr>
        <w:tc>
          <w:tcPr>
            <w:tcW w:w="567" w:type="dxa"/>
            <w:tcBorders>
              <w:top w:val="nil"/>
              <w:left w:val="nil"/>
              <w:bottom w:val="single" w:sz="4" w:space="0" w:color="auto"/>
              <w:right w:val="nil"/>
            </w:tcBorders>
            <w:shd w:val="clear" w:color="auto" w:fill="auto"/>
            <w:noWrap/>
            <w:vAlign w:val="center"/>
            <w:hideMark/>
          </w:tcPr>
          <w:p w14:paraId="43E39C1A"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H5</w:t>
            </w:r>
          </w:p>
        </w:tc>
        <w:tc>
          <w:tcPr>
            <w:tcW w:w="2629" w:type="dxa"/>
            <w:tcBorders>
              <w:top w:val="nil"/>
              <w:left w:val="nil"/>
              <w:bottom w:val="single" w:sz="4" w:space="0" w:color="auto"/>
              <w:right w:val="nil"/>
            </w:tcBorders>
            <w:shd w:val="clear" w:color="auto" w:fill="auto"/>
            <w:vAlign w:val="center"/>
            <w:hideMark/>
          </w:tcPr>
          <w:p w14:paraId="0DE87BC6" w14:textId="77777777" w:rsidR="003005F0" w:rsidRPr="003005F0" w:rsidRDefault="003005F0" w:rsidP="00EC7130">
            <w:pPr>
              <w:spacing w:after="0" w:line="240" w:lineRule="auto"/>
              <w:ind w:left="0" w:hanging="2"/>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Technical support (TS) -&gt; Students' satisfaction (SS)</w:t>
            </w:r>
          </w:p>
        </w:tc>
        <w:tc>
          <w:tcPr>
            <w:tcW w:w="1080" w:type="dxa"/>
            <w:tcBorders>
              <w:top w:val="nil"/>
              <w:left w:val="nil"/>
              <w:bottom w:val="single" w:sz="4" w:space="0" w:color="auto"/>
              <w:right w:val="nil"/>
            </w:tcBorders>
            <w:shd w:val="clear" w:color="auto" w:fill="auto"/>
            <w:noWrap/>
            <w:vAlign w:val="center"/>
            <w:hideMark/>
          </w:tcPr>
          <w:p w14:paraId="2AE104BE"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0.093</w:t>
            </w:r>
          </w:p>
        </w:tc>
        <w:tc>
          <w:tcPr>
            <w:tcW w:w="1380" w:type="dxa"/>
            <w:tcBorders>
              <w:top w:val="nil"/>
              <w:left w:val="nil"/>
              <w:bottom w:val="single" w:sz="4" w:space="0" w:color="auto"/>
              <w:right w:val="nil"/>
            </w:tcBorders>
            <w:shd w:val="clear" w:color="auto" w:fill="auto"/>
            <w:noWrap/>
            <w:vAlign w:val="center"/>
            <w:hideMark/>
          </w:tcPr>
          <w:p w14:paraId="157FAE24"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0.042</w:t>
            </w:r>
          </w:p>
        </w:tc>
        <w:tc>
          <w:tcPr>
            <w:tcW w:w="1500" w:type="dxa"/>
            <w:tcBorders>
              <w:top w:val="nil"/>
              <w:left w:val="nil"/>
              <w:bottom w:val="single" w:sz="4" w:space="0" w:color="auto"/>
              <w:right w:val="nil"/>
            </w:tcBorders>
            <w:shd w:val="clear" w:color="auto" w:fill="auto"/>
            <w:noWrap/>
            <w:vAlign w:val="center"/>
            <w:hideMark/>
          </w:tcPr>
          <w:p w14:paraId="5E4848A2"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2.199</w:t>
            </w:r>
          </w:p>
        </w:tc>
        <w:tc>
          <w:tcPr>
            <w:tcW w:w="960" w:type="dxa"/>
            <w:tcBorders>
              <w:top w:val="nil"/>
              <w:left w:val="nil"/>
              <w:bottom w:val="single" w:sz="4" w:space="0" w:color="auto"/>
              <w:right w:val="nil"/>
            </w:tcBorders>
            <w:shd w:val="clear" w:color="auto" w:fill="auto"/>
            <w:noWrap/>
            <w:vAlign w:val="center"/>
            <w:hideMark/>
          </w:tcPr>
          <w:p w14:paraId="1617597A" w14:textId="77777777" w:rsidR="003005F0" w:rsidRPr="003005F0" w:rsidRDefault="003005F0" w:rsidP="00EC7130">
            <w:pPr>
              <w:spacing w:after="0" w:line="240" w:lineRule="auto"/>
              <w:ind w:left="0" w:hanging="2"/>
              <w:jc w:val="center"/>
              <w:rPr>
                <w:rFonts w:asciiTheme="majorBidi" w:eastAsia="Times New Roman" w:hAnsiTheme="majorBidi" w:cstheme="majorBidi"/>
                <w:color w:val="000000"/>
                <w:sz w:val="24"/>
                <w:szCs w:val="24"/>
                <w:lang w:val="en-GB" w:eastAsia="en-GB"/>
              </w:rPr>
            </w:pPr>
            <w:r w:rsidRPr="003005F0">
              <w:rPr>
                <w:rFonts w:asciiTheme="majorBidi" w:eastAsia="Times New Roman" w:hAnsiTheme="majorBidi" w:cstheme="majorBidi"/>
                <w:color w:val="000000"/>
                <w:sz w:val="24"/>
                <w:szCs w:val="24"/>
                <w:lang w:val="en-GB" w:eastAsia="en-GB"/>
              </w:rPr>
              <w:t>0.028</w:t>
            </w:r>
          </w:p>
        </w:tc>
        <w:tc>
          <w:tcPr>
            <w:tcW w:w="1297" w:type="dxa"/>
            <w:tcBorders>
              <w:top w:val="nil"/>
              <w:left w:val="nil"/>
              <w:bottom w:val="single" w:sz="4" w:space="0" w:color="auto"/>
              <w:right w:val="nil"/>
            </w:tcBorders>
            <w:shd w:val="clear" w:color="auto" w:fill="auto"/>
            <w:noWrap/>
            <w:vAlign w:val="center"/>
            <w:hideMark/>
          </w:tcPr>
          <w:p w14:paraId="18D06302" w14:textId="77777777" w:rsidR="003005F0" w:rsidRPr="003005F0" w:rsidRDefault="003005F0" w:rsidP="00EC7130">
            <w:pPr>
              <w:spacing w:after="0" w:line="240" w:lineRule="auto"/>
              <w:ind w:left="0" w:hanging="2"/>
              <w:rPr>
                <w:rFonts w:asciiTheme="majorBidi" w:eastAsia="Times New Roman" w:hAnsiTheme="majorBidi" w:cstheme="majorBidi"/>
                <w:b/>
                <w:bCs/>
                <w:color w:val="000000"/>
                <w:sz w:val="24"/>
                <w:szCs w:val="24"/>
                <w:lang w:val="en-GB" w:eastAsia="en-GB"/>
              </w:rPr>
            </w:pPr>
            <w:r w:rsidRPr="003005F0">
              <w:rPr>
                <w:rFonts w:asciiTheme="majorBidi" w:eastAsia="Times New Roman" w:hAnsiTheme="majorBidi" w:cstheme="majorBidi"/>
                <w:b/>
                <w:bCs/>
                <w:color w:val="000000"/>
                <w:sz w:val="24"/>
                <w:szCs w:val="24"/>
                <w:lang w:val="en-GB" w:eastAsia="en-GB"/>
              </w:rPr>
              <w:t>Supported</w:t>
            </w:r>
          </w:p>
        </w:tc>
      </w:tr>
    </w:tbl>
    <w:p w14:paraId="7DD6E673" w14:textId="77777777" w:rsidR="003005F0" w:rsidRDefault="003005F0" w:rsidP="00D270EC">
      <w:pPr>
        <w:spacing w:after="0" w:line="240" w:lineRule="auto"/>
        <w:ind w:left="0" w:hanging="2"/>
        <w:rPr>
          <w:rFonts w:asciiTheme="majorBidi" w:hAnsiTheme="majorBidi" w:cstheme="majorBidi"/>
          <w:sz w:val="24"/>
          <w:szCs w:val="24"/>
        </w:rPr>
      </w:pPr>
    </w:p>
    <w:p w14:paraId="5AF250DB" w14:textId="387F11B4" w:rsidR="003005F0" w:rsidRPr="003005F0" w:rsidRDefault="003005F0" w:rsidP="00D270EC">
      <w:pPr>
        <w:spacing w:line="240" w:lineRule="auto"/>
        <w:ind w:left="0" w:hanging="2"/>
        <w:jc w:val="both"/>
        <w:rPr>
          <w:rFonts w:asciiTheme="majorBidi" w:hAnsiTheme="majorBidi" w:cstheme="majorBidi"/>
          <w:sz w:val="24"/>
          <w:szCs w:val="24"/>
        </w:rPr>
      </w:pPr>
      <w:r w:rsidRPr="003005F0">
        <w:rPr>
          <w:rFonts w:asciiTheme="majorBidi" w:hAnsiTheme="majorBidi" w:cstheme="majorBidi"/>
          <w:sz w:val="24"/>
          <w:szCs w:val="24"/>
        </w:rPr>
        <w:t>Table 5 presents the results of the structural model from the PLS output, which comprise the path coefficients, t-values, p-</w:t>
      </w:r>
      <w:proofErr w:type="gramStart"/>
      <w:r w:rsidRPr="003005F0">
        <w:rPr>
          <w:rFonts w:asciiTheme="majorBidi" w:hAnsiTheme="majorBidi" w:cstheme="majorBidi"/>
          <w:sz w:val="24"/>
          <w:szCs w:val="24"/>
        </w:rPr>
        <w:t>values</w:t>
      </w:r>
      <w:proofErr w:type="gramEnd"/>
      <w:r w:rsidRPr="003005F0">
        <w:rPr>
          <w:rFonts w:asciiTheme="majorBidi" w:hAnsiTheme="majorBidi" w:cstheme="majorBidi"/>
          <w:sz w:val="24"/>
          <w:szCs w:val="24"/>
        </w:rPr>
        <w:t xml:space="preserve"> and standard error. As a result, psychological support (b = 0.409, p&lt;0.05), students’ motivation (b = 0.0.387, p&lt;0.05), and technical support (b = 0.093, p&lt;0.05) were found to be positively related to students’ online learning satisfaction and managed to explain 65.8% of the variances. These results supported H2, H3, and H5 of the current study. In addition, the study also discovered that internet availability and students’ preparedness had no significant effect on students’ satisfaction.</w:t>
      </w:r>
    </w:p>
    <w:p w14:paraId="5D42C547" w14:textId="77777777" w:rsidR="003005F0" w:rsidRPr="003005F0" w:rsidRDefault="003005F0" w:rsidP="003005F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0A94019" w14:textId="57C22330" w:rsidR="006F1887" w:rsidRDefault="004D157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580CF2B2" w14:textId="77777777" w:rsidR="006F1887" w:rsidRDefault="006F1887">
      <w:pPr>
        <w:spacing w:after="0" w:line="240" w:lineRule="auto"/>
        <w:ind w:left="0" w:hanging="2"/>
        <w:rPr>
          <w:rFonts w:ascii="Times New Roman" w:eastAsia="Times New Roman" w:hAnsi="Times New Roman" w:cs="Times New Roman"/>
          <w:sz w:val="24"/>
          <w:szCs w:val="24"/>
        </w:rPr>
      </w:pPr>
    </w:p>
    <w:p w14:paraId="1979FD0D" w14:textId="669C6C34" w:rsidR="00287965" w:rsidRDefault="00287965" w:rsidP="00287965">
      <w:pPr>
        <w:spacing w:after="0" w:line="240" w:lineRule="auto"/>
        <w:ind w:left="0" w:hanging="2"/>
        <w:jc w:val="both"/>
        <w:rPr>
          <w:rFonts w:ascii="Times New Roman" w:eastAsia="Times New Roman" w:hAnsi="Times New Roman" w:cs="Times New Roman"/>
          <w:sz w:val="24"/>
          <w:szCs w:val="24"/>
        </w:rPr>
      </w:pPr>
      <w:r w:rsidRPr="00287965">
        <w:rPr>
          <w:rFonts w:ascii="Times New Roman" w:eastAsia="Times New Roman" w:hAnsi="Times New Roman" w:cs="Times New Roman"/>
          <w:sz w:val="24"/>
          <w:szCs w:val="24"/>
        </w:rPr>
        <w:t xml:space="preserve">This study </w:t>
      </w:r>
      <w:r w:rsidR="00EB550D">
        <w:rPr>
          <w:rFonts w:ascii="Times New Roman" w:eastAsia="Times New Roman" w:hAnsi="Times New Roman" w:cs="Times New Roman"/>
          <w:sz w:val="24"/>
          <w:szCs w:val="24"/>
        </w:rPr>
        <w:t>had</w:t>
      </w:r>
      <w:r w:rsidRPr="00287965">
        <w:rPr>
          <w:rFonts w:ascii="Times New Roman" w:eastAsia="Times New Roman" w:hAnsi="Times New Roman" w:cs="Times New Roman"/>
          <w:sz w:val="24"/>
          <w:szCs w:val="24"/>
        </w:rPr>
        <w:t xml:space="preserve"> investigate</w:t>
      </w:r>
      <w:r w:rsidR="00EB550D">
        <w:rPr>
          <w:rFonts w:ascii="Times New Roman" w:eastAsia="Times New Roman" w:hAnsi="Times New Roman" w:cs="Times New Roman"/>
          <w:sz w:val="24"/>
          <w:szCs w:val="24"/>
        </w:rPr>
        <w:t>d</w:t>
      </w:r>
      <w:r w:rsidRPr="00287965">
        <w:rPr>
          <w:rFonts w:ascii="Times New Roman" w:eastAsia="Times New Roman" w:hAnsi="Times New Roman" w:cs="Times New Roman"/>
          <w:sz w:val="24"/>
          <w:szCs w:val="24"/>
        </w:rPr>
        <w:t xml:space="preserve"> factors that influence students' satisfaction on online learning during the pandemic. Overall, three of the five proposed hypotheses are supported. It reveals that psychological support, motivation, and technical support significantly impact students' satisfaction. Meanwhile, internet availability and students' preparedness do not have a significant influence on students' satisfaction.</w:t>
      </w:r>
    </w:p>
    <w:p w14:paraId="450C1B08" w14:textId="77777777" w:rsidR="00D270EC" w:rsidRPr="00287965" w:rsidRDefault="00D270EC" w:rsidP="00287965">
      <w:pPr>
        <w:spacing w:after="0" w:line="240" w:lineRule="auto"/>
        <w:ind w:left="0" w:hanging="2"/>
        <w:jc w:val="both"/>
        <w:rPr>
          <w:rFonts w:ascii="Times New Roman" w:eastAsia="Times New Roman" w:hAnsi="Times New Roman" w:cs="Times New Roman"/>
          <w:sz w:val="24"/>
          <w:szCs w:val="24"/>
        </w:rPr>
      </w:pPr>
    </w:p>
    <w:p w14:paraId="77EDAB4B" w14:textId="7C75DC57" w:rsidR="00287965" w:rsidRDefault="00287965" w:rsidP="00287965">
      <w:pPr>
        <w:spacing w:after="0" w:line="240" w:lineRule="auto"/>
        <w:ind w:left="0" w:hanging="2"/>
        <w:jc w:val="both"/>
        <w:rPr>
          <w:rFonts w:ascii="Times New Roman" w:eastAsia="Times New Roman" w:hAnsi="Times New Roman" w:cs="Times New Roman"/>
          <w:sz w:val="24"/>
          <w:szCs w:val="24"/>
        </w:rPr>
      </w:pPr>
      <w:r w:rsidRPr="00287965">
        <w:rPr>
          <w:rFonts w:ascii="Times New Roman" w:eastAsia="Times New Roman" w:hAnsi="Times New Roman" w:cs="Times New Roman"/>
          <w:sz w:val="24"/>
          <w:szCs w:val="24"/>
        </w:rPr>
        <w:t>The three supported hypotheses are consistent with previous research by Gil-</w:t>
      </w:r>
      <w:proofErr w:type="spellStart"/>
      <w:r w:rsidRPr="00287965">
        <w:rPr>
          <w:rFonts w:ascii="Times New Roman" w:eastAsia="Times New Roman" w:hAnsi="Times New Roman" w:cs="Times New Roman"/>
          <w:sz w:val="24"/>
          <w:szCs w:val="24"/>
        </w:rPr>
        <w:t>Ariase</w:t>
      </w:r>
      <w:proofErr w:type="spellEnd"/>
      <w:r w:rsidRPr="00287965">
        <w:rPr>
          <w:rFonts w:ascii="Times New Roman" w:eastAsia="Times New Roman" w:hAnsi="Times New Roman" w:cs="Times New Roman"/>
          <w:sz w:val="24"/>
          <w:szCs w:val="24"/>
        </w:rPr>
        <w:t xml:space="preserve"> et al. (2020), Johnson et al. (2017), Aftab et al. (2019), and </w:t>
      </w:r>
      <w:proofErr w:type="spellStart"/>
      <w:r w:rsidRPr="00287965">
        <w:rPr>
          <w:rFonts w:ascii="Times New Roman" w:eastAsia="Times New Roman" w:hAnsi="Times New Roman" w:cs="Times New Roman"/>
          <w:sz w:val="24"/>
          <w:szCs w:val="24"/>
        </w:rPr>
        <w:t>Itasanmi</w:t>
      </w:r>
      <w:proofErr w:type="spellEnd"/>
      <w:r w:rsidRPr="00287965">
        <w:rPr>
          <w:rFonts w:ascii="Times New Roman" w:eastAsia="Times New Roman" w:hAnsi="Times New Roman" w:cs="Times New Roman"/>
          <w:sz w:val="24"/>
          <w:szCs w:val="24"/>
        </w:rPr>
        <w:t xml:space="preserve"> and Oni (2021). Their studies found that psychological support, motivation, and technical support can positively affect students' satisfaction. In the context of an online platform, the result regarding the psychological support aligned with the study by </w:t>
      </w:r>
      <w:proofErr w:type="spellStart"/>
      <w:r w:rsidRPr="00287965">
        <w:rPr>
          <w:rFonts w:ascii="Times New Roman" w:eastAsia="Times New Roman" w:hAnsi="Times New Roman" w:cs="Times New Roman"/>
          <w:sz w:val="24"/>
          <w:szCs w:val="24"/>
        </w:rPr>
        <w:t>Pongpaew</w:t>
      </w:r>
      <w:proofErr w:type="spellEnd"/>
      <w:r w:rsidRPr="00287965">
        <w:rPr>
          <w:rFonts w:ascii="Times New Roman" w:eastAsia="Times New Roman" w:hAnsi="Times New Roman" w:cs="Times New Roman"/>
          <w:sz w:val="24"/>
          <w:szCs w:val="24"/>
        </w:rPr>
        <w:t xml:space="preserve"> et al. (2017). He found the importance of users' psychology on their engagement with an online platform to analyze their attitude and behavior. However, in the learning activity, this condition relies on the platform and the teacher's (</w:t>
      </w:r>
      <w:proofErr w:type="spellStart"/>
      <w:r w:rsidRPr="00287965">
        <w:rPr>
          <w:rFonts w:ascii="Times New Roman" w:eastAsia="Times New Roman" w:hAnsi="Times New Roman" w:cs="Times New Roman"/>
          <w:sz w:val="24"/>
          <w:szCs w:val="24"/>
        </w:rPr>
        <w:t>Hyvonen</w:t>
      </w:r>
      <w:proofErr w:type="spellEnd"/>
      <w:r w:rsidRPr="00287965">
        <w:rPr>
          <w:rFonts w:ascii="Times New Roman" w:eastAsia="Times New Roman" w:hAnsi="Times New Roman" w:cs="Times New Roman"/>
          <w:sz w:val="24"/>
          <w:szCs w:val="24"/>
        </w:rPr>
        <w:t xml:space="preserve">, 2011) and </w:t>
      </w:r>
      <w:r w:rsidRPr="00287965">
        <w:rPr>
          <w:rFonts w:ascii="Times New Roman" w:eastAsia="Times New Roman" w:hAnsi="Times New Roman" w:cs="Times New Roman"/>
          <w:sz w:val="24"/>
          <w:szCs w:val="24"/>
        </w:rPr>
        <w:lastRenderedPageBreak/>
        <w:t>the school's capacity (Kangas et al., 2017). Moreover, this study also revealed that this factor has the most influence compared to others.</w:t>
      </w:r>
    </w:p>
    <w:p w14:paraId="5092FF06" w14:textId="77777777" w:rsidR="00D270EC" w:rsidRPr="00287965" w:rsidRDefault="00D270EC" w:rsidP="00287965">
      <w:pPr>
        <w:spacing w:after="0" w:line="240" w:lineRule="auto"/>
        <w:ind w:left="0" w:hanging="2"/>
        <w:jc w:val="both"/>
        <w:rPr>
          <w:rFonts w:ascii="Times New Roman" w:eastAsia="Times New Roman" w:hAnsi="Times New Roman" w:cs="Times New Roman"/>
          <w:sz w:val="24"/>
          <w:szCs w:val="24"/>
        </w:rPr>
      </w:pPr>
    </w:p>
    <w:p w14:paraId="73D158B3" w14:textId="324E681D" w:rsidR="00287965" w:rsidRDefault="00287965" w:rsidP="00287965">
      <w:pPr>
        <w:spacing w:after="0" w:line="240" w:lineRule="auto"/>
        <w:ind w:left="0" w:hanging="2"/>
        <w:jc w:val="both"/>
        <w:rPr>
          <w:rFonts w:ascii="Times New Roman" w:eastAsia="Times New Roman" w:hAnsi="Times New Roman" w:cs="Times New Roman"/>
          <w:sz w:val="24"/>
          <w:szCs w:val="24"/>
        </w:rPr>
      </w:pPr>
      <w:r w:rsidRPr="00287965">
        <w:rPr>
          <w:rFonts w:ascii="Times New Roman" w:eastAsia="Times New Roman" w:hAnsi="Times New Roman" w:cs="Times New Roman"/>
          <w:sz w:val="24"/>
          <w:szCs w:val="24"/>
        </w:rPr>
        <w:t xml:space="preserve">Based on the findings of this study, motivation is the next factor that affects students' satisfaction. As Johnson et al. (2017) found before, students' motivation, such as gaining positive experiences in sharing their knowledge, skills, and abilities, significantly impacts their satisfaction. Nevertheless, some studies have tried to divide motivation into two categories: intrinsic and extrinsic. Lastly, technical support is also proven to influence students' satisfaction, although it is not the highest impact as the previous studies by Aftab et al. (2019) and </w:t>
      </w:r>
      <w:proofErr w:type="spellStart"/>
      <w:r w:rsidRPr="00287965">
        <w:rPr>
          <w:rFonts w:ascii="Times New Roman" w:eastAsia="Times New Roman" w:hAnsi="Times New Roman" w:cs="Times New Roman"/>
          <w:sz w:val="24"/>
          <w:szCs w:val="24"/>
        </w:rPr>
        <w:t>Itasanmi</w:t>
      </w:r>
      <w:proofErr w:type="spellEnd"/>
      <w:r w:rsidRPr="00287965">
        <w:rPr>
          <w:rFonts w:ascii="Times New Roman" w:eastAsia="Times New Roman" w:hAnsi="Times New Roman" w:cs="Times New Roman"/>
          <w:sz w:val="24"/>
          <w:szCs w:val="24"/>
        </w:rPr>
        <w:t xml:space="preserve"> and Oni (2021). </w:t>
      </w:r>
    </w:p>
    <w:p w14:paraId="04FCFFB3" w14:textId="77777777" w:rsidR="00D270EC" w:rsidRPr="00287965" w:rsidRDefault="00D270EC" w:rsidP="00287965">
      <w:pPr>
        <w:spacing w:after="0" w:line="240" w:lineRule="auto"/>
        <w:ind w:left="0" w:hanging="2"/>
        <w:jc w:val="both"/>
        <w:rPr>
          <w:rFonts w:ascii="Times New Roman" w:eastAsia="Times New Roman" w:hAnsi="Times New Roman" w:cs="Times New Roman"/>
          <w:sz w:val="24"/>
          <w:szCs w:val="24"/>
        </w:rPr>
      </w:pPr>
    </w:p>
    <w:p w14:paraId="52189D63" w14:textId="38BBD4FD" w:rsidR="00EC7130" w:rsidRDefault="00287965" w:rsidP="00EC7130">
      <w:pPr>
        <w:spacing w:after="0" w:line="240" w:lineRule="auto"/>
        <w:ind w:left="0" w:hanging="2"/>
        <w:jc w:val="both"/>
        <w:rPr>
          <w:rFonts w:ascii="Times New Roman" w:eastAsia="Times New Roman" w:hAnsi="Times New Roman" w:cs="Times New Roman"/>
          <w:sz w:val="24"/>
          <w:szCs w:val="24"/>
        </w:rPr>
      </w:pPr>
      <w:r w:rsidRPr="00287965">
        <w:rPr>
          <w:rFonts w:ascii="Times New Roman" w:eastAsia="Times New Roman" w:hAnsi="Times New Roman" w:cs="Times New Roman"/>
          <w:sz w:val="24"/>
          <w:szCs w:val="24"/>
        </w:rPr>
        <w:t xml:space="preserve">On the other hand, two factors are internet availability and students' preparedness, which do not impact satisfaction. It contradicts </w:t>
      </w:r>
      <w:proofErr w:type="spellStart"/>
      <w:r w:rsidRPr="00287965">
        <w:rPr>
          <w:rFonts w:ascii="Times New Roman" w:eastAsia="Times New Roman" w:hAnsi="Times New Roman" w:cs="Times New Roman"/>
          <w:sz w:val="24"/>
          <w:szCs w:val="24"/>
        </w:rPr>
        <w:t>Apuke</w:t>
      </w:r>
      <w:proofErr w:type="spellEnd"/>
      <w:r w:rsidRPr="00287965">
        <w:rPr>
          <w:rFonts w:ascii="Times New Roman" w:eastAsia="Times New Roman" w:hAnsi="Times New Roman" w:cs="Times New Roman"/>
          <w:sz w:val="24"/>
          <w:szCs w:val="24"/>
        </w:rPr>
        <w:t xml:space="preserve"> and </w:t>
      </w:r>
      <w:proofErr w:type="spellStart"/>
      <w:r w:rsidRPr="00287965">
        <w:rPr>
          <w:rFonts w:ascii="Times New Roman" w:eastAsia="Times New Roman" w:hAnsi="Times New Roman" w:cs="Times New Roman"/>
          <w:sz w:val="24"/>
          <w:szCs w:val="24"/>
        </w:rPr>
        <w:t>Iyendo's</w:t>
      </w:r>
      <w:proofErr w:type="spellEnd"/>
      <w:r w:rsidRPr="00287965">
        <w:rPr>
          <w:rFonts w:ascii="Times New Roman" w:eastAsia="Times New Roman" w:hAnsi="Times New Roman" w:cs="Times New Roman"/>
          <w:sz w:val="24"/>
          <w:szCs w:val="24"/>
        </w:rPr>
        <w:t xml:space="preserve"> (2018) and </w:t>
      </w:r>
      <w:proofErr w:type="spellStart"/>
      <w:r w:rsidRPr="00287965">
        <w:rPr>
          <w:rFonts w:ascii="Times New Roman" w:eastAsia="Times New Roman" w:hAnsi="Times New Roman" w:cs="Times New Roman"/>
          <w:sz w:val="24"/>
          <w:szCs w:val="24"/>
        </w:rPr>
        <w:t>Allo's</w:t>
      </w:r>
      <w:proofErr w:type="spellEnd"/>
      <w:r w:rsidRPr="00287965">
        <w:rPr>
          <w:rFonts w:ascii="Times New Roman" w:eastAsia="Times New Roman" w:hAnsi="Times New Roman" w:cs="Times New Roman"/>
          <w:sz w:val="24"/>
          <w:szCs w:val="24"/>
        </w:rPr>
        <w:t xml:space="preserve"> (2020) studies, which stated that online learning is expensive, and one of the reasons is the cost of internet access. This different result possibly happens because of the support of free internet data for home-based teaching and learning (</w:t>
      </w:r>
      <w:proofErr w:type="spellStart"/>
      <w:r w:rsidRPr="00287965">
        <w:rPr>
          <w:rFonts w:ascii="Times New Roman" w:eastAsia="Times New Roman" w:hAnsi="Times New Roman" w:cs="Times New Roman"/>
          <w:sz w:val="24"/>
          <w:szCs w:val="24"/>
        </w:rPr>
        <w:t>PdPR</w:t>
      </w:r>
      <w:proofErr w:type="spellEnd"/>
      <w:r w:rsidRPr="00287965">
        <w:rPr>
          <w:rFonts w:ascii="Times New Roman" w:eastAsia="Times New Roman" w:hAnsi="Times New Roman" w:cs="Times New Roman"/>
          <w:sz w:val="24"/>
          <w:szCs w:val="24"/>
        </w:rPr>
        <w:t>) by The Malaysian Communications and Multimedia Commission during this pandemic (NST, 2021). Hence, students may no longer need to subscribe to the paid internet package in their online learning activity.</w:t>
      </w:r>
    </w:p>
    <w:p w14:paraId="18E6AE93" w14:textId="77777777" w:rsidR="00EC7130" w:rsidRPr="00287965" w:rsidRDefault="00EC7130" w:rsidP="00EC7130">
      <w:pPr>
        <w:spacing w:after="0" w:line="240" w:lineRule="auto"/>
        <w:ind w:left="0" w:hanging="2"/>
        <w:jc w:val="both"/>
        <w:rPr>
          <w:rFonts w:ascii="Times New Roman" w:eastAsia="Times New Roman" w:hAnsi="Times New Roman" w:cs="Times New Roman"/>
          <w:sz w:val="24"/>
          <w:szCs w:val="24"/>
        </w:rPr>
      </w:pPr>
    </w:p>
    <w:p w14:paraId="05863B95" w14:textId="78EA1D5D" w:rsidR="00287965" w:rsidRDefault="00287965" w:rsidP="00287965">
      <w:pPr>
        <w:spacing w:after="0" w:line="240" w:lineRule="auto"/>
        <w:ind w:left="0" w:hanging="2"/>
        <w:jc w:val="both"/>
        <w:rPr>
          <w:rFonts w:ascii="Times New Roman" w:eastAsia="Times New Roman" w:hAnsi="Times New Roman" w:cs="Times New Roman"/>
          <w:sz w:val="24"/>
          <w:szCs w:val="24"/>
        </w:rPr>
      </w:pPr>
      <w:r w:rsidRPr="00287965">
        <w:rPr>
          <w:rFonts w:ascii="Times New Roman" w:eastAsia="Times New Roman" w:hAnsi="Times New Roman" w:cs="Times New Roman"/>
          <w:sz w:val="24"/>
          <w:szCs w:val="24"/>
        </w:rPr>
        <w:t>Besides internet availability, students’ preparedness also does not significantly influence their satisfaction. Although learning orientation could boost students’ preparedness and wipe out their anxiety about online courses (</w:t>
      </w:r>
      <w:proofErr w:type="spellStart"/>
      <w:r w:rsidRPr="00287965">
        <w:rPr>
          <w:rFonts w:ascii="Times New Roman" w:eastAsia="Times New Roman" w:hAnsi="Times New Roman" w:cs="Times New Roman"/>
          <w:sz w:val="24"/>
          <w:szCs w:val="24"/>
        </w:rPr>
        <w:t>Abdous</w:t>
      </w:r>
      <w:proofErr w:type="spellEnd"/>
      <w:r w:rsidRPr="00287965">
        <w:rPr>
          <w:rFonts w:ascii="Times New Roman" w:eastAsia="Times New Roman" w:hAnsi="Times New Roman" w:cs="Times New Roman"/>
          <w:sz w:val="24"/>
          <w:szCs w:val="24"/>
        </w:rPr>
        <w:t xml:space="preserve">, 2019), this study proved that it does not influence students’ satisfaction. </w:t>
      </w:r>
      <w:proofErr w:type="spellStart"/>
      <w:r w:rsidRPr="00287965">
        <w:rPr>
          <w:rFonts w:ascii="Times New Roman" w:eastAsia="Times New Roman" w:hAnsi="Times New Roman" w:cs="Times New Roman"/>
          <w:sz w:val="24"/>
          <w:szCs w:val="24"/>
        </w:rPr>
        <w:t>Trembach</w:t>
      </w:r>
      <w:proofErr w:type="spellEnd"/>
      <w:r w:rsidRPr="00287965">
        <w:rPr>
          <w:rFonts w:ascii="Times New Roman" w:eastAsia="Times New Roman" w:hAnsi="Times New Roman" w:cs="Times New Roman"/>
          <w:sz w:val="24"/>
          <w:szCs w:val="24"/>
        </w:rPr>
        <w:t xml:space="preserve"> &amp; Deng (2018) study may answer this contradiction because they revealed that millennial students do better academically when technology figures prominently in their study.</w:t>
      </w:r>
    </w:p>
    <w:p w14:paraId="4875607C" w14:textId="77777777" w:rsidR="00D270EC" w:rsidRPr="00287965" w:rsidRDefault="00D270EC" w:rsidP="00287965">
      <w:pPr>
        <w:spacing w:after="0" w:line="240" w:lineRule="auto"/>
        <w:ind w:left="0" w:hanging="2"/>
        <w:jc w:val="both"/>
        <w:rPr>
          <w:rFonts w:ascii="Times New Roman" w:eastAsia="Times New Roman" w:hAnsi="Times New Roman" w:cs="Times New Roman"/>
          <w:sz w:val="24"/>
          <w:szCs w:val="24"/>
        </w:rPr>
      </w:pPr>
    </w:p>
    <w:p w14:paraId="60F59DF6" w14:textId="09A88179" w:rsidR="006F1887" w:rsidRDefault="00287965" w:rsidP="00287965">
      <w:pPr>
        <w:spacing w:after="0" w:line="240" w:lineRule="auto"/>
        <w:ind w:left="0" w:hanging="2"/>
        <w:jc w:val="both"/>
        <w:rPr>
          <w:rFonts w:ascii="Times New Roman" w:eastAsia="Times New Roman" w:hAnsi="Times New Roman" w:cs="Times New Roman"/>
          <w:sz w:val="24"/>
          <w:szCs w:val="24"/>
        </w:rPr>
      </w:pPr>
      <w:r w:rsidRPr="00287965">
        <w:rPr>
          <w:rFonts w:ascii="Times New Roman" w:eastAsia="Times New Roman" w:hAnsi="Times New Roman" w:cs="Times New Roman"/>
          <w:sz w:val="24"/>
          <w:szCs w:val="24"/>
        </w:rPr>
        <w:t>As the pandemics may be a temporary condition, future research focusing on students’ online learning satisfaction is encouraged to elaborate more factors behind it. It is important to consider the teacher and school's role in fostering this condition regarding psychological support. At the same time, motivation factors can be further investigated by dividing them into intrinsic and extrinsic factors.</w:t>
      </w:r>
    </w:p>
    <w:p w14:paraId="49B9C24E" w14:textId="5A035DDF" w:rsidR="006F1887" w:rsidRDefault="006F1887">
      <w:pPr>
        <w:spacing w:after="0" w:line="240" w:lineRule="auto"/>
        <w:ind w:left="0" w:hanging="2"/>
        <w:rPr>
          <w:rFonts w:ascii="Times New Roman" w:eastAsia="Times New Roman" w:hAnsi="Times New Roman" w:cs="Times New Roman"/>
          <w:sz w:val="24"/>
          <w:szCs w:val="24"/>
        </w:rPr>
      </w:pPr>
    </w:p>
    <w:p w14:paraId="4E351245" w14:textId="77777777" w:rsidR="00D270EC" w:rsidRDefault="00D270EC">
      <w:pPr>
        <w:spacing w:after="0" w:line="240" w:lineRule="auto"/>
        <w:ind w:left="0" w:hanging="2"/>
        <w:rPr>
          <w:rFonts w:ascii="Times New Roman" w:eastAsia="Times New Roman" w:hAnsi="Times New Roman" w:cs="Times New Roman"/>
          <w:sz w:val="24"/>
          <w:szCs w:val="24"/>
        </w:rPr>
      </w:pPr>
    </w:p>
    <w:p w14:paraId="765FFF4D" w14:textId="3BE5C427" w:rsidR="006F1887" w:rsidRDefault="004D157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5BD22C6D" w14:textId="77777777" w:rsidR="006F1887" w:rsidRDefault="004D157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F58D57" w14:textId="197BEDA3" w:rsidR="006F1887" w:rsidRDefault="006A7BED" w:rsidP="00287965">
      <w:pPr>
        <w:ind w:left="0" w:hanging="2"/>
        <w:rPr>
          <w:rFonts w:asciiTheme="majorBidi" w:hAnsiTheme="majorBidi" w:cstheme="majorBidi"/>
          <w:sz w:val="24"/>
          <w:szCs w:val="24"/>
        </w:rPr>
      </w:pPr>
      <w:r w:rsidRPr="006A7BED">
        <w:rPr>
          <w:rFonts w:asciiTheme="majorBidi" w:hAnsiTheme="majorBidi" w:cstheme="majorBidi"/>
          <w:color w:val="000000"/>
          <w:sz w:val="24"/>
          <w:szCs w:val="24"/>
          <w:lang w:val="en-GB"/>
        </w:rPr>
        <w:t xml:space="preserve">The authors would like to thank </w:t>
      </w:r>
      <w:proofErr w:type="spellStart"/>
      <w:r w:rsidRPr="006A7BED">
        <w:rPr>
          <w:rFonts w:asciiTheme="majorBidi" w:hAnsiTheme="majorBidi" w:cstheme="majorBidi"/>
          <w:color w:val="000000"/>
          <w:sz w:val="24"/>
          <w:szCs w:val="24"/>
          <w:lang w:val="en-GB"/>
        </w:rPr>
        <w:t>Universiti</w:t>
      </w:r>
      <w:proofErr w:type="spellEnd"/>
      <w:r w:rsidRPr="006A7BED">
        <w:rPr>
          <w:rFonts w:asciiTheme="majorBidi" w:hAnsiTheme="majorBidi" w:cstheme="majorBidi"/>
          <w:color w:val="000000"/>
          <w:sz w:val="24"/>
          <w:szCs w:val="24"/>
          <w:lang w:val="en-GB"/>
        </w:rPr>
        <w:t xml:space="preserve"> Sains Malaysia for granting a </w:t>
      </w:r>
      <w:r w:rsidR="00D270EC" w:rsidRPr="006A7BED">
        <w:rPr>
          <w:rFonts w:asciiTheme="majorBidi" w:hAnsiTheme="majorBidi" w:cstheme="majorBidi"/>
          <w:color w:val="000000"/>
          <w:sz w:val="24"/>
          <w:szCs w:val="24"/>
          <w:lang w:val="en-GB"/>
        </w:rPr>
        <w:t>Short-Term</w:t>
      </w:r>
      <w:r w:rsidRPr="006A7BED">
        <w:rPr>
          <w:rFonts w:asciiTheme="majorBidi" w:hAnsiTheme="majorBidi" w:cstheme="majorBidi"/>
          <w:color w:val="000000"/>
          <w:sz w:val="24"/>
          <w:szCs w:val="24"/>
          <w:lang w:val="en-GB"/>
        </w:rPr>
        <w:t xml:space="preserve"> Grant No. 304/PMGT/6315391.</w:t>
      </w:r>
    </w:p>
    <w:p w14:paraId="6CE8E852" w14:textId="77777777" w:rsidR="00287965" w:rsidRPr="00287965" w:rsidRDefault="00287965" w:rsidP="00EC7130">
      <w:pPr>
        <w:spacing w:after="0" w:line="240" w:lineRule="auto"/>
        <w:ind w:leftChars="0" w:left="0" w:firstLineChars="0" w:firstLine="0"/>
        <w:rPr>
          <w:rFonts w:asciiTheme="majorBidi" w:hAnsiTheme="majorBidi" w:cstheme="majorBidi"/>
          <w:sz w:val="24"/>
          <w:szCs w:val="24"/>
        </w:rPr>
      </w:pPr>
    </w:p>
    <w:p w14:paraId="5C3C31F3" w14:textId="4258509E" w:rsidR="006F1887" w:rsidRDefault="004D157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0C550E1F" w14:textId="77777777" w:rsidR="006F1887" w:rsidRDefault="004D157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66C436A" w14:textId="77777777" w:rsidR="006A7BED" w:rsidRDefault="006A7BED" w:rsidP="00F07912">
      <w:pPr>
        <w:pStyle w:val="NormalWeb"/>
        <w:spacing w:before="0" w:beforeAutospacing="0" w:after="0" w:afterAutospacing="0"/>
        <w:ind w:left="5" w:hanging="7"/>
        <w:jc w:val="both"/>
        <w:rPr>
          <w:color w:val="0E101A"/>
        </w:rPr>
      </w:pPr>
      <w:proofErr w:type="spellStart"/>
      <w:r>
        <w:rPr>
          <w:color w:val="0E101A"/>
        </w:rPr>
        <w:t>Abdous</w:t>
      </w:r>
      <w:proofErr w:type="spellEnd"/>
      <w:r>
        <w:rPr>
          <w:color w:val="0E101A"/>
        </w:rPr>
        <w:t>, M. H. (2019). Influence of satisfaction and preparedness on online students' feelings of anxiety. </w:t>
      </w:r>
      <w:r>
        <w:rPr>
          <w:rStyle w:val="Emphasis"/>
          <w:color w:val="0E101A"/>
        </w:rPr>
        <w:t>The Internet and Higher Education</w:t>
      </w:r>
      <w:r>
        <w:rPr>
          <w:color w:val="0E101A"/>
        </w:rPr>
        <w:t>, Vol. 41, pp. 34-44.</w:t>
      </w:r>
    </w:p>
    <w:p w14:paraId="553A84CE" w14:textId="77777777" w:rsidR="00287965" w:rsidRDefault="00287965" w:rsidP="00F07912">
      <w:pPr>
        <w:pStyle w:val="NormalWeb"/>
        <w:spacing w:before="0" w:beforeAutospacing="0" w:after="0" w:afterAutospacing="0"/>
        <w:ind w:left="5" w:hanging="7"/>
        <w:jc w:val="both"/>
        <w:rPr>
          <w:color w:val="0E101A"/>
        </w:rPr>
      </w:pPr>
    </w:p>
    <w:p w14:paraId="426303B0" w14:textId="24BBD72C" w:rsidR="006A7BED" w:rsidRDefault="006A7BED" w:rsidP="00F07912">
      <w:pPr>
        <w:pStyle w:val="NormalWeb"/>
        <w:spacing w:before="0" w:beforeAutospacing="0" w:after="0" w:afterAutospacing="0"/>
        <w:ind w:left="5" w:hanging="7"/>
        <w:jc w:val="both"/>
        <w:rPr>
          <w:color w:val="0E101A"/>
        </w:rPr>
      </w:pPr>
      <w:r>
        <w:rPr>
          <w:color w:val="0E101A"/>
        </w:rPr>
        <w:t>Aftab, J., Sarwar, H., Khan, A. H. and Kiran, A. (2019). Critical factors which impact on students’ satisfaction: a study of e-learning institutes of Pakistan. </w:t>
      </w:r>
      <w:r>
        <w:rPr>
          <w:rStyle w:val="Emphasis"/>
          <w:color w:val="0E101A"/>
        </w:rPr>
        <w:t>Asian Journal of Distance Education</w:t>
      </w:r>
      <w:r>
        <w:rPr>
          <w:color w:val="0E101A"/>
        </w:rPr>
        <w:t>, Vol. 14, No. 2, pp. 32-46.</w:t>
      </w:r>
    </w:p>
    <w:p w14:paraId="5233B537" w14:textId="77777777" w:rsidR="00287965" w:rsidRDefault="00287965" w:rsidP="00F07912">
      <w:pPr>
        <w:pStyle w:val="NormalWeb"/>
        <w:spacing w:before="0" w:beforeAutospacing="0" w:after="0" w:afterAutospacing="0"/>
        <w:ind w:left="5" w:hanging="7"/>
        <w:jc w:val="both"/>
        <w:rPr>
          <w:color w:val="0E101A"/>
        </w:rPr>
      </w:pPr>
    </w:p>
    <w:p w14:paraId="6B914A08" w14:textId="3632B417" w:rsidR="006A7BED" w:rsidRDefault="006A7BED" w:rsidP="00F07912">
      <w:pPr>
        <w:pStyle w:val="NormalWeb"/>
        <w:spacing w:before="0" w:beforeAutospacing="0" w:after="0" w:afterAutospacing="0"/>
        <w:ind w:left="5" w:hanging="7"/>
        <w:jc w:val="both"/>
        <w:rPr>
          <w:color w:val="0E101A"/>
        </w:rPr>
      </w:pPr>
      <w:proofErr w:type="spellStart"/>
      <w:r>
        <w:rPr>
          <w:color w:val="0E101A"/>
        </w:rPr>
        <w:lastRenderedPageBreak/>
        <w:t>Allo</w:t>
      </w:r>
      <w:proofErr w:type="spellEnd"/>
      <w:r>
        <w:rPr>
          <w:color w:val="0E101A"/>
        </w:rPr>
        <w:t xml:space="preserve">, M.D.G. (2020). Is the online learning good </w:t>
      </w:r>
      <w:proofErr w:type="gramStart"/>
      <w:r>
        <w:rPr>
          <w:color w:val="0E101A"/>
        </w:rPr>
        <w:t>in the midst of</w:t>
      </w:r>
      <w:proofErr w:type="gramEnd"/>
      <w:r>
        <w:rPr>
          <w:color w:val="0E101A"/>
        </w:rPr>
        <w:t xml:space="preserve"> Covid-19 Pandemic? The case of EFL learners. </w:t>
      </w:r>
      <w:proofErr w:type="spellStart"/>
      <w:r>
        <w:rPr>
          <w:rStyle w:val="Emphasis"/>
          <w:color w:val="0E101A"/>
        </w:rPr>
        <w:t>Jurnal</w:t>
      </w:r>
      <w:proofErr w:type="spellEnd"/>
      <w:r>
        <w:rPr>
          <w:rStyle w:val="Emphasis"/>
          <w:color w:val="0E101A"/>
        </w:rPr>
        <w:t xml:space="preserve"> </w:t>
      </w:r>
      <w:proofErr w:type="spellStart"/>
      <w:r>
        <w:rPr>
          <w:rStyle w:val="Emphasis"/>
          <w:color w:val="0E101A"/>
        </w:rPr>
        <w:t>Sinestesia</w:t>
      </w:r>
      <w:proofErr w:type="spellEnd"/>
      <w:r>
        <w:rPr>
          <w:color w:val="0E101A"/>
        </w:rPr>
        <w:t>, Vol. 10, No. 1, pp.1-10.</w:t>
      </w:r>
    </w:p>
    <w:p w14:paraId="67B8C38C" w14:textId="77777777" w:rsidR="00287965" w:rsidRDefault="00287965" w:rsidP="00F07912">
      <w:pPr>
        <w:pStyle w:val="NormalWeb"/>
        <w:spacing w:before="0" w:beforeAutospacing="0" w:after="0" w:afterAutospacing="0"/>
        <w:ind w:left="5" w:hanging="7"/>
        <w:jc w:val="both"/>
        <w:rPr>
          <w:color w:val="0E101A"/>
        </w:rPr>
      </w:pPr>
    </w:p>
    <w:p w14:paraId="3FD1FF9B" w14:textId="753E07A9" w:rsidR="006A7BED" w:rsidRDefault="006A7BED" w:rsidP="00F07912">
      <w:pPr>
        <w:pStyle w:val="NormalWeb"/>
        <w:spacing w:before="0" w:beforeAutospacing="0" w:after="0" w:afterAutospacing="0"/>
        <w:ind w:left="5" w:hanging="7"/>
        <w:jc w:val="both"/>
        <w:rPr>
          <w:color w:val="0E101A"/>
        </w:rPr>
      </w:pPr>
      <w:proofErr w:type="spellStart"/>
      <w:r>
        <w:rPr>
          <w:color w:val="0E101A"/>
        </w:rPr>
        <w:t>Apuke</w:t>
      </w:r>
      <w:proofErr w:type="spellEnd"/>
      <w:r>
        <w:rPr>
          <w:color w:val="0E101A"/>
        </w:rPr>
        <w:t xml:space="preserve">, O.D. and </w:t>
      </w:r>
      <w:proofErr w:type="spellStart"/>
      <w:r>
        <w:rPr>
          <w:color w:val="0E101A"/>
        </w:rPr>
        <w:t>Iyendo</w:t>
      </w:r>
      <w:proofErr w:type="spellEnd"/>
      <w:r>
        <w:rPr>
          <w:color w:val="0E101A"/>
        </w:rPr>
        <w:t>, T.O. (2018). University students' usage of the internet resources for research and learning: forms of access and perceptions of utility. </w:t>
      </w:r>
      <w:proofErr w:type="spellStart"/>
      <w:r>
        <w:rPr>
          <w:rStyle w:val="Emphasis"/>
          <w:color w:val="0E101A"/>
        </w:rPr>
        <w:t>Heliyon</w:t>
      </w:r>
      <w:proofErr w:type="spellEnd"/>
      <w:r>
        <w:rPr>
          <w:color w:val="0E101A"/>
        </w:rPr>
        <w:t>, Vol. 4, No. 12, pp. 01052.</w:t>
      </w:r>
    </w:p>
    <w:p w14:paraId="57C9D6B0" w14:textId="77777777" w:rsidR="00287965" w:rsidRDefault="00287965" w:rsidP="00F07912">
      <w:pPr>
        <w:pStyle w:val="NormalWeb"/>
        <w:spacing w:before="0" w:beforeAutospacing="0" w:after="0" w:afterAutospacing="0"/>
        <w:ind w:left="5" w:hanging="7"/>
        <w:jc w:val="both"/>
        <w:rPr>
          <w:color w:val="0E101A"/>
        </w:rPr>
      </w:pPr>
    </w:p>
    <w:p w14:paraId="7647A9F5" w14:textId="74756C54" w:rsidR="006A7BED" w:rsidRDefault="006A7BED" w:rsidP="00F07912">
      <w:pPr>
        <w:pStyle w:val="NormalWeb"/>
        <w:spacing w:before="0" w:beforeAutospacing="0" w:after="0" w:afterAutospacing="0"/>
        <w:ind w:left="5" w:hanging="7"/>
        <w:jc w:val="both"/>
        <w:rPr>
          <w:color w:val="0E101A"/>
        </w:rPr>
      </w:pPr>
      <w:proofErr w:type="spellStart"/>
      <w:r>
        <w:rPr>
          <w:color w:val="0E101A"/>
        </w:rPr>
        <w:t>Arif</w:t>
      </w:r>
      <w:proofErr w:type="spellEnd"/>
      <w:r>
        <w:rPr>
          <w:color w:val="0E101A"/>
        </w:rPr>
        <w:t>, A.A., 2001. Learning from the Web: are students ready or not? </w:t>
      </w:r>
      <w:r>
        <w:rPr>
          <w:rStyle w:val="Emphasis"/>
          <w:color w:val="0E101A"/>
        </w:rPr>
        <w:t>Journal of Educational Technology &amp; Society</w:t>
      </w:r>
      <w:r>
        <w:rPr>
          <w:color w:val="0E101A"/>
        </w:rPr>
        <w:t>, Vol. 4, No. 4, pp. 32-38.</w:t>
      </w:r>
    </w:p>
    <w:p w14:paraId="32D36FD1" w14:textId="77777777" w:rsidR="00287965" w:rsidRDefault="00287965" w:rsidP="00F07912">
      <w:pPr>
        <w:pStyle w:val="NormalWeb"/>
        <w:spacing w:before="0" w:beforeAutospacing="0" w:after="0" w:afterAutospacing="0"/>
        <w:ind w:left="5" w:hanging="7"/>
        <w:jc w:val="both"/>
        <w:rPr>
          <w:color w:val="0E101A"/>
        </w:rPr>
      </w:pPr>
    </w:p>
    <w:p w14:paraId="3650153D" w14:textId="3DCE6A5E" w:rsidR="006A7BED" w:rsidRDefault="006A7BED" w:rsidP="00F07912">
      <w:pPr>
        <w:pStyle w:val="NormalWeb"/>
        <w:spacing w:before="0" w:beforeAutospacing="0" w:after="0" w:afterAutospacing="0"/>
        <w:ind w:left="5" w:hanging="7"/>
        <w:jc w:val="both"/>
        <w:rPr>
          <w:color w:val="0E101A"/>
        </w:rPr>
      </w:pPr>
      <w:proofErr w:type="spellStart"/>
      <w:r>
        <w:rPr>
          <w:color w:val="0E101A"/>
        </w:rPr>
        <w:t>Astin</w:t>
      </w:r>
      <w:proofErr w:type="spellEnd"/>
      <w:r>
        <w:rPr>
          <w:color w:val="0E101A"/>
        </w:rPr>
        <w:t>, A.W. (1993). </w:t>
      </w:r>
      <w:r>
        <w:rPr>
          <w:rStyle w:val="Emphasis"/>
          <w:color w:val="0E101A"/>
        </w:rPr>
        <w:t>What matters in college? Four critical years visited</w:t>
      </w:r>
      <w:r>
        <w:rPr>
          <w:color w:val="0E101A"/>
        </w:rPr>
        <w:t>. San Francisco: Jossey-Bass.</w:t>
      </w:r>
    </w:p>
    <w:p w14:paraId="25C626E2" w14:textId="77777777" w:rsidR="00287965" w:rsidRDefault="00287965" w:rsidP="00F07912">
      <w:pPr>
        <w:pStyle w:val="NormalWeb"/>
        <w:spacing w:before="0" w:beforeAutospacing="0" w:after="0" w:afterAutospacing="0"/>
        <w:ind w:left="5" w:hanging="7"/>
        <w:jc w:val="both"/>
        <w:rPr>
          <w:color w:val="0E101A"/>
        </w:rPr>
      </w:pPr>
    </w:p>
    <w:p w14:paraId="394B9B1B" w14:textId="6F1578BF" w:rsidR="006A7BED" w:rsidRDefault="006A7BED" w:rsidP="00F07912">
      <w:pPr>
        <w:pStyle w:val="NormalWeb"/>
        <w:spacing w:before="0" w:beforeAutospacing="0" w:after="0" w:afterAutospacing="0"/>
        <w:ind w:left="5" w:hanging="7"/>
        <w:jc w:val="both"/>
        <w:rPr>
          <w:color w:val="0E101A"/>
        </w:rPr>
      </w:pPr>
      <w:r>
        <w:rPr>
          <w:color w:val="0E101A"/>
        </w:rPr>
        <w:t>Bekele, T. A. (2010). Motivation and Satisfaction in Internet-Supported Learning Environments: A Review. </w:t>
      </w:r>
      <w:r>
        <w:rPr>
          <w:rStyle w:val="Emphasis"/>
          <w:color w:val="0E101A"/>
        </w:rPr>
        <w:t>Educational Technology &amp; Society</w:t>
      </w:r>
      <w:r>
        <w:rPr>
          <w:color w:val="0E101A"/>
        </w:rPr>
        <w:t>, Vol. 13, No. 2, pp. 116–127.</w:t>
      </w:r>
    </w:p>
    <w:p w14:paraId="6A8AEF91" w14:textId="77777777" w:rsidR="00287965" w:rsidRDefault="00287965" w:rsidP="00F07912">
      <w:pPr>
        <w:pStyle w:val="NormalWeb"/>
        <w:spacing w:before="0" w:beforeAutospacing="0" w:after="0" w:afterAutospacing="0"/>
        <w:ind w:left="5" w:hanging="7"/>
        <w:jc w:val="both"/>
        <w:rPr>
          <w:color w:val="0E101A"/>
        </w:rPr>
      </w:pPr>
    </w:p>
    <w:p w14:paraId="248A1B66" w14:textId="63706977" w:rsidR="006A7BED" w:rsidRDefault="006A7BED" w:rsidP="00F07912">
      <w:pPr>
        <w:pStyle w:val="NormalWeb"/>
        <w:spacing w:before="0" w:beforeAutospacing="0" w:after="0" w:afterAutospacing="0"/>
        <w:ind w:left="5" w:hanging="7"/>
        <w:jc w:val="both"/>
        <w:rPr>
          <w:color w:val="0E101A"/>
        </w:rPr>
      </w:pPr>
      <w:proofErr w:type="spellStart"/>
      <w:r>
        <w:rPr>
          <w:color w:val="0E101A"/>
        </w:rPr>
        <w:t>Bolliger</w:t>
      </w:r>
      <w:proofErr w:type="spellEnd"/>
      <w:r>
        <w:rPr>
          <w:color w:val="0E101A"/>
        </w:rPr>
        <w:t xml:space="preserve">, D.U. and </w:t>
      </w:r>
      <w:proofErr w:type="spellStart"/>
      <w:r>
        <w:rPr>
          <w:color w:val="0E101A"/>
        </w:rPr>
        <w:t>Wasilik</w:t>
      </w:r>
      <w:proofErr w:type="spellEnd"/>
      <w:r>
        <w:rPr>
          <w:color w:val="0E101A"/>
        </w:rPr>
        <w:t>, O. (2009). Factors influencing faculty satisfaction with online teaching and learning in higher education. </w:t>
      </w:r>
      <w:r>
        <w:rPr>
          <w:rStyle w:val="Emphasis"/>
          <w:color w:val="0E101A"/>
        </w:rPr>
        <w:t>Distance Education,</w:t>
      </w:r>
      <w:r>
        <w:rPr>
          <w:color w:val="0E101A"/>
        </w:rPr>
        <w:t> Vol. 30, No. 1, pp.103-116.</w:t>
      </w:r>
    </w:p>
    <w:p w14:paraId="37E1907A" w14:textId="77777777" w:rsidR="00287965" w:rsidRDefault="00287965" w:rsidP="00F07912">
      <w:pPr>
        <w:pStyle w:val="NormalWeb"/>
        <w:spacing w:before="0" w:beforeAutospacing="0" w:after="0" w:afterAutospacing="0"/>
        <w:ind w:left="5" w:hanging="7"/>
        <w:jc w:val="both"/>
        <w:rPr>
          <w:color w:val="0E101A"/>
        </w:rPr>
      </w:pPr>
    </w:p>
    <w:p w14:paraId="6149E18F" w14:textId="7E30F986" w:rsidR="006A7BED" w:rsidRDefault="006A7BED" w:rsidP="00F07912">
      <w:pPr>
        <w:pStyle w:val="NormalWeb"/>
        <w:spacing w:before="0" w:beforeAutospacing="0" w:after="0" w:afterAutospacing="0"/>
        <w:ind w:left="5" w:hanging="7"/>
        <w:jc w:val="both"/>
        <w:rPr>
          <w:color w:val="0E101A"/>
        </w:rPr>
      </w:pPr>
      <w:r>
        <w:rPr>
          <w:color w:val="0E101A"/>
        </w:rPr>
        <w:t xml:space="preserve">Bozkurt, A. and Sharma, R. C. (2020). Emergency remote teaching in a time of global crisis due to </w:t>
      </w:r>
      <w:proofErr w:type="spellStart"/>
      <w:r>
        <w:rPr>
          <w:color w:val="0E101A"/>
        </w:rPr>
        <w:t>CoronaVirus</w:t>
      </w:r>
      <w:proofErr w:type="spellEnd"/>
      <w:r>
        <w:rPr>
          <w:color w:val="0E101A"/>
        </w:rPr>
        <w:t xml:space="preserve"> pandemic. </w:t>
      </w:r>
      <w:r>
        <w:rPr>
          <w:rStyle w:val="Emphasis"/>
          <w:color w:val="0E101A"/>
        </w:rPr>
        <w:t>Asian Journal  </w:t>
      </w:r>
    </w:p>
    <w:p w14:paraId="6A5F0C0E" w14:textId="77777777" w:rsidR="006A7BED" w:rsidRDefault="006A7BED" w:rsidP="00F07912">
      <w:pPr>
        <w:pStyle w:val="NormalWeb"/>
        <w:spacing w:before="0" w:beforeAutospacing="0" w:after="0" w:afterAutospacing="0"/>
        <w:ind w:left="5" w:hanging="7"/>
        <w:jc w:val="both"/>
        <w:rPr>
          <w:color w:val="0E101A"/>
        </w:rPr>
      </w:pPr>
      <w:r>
        <w:rPr>
          <w:rStyle w:val="Emphasis"/>
          <w:color w:val="0E101A"/>
        </w:rPr>
        <w:t>of Distance Education</w:t>
      </w:r>
      <w:r>
        <w:rPr>
          <w:color w:val="0E101A"/>
        </w:rPr>
        <w:t>, Vol. 15, No. 1, pp. 1–4. </w:t>
      </w:r>
    </w:p>
    <w:p w14:paraId="09E3AB58" w14:textId="77777777" w:rsidR="00287965" w:rsidRDefault="00287965" w:rsidP="00F07912">
      <w:pPr>
        <w:pStyle w:val="NormalWeb"/>
        <w:spacing w:before="0" w:beforeAutospacing="0" w:after="0" w:afterAutospacing="0"/>
        <w:ind w:left="5" w:hanging="7"/>
        <w:jc w:val="both"/>
        <w:rPr>
          <w:color w:val="0E101A"/>
        </w:rPr>
      </w:pPr>
    </w:p>
    <w:p w14:paraId="5B5E5E82" w14:textId="484E962A" w:rsidR="006A7BED" w:rsidRDefault="006A7BED" w:rsidP="00F07912">
      <w:pPr>
        <w:pStyle w:val="NormalWeb"/>
        <w:spacing w:before="0" w:beforeAutospacing="0" w:after="0" w:afterAutospacing="0"/>
        <w:ind w:left="5" w:hanging="7"/>
        <w:jc w:val="both"/>
        <w:rPr>
          <w:color w:val="0E101A"/>
        </w:rPr>
      </w:pPr>
      <w:proofErr w:type="spellStart"/>
      <w:r>
        <w:rPr>
          <w:color w:val="0E101A"/>
        </w:rPr>
        <w:t>Carr</w:t>
      </w:r>
      <w:proofErr w:type="spellEnd"/>
      <w:r>
        <w:rPr>
          <w:color w:val="0E101A"/>
        </w:rPr>
        <w:t>, S. (2000). As distance education comes of age, the challenge is keeping the students. </w:t>
      </w:r>
      <w:r>
        <w:rPr>
          <w:rStyle w:val="Emphasis"/>
          <w:color w:val="0E101A"/>
        </w:rPr>
        <w:t>Chronicle of Higher Education</w:t>
      </w:r>
      <w:r>
        <w:rPr>
          <w:color w:val="0E101A"/>
        </w:rPr>
        <w:t>, Vol. 46, No. 23, pp. A39-A41.</w:t>
      </w:r>
    </w:p>
    <w:p w14:paraId="6F270DF0" w14:textId="77777777" w:rsidR="00287965" w:rsidRDefault="00287965" w:rsidP="00F07912">
      <w:pPr>
        <w:pStyle w:val="NormalWeb"/>
        <w:spacing w:before="0" w:beforeAutospacing="0" w:after="0" w:afterAutospacing="0"/>
        <w:ind w:left="5" w:hanging="7"/>
        <w:jc w:val="both"/>
        <w:rPr>
          <w:color w:val="0E101A"/>
        </w:rPr>
      </w:pPr>
    </w:p>
    <w:p w14:paraId="4E5C90DF" w14:textId="3A6C7DE8" w:rsidR="006A7BED" w:rsidRDefault="006A7BED" w:rsidP="00F07912">
      <w:pPr>
        <w:pStyle w:val="NormalWeb"/>
        <w:spacing w:before="0" w:beforeAutospacing="0" w:after="0" w:afterAutospacing="0"/>
        <w:ind w:left="5" w:hanging="7"/>
        <w:jc w:val="both"/>
        <w:rPr>
          <w:color w:val="0E101A"/>
        </w:rPr>
      </w:pPr>
      <w:r>
        <w:rPr>
          <w:color w:val="0E101A"/>
        </w:rPr>
        <w:t>Chang, I.Y. and Chang, W.Y. (2012). The effect of student learning motivation on learning satisfaction. </w:t>
      </w:r>
      <w:r>
        <w:rPr>
          <w:rStyle w:val="Emphasis"/>
          <w:color w:val="0E101A"/>
        </w:rPr>
        <w:t>International Journal of Organizational Innovation</w:t>
      </w:r>
      <w:r>
        <w:rPr>
          <w:color w:val="0E101A"/>
        </w:rPr>
        <w:t>, Vol. 4, pp. 281-305.</w:t>
      </w:r>
    </w:p>
    <w:p w14:paraId="45DFEBF9" w14:textId="77777777" w:rsidR="00287965" w:rsidRDefault="00287965" w:rsidP="00F07912">
      <w:pPr>
        <w:pStyle w:val="NormalWeb"/>
        <w:spacing w:before="0" w:beforeAutospacing="0" w:after="0" w:afterAutospacing="0"/>
        <w:ind w:left="5" w:hanging="7"/>
        <w:jc w:val="both"/>
        <w:rPr>
          <w:color w:val="0E101A"/>
        </w:rPr>
      </w:pPr>
    </w:p>
    <w:p w14:paraId="502E8737" w14:textId="7A2A5A87" w:rsidR="006A7BED" w:rsidRDefault="006A7BED" w:rsidP="00F07912">
      <w:pPr>
        <w:pStyle w:val="NormalWeb"/>
        <w:spacing w:before="0" w:beforeAutospacing="0" w:after="0" w:afterAutospacing="0"/>
        <w:ind w:left="5" w:hanging="7"/>
        <w:jc w:val="both"/>
        <w:rPr>
          <w:color w:val="0E101A"/>
        </w:rPr>
      </w:pPr>
      <w:r>
        <w:rPr>
          <w:color w:val="0E101A"/>
        </w:rPr>
        <w:t>Cheung, C.M.K. and Lee, M.K.O. (2010). A theoretical model of intentional social action in online social networks, </w:t>
      </w:r>
      <w:r>
        <w:rPr>
          <w:rStyle w:val="Emphasis"/>
          <w:color w:val="0E101A"/>
        </w:rPr>
        <w:t>Decision Support System</w:t>
      </w:r>
      <w:r>
        <w:rPr>
          <w:color w:val="0E101A"/>
        </w:rPr>
        <w:t>, Vol. 49, No.</w:t>
      </w:r>
      <w:r>
        <w:rPr>
          <w:rStyle w:val="Emphasis"/>
          <w:color w:val="0E101A"/>
        </w:rPr>
        <w:t> </w:t>
      </w:r>
      <w:r>
        <w:rPr>
          <w:color w:val="0E101A"/>
        </w:rPr>
        <w:t>1, pp. 24-30.</w:t>
      </w:r>
    </w:p>
    <w:p w14:paraId="20F88C48" w14:textId="77777777" w:rsidR="00287965" w:rsidRDefault="00287965" w:rsidP="00F07912">
      <w:pPr>
        <w:pStyle w:val="NormalWeb"/>
        <w:spacing w:before="0" w:beforeAutospacing="0" w:after="0" w:afterAutospacing="0"/>
        <w:ind w:left="5" w:hanging="7"/>
        <w:jc w:val="both"/>
        <w:rPr>
          <w:color w:val="0E101A"/>
        </w:rPr>
      </w:pPr>
    </w:p>
    <w:p w14:paraId="24061868" w14:textId="66DF5624" w:rsidR="006A7BED" w:rsidRDefault="006A7BED" w:rsidP="00F07912">
      <w:pPr>
        <w:pStyle w:val="NormalWeb"/>
        <w:spacing w:before="0" w:beforeAutospacing="0" w:after="0" w:afterAutospacing="0"/>
        <w:ind w:left="5" w:hanging="7"/>
        <w:jc w:val="both"/>
        <w:rPr>
          <w:color w:val="0E101A"/>
        </w:rPr>
      </w:pPr>
      <w:r>
        <w:rPr>
          <w:color w:val="0E101A"/>
        </w:rPr>
        <w:t>Cohen, J. (1992). A power primer. </w:t>
      </w:r>
      <w:r>
        <w:rPr>
          <w:rStyle w:val="Emphasis"/>
          <w:color w:val="0E101A"/>
        </w:rPr>
        <w:t>Psychological bulletin</w:t>
      </w:r>
      <w:r>
        <w:rPr>
          <w:color w:val="0E101A"/>
        </w:rPr>
        <w:t>, Vol. 112, No. 1, pp. 155.</w:t>
      </w:r>
    </w:p>
    <w:p w14:paraId="1DDDF3D1" w14:textId="77777777" w:rsidR="00287965" w:rsidRDefault="00287965" w:rsidP="00F07912">
      <w:pPr>
        <w:pStyle w:val="NormalWeb"/>
        <w:spacing w:before="0" w:beforeAutospacing="0" w:after="0" w:afterAutospacing="0"/>
        <w:ind w:left="5" w:hanging="7"/>
        <w:jc w:val="both"/>
        <w:rPr>
          <w:color w:val="0E101A"/>
        </w:rPr>
      </w:pPr>
    </w:p>
    <w:p w14:paraId="18E315F1" w14:textId="7560CE79" w:rsidR="006A7BED" w:rsidRDefault="006A7BED" w:rsidP="00F07912">
      <w:pPr>
        <w:pStyle w:val="NormalWeb"/>
        <w:spacing w:before="0" w:beforeAutospacing="0" w:after="0" w:afterAutospacing="0"/>
        <w:ind w:left="5" w:hanging="7"/>
        <w:jc w:val="both"/>
        <w:rPr>
          <w:color w:val="0E101A"/>
        </w:rPr>
      </w:pPr>
      <w:r>
        <w:rPr>
          <w:color w:val="0E101A"/>
        </w:rPr>
        <w:t>Elliott, K. and Healy, M. (2001). Key factors influencing student satisfaction related to recruitment and retention. </w:t>
      </w:r>
      <w:r>
        <w:rPr>
          <w:rStyle w:val="Emphasis"/>
          <w:color w:val="0E101A"/>
        </w:rPr>
        <w:t>Journal of Marketing for Higher Education</w:t>
      </w:r>
      <w:r>
        <w:rPr>
          <w:color w:val="0E101A"/>
        </w:rPr>
        <w:t>, Vol. 10, No. 4. pp. 1-11.</w:t>
      </w:r>
    </w:p>
    <w:p w14:paraId="4A27D69B" w14:textId="77777777" w:rsidR="00287965" w:rsidRDefault="00287965" w:rsidP="00F07912">
      <w:pPr>
        <w:pStyle w:val="NormalWeb"/>
        <w:spacing w:before="0" w:beforeAutospacing="0" w:after="0" w:afterAutospacing="0"/>
        <w:ind w:left="5" w:hanging="7"/>
        <w:jc w:val="both"/>
        <w:rPr>
          <w:color w:val="0E101A"/>
        </w:rPr>
      </w:pPr>
    </w:p>
    <w:p w14:paraId="5ACD6EF4" w14:textId="53219396" w:rsidR="006A7BED" w:rsidRDefault="006A7BED" w:rsidP="00F07912">
      <w:pPr>
        <w:pStyle w:val="NormalWeb"/>
        <w:spacing w:before="0" w:beforeAutospacing="0" w:after="0" w:afterAutospacing="0"/>
        <w:ind w:left="5" w:hanging="7"/>
        <w:jc w:val="both"/>
        <w:rPr>
          <w:color w:val="0E101A"/>
        </w:rPr>
      </w:pPr>
      <w:r>
        <w:rPr>
          <w:color w:val="0E101A"/>
        </w:rPr>
        <w:t>Elliott, K. and Shin, D. (2002). Student satisfaction: an alternative approach to assessing this Important Concept. </w:t>
      </w:r>
      <w:r>
        <w:rPr>
          <w:rStyle w:val="Emphasis"/>
          <w:color w:val="0E101A"/>
        </w:rPr>
        <w:t>Journal of Higher Education Policy and Management,</w:t>
      </w:r>
      <w:r>
        <w:rPr>
          <w:color w:val="0E101A"/>
        </w:rPr>
        <w:t> Vol. 24, No. 2, pp. 197-209.</w:t>
      </w:r>
    </w:p>
    <w:p w14:paraId="7038EE79" w14:textId="77777777" w:rsidR="00287965" w:rsidRDefault="00287965" w:rsidP="00F07912">
      <w:pPr>
        <w:pStyle w:val="NormalWeb"/>
        <w:spacing w:before="0" w:beforeAutospacing="0" w:after="0" w:afterAutospacing="0"/>
        <w:ind w:left="5" w:hanging="7"/>
        <w:jc w:val="both"/>
        <w:rPr>
          <w:color w:val="0E101A"/>
        </w:rPr>
      </w:pPr>
    </w:p>
    <w:p w14:paraId="16266D85" w14:textId="2520A3CE" w:rsidR="006A7BED" w:rsidRDefault="006A7BED" w:rsidP="00F07912">
      <w:pPr>
        <w:pStyle w:val="NormalWeb"/>
        <w:spacing w:before="0" w:beforeAutospacing="0" w:after="0" w:afterAutospacing="0"/>
        <w:ind w:left="5" w:hanging="7"/>
        <w:jc w:val="both"/>
        <w:rPr>
          <w:color w:val="0E101A"/>
        </w:rPr>
      </w:pPr>
      <w:proofErr w:type="spellStart"/>
      <w:r>
        <w:rPr>
          <w:color w:val="0E101A"/>
        </w:rPr>
        <w:t>Fasae</w:t>
      </w:r>
      <w:proofErr w:type="spellEnd"/>
      <w:r>
        <w:rPr>
          <w:color w:val="0E101A"/>
        </w:rPr>
        <w:t xml:space="preserve">, J.K. and </w:t>
      </w:r>
      <w:proofErr w:type="spellStart"/>
      <w:r>
        <w:rPr>
          <w:color w:val="0E101A"/>
        </w:rPr>
        <w:t>Adegbilero-Iwari</w:t>
      </w:r>
      <w:proofErr w:type="spellEnd"/>
      <w:r>
        <w:rPr>
          <w:color w:val="0E101A"/>
        </w:rPr>
        <w:t xml:space="preserve">, I. (2015). Mobile devices for academic practices by students </w:t>
      </w:r>
      <w:proofErr w:type="gramStart"/>
      <w:r>
        <w:rPr>
          <w:color w:val="0E101A"/>
        </w:rPr>
        <w:t>of</w:t>
      </w:r>
      <w:proofErr w:type="gramEnd"/>
      <w:r>
        <w:rPr>
          <w:color w:val="0E101A"/>
        </w:rPr>
        <w:t xml:space="preserve"> college of science in selected Nigerian private universities. </w:t>
      </w:r>
      <w:r>
        <w:rPr>
          <w:rStyle w:val="Emphasis"/>
          <w:color w:val="0E101A"/>
        </w:rPr>
        <w:t>The Electronic Library</w:t>
      </w:r>
      <w:r>
        <w:rPr>
          <w:color w:val="0E101A"/>
        </w:rPr>
        <w:t>, Vol. 33, No. 4, pp. 749-759.</w:t>
      </w:r>
    </w:p>
    <w:p w14:paraId="74741A44" w14:textId="77777777" w:rsidR="00287965" w:rsidRDefault="00287965" w:rsidP="00F07912">
      <w:pPr>
        <w:pStyle w:val="NormalWeb"/>
        <w:spacing w:before="0" w:beforeAutospacing="0" w:after="0" w:afterAutospacing="0"/>
        <w:ind w:left="5" w:hanging="7"/>
        <w:jc w:val="both"/>
        <w:rPr>
          <w:color w:val="0E101A"/>
        </w:rPr>
      </w:pPr>
    </w:p>
    <w:p w14:paraId="5B4449DA" w14:textId="78C68F4B" w:rsidR="006A7BED" w:rsidRDefault="006A7BED" w:rsidP="00F07912">
      <w:pPr>
        <w:pStyle w:val="NormalWeb"/>
        <w:spacing w:before="0" w:beforeAutospacing="0" w:after="0" w:afterAutospacing="0"/>
        <w:ind w:left="5" w:hanging="7"/>
        <w:jc w:val="both"/>
        <w:rPr>
          <w:color w:val="0E101A"/>
        </w:rPr>
      </w:pPr>
      <w:proofErr w:type="spellStart"/>
      <w:r>
        <w:rPr>
          <w:color w:val="0E101A"/>
        </w:rPr>
        <w:lastRenderedPageBreak/>
        <w:t>Fornell</w:t>
      </w:r>
      <w:proofErr w:type="spellEnd"/>
      <w:r>
        <w:rPr>
          <w:color w:val="0E101A"/>
        </w:rPr>
        <w:t xml:space="preserve">, C. and </w:t>
      </w:r>
      <w:proofErr w:type="spellStart"/>
      <w:r>
        <w:rPr>
          <w:color w:val="0E101A"/>
        </w:rPr>
        <w:t>Lacker</w:t>
      </w:r>
      <w:proofErr w:type="spellEnd"/>
      <w:r>
        <w:rPr>
          <w:color w:val="0E101A"/>
        </w:rPr>
        <w:t>, D. F. (1981). Evaluation structural equation models with unobserved variables and measurement error. </w:t>
      </w:r>
      <w:r>
        <w:rPr>
          <w:rStyle w:val="Emphasis"/>
          <w:color w:val="0E101A"/>
        </w:rPr>
        <w:t>Journal of Marketing Research</w:t>
      </w:r>
      <w:r>
        <w:rPr>
          <w:color w:val="0E101A"/>
        </w:rPr>
        <w:t>, Vol. 18, No. 1, pp. 39-50.</w:t>
      </w:r>
    </w:p>
    <w:p w14:paraId="793EC989" w14:textId="77777777" w:rsidR="00287965" w:rsidRDefault="00287965" w:rsidP="00F07912">
      <w:pPr>
        <w:pStyle w:val="NormalWeb"/>
        <w:spacing w:before="0" w:beforeAutospacing="0" w:after="0" w:afterAutospacing="0"/>
        <w:ind w:left="5" w:hanging="7"/>
        <w:jc w:val="both"/>
        <w:rPr>
          <w:color w:val="0E101A"/>
        </w:rPr>
      </w:pPr>
    </w:p>
    <w:p w14:paraId="65D2156C" w14:textId="31FAB000" w:rsidR="006A7BED" w:rsidRDefault="006A7BED" w:rsidP="00F07912">
      <w:pPr>
        <w:pStyle w:val="NormalWeb"/>
        <w:spacing w:before="0" w:beforeAutospacing="0" w:after="0" w:afterAutospacing="0"/>
        <w:ind w:left="5" w:hanging="7"/>
        <w:jc w:val="both"/>
        <w:rPr>
          <w:color w:val="0E101A"/>
        </w:rPr>
      </w:pPr>
      <w:proofErr w:type="spellStart"/>
      <w:r>
        <w:rPr>
          <w:color w:val="0E101A"/>
        </w:rPr>
        <w:t>Frenzel</w:t>
      </w:r>
      <w:proofErr w:type="spellEnd"/>
      <w:r>
        <w:rPr>
          <w:color w:val="0E101A"/>
        </w:rPr>
        <w:t xml:space="preserve">, A. C., Goetz, T., </w:t>
      </w:r>
      <w:proofErr w:type="spellStart"/>
      <w:r>
        <w:rPr>
          <w:color w:val="0E101A"/>
        </w:rPr>
        <w:t>Lüdtke</w:t>
      </w:r>
      <w:proofErr w:type="spellEnd"/>
      <w:r>
        <w:rPr>
          <w:color w:val="0E101A"/>
        </w:rPr>
        <w:t xml:space="preserve">, O., </w:t>
      </w:r>
      <w:proofErr w:type="spellStart"/>
      <w:r>
        <w:rPr>
          <w:color w:val="0E101A"/>
        </w:rPr>
        <w:t>Pekrun</w:t>
      </w:r>
      <w:proofErr w:type="spellEnd"/>
      <w:r>
        <w:rPr>
          <w:color w:val="0E101A"/>
        </w:rPr>
        <w:t>, R. and Sutton, R. (2009). Emotional transmission in the classroom: Exploring the relationship between teacher and student enjoyment. </w:t>
      </w:r>
      <w:r>
        <w:rPr>
          <w:rStyle w:val="Emphasis"/>
          <w:color w:val="0E101A"/>
        </w:rPr>
        <w:t>Journal of Educational Psychology</w:t>
      </w:r>
      <w:r>
        <w:rPr>
          <w:color w:val="0E101A"/>
        </w:rPr>
        <w:t>, Vol. 101, pp. 705-716.</w:t>
      </w:r>
    </w:p>
    <w:p w14:paraId="6E684A63" w14:textId="77777777" w:rsidR="00287965" w:rsidRDefault="00287965" w:rsidP="00F07912">
      <w:pPr>
        <w:pStyle w:val="NormalWeb"/>
        <w:spacing w:before="0" w:beforeAutospacing="0" w:after="0" w:afterAutospacing="0"/>
        <w:ind w:left="5" w:hanging="7"/>
        <w:jc w:val="both"/>
        <w:rPr>
          <w:color w:val="0E101A"/>
        </w:rPr>
      </w:pPr>
    </w:p>
    <w:p w14:paraId="478CB949" w14:textId="59996FF1" w:rsidR="006A7BED" w:rsidRDefault="006A7BED" w:rsidP="00F07912">
      <w:pPr>
        <w:pStyle w:val="NormalWeb"/>
        <w:spacing w:before="0" w:beforeAutospacing="0" w:after="0" w:afterAutospacing="0"/>
        <w:ind w:left="5" w:hanging="7"/>
        <w:jc w:val="both"/>
        <w:rPr>
          <w:color w:val="0E101A"/>
        </w:rPr>
      </w:pPr>
      <w:r>
        <w:rPr>
          <w:color w:val="0E101A"/>
        </w:rPr>
        <w:t xml:space="preserve">Gil-Arias, A., Claver, F., </w:t>
      </w:r>
      <w:proofErr w:type="spellStart"/>
      <w:r>
        <w:rPr>
          <w:color w:val="0E101A"/>
        </w:rPr>
        <w:t>Práxedes</w:t>
      </w:r>
      <w:proofErr w:type="spellEnd"/>
      <w:r>
        <w:rPr>
          <w:color w:val="0E101A"/>
        </w:rPr>
        <w:t xml:space="preserve">, A., Villar, F. D., and Harvey, S. (2020). Autonomy support, motivational climate, </w:t>
      </w:r>
      <w:proofErr w:type="gramStart"/>
      <w:r>
        <w:rPr>
          <w:color w:val="0E101A"/>
        </w:rPr>
        <w:t>enjoyment</w:t>
      </w:r>
      <w:proofErr w:type="gramEnd"/>
      <w:r>
        <w:rPr>
          <w:color w:val="0E101A"/>
        </w:rPr>
        <w:t xml:space="preserve"> and perceived competence in physical education: Impact of a hybrid teaching games for understanding/sport education unit. </w:t>
      </w:r>
      <w:r>
        <w:rPr>
          <w:rStyle w:val="Emphasis"/>
          <w:color w:val="0E101A"/>
        </w:rPr>
        <w:t>European Physical Education Review</w:t>
      </w:r>
      <w:r>
        <w:rPr>
          <w:color w:val="0E101A"/>
        </w:rPr>
        <w:t>, Vol. 26, No. 1, pp. 36-53.</w:t>
      </w:r>
    </w:p>
    <w:p w14:paraId="0DD5AEA4" w14:textId="77777777" w:rsidR="00287965" w:rsidRDefault="00287965" w:rsidP="00F07912">
      <w:pPr>
        <w:pStyle w:val="NormalWeb"/>
        <w:spacing w:before="0" w:beforeAutospacing="0" w:after="0" w:afterAutospacing="0"/>
        <w:ind w:left="5" w:hanging="7"/>
        <w:jc w:val="both"/>
        <w:rPr>
          <w:color w:val="0E101A"/>
        </w:rPr>
      </w:pPr>
    </w:p>
    <w:p w14:paraId="7CACF251" w14:textId="5463A59F" w:rsidR="006A7BED" w:rsidRDefault="006A7BED" w:rsidP="00F07912">
      <w:pPr>
        <w:pStyle w:val="NormalWeb"/>
        <w:spacing w:before="0" w:beforeAutospacing="0" w:after="0" w:afterAutospacing="0"/>
        <w:ind w:left="5" w:hanging="7"/>
        <w:jc w:val="both"/>
        <w:rPr>
          <w:color w:val="0E101A"/>
        </w:rPr>
      </w:pPr>
      <w:r>
        <w:rPr>
          <w:color w:val="0E101A"/>
        </w:rPr>
        <w:t>Gold, A. H., Malhotra, A. and Segars, A. H. (2001). Knowledge management: An organizational capabilities perspective. </w:t>
      </w:r>
      <w:r>
        <w:rPr>
          <w:rStyle w:val="Emphasis"/>
          <w:color w:val="0E101A"/>
        </w:rPr>
        <w:t>Journal of Management Information Systems</w:t>
      </w:r>
      <w:r>
        <w:rPr>
          <w:color w:val="0E101A"/>
        </w:rPr>
        <w:t>, Vol. 18, No. 1, pp. 185-214.</w:t>
      </w:r>
    </w:p>
    <w:p w14:paraId="1EAFABEF" w14:textId="77777777" w:rsidR="00287965" w:rsidRDefault="00287965" w:rsidP="00F07912">
      <w:pPr>
        <w:pStyle w:val="NormalWeb"/>
        <w:spacing w:before="0" w:beforeAutospacing="0" w:after="0" w:afterAutospacing="0"/>
        <w:ind w:left="5" w:hanging="7"/>
        <w:jc w:val="both"/>
        <w:rPr>
          <w:color w:val="0E101A"/>
        </w:rPr>
      </w:pPr>
    </w:p>
    <w:p w14:paraId="11D91499" w14:textId="6057ADB4" w:rsidR="006A7BED" w:rsidRDefault="006A7BED" w:rsidP="00F07912">
      <w:pPr>
        <w:pStyle w:val="NormalWeb"/>
        <w:spacing w:before="0" w:beforeAutospacing="0" w:after="0" w:afterAutospacing="0"/>
        <w:ind w:left="5" w:hanging="7"/>
        <w:jc w:val="both"/>
        <w:rPr>
          <w:color w:val="0E101A"/>
        </w:rPr>
      </w:pPr>
      <w:r>
        <w:rPr>
          <w:color w:val="0E101A"/>
        </w:rPr>
        <w:t xml:space="preserve">Green, S.B. (1991). How many subjects does it take to do a regression </w:t>
      </w:r>
      <w:proofErr w:type="gramStart"/>
      <w:r>
        <w:rPr>
          <w:color w:val="0E101A"/>
        </w:rPr>
        <w:t>analysis.</w:t>
      </w:r>
      <w:proofErr w:type="gramEnd"/>
      <w:r>
        <w:rPr>
          <w:color w:val="0E101A"/>
        </w:rPr>
        <w:t> </w:t>
      </w:r>
      <w:r>
        <w:rPr>
          <w:rStyle w:val="Emphasis"/>
          <w:color w:val="0E101A"/>
        </w:rPr>
        <w:t xml:space="preserve">Multivariate </w:t>
      </w:r>
      <w:proofErr w:type="spellStart"/>
      <w:r>
        <w:rPr>
          <w:rStyle w:val="Emphasis"/>
          <w:color w:val="0E101A"/>
        </w:rPr>
        <w:t>Behavioral</w:t>
      </w:r>
      <w:proofErr w:type="spellEnd"/>
      <w:r>
        <w:rPr>
          <w:rStyle w:val="Emphasis"/>
          <w:color w:val="0E101A"/>
        </w:rPr>
        <w:t xml:space="preserve"> Research</w:t>
      </w:r>
      <w:r>
        <w:rPr>
          <w:color w:val="0E101A"/>
        </w:rPr>
        <w:t>, Vol. 26, No.</w:t>
      </w:r>
      <w:r>
        <w:rPr>
          <w:rStyle w:val="Emphasis"/>
          <w:color w:val="0E101A"/>
        </w:rPr>
        <w:t> </w:t>
      </w:r>
      <w:r>
        <w:rPr>
          <w:color w:val="0E101A"/>
        </w:rPr>
        <w:t>3, pp. 499–510.</w:t>
      </w:r>
    </w:p>
    <w:p w14:paraId="6B9F7BA7" w14:textId="77777777" w:rsidR="00287965" w:rsidRDefault="00287965" w:rsidP="00F07912">
      <w:pPr>
        <w:pStyle w:val="NormalWeb"/>
        <w:spacing w:before="0" w:beforeAutospacing="0" w:after="0" w:afterAutospacing="0"/>
        <w:ind w:left="5" w:hanging="7"/>
        <w:jc w:val="both"/>
        <w:rPr>
          <w:color w:val="0E101A"/>
        </w:rPr>
      </w:pPr>
    </w:p>
    <w:p w14:paraId="4FF7FF22" w14:textId="2DB74A05" w:rsidR="006A7BED" w:rsidRDefault="006A7BED" w:rsidP="00F07912">
      <w:pPr>
        <w:pStyle w:val="NormalWeb"/>
        <w:spacing w:before="0" w:beforeAutospacing="0" w:after="0" w:afterAutospacing="0"/>
        <w:ind w:left="5" w:hanging="7"/>
        <w:jc w:val="both"/>
        <w:rPr>
          <w:color w:val="0E101A"/>
        </w:rPr>
      </w:pPr>
      <w:r>
        <w:rPr>
          <w:color w:val="0E101A"/>
        </w:rPr>
        <w:t xml:space="preserve">Hair, J.F., Anderson, R.E., </w:t>
      </w:r>
      <w:proofErr w:type="spellStart"/>
      <w:r>
        <w:rPr>
          <w:color w:val="0E101A"/>
        </w:rPr>
        <w:t>Babin</w:t>
      </w:r>
      <w:proofErr w:type="spellEnd"/>
      <w:r>
        <w:rPr>
          <w:color w:val="0E101A"/>
        </w:rPr>
        <w:t>, B.J. and Black, W.C. (2010). </w:t>
      </w:r>
      <w:r>
        <w:rPr>
          <w:rStyle w:val="Emphasis"/>
          <w:color w:val="0E101A"/>
        </w:rPr>
        <w:t>Multivariate data analysis: A global perspective</w:t>
      </w:r>
      <w:r>
        <w:rPr>
          <w:color w:val="0E101A"/>
        </w:rPr>
        <w:t>, Pearson Education: London.</w:t>
      </w:r>
    </w:p>
    <w:p w14:paraId="7B3EA7C6" w14:textId="77777777" w:rsidR="00287965" w:rsidRDefault="00287965" w:rsidP="00F07912">
      <w:pPr>
        <w:pStyle w:val="NormalWeb"/>
        <w:spacing w:before="0" w:beforeAutospacing="0" w:after="0" w:afterAutospacing="0"/>
        <w:ind w:left="5" w:hanging="7"/>
        <w:jc w:val="both"/>
        <w:rPr>
          <w:color w:val="0E101A"/>
        </w:rPr>
      </w:pPr>
    </w:p>
    <w:p w14:paraId="7803951D" w14:textId="4D922913" w:rsidR="006A7BED" w:rsidRDefault="006A7BED" w:rsidP="00F07912">
      <w:pPr>
        <w:pStyle w:val="NormalWeb"/>
        <w:spacing w:before="0" w:beforeAutospacing="0" w:after="0" w:afterAutospacing="0"/>
        <w:ind w:left="5" w:hanging="7"/>
        <w:jc w:val="both"/>
        <w:rPr>
          <w:color w:val="0E101A"/>
        </w:rPr>
      </w:pPr>
      <w:r>
        <w:rPr>
          <w:color w:val="0E101A"/>
        </w:rPr>
        <w:t xml:space="preserve">Hair, J. F., </w:t>
      </w:r>
      <w:proofErr w:type="spellStart"/>
      <w:r>
        <w:rPr>
          <w:color w:val="0E101A"/>
        </w:rPr>
        <w:t>Sarstedt</w:t>
      </w:r>
      <w:proofErr w:type="spellEnd"/>
      <w:r>
        <w:rPr>
          <w:color w:val="0E101A"/>
        </w:rPr>
        <w:t xml:space="preserve">, M. and </w:t>
      </w:r>
      <w:proofErr w:type="spellStart"/>
      <w:r>
        <w:rPr>
          <w:color w:val="0E101A"/>
        </w:rPr>
        <w:t>Ringle</w:t>
      </w:r>
      <w:proofErr w:type="spellEnd"/>
      <w:r>
        <w:rPr>
          <w:color w:val="0E101A"/>
        </w:rPr>
        <w:t>, C.M. (2019). Rethinking some of the rethinking of partial least squares. </w:t>
      </w:r>
      <w:r>
        <w:rPr>
          <w:rStyle w:val="Emphasis"/>
          <w:color w:val="0E101A"/>
        </w:rPr>
        <w:t>European Journal of Marketing</w:t>
      </w:r>
      <w:r>
        <w:rPr>
          <w:color w:val="0E101A"/>
        </w:rPr>
        <w:t>, Vol. 53, No. 4, pp. 566-584.</w:t>
      </w:r>
    </w:p>
    <w:p w14:paraId="64A29DF2" w14:textId="77777777" w:rsidR="00287965" w:rsidRDefault="00287965" w:rsidP="00F07912">
      <w:pPr>
        <w:pStyle w:val="NormalWeb"/>
        <w:spacing w:before="0" w:beforeAutospacing="0" w:after="0" w:afterAutospacing="0"/>
        <w:ind w:left="5" w:hanging="7"/>
        <w:jc w:val="both"/>
        <w:rPr>
          <w:color w:val="0E101A"/>
        </w:rPr>
      </w:pPr>
    </w:p>
    <w:p w14:paraId="3C7C6A9A" w14:textId="0E4ABF89" w:rsidR="006A7BED" w:rsidRDefault="006A7BED" w:rsidP="00F07912">
      <w:pPr>
        <w:pStyle w:val="NormalWeb"/>
        <w:spacing w:before="0" w:beforeAutospacing="0" w:after="0" w:afterAutospacing="0"/>
        <w:ind w:left="5" w:hanging="7"/>
        <w:jc w:val="both"/>
        <w:rPr>
          <w:color w:val="0E101A"/>
        </w:rPr>
      </w:pPr>
      <w:proofErr w:type="spellStart"/>
      <w:r>
        <w:rPr>
          <w:color w:val="0E101A"/>
        </w:rPr>
        <w:t>Harsasi</w:t>
      </w:r>
      <w:proofErr w:type="spellEnd"/>
      <w:r>
        <w:rPr>
          <w:color w:val="0E101A"/>
        </w:rPr>
        <w:t xml:space="preserve">, M. and </w:t>
      </w:r>
      <w:proofErr w:type="spellStart"/>
      <w:r>
        <w:rPr>
          <w:color w:val="0E101A"/>
        </w:rPr>
        <w:t>Sutawijaya</w:t>
      </w:r>
      <w:proofErr w:type="spellEnd"/>
      <w:r>
        <w:rPr>
          <w:color w:val="0E101A"/>
        </w:rPr>
        <w:t>, A. (2018). Determinants of student satisfaction in online tutorial: A study of a distance education institution. </w:t>
      </w:r>
      <w:r>
        <w:rPr>
          <w:rStyle w:val="Emphasis"/>
          <w:color w:val="0E101A"/>
        </w:rPr>
        <w:t>Turkish Online Journal of Distance Education</w:t>
      </w:r>
      <w:r>
        <w:rPr>
          <w:color w:val="0E101A"/>
        </w:rPr>
        <w:t>, Vol. 19, No. 1, pp. 89-99.</w:t>
      </w:r>
    </w:p>
    <w:p w14:paraId="694B7169" w14:textId="77777777" w:rsidR="00287965" w:rsidRDefault="00287965" w:rsidP="00F07912">
      <w:pPr>
        <w:pStyle w:val="NormalWeb"/>
        <w:spacing w:before="0" w:beforeAutospacing="0" w:after="0" w:afterAutospacing="0"/>
        <w:ind w:left="5" w:hanging="7"/>
        <w:jc w:val="both"/>
        <w:rPr>
          <w:color w:val="0E101A"/>
        </w:rPr>
      </w:pPr>
    </w:p>
    <w:p w14:paraId="0C127389" w14:textId="46594225" w:rsidR="006A7BED" w:rsidRDefault="006A7BED" w:rsidP="00F07912">
      <w:pPr>
        <w:pStyle w:val="NormalWeb"/>
        <w:spacing w:before="0" w:beforeAutospacing="0" w:after="0" w:afterAutospacing="0"/>
        <w:ind w:left="5" w:hanging="7"/>
        <w:jc w:val="both"/>
        <w:rPr>
          <w:color w:val="0E101A"/>
        </w:rPr>
      </w:pPr>
      <w:proofErr w:type="spellStart"/>
      <w:r>
        <w:rPr>
          <w:color w:val="0E101A"/>
        </w:rPr>
        <w:t>Hirschmann</w:t>
      </w:r>
      <w:proofErr w:type="spellEnd"/>
      <w:r>
        <w:rPr>
          <w:color w:val="0E101A"/>
        </w:rPr>
        <w:t>, R. (2020). </w:t>
      </w:r>
      <w:r>
        <w:rPr>
          <w:rStyle w:val="Emphasis"/>
          <w:color w:val="0E101A"/>
        </w:rPr>
        <w:t>Students in public higher education institutions in Malaysia 2012-2019, by gender</w:t>
      </w:r>
      <w:r>
        <w:rPr>
          <w:color w:val="0E101A"/>
        </w:rPr>
        <w:t>. Retrieved December 1, 2020, from Statistica.com</w:t>
      </w:r>
    </w:p>
    <w:p w14:paraId="732F8F13" w14:textId="77777777" w:rsidR="00287965" w:rsidRDefault="00287965" w:rsidP="00F07912">
      <w:pPr>
        <w:pStyle w:val="NormalWeb"/>
        <w:spacing w:before="0" w:beforeAutospacing="0" w:after="0" w:afterAutospacing="0"/>
        <w:ind w:left="5" w:hanging="7"/>
        <w:jc w:val="both"/>
        <w:rPr>
          <w:color w:val="0E101A"/>
        </w:rPr>
      </w:pPr>
    </w:p>
    <w:p w14:paraId="3AE6FD3A" w14:textId="3E37867F" w:rsidR="006A7BED" w:rsidRDefault="006A7BED" w:rsidP="00F07912">
      <w:pPr>
        <w:pStyle w:val="NormalWeb"/>
        <w:spacing w:before="0" w:beforeAutospacing="0" w:after="0" w:afterAutospacing="0"/>
        <w:ind w:left="5" w:hanging="7"/>
        <w:jc w:val="both"/>
        <w:rPr>
          <w:color w:val="0E101A"/>
        </w:rPr>
      </w:pPr>
      <w:r>
        <w:rPr>
          <w:color w:val="0E101A"/>
        </w:rPr>
        <w:t xml:space="preserve">Hodges, C. B., Moore, S., </w:t>
      </w:r>
      <w:proofErr w:type="spellStart"/>
      <w:r>
        <w:rPr>
          <w:color w:val="0E101A"/>
        </w:rPr>
        <w:t>Lockee</w:t>
      </w:r>
      <w:proofErr w:type="spellEnd"/>
      <w:r>
        <w:rPr>
          <w:color w:val="0E101A"/>
        </w:rPr>
        <w:t>, B., Trust, T., and Bond, A. (2020, March 27). </w:t>
      </w:r>
      <w:r>
        <w:rPr>
          <w:rStyle w:val="Emphasis"/>
          <w:color w:val="0E101A"/>
        </w:rPr>
        <w:t>The difference between emergency remote teaching and online learning. Why IT Matters to Higher Education Educause Review</w:t>
      </w:r>
      <w:r>
        <w:rPr>
          <w:color w:val="0E101A"/>
        </w:rPr>
        <w:t>. Retrieved July 17, 2021, from https://er.educause.edu/articles/2020/3/the-difference-between-emergency-remote-teaching-and-online-learning</w:t>
      </w:r>
    </w:p>
    <w:p w14:paraId="09708F56" w14:textId="77777777" w:rsidR="00287965" w:rsidRDefault="00287965" w:rsidP="00F07912">
      <w:pPr>
        <w:pStyle w:val="NormalWeb"/>
        <w:spacing w:before="0" w:beforeAutospacing="0" w:after="0" w:afterAutospacing="0"/>
        <w:ind w:left="5" w:hanging="7"/>
        <w:jc w:val="both"/>
        <w:rPr>
          <w:color w:val="0E101A"/>
        </w:rPr>
      </w:pPr>
    </w:p>
    <w:p w14:paraId="4A8D6539" w14:textId="27A89533" w:rsidR="006A7BED" w:rsidRDefault="006A7BED" w:rsidP="00F07912">
      <w:pPr>
        <w:pStyle w:val="NormalWeb"/>
        <w:spacing w:before="0" w:beforeAutospacing="0" w:after="0" w:afterAutospacing="0"/>
        <w:ind w:left="5" w:hanging="7"/>
        <w:jc w:val="both"/>
        <w:rPr>
          <w:color w:val="0E101A"/>
        </w:rPr>
      </w:pPr>
      <w:r>
        <w:rPr>
          <w:color w:val="0E101A"/>
        </w:rPr>
        <w:t>Hussain, I. (2012). A study to evaluate the social media trends among university students. </w:t>
      </w:r>
      <w:r>
        <w:rPr>
          <w:rStyle w:val="Emphasis"/>
          <w:color w:val="0E101A"/>
        </w:rPr>
        <w:t xml:space="preserve">Procedia-Social and </w:t>
      </w:r>
      <w:proofErr w:type="spellStart"/>
      <w:r>
        <w:rPr>
          <w:rStyle w:val="Emphasis"/>
          <w:color w:val="0E101A"/>
        </w:rPr>
        <w:t>Behavioral</w:t>
      </w:r>
      <w:proofErr w:type="spellEnd"/>
      <w:r>
        <w:rPr>
          <w:rStyle w:val="Emphasis"/>
          <w:color w:val="0E101A"/>
        </w:rPr>
        <w:t xml:space="preserve"> Sciences,</w:t>
      </w:r>
      <w:r>
        <w:rPr>
          <w:color w:val="0E101A"/>
        </w:rPr>
        <w:t> Vol. 64, pp. 639-645.</w:t>
      </w:r>
    </w:p>
    <w:p w14:paraId="1570E908" w14:textId="77777777" w:rsidR="00287965" w:rsidRDefault="00287965" w:rsidP="00F07912">
      <w:pPr>
        <w:pStyle w:val="NormalWeb"/>
        <w:spacing w:before="0" w:beforeAutospacing="0" w:after="0" w:afterAutospacing="0"/>
        <w:ind w:left="5" w:hanging="7"/>
        <w:jc w:val="both"/>
        <w:rPr>
          <w:color w:val="0E101A"/>
        </w:rPr>
      </w:pPr>
    </w:p>
    <w:p w14:paraId="2D711CAA" w14:textId="6360D8FA" w:rsidR="006A7BED" w:rsidRDefault="006A7BED" w:rsidP="00F07912">
      <w:pPr>
        <w:pStyle w:val="NormalWeb"/>
        <w:spacing w:before="0" w:beforeAutospacing="0" w:after="0" w:afterAutospacing="0"/>
        <w:ind w:left="5" w:hanging="7"/>
        <w:jc w:val="both"/>
        <w:rPr>
          <w:color w:val="0E101A"/>
        </w:rPr>
      </w:pPr>
      <w:proofErr w:type="spellStart"/>
      <w:r>
        <w:rPr>
          <w:color w:val="0E101A"/>
        </w:rPr>
        <w:t>Hyvonen</w:t>
      </w:r>
      <w:proofErr w:type="spellEnd"/>
      <w:r>
        <w:rPr>
          <w:color w:val="0E101A"/>
        </w:rPr>
        <w:t>, P. (2011). Play in the school context? The perspectives of Finnish teachers. </w:t>
      </w:r>
      <w:r>
        <w:rPr>
          <w:rStyle w:val="Emphasis"/>
          <w:color w:val="0E101A"/>
        </w:rPr>
        <w:t>Australian Journal of Teacher Education</w:t>
      </w:r>
      <w:r>
        <w:rPr>
          <w:color w:val="0E101A"/>
        </w:rPr>
        <w:t>, Vol. 36, No. 8, pp. 65-83.</w:t>
      </w:r>
    </w:p>
    <w:p w14:paraId="22098C87" w14:textId="77777777" w:rsidR="00287965" w:rsidRDefault="00287965" w:rsidP="00F07912">
      <w:pPr>
        <w:pStyle w:val="NormalWeb"/>
        <w:spacing w:before="0" w:beforeAutospacing="0" w:after="0" w:afterAutospacing="0"/>
        <w:ind w:left="5" w:hanging="7"/>
        <w:jc w:val="both"/>
        <w:rPr>
          <w:color w:val="0E101A"/>
        </w:rPr>
      </w:pPr>
    </w:p>
    <w:p w14:paraId="6765813E" w14:textId="1A614E67" w:rsidR="006A7BED" w:rsidRDefault="006A7BED" w:rsidP="00F07912">
      <w:pPr>
        <w:pStyle w:val="NormalWeb"/>
        <w:spacing w:before="0" w:beforeAutospacing="0" w:after="0" w:afterAutospacing="0"/>
        <w:ind w:left="5" w:hanging="7"/>
        <w:jc w:val="both"/>
        <w:rPr>
          <w:color w:val="0E101A"/>
        </w:rPr>
      </w:pPr>
      <w:proofErr w:type="spellStart"/>
      <w:r>
        <w:rPr>
          <w:color w:val="0E101A"/>
        </w:rPr>
        <w:lastRenderedPageBreak/>
        <w:t>Itasanmi</w:t>
      </w:r>
      <w:proofErr w:type="spellEnd"/>
      <w:r>
        <w:rPr>
          <w:color w:val="0E101A"/>
        </w:rPr>
        <w:t>, S.A. and Oni, M.T. (2021). Determinants of Learners' Satisfaction in Open Distance Learning Programmes in Nigeria. </w:t>
      </w:r>
      <w:r>
        <w:rPr>
          <w:rStyle w:val="Emphasis"/>
          <w:color w:val="0E101A"/>
        </w:rPr>
        <w:t>Pakistan Journal of Distance and Online Learning</w:t>
      </w:r>
      <w:r>
        <w:rPr>
          <w:color w:val="0E101A"/>
        </w:rPr>
        <w:t>, Vol. 6, No. 2. </w:t>
      </w:r>
    </w:p>
    <w:p w14:paraId="08EA2A31" w14:textId="77777777" w:rsidR="00287965" w:rsidRDefault="00287965" w:rsidP="00F07912">
      <w:pPr>
        <w:pStyle w:val="NormalWeb"/>
        <w:spacing w:before="0" w:beforeAutospacing="0" w:after="0" w:afterAutospacing="0"/>
        <w:ind w:left="5" w:hanging="7"/>
        <w:jc w:val="both"/>
        <w:rPr>
          <w:color w:val="0E101A"/>
        </w:rPr>
      </w:pPr>
    </w:p>
    <w:p w14:paraId="3C1C1F69" w14:textId="34B46DEF" w:rsidR="006A7BED" w:rsidRDefault="006A7BED" w:rsidP="00F07912">
      <w:pPr>
        <w:pStyle w:val="NormalWeb"/>
        <w:spacing w:before="0" w:beforeAutospacing="0" w:after="0" w:afterAutospacing="0"/>
        <w:ind w:left="5" w:hanging="7"/>
        <w:jc w:val="both"/>
        <w:rPr>
          <w:color w:val="0E101A"/>
        </w:rPr>
      </w:pPr>
      <w:r>
        <w:rPr>
          <w:color w:val="0E101A"/>
        </w:rPr>
        <w:t xml:space="preserve">Johnson, J.E., </w:t>
      </w:r>
      <w:proofErr w:type="spellStart"/>
      <w:r>
        <w:rPr>
          <w:color w:val="0E101A"/>
        </w:rPr>
        <w:t>Giannoulakis</w:t>
      </w:r>
      <w:proofErr w:type="spellEnd"/>
      <w:r>
        <w:rPr>
          <w:color w:val="0E101A"/>
        </w:rPr>
        <w:t xml:space="preserve">, C., </w:t>
      </w:r>
      <w:proofErr w:type="spellStart"/>
      <w:r>
        <w:rPr>
          <w:color w:val="0E101A"/>
        </w:rPr>
        <w:t>Felver</w:t>
      </w:r>
      <w:proofErr w:type="spellEnd"/>
      <w:r>
        <w:rPr>
          <w:color w:val="0E101A"/>
        </w:rPr>
        <w:t>, N., Judge, L.W., David, P.A. and Scott, B.F. (2017). Motivation, Satisfaction, and Retention of Sport Management Student Volunteers. </w:t>
      </w:r>
      <w:r>
        <w:rPr>
          <w:rStyle w:val="Emphasis"/>
          <w:color w:val="0E101A"/>
        </w:rPr>
        <w:t>Journal of Applied Sport Management</w:t>
      </w:r>
      <w:r>
        <w:rPr>
          <w:color w:val="0E101A"/>
        </w:rPr>
        <w:t>, Vol. 9, No. 1, pp. 1-26.</w:t>
      </w:r>
    </w:p>
    <w:p w14:paraId="6E790B53" w14:textId="77777777" w:rsidR="00287965" w:rsidRDefault="00287965" w:rsidP="00F07912">
      <w:pPr>
        <w:pStyle w:val="NormalWeb"/>
        <w:spacing w:before="0" w:beforeAutospacing="0" w:after="0" w:afterAutospacing="0"/>
        <w:ind w:left="5" w:hanging="7"/>
        <w:jc w:val="both"/>
        <w:rPr>
          <w:color w:val="0E101A"/>
        </w:rPr>
      </w:pPr>
    </w:p>
    <w:p w14:paraId="1DEDCA9A" w14:textId="1FDFF9A6" w:rsidR="006A7BED" w:rsidRDefault="006A7BED" w:rsidP="00F07912">
      <w:pPr>
        <w:pStyle w:val="NormalWeb"/>
        <w:spacing w:before="0" w:beforeAutospacing="0" w:after="0" w:afterAutospacing="0"/>
        <w:ind w:left="5" w:hanging="7"/>
        <w:jc w:val="both"/>
        <w:rPr>
          <w:color w:val="0E101A"/>
        </w:rPr>
      </w:pPr>
      <w:r>
        <w:rPr>
          <w:color w:val="0E101A"/>
        </w:rPr>
        <w:t xml:space="preserve">Kangas, M., </w:t>
      </w:r>
      <w:proofErr w:type="spellStart"/>
      <w:r>
        <w:rPr>
          <w:color w:val="0E101A"/>
        </w:rPr>
        <w:t>Siklander</w:t>
      </w:r>
      <w:proofErr w:type="spellEnd"/>
      <w:r>
        <w:rPr>
          <w:color w:val="0E101A"/>
        </w:rPr>
        <w:t xml:space="preserve">, P., Randolph, J. and </w:t>
      </w:r>
      <w:proofErr w:type="spellStart"/>
      <w:r>
        <w:rPr>
          <w:color w:val="0E101A"/>
        </w:rPr>
        <w:t>Ruokamo</w:t>
      </w:r>
      <w:proofErr w:type="spellEnd"/>
      <w:r>
        <w:rPr>
          <w:color w:val="0E101A"/>
        </w:rPr>
        <w:t>, H. (2017). Teachers' engagement and students' satisfaction with a playful learning environment. </w:t>
      </w:r>
      <w:r>
        <w:rPr>
          <w:rStyle w:val="Emphasis"/>
          <w:color w:val="0E101A"/>
        </w:rPr>
        <w:t>Teaching and Teacher Education</w:t>
      </w:r>
      <w:r>
        <w:rPr>
          <w:color w:val="0E101A"/>
        </w:rPr>
        <w:t>, Vol. 63, pp. 274-284.</w:t>
      </w:r>
    </w:p>
    <w:p w14:paraId="42FDDBA4" w14:textId="77777777" w:rsidR="00287965" w:rsidRDefault="00287965" w:rsidP="00F07912">
      <w:pPr>
        <w:pStyle w:val="NormalWeb"/>
        <w:spacing w:before="0" w:beforeAutospacing="0" w:after="0" w:afterAutospacing="0"/>
        <w:ind w:left="5" w:hanging="7"/>
        <w:jc w:val="both"/>
        <w:rPr>
          <w:color w:val="0E101A"/>
        </w:rPr>
      </w:pPr>
    </w:p>
    <w:p w14:paraId="4682260D" w14:textId="382D7568" w:rsidR="006A7BED" w:rsidRDefault="006A7BED" w:rsidP="00F07912">
      <w:pPr>
        <w:pStyle w:val="NormalWeb"/>
        <w:spacing w:before="0" w:beforeAutospacing="0" w:after="0" w:afterAutospacing="0"/>
        <w:ind w:left="5" w:hanging="7"/>
        <w:jc w:val="both"/>
        <w:rPr>
          <w:color w:val="0E101A"/>
        </w:rPr>
      </w:pPr>
      <w:proofErr w:type="spellStart"/>
      <w:r>
        <w:rPr>
          <w:color w:val="0E101A"/>
        </w:rPr>
        <w:t>Koksal</w:t>
      </w:r>
      <w:proofErr w:type="spellEnd"/>
      <w:r>
        <w:rPr>
          <w:color w:val="0E101A"/>
        </w:rPr>
        <w:t>, I. (2020, May 2). </w:t>
      </w:r>
      <w:r>
        <w:rPr>
          <w:rStyle w:val="Emphasis"/>
          <w:color w:val="0E101A"/>
        </w:rPr>
        <w:t>The rise of online learning</w:t>
      </w:r>
      <w:r>
        <w:rPr>
          <w:color w:val="0E101A"/>
        </w:rPr>
        <w:t>. Retrieved July 17, 2021, from https://www.forbes.com/sites/ilkerkoksal/2020/05/02/the-rise-of-online-learning/?sh=5829897772f3.</w:t>
      </w:r>
    </w:p>
    <w:p w14:paraId="46EE1F24" w14:textId="77777777" w:rsidR="00287965" w:rsidRDefault="00287965" w:rsidP="00F07912">
      <w:pPr>
        <w:pStyle w:val="NormalWeb"/>
        <w:spacing w:before="0" w:beforeAutospacing="0" w:after="0" w:afterAutospacing="0"/>
        <w:ind w:left="5" w:hanging="7"/>
        <w:jc w:val="both"/>
        <w:rPr>
          <w:color w:val="0E101A"/>
        </w:rPr>
      </w:pPr>
    </w:p>
    <w:p w14:paraId="09FA8BBB" w14:textId="63FC1143" w:rsidR="006A7BED" w:rsidRDefault="006A7BED" w:rsidP="00F07912">
      <w:pPr>
        <w:pStyle w:val="NormalWeb"/>
        <w:spacing w:before="0" w:beforeAutospacing="0" w:after="0" w:afterAutospacing="0"/>
        <w:ind w:left="5" w:hanging="7"/>
        <w:jc w:val="both"/>
        <w:rPr>
          <w:color w:val="0E101A"/>
        </w:rPr>
      </w:pPr>
      <w:proofErr w:type="spellStart"/>
      <w:r>
        <w:rPr>
          <w:color w:val="0E101A"/>
        </w:rPr>
        <w:t>Krejcie</w:t>
      </w:r>
      <w:proofErr w:type="spellEnd"/>
      <w:r>
        <w:rPr>
          <w:color w:val="0E101A"/>
        </w:rPr>
        <w:t>, R.V. and Morgan, D.W. (1970). Determining sample size for research activities. </w:t>
      </w:r>
      <w:r>
        <w:rPr>
          <w:rStyle w:val="Emphasis"/>
          <w:color w:val="0E101A"/>
        </w:rPr>
        <w:t>Educational and Psychological Measurement</w:t>
      </w:r>
      <w:r>
        <w:rPr>
          <w:color w:val="0E101A"/>
        </w:rPr>
        <w:t>, Vol. 30, No. 3, pp. 607–610.</w:t>
      </w:r>
    </w:p>
    <w:p w14:paraId="582F360B" w14:textId="77777777" w:rsidR="00EC7130" w:rsidRDefault="00EC7130" w:rsidP="00F07912">
      <w:pPr>
        <w:pStyle w:val="NormalWeb"/>
        <w:spacing w:before="0" w:beforeAutospacing="0" w:after="0" w:afterAutospacing="0"/>
        <w:ind w:left="5" w:hanging="7"/>
        <w:jc w:val="both"/>
        <w:rPr>
          <w:color w:val="0E101A"/>
        </w:rPr>
      </w:pPr>
    </w:p>
    <w:p w14:paraId="6BCF3197" w14:textId="2B3E9015" w:rsidR="006A7BED" w:rsidRDefault="006A7BED" w:rsidP="00F07912">
      <w:pPr>
        <w:pStyle w:val="NormalWeb"/>
        <w:spacing w:before="0" w:beforeAutospacing="0" w:after="0" w:afterAutospacing="0"/>
        <w:ind w:left="5" w:hanging="7"/>
        <w:jc w:val="both"/>
        <w:rPr>
          <w:color w:val="0E101A"/>
        </w:rPr>
      </w:pPr>
      <w:r>
        <w:rPr>
          <w:color w:val="0E101A"/>
        </w:rPr>
        <w:t>Lee, S.J., Srinivasan, S., Trail, T., Lewis, D. and Lopez, S. (2011). Examining the relationship among student perception of support, course satisfaction, and learning outcomes in online learning.</w:t>
      </w:r>
      <w:r>
        <w:rPr>
          <w:rStyle w:val="Emphasis"/>
          <w:color w:val="0E101A"/>
        </w:rPr>
        <w:t> The Internet and Higher Education, </w:t>
      </w:r>
      <w:r>
        <w:rPr>
          <w:color w:val="0E101A"/>
        </w:rPr>
        <w:t>14(3), pp. 158-163.</w:t>
      </w:r>
    </w:p>
    <w:p w14:paraId="6E96D38C" w14:textId="77777777" w:rsidR="00287965" w:rsidRDefault="00287965" w:rsidP="00F07912">
      <w:pPr>
        <w:pStyle w:val="NormalWeb"/>
        <w:spacing w:before="0" w:beforeAutospacing="0" w:after="0" w:afterAutospacing="0"/>
        <w:ind w:left="5" w:hanging="7"/>
        <w:jc w:val="both"/>
        <w:rPr>
          <w:color w:val="0E101A"/>
        </w:rPr>
      </w:pPr>
    </w:p>
    <w:p w14:paraId="06AE5197" w14:textId="0C1DCEE5" w:rsidR="006A7BED" w:rsidRDefault="006A7BED" w:rsidP="00F07912">
      <w:pPr>
        <w:pStyle w:val="NormalWeb"/>
        <w:spacing w:before="0" w:beforeAutospacing="0" w:after="0" w:afterAutospacing="0"/>
        <w:ind w:left="5" w:hanging="7"/>
        <w:jc w:val="both"/>
        <w:rPr>
          <w:color w:val="0E101A"/>
        </w:rPr>
      </w:pPr>
      <w:r>
        <w:rPr>
          <w:color w:val="0E101A"/>
        </w:rPr>
        <w:t>Li, C. and Lalani, F. (2020, Apr 29). </w:t>
      </w:r>
      <w:r>
        <w:rPr>
          <w:rStyle w:val="Emphasis"/>
          <w:color w:val="0E101A"/>
        </w:rPr>
        <w:t>The COVID-19 pandemic has changed education forever. This is how</w:t>
      </w:r>
      <w:r>
        <w:rPr>
          <w:color w:val="0E101A"/>
        </w:rPr>
        <w:t>. Retrieved July 17, 2021, from https://www.weforum.org/agenda/2020/04/coronavirus-education-global-covid19-online-digital-learning/</w:t>
      </w:r>
    </w:p>
    <w:p w14:paraId="5C7EEB82" w14:textId="77777777" w:rsidR="00287965" w:rsidRDefault="00287965" w:rsidP="00F07912">
      <w:pPr>
        <w:pStyle w:val="NormalWeb"/>
        <w:spacing w:before="0" w:beforeAutospacing="0" w:after="0" w:afterAutospacing="0"/>
        <w:ind w:left="5" w:hanging="7"/>
        <w:jc w:val="both"/>
        <w:rPr>
          <w:color w:val="0E101A"/>
        </w:rPr>
      </w:pPr>
    </w:p>
    <w:p w14:paraId="687CB856" w14:textId="39390B9A" w:rsidR="006A7BED" w:rsidRDefault="006A7BED" w:rsidP="00F07912">
      <w:pPr>
        <w:pStyle w:val="NormalWeb"/>
        <w:spacing w:before="0" w:beforeAutospacing="0" w:after="0" w:afterAutospacing="0"/>
        <w:ind w:left="5" w:hanging="7"/>
        <w:jc w:val="both"/>
        <w:rPr>
          <w:color w:val="0E101A"/>
        </w:rPr>
      </w:pPr>
      <w:r>
        <w:rPr>
          <w:color w:val="0E101A"/>
        </w:rPr>
        <w:t xml:space="preserve">Li, N., Marsh, V., </w:t>
      </w:r>
      <w:proofErr w:type="spellStart"/>
      <w:r>
        <w:rPr>
          <w:color w:val="0E101A"/>
        </w:rPr>
        <w:t>Rienties</w:t>
      </w:r>
      <w:proofErr w:type="spellEnd"/>
      <w:r>
        <w:rPr>
          <w:color w:val="0E101A"/>
        </w:rPr>
        <w:t xml:space="preserve">, B. and </w:t>
      </w:r>
      <w:proofErr w:type="spellStart"/>
      <w:r>
        <w:rPr>
          <w:color w:val="0E101A"/>
        </w:rPr>
        <w:t>Whitelock</w:t>
      </w:r>
      <w:proofErr w:type="spellEnd"/>
      <w:r>
        <w:rPr>
          <w:color w:val="0E101A"/>
        </w:rPr>
        <w:t>, D. (2017). Online learning experiences of new versus continuing learners: a large-scale replication study. </w:t>
      </w:r>
      <w:r>
        <w:rPr>
          <w:rStyle w:val="Emphasis"/>
          <w:color w:val="0E101A"/>
        </w:rPr>
        <w:t>Assessment &amp; Evaluation in Higher Education,</w:t>
      </w:r>
      <w:r>
        <w:rPr>
          <w:color w:val="0E101A"/>
        </w:rPr>
        <w:t> Vol. 42, No. 4, pp.657-672.</w:t>
      </w:r>
    </w:p>
    <w:p w14:paraId="1FB68C82" w14:textId="77777777" w:rsidR="00287965" w:rsidRDefault="00287965" w:rsidP="00F07912">
      <w:pPr>
        <w:pStyle w:val="NormalWeb"/>
        <w:spacing w:before="0" w:beforeAutospacing="0" w:after="0" w:afterAutospacing="0"/>
        <w:ind w:left="5" w:hanging="7"/>
        <w:jc w:val="both"/>
        <w:rPr>
          <w:color w:val="0E101A"/>
        </w:rPr>
      </w:pPr>
    </w:p>
    <w:p w14:paraId="13B8BB13" w14:textId="738DBDC8" w:rsidR="006A7BED" w:rsidRDefault="006A7BED" w:rsidP="00F07912">
      <w:pPr>
        <w:pStyle w:val="NormalWeb"/>
        <w:spacing w:before="0" w:beforeAutospacing="0" w:after="0" w:afterAutospacing="0"/>
        <w:ind w:left="5" w:hanging="7"/>
        <w:jc w:val="both"/>
        <w:rPr>
          <w:color w:val="0E101A"/>
        </w:rPr>
      </w:pPr>
      <w:proofErr w:type="spellStart"/>
      <w:r>
        <w:rPr>
          <w:color w:val="0E101A"/>
        </w:rPr>
        <w:t>Liaw</w:t>
      </w:r>
      <w:proofErr w:type="spellEnd"/>
      <w:r>
        <w:rPr>
          <w:color w:val="0E101A"/>
        </w:rPr>
        <w:t xml:space="preserve">, S.S. (2008). Investigating students’ perceived satisfaction, </w:t>
      </w:r>
      <w:proofErr w:type="spellStart"/>
      <w:r>
        <w:rPr>
          <w:color w:val="0E101A"/>
        </w:rPr>
        <w:t>behavioral</w:t>
      </w:r>
      <w:proofErr w:type="spellEnd"/>
      <w:r>
        <w:rPr>
          <w:color w:val="0E101A"/>
        </w:rPr>
        <w:t xml:space="preserve"> intention, and effectiveness of e-learning: A case study of the Black board system. </w:t>
      </w:r>
      <w:r>
        <w:rPr>
          <w:rStyle w:val="Emphasis"/>
          <w:color w:val="0E101A"/>
        </w:rPr>
        <w:t>Computer &amp; Education</w:t>
      </w:r>
      <w:r>
        <w:rPr>
          <w:color w:val="0E101A"/>
        </w:rPr>
        <w:t>, Vol. 51, No. 2, pp. 864-873.</w:t>
      </w:r>
    </w:p>
    <w:p w14:paraId="18FE6C4E" w14:textId="77777777" w:rsidR="00287965" w:rsidRDefault="00287965" w:rsidP="00F07912">
      <w:pPr>
        <w:pStyle w:val="NormalWeb"/>
        <w:spacing w:before="0" w:beforeAutospacing="0" w:after="0" w:afterAutospacing="0"/>
        <w:ind w:left="5" w:hanging="7"/>
        <w:jc w:val="both"/>
        <w:rPr>
          <w:color w:val="0E101A"/>
        </w:rPr>
      </w:pPr>
    </w:p>
    <w:p w14:paraId="30ED76BC" w14:textId="79BB1415" w:rsidR="006A7BED" w:rsidRDefault="006A7BED" w:rsidP="00F07912">
      <w:pPr>
        <w:pStyle w:val="NormalWeb"/>
        <w:spacing w:before="0" w:beforeAutospacing="0" w:after="0" w:afterAutospacing="0"/>
        <w:ind w:left="5" w:hanging="7"/>
        <w:jc w:val="both"/>
        <w:rPr>
          <w:color w:val="0E101A"/>
        </w:rPr>
      </w:pPr>
      <w:proofErr w:type="spellStart"/>
      <w:r>
        <w:rPr>
          <w:color w:val="0E101A"/>
        </w:rPr>
        <w:t>Muilenburg</w:t>
      </w:r>
      <w:proofErr w:type="spellEnd"/>
      <w:r>
        <w:rPr>
          <w:color w:val="0E101A"/>
        </w:rPr>
        <w:t>, L.Y., and Berge, Z.L. (2005). Student barriers to online learning: A factor analytic study. </w:t>
      </w:r>
      <w:r>
        <w:rPr>
          <w:rStyle w:val="Emphasis"/>
          <w:color w:val="0E101A"/>
        </w:rPr>
        <w:t>Distance Education</w:t>
      </w:r>
      <w:r>
        <w:rPr>
          <w:color w:val="0E101A"/>
        </w:rPr>
        <w:t>, Vol. 26, No. 1, pp. 29-48.</w:t>
      </w:r>
    </w:p>
    <w:p w14:paraId="24A8C5DA" w14:textId="77777777" w:rsidR="00287965" w:rsidRDefault="00287965" w:rsidP="00F07912">
      <w:pPr>
        <w:pStyle w:val="NormalWeb"/>
        <w:spacing w:before="0" w:beforeAutospacing="0" w:after="0" w:afterAutospacing="0"/>
        <w:ind w:left="5" w:hanging="7"/>
        <w:jc w:val="both"/>
        <w:rPr>
          <w:color w:val="0E101A"/>
        </w:rPr>
      </w:pPr>
    </w:p>
    <w:p w14:paraId="20F0D1EE" w14:textId="1B33935B" w:rsidR="006A7BED" w:rsidRDefault="006A7BED" w:rsidP="00F07912">
      <w:pPr>
        <w:pStyle w:val="NormalWeb"/>
        <w:spacing w:before="0" w:beforeAutospacing="0" w:after="0" w:afterAutospacing="0"/>
        <w:ind w:left="5" w:hanging="7"/>
        <w:jc w:val="both"/>
        <w:rPr>
          <w:color w:val="0E101A"/>
        </w:rPr>
      </w:pPr>
      <w:r>
        <w:rPr>
          <w:color w:val="0E101A"/>
        </w:rPr>
        <w:t>Mukhtar, U., Anwar, S., Ahmed, U. and Baloch, M. A. (2015). Factors effecting the service quality of public and private sector universities comparatively: an empirical investigation. </w:t>
      </w:r>
      <w:r>
        <w:rPr>
          <w:rStyle w:val="Emphasis"/>
          <w:color w:val="0E101A"/>
        </w:rPr>
        <w:t>Researchers World, </w:t>
      </w:r>
      <w:r>
        <w:rPr>
          <w:color w:val="0E101A"/>
        </w:rPr>
        <w:t>Vol. 6, No. 3, pp. 132-142.</w:t>
      </w:r>
    </w:p>
    <w:p w14:paraId="5063AEBE" w14:textId="77777777" w:rsidR="00287965" w:rsidRDefault="00287965" w:rsidP="00F07912">
      <w:pPr>
        <w:pStyle w:val="NormalWeb"/>
        <w:spacing w:before="0" w:beforeAutospacing="0" w:after="0" w:afterAutospacing="0"/>
        <w:ind w:left="5" w:hanging="7"/>
        <w:jc w:val="both"/>
        <w:rPr>
          <w:color w:val="0E101A"/>
        </w:rPr>
      </w:pPr>
    </w:p>
    <w:p w14:paraId="51B263D0" w14:textId="73D86840" w:rsidR="006A7BED" w:rsidRDefault="006A7BED" w:rsidP="00F07912">
      <w:pPr>
        <w:pStyle w:val="NormalWeb"/>
        <w:spacing w:before="0" w:beforeAutospacing="0" w:after="0" w:afterAutospacing="0"/>
        <w:ind w:left="5" w:hanging="7"/>
        <w:jc w:val="both"/>
        <w:rPr>
          <w:color w:val="0E101A"/>
        </w:rPr>
      </w:pPr>
      <w:r>
        <w:rPr>
          <w:color w:val="0E101A"/>
        </w:rPr>
        <w:t>NST (2021).</w:t>
      </w:r>
      <w:r w:rsidR="00F07912">
        <w:rPr>
          <w:color w:val="0E101A"/>
        </w:rPr>
        <w:t xml:space="preserve"> </w:t>
      </w:r>
      <w:r w:rsidR="00F07912" w:rsidRPr="00F07912">
        <w:rPr>
          <w:b/>
          <w:bCs/>
          <w:color w:val="0E101A"/>
        </w:rPr>
        <w:t xml:space="preserve">Take advantage of free internet data for </w:t>
      </w:r>
      <w:proofErr w:type="spellStart"/>
      <w:r w:rsidR="00F07912" w:rsidRPr="00F07912">
        <w:rPr>
          <w:b/>
          <w:bCs/>
          <w:color w:val="0E101A"/>
        </w:rPr>
        <w:t>PdPR</w:t>
      </w:r>
      <w:proofErr w:type="spellEnd"/>
      <w:r w:rsidR="00F07912" w:rsidRPr="00F07912">
        <w:rPr>
          <w:b/>
          <w:bCs/>
          <w:color w:val="0E101A"/>
        </w:rPr>
        <w:t xml:space="preserve"> purposes – MCMC</w:t>
      </w:r>
      <w:r w:rsidR="00F07912">
        <w:rPr>
          <w:color w:val="0E101A"/>
        </w:rPr>
        <w:t>.</w:t>
      </w:r>
      <w:r>
        <w:rPr>
          <w:color w:val="0E101A"/>
        </w:rPr>
        <w:t xml:space="preserve"> Retrieved July 17, </w:t>
      </w:r>
      <w:proofErr w:type="gramStart"/>
      <w:r>
        <w:rPr>
          <w:color w:val="0E101A"/>
        </w:rPr>
        <w:t>2021</w:t>
      </w:r>
      <w:proofErr w:type="gramEnd"/>
      <w:r>
        <w:rPr>
          <w:color w:val="0E101A"/>
        </w:rPr>
        <w:t xml:space="preserve"> from </w:t>
      </w:r>
      <w:r w:rsidRPr="00F07912">
        <w:rPr>
          <w:position w:val="-1"/>
        </w:rPr>
        <w:t>https://www.nst.com.my/news/nation/2021/02/662364/take-advantage-free-internet-data-pdpr-purposes-mcmc</w:t>
      </w:r>
    </w:p>
    <w:p w14:paraId="43ABFFEC" w14:textId="6EE36215" w:rsidR="006A7BED" w:rsidRDefault="006A7BED" w:rsidP="00F07912">
      <w:pPr>
        <w:pStyle w:val="NormalWeb"/>
        <w:spacing w:before="0" w:beforeAutospacing="0" w:after="0" w:afterAutospacing="0"/>
        <w:ind w:left="5" w:hanging="7"/>
        <w:jc w:val="both"/>
        <w:rPr>
          <w:color w:val="0E101A"/>
        </w:rPr>
      </w:pPr>
      <w:proofErr w:type="spellStart"/>
      <w:r>
        <w:rPr>
          <w:color w:val="0E101A"/>
        </w:rPr>
        <w:lastRenderedPageBreak/>
        <w:t>Pongpaew</w:t>
      </w:r>
      <w:proofErr w:type="spellEnd"/>
      <w:r>
        <w:rPr>
          <w:color w:val="0E101A"/>
        </w:rPr>
        <w:t xml:space="preserve">, W., </w:t>
      </w:r>
      <w:proofErr w:type="spellStart"/>
      <w:r>
        <w:rPr>
          <w:color w:val="0E101A"/>
        </w:rPr>
        <w:t>Speece</w:t>
      </w:r>
      <w:proofErr w:type="spellEnd"/>
      <w:r>
        <w:rPr>
          <w:color w:val="0E101A"/>
        </w:rPr>
        <w:t xml:space="preserve">, M. and </w:t>
      </w:r>
      <w:proofErr w:type="spellStart"/>
      <w:r>
        <w:rPr>
          <w:color w:val="0E101A"/>
        </w:rPr>
        <w:t>Tiangsoongnern</w:t>
      </w:r>
      <w:proofErr w:type="spellEnd"/>
      <w:r>
        <w:rPr>
          <w:color w:val="0E101A"/>
        </w:rPr>
        <w:t>, L. (2017)</w:t>
      </w:r>
      <w:r w:rsidR="00F07912">
        <w:rPr>
          <w:color w:val="0E101A"/>
        </w:rPr>
        <w:t>.</w:t>
      </w:r>
      <w:r>
        <w:rPr>
          <w:color w:val="0E101A"/>
        </w:rPr>
        <w:t xml:space="preserve"> Social presence and customer brand engagement on </w:t>
      </w:r>
      <w:proofErr w:type="spellStart"/>
      <w:r>
        <w:rPr>
          <w:color w:val="0E101A"/>
        </w:rPr>
        <w:t>facebook</w:t>
      </w:r>
      <w:proofErr w:type="spellEnd"/>
      <w:r>
        <w:rPr>
          <w:color w:val="0E101A"/>
        </w:rPr>
        <w:t xml:space="preserve"> brand pages</w:t>
      </w:r>
      <w:r w:rsidR="00F07912">
        <w:rPr>
          <w:color w:val="0E101A"/>
        </w:rPr>
        <w:t>.</w:t>
      </w:r>
      <w:r>
        <w:rPr>
          <w:color w:val="0E101A"/>
        </w:rPr>
        <w:t xml:space="preserve"> </w:t>
      </w:r>
      <w:r w:rsidRPr="00F07912">
        <w:rPr>
          <w:b/>
          <w:bCs/>
          <w:color w:val="0E101A"/>
        </w:rPr>
        <w:t>Journal of Product and Brand Management</w:t>
      </w:r>
      <w:r>
        <w:rPr>
          <w:color w:val="0E101A"/>
        </w:rPr>
        <w:t>, Vol. 26</w:t>
      </w:r>
      <w:r w:rsidR="00F07912">
        <w:rPr>
          <w:color w:val="0E101A"/>
        </w:rPr>
        <w:t>,</w:t>
      </w:r>
      <w:r>
        <w:rPr>
          <w:color w:val="0E101A"/>
        </w:rPr>
        <w:t xml:space="preserve"> No. 3, pp. 262-281.</w:t>
      </w:r>
    </w:p>
    <w:p w14:paraId="0935E75E" w14:textId="77777777" w:rsidR="00287965" w:rsidRDefault="00287965" w:rsidP="00F07912">
      <w:pPr>
        <w:pStyle w:val="NormalWeb"/>
        <w:spacing w:before="0" w:beforeAutospacing="0" w:after="0" w:afterAutospacing="0"/>
        <w:ind w:left="5" w:hanging="7"/>
        <w:jc w:val="both"/>
        <w:rPr>
          <w:color w:val="0E101A"/>
        </w:rPr>
      </w:pPr>
    </w:p>
    <w:p w14:paraId="3885E703" w14:textId="3D645292" w:rsidR="006A7BED" w:rsidRDefault="006A7BED" w:rsidP="00F07912">
      <w:pPr>
        <w:pStyle w:val="NormalWeb"/>
        <w:spacing w:before="0" w:beforeAutospacing="0" w:after="0" w:afterAutospacing="0"/>
        <w:ind w:left="5" w:hanging="7"/>
        <w:jc w:val="both"/>
        <w:rPr>
          <w:color w:val="0E101A"/>
        </w:rPr>
      </w:pPr>
      <w:proofErr w:type="spellStart"/>
      <w:r>
        <w:rPr>
          <w:color w:val="0E101A"/>
        </w:rPr>
        <w:t>Ringle</w:t>
      </w:r>
      <w:proofErr w:type="spellEnd"/>
      <w:r>
        <w:rPr>
          <w:color w:val="0E101A"/>
        </w:rPr>
        <w:t xml:space="preserve">, C.M., Wende, S., </w:t>
      </w:r>
      <w:r w:rsidR="00F07912">
        <w:rPr>
          <w:color w:val="0E101A"/>
        </w:rPr>
        <w:t xml:space="preserve">and </w:t>
      </w:r>
      <w:r>
        <w:rPr>
          <w:color w:val="0E101A"/>
        </w:rPr>
        <w:t xml:space="preserve">Becker, J.M. </w:t>
      </w:r>
      <w:r w:rsidR="00F07912">
        <w:rPr>
          <w:color w:val="0E101A"/>
        </w:rPr>
        <w:t>(</w:t>
      </w:r>
      <w:r>
        <w:rPr>
          <w:color w:val="0E101A"/>
        </w:rPr>
        <w:t>2015</w:t>
      </w:r>
      <w:r w:rsidR="00F07912">
        <w:rPr>
          <w:color w:val="0E101A"/>
        </w:rPr>
        <w:t>)</w:t>
      </w:r>
      <w:r>
        <w:rPr>
          <w:color w:val="0E101A"/>
        </w:rPr>
        <w:t xml:space="preserve">. </w:t>
      </w:r>
      <w:proofErr w:type="spellStart"/>
      <w:r w:rsidRPr="00F07912">
        <w:rPr>
          <w:b/>
          <w:bCs/>
          <w:color w:val="0E101A"/>
        </w:rPr>
        <w:t>SmartPLS</w:t>
      </w:r>
      <w:proofErr w:type="spellEnd"/>
      <w:r w:rsidRPr="00F07912">
        <w:rPr>
          <w:b/>
          <w:bCs/>
          <w:color w:val="0E101A"/>
        </w:rPr>
        <w:t xml:space="preserve"> 3</w:t>
      </w:r>
      <w:r>
        <w:rPr>
          <w:color w:val="0E101A"/>
        </w:rPr>
        <w:t xml:space="preserve">. </w:t>
      </w:r>
      <w:proofErr w:type="spellStart"/>
      <w:r>
        <w:rPr>
          <w:color w:val="0E101A"/>
        </w:rPr>
        <w:t>Bonningstedt</w:t>
      </w:r>
      <w:proofErr w:type="spellEnd"/>
      <w:r>
        <w:rPr>
          <w:color w:val="0E101A"/>
        </w:rPr>
        <w:t xml:space="preserve">: </w:t>
      </w:r>
      <w:proofErr w:type="spellStart"/>
      <w:r>
        <w:rPr>
          <w:color w:val="0E101A"/>
        </w:rPr>
        <w:t>SmartPLS</w:t>
      </w:r>
      <w:proofErr w:type="spellEnd"/>
      <w:r>
        <w:rPr>
          <w:color w:val="0E101A"/>
        </w:rPr>
        <w:t>. Retrieved October 30, 2017, from http://www.smartpls.com.</w:t>
      </w:r>
    </w:p>
    <w:p w14:paraId="590427E5" w14:textId="77777777" w:rsidR="00287965" w:rsidRDefault="00287965" w:rsidP="00F07912">
      <w:pPr>
        <w:pStyle w:val="NormalWeb"/>
        <w:spacing w:before="0" w:beforeAutospacing="0" w:after="0" w:afterAutospacing="0"/>
        <w:ind w:left="5" w:hanging="7"/>
        <w:jc w:val="both"/>
        <w:rPr>
          <w:color w:val="0E101A"/>
        </w:rPr>
      </w:pPr>
    </w:p>
    <w:p w14:paraId="7DA15B23" w14:textId="4CC0839B" w:rsidR="006A7BED" w:rsidRDefault="006A7BED" w:rsidP="00F07912">
      <w:pPr>
        <w:pStyle w:val="NormalWeb"/>
        <w:spacing w:before="0" w:beforeAutospacing="0" w:after="0" w:afterAutospacing="0"/>
        <w:ind w:left="5" w:hanging="7"/>
        <w:jc w:val="both"/>
        <w:rPr>
          <w:color w:val="0E101A"/>
        </w:rPr>
      </w:pPr>
      <w:proofErr w:type="spellStart"/>
      <w:r>
        <w:rPr>
          <w:color w:val="0E101A"/>
        </w:rPr>
        <w:t>Sahu</w:t>
      </w:r>
      <w:proofErr w:type="spellEnd"/>
      <w:r>
        <w:rPr>
          <w:color w:val="0E101A"/>
        </w:rPr>
        <w:t>, P. (2020). Closure of universities due to coronavirus disease 2019 (COVID-19): Impact on education and mental health of students and academic staff. </w:t>
      </w:r>
      <w:proofErr w:type="spellStart"/>
      <w:r>
        <w:rPr>
          <w:rStyle w:val="Emphasis"/>
          <w:color w:val="0E101A"/>
        </w:rPr>
        <w:t>Cureus</w:t>
      </w:r>
      <w:proofErr w:type="spellEnd"/>
      <w:r>
        <w:rPr>
          <w:color w:val="0E101A"/>
        </w:rPr>
        <w:t>, Vol. 12, No. 4, pp. 1–5. </w:t>
      </w:r>
    </w:p>
    <w:p w14:paraId="7D7A33FE" w14:textId="77777777" w:rsidR="00287965" w:rsidRDefault="00287965" w:rsidP="00F07912">
      <w:pPr>
        <w:pStyle w:val="NormalWeb"/>
        <w:spacing w:before="0" w:beforeAutospacing="0" w:after="0" w:afterAutospacing="0"/>
        <w:ind w:left="5" w:hanging="7"/>
        <w:jc w:val="both"/>
        <w:rPr>
          <w:color w:val="0E101A"/>
        </w:rPr>
      </w:pPr>
    </w:p>
    <w:p w14:paraId="32325A22" w14:textId="597A7663" w:rsidR="006A7BED" w:rsidRDefault="006A7BED" w:rsidP="00F07912">
      <w:pPr>
        <w:pStyle w:val="NormalWeb"/>
        <w:spacing w:before="0" w:beforeAutospacing="0" w:after="0" w:afterAutospacing="0"/>
        <w:ind w:left="5" w:hanging="7"/>
        <w:jc w:val="both"/>
        <w:rPr>
          <w:color w:val="0E101A"/>
        </w:rPr>
      </w:pPr>
      <w:proofErr w:type="spellStart"/>
      <w:r>
        <w:rPr>
          <w:color w:val="0E101A"/>
        </w:rPr>
        <w:t>Trembach</w:t>
      </w:r>
      <w:proofErr w:type="spellEnd"/>
      <w:r>
        <w:rPr>
          <w:color w:val="0E101A"/>
        </w:rPr>
        <w:t xml:space="preserve">, S., </w:t>
      </w:r>
      <w:r w:rsidR="00F07912">
        <w:rPr>
          <w:color w:val="0E101A"/>
        </w:rPr>
        <w:t>and</w:t>
      </w:r>
      <w:r>
        <w:rPr>
          <w:color w:val="0E101A"/>
        </w:rPr>
        <w:t xml:space="preserve"> Deng, L. (2018). </w:t>
      </w:r>
      <w:r w:rsidRPr="00F07912">
        <w:rPr>
          <w:rStyle w:val="Emphasis"/>
          <w:b w:val="0"/>
          <w:bCs/>
          <w:color w:val="0E101A"/>
        </w:rPr>
        <w:t>Understanding millennial learning in academic libraries: Learning styles, emerging technologies, and the efficacy of information literacy instruction.</w:t>
      </w:r>
      <w:r>
        <w:rPr>
          <w:rStyle w:val="Emphasis"/>
          <w:color w:val="0E101A"/>
        </w:rPr>
        <w:t xml:space="preserve"> College &amp; Undergraduate Libraries, </w:t>
      </w:r>
      <w:r w:rsidR="00F07912" w:rsidRPr="00F07912">
        <w:rPr>
          <w:rStyle w:val="Emphasis"/>
          <w:b w:val="0"/>
          <w:bCs/>
          <w:color w:val="0E101A"/>
        </w:rPr>
        <w:t xml:space="preserve">pp. </w:t>
      </w:r>
      <w:r w:rsidRPr="00F07912">
        <w:rPr>
          <w:rStyle w:val="Emphasis"/>
          <w:b w:val="0"/>
          <w:bCs/>
          <w:color w:val="0E101A"/>
        </w:rPr>
        <w:t>1–19.</w:t>
      </w:r>
      <w:r>
        <w:rPr>
          <w:color w:val="0E101A"/>
        </w:rPr>
        <w:t> </w:t>
      </w:r>
    </w:p>
    <w:p w14:paraId="56899D57" w14:textId="77777777" w:rsidR="006A7BED" w:rsidRDefault="006A7BED" w:rsidP="00F07912">
      <w:pPr>
        <w:pStyle w:val="NormalWeb"/>
        <w:spacing w:before="0" w:beforeAutospacing="0" w:after="0" w:afterAutospacing="0"/>
        <w:ind w:left="5" w:hanging="7"/>
        <w:jc w:val="both"/>
        <w:rPr>
          <w:color w:val="0E101A"/>
        </w:rPr>
      </w:pPr>
    </w:p>
    <w:p w14:paraId="50B88D1D" w14:textId="375C511D" w:rsidR="006A7BED" w:rsidRDefault="006A7BED" w:rsidP="00F07912">
      <w:pPr>
        <w:pStyle w:val="NormalWeb"/>
        <w:spacing w:before="0" w:beforeAutospacing="0" w:after="0" w:afterAutospacing="0"/>
        <w:ind w:left="5" w:hanging="7"/>
        <w:jc w:val="both"/>
        <w:rPr>
          <w:color w:val="0E101A"/>
        </w:rPr>
      </w:pPr>
      <w:proofErr w:type="spellStart"/>
      <w:r>
        <w:rPr>
          <w:color w:val="0E101A"/>
        </w:rPr>
        <w:t>Turan</w:t>
      </w:r>
      <w:proofErr w:type="spellEnd"/>
      <w:r>
        <w:rPr>
          <w:color w:val="0E101A"/>
        </w:rPr>
        <w:t xml:space="preserve">, Z., and </w:t>
      </w:r>
      <w:proofErr w:type="spellStart"/>
      <w:r>
        <w:rPr>
          <w:color w:val="0E101A"/>
        </w:rPr>
        <w:t>Gurol</w:t>
      </w:r>
      <w:proofErr w:type="spellEnd"/>
      <w:r>
        <w:rPr>
          <w:color w:val="0E101A"/>
        </w:rPr>
        <w:t>, A. (2020). Emergency transformation in education: Stress perceptions and views of university students taking online course during the COVID-19 Pandemic. </w:t>
      </w:r>
      <w:proofErr w:type="spellStart"/>
      <w:r>
        <w:rPr>
          <w:rStyle w:val="Emphasis"/>
          <w:color w:val="0E101A"/>
        </w:rPr>
        <w:t>Hayef</w:t>
      </w:r>
      <w:proofErr w:type="spellEnd"/>
      <w:r>
        <w:rPr>
          <w:rStyle w:val="Emphasis"/>
          <w:color w:val="0E101A"/>
        </w:rPr>
        <w:t>: Journal of Education</w:t>
      </w:r>
      <w:r>
        <w:rPr>
          <w:color w:val="0E101A"/>
        </w:rPr>
        <w:t>, Vol. 17, No. 2, pp. 222–242. </w:t>
      </w:r>
    </w:p>
    <w:p w14:paraId="6BA0A644" w14:textId="77777777" w:rsidR="006A7BED" w:rsidRDefault="006A7BED" w:rsidP="00F07912">
      <w:pPr>
        <w:pStyle w:val="NormalWeb"/>
        <w:spacing w:before="0" w:beforeAutospacing="0" w:after="0" w:afterAutospacing="0"/>
        <w:ind w:left="5" w:hanging="7"/>
        <w:jc w:val="both"/>
        <w:rPr>
          <w:color w:val="0E101A"/>
        </w:rPr>
      </w:pPr>
    </w:p>
    <w:p w14:paraId="50DD3E06" w14:textId="7AD2DCA2" w:rsidR="006A7BED" w:rsidRDefault="006A7BED" w:rsidP="00F07912">
      <w:pPr>
        <w:pStyle w:val="NormalWeb"/>
        <w:spacing w:before="0" w:beforeAutospacing="0" w:after="0" w:afterAutospacing="0"/>
        <w:ind w:left="5" w:hanging="7"/>
        <w:jc w:val="both"/>
        <w:rPr>
          <w:color w:val="0E101A"/>
        </w:rPr>
      </w:pPr>
      <w:proofErr w:type="spellStart"/>
      <w:r>
        <w:rPr>
          <w:color w:val="0E101A"/>
        </w:rPr>
        <w:t>Vlachopoulos</w:t>
      </w:r>
      <w:proofErr w:type="spellEnd"/>
      <w:r>
        <w:rPr>
          <w:color w:val="0E101A"/>
        </w:rPr>
        <w:t>, D. (2011). COVID-19:</w:t>
      </w:r>
      <w:r w:rsidR="0009779D">
        <w:rPr>
          <w:color w:val="0E101A"/>
        </w:rPr>
        <w:t xml:space="preserve"> </w:t>
      </w:r>
      <w:r>
        <w:rPr>
          <w:color w:val="0E101A"/>
        </w:rPr>
        <w:t>Threat or opportunity for online education? </w:t>
      </w:r>
      <w:r>
        <w:rPr>
          <w:rStyle w:val="Emphasis"/>
          <w:color w:val="0E101A"/>
        </w:rPr>
        <w:t>Higher Learning Research Communications</w:t>
      </w:r>
      <w:r>
        <w:rPr>
          <w:color w:val="0E101A"/>
        </w:rPr>
        <w:t>, Vol. 10, No. 1, pp. 16–19. </w:t>
      </w:r>
    </w:p>
    <w:p w14:paraId="35088BCF" w14:textId="1744D356" w:rsidR="006F1887" w:rsidRPr="006A7BED" w:rsidRDefault="006F1887" w:rsidP="006A7BED">
      <w:pPr>
        <w:spacing w:after="0" w:line="240" w:lineRule="auto"/>
        <w:ind w:left="0" w:hanging="2"/>
        <w:rPr>
          <w:rFonts w:ascii="Times New Roman" w:eastAsia="Times New Roman" w:hAnsi="Times New Roman" w:cs="Times New Roman"/>
          <w:sz w:val="24"/>
          <w:szCs w:val="24"/>
          <w:lang w:val="en-GB"/>
        </w:rPr>
      </w:pPr>
    </w:p>
    <w:sectPr w:rsidR="006F1887" w:rsidRPr="006A7BED">
      <w:headerReference w:type="default" r:id="rId9"/>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06A3" w14:textId="77777777" w:rsidR="002A5349" w:rsidRDefault="002A5349">
      <w:pPr>
        <w:spacing w:after="0" w:line="240" w:lineRule="auto"/>
        <w:ind w:left="0" w:hanging="2"/>
      </w:pPr>
      <w:r>
        <w:separator/>
      </w:r>
    </w:p>
  </w:endnote>
  <w:endnote w:type="continuationSeparator" w:id="0">
    <w:p w14:paraId="423F7A3E" w14:textId="77777777" w:rsidR="002A5349" w:rsidRDefault="002A534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1AB2" w14:textId="77777777" w:rsidR="002A5349" w:rsidRDefault="002A5349">
      <w:pPr>
        <w:spacing w:after="0" w:line="240" w:lineRule="auto"/>
        <w:ind w:left="0" w:hanging="2"/>
      </w:pPr>
      <w:r>
        <w:separator/>
      </w:r>
    </w:p>
  </w:footnote>
  <w:footnote w:type="continuationSeparator" w:id="0">
    <w:p w14:paraId="6986F91A" w14:textId="77777777" w:rsidR="002A5349" w:rsidRDefault="002A534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A9A3" w14:textId="77777777" w:rsidR="006F1887" w:rsidRDefault="004D1579">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24B6CD53" w14:textId="77777777" w:rsidR="006F1887" w:rsidRDefault="004D1579">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wBZKGBkaWlkYWZko6SsGpxcWZ+XkgBca1AGBaLucsAAAA"/>
  </w:docVars>
  <w:rsids>
    <w:rsidRoot w:val="006F1887"/>
    <w:rsid w:val="000944BC"/>
    <w:rsid w:val="0009779D"/>
    <w:rsid w:val="000B7D9A"/>
    <w:rsid w:val="000D470B"/>
    <w:rsid w:val="00224401"/>
    <w:rsid w:val="00256208"/>
    <w:rsid w:val="00287965"/>
    <w:rsid w:val="002A5349"/>
    <w:rsid w:val="003005F0"/>
    <w:rsid w:val="00383738"/>
    <w:rsid w:val="004D1579"/>
    <w:rsid w:val="0059272A"/>
    <w:rsid w:val="006A7BED"/>
    <w:rsid w:val="006F1887"/>
    <w:rsid w:val="00986F97"/>
    <w:rsid w:val="00AE7E21"/>
    <w:rsid w:val="00B60E04"/>
    <w:rsid w:val="00D270EC"/>
    <w:rsid w:val="00D7686E"/>
    <w:rsid w:val="00DB757A"/>
    <w:rsid w:val="00DD1EB5"/>
    <w:rsid w:val="00E75D3B"/>
    <w:rsid w:val="00EB550D"/>
    <w:rsid w:val="00EC7130"/>
    <w:rsid w:val="00F07912"/>
    <w:rsid w:val="00F125C3"/>
    <w:rsid w:val="00F14EAB"/>
    <w:rsid w:val="00F317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96C5"/>
  <w15:docId w15:val="{A3653FB3-5870-4538-9F13-69047CF1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25620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76851">
      <w:bodyDiv w:val="1"/>
      <w:marLeft w:val="0"/>
      <w:marRight w:val="0"/>
      <w:marTop w:val="0"/>
      <w:marBottom w:val="0"/>
      <w:divBdr>
        <w:top w:val="none" w:sz="0" w:space="0" w:color="auto"/>
        <w:left w:val="none" w:sz="0" w:space="0" w:color="auto"/>
        <w:bottom w:val="none" w:sz="0" w:space="0" w:color="auto"/>
        <w:right w:val="none" w:sz="0" w:space="0" w:color="auto"/>
      </w:divBdr>
    </w:div>
    <w:div w:id="1127091043">
      <w:bodyDiv w:val="1"/>
      <w:marLeft w:val="0"/>
      <w:marRight w:val="0"/>
      <w:marTop w:val="0"/>
      <w:marBottom w:val="0"/>
      <w:divBdr>
        <w:top w:val="none" w:sz="0" w:space="0" w:color="auto"/>
        <w:left w:val="none" w:sz="0" w:space="0" w:color="auto"/>
        <w:bottom w:val="none" w:sz="0" w:space="0" w:color="auto"/>
        <w:right w:val="none" w:sz="0" w:space="0" w:color="auto"/>
      </w:divBdr>
    </w:div>
    <w:div w:id="175855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6420</Words>
  <Characters>36598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Nabilah Rozzani</cp:lastModifiedBy>
  <cp:revision>6</cp:revision>
  <dcterms:created xsi:type="dcterms:W3CDTF">2021-12-27T08:01:00Z</dcterms:created>
  <dcterms:modified xsi:type="dcterms:W3CDTF">2021-12-31T02:49:00Z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