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8FE5" w14:textId="77777777" w:rsidR="0057592A" w:rsidRDefault="003E5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06FEAE72" wp14:editId="7376ED5B">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33CB2021" w14:textId="77777777" w:rsidR="0057592A" w:rsidRDefault="005759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2D281DD" w14:textId="77777777" w:rsidR="00303A2A" w:rsidRDefault="00303A2A">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r w:rsidRPr="00303A2A">
        <w:rPr>
          <w:rFonts w:ascii="Times New Roman" w:eastAsia="Times New Roman" w:hAnsi="Times New Roman" w:cs="Times New Roman"/>
          <w:b/>
          <w:sz w:val="28"/>
          <w:szCs w:val="28"/>
        </w:rPr>
        <w:t>The Public Perception of Adopting Hydrogen Fuel Cell Vehicles (HFCV) in Kuala Lumpur, Malaysia</w:t>
      </w:r>
      <w:r w:rsidRPr="00303A2A">
        <w:rPr>
          <w:rFonts w:ascii="Times New Roman" w:eastAsia="Times New Roman" w:hAnsi="Times New Roman" w:cs="Times New Roman"/>
          <w:b/>
          <w:sz w:val="28"/>
          <w:szCs w:val="28"/>
        </w:rPr>
        <w:t xml:space="preserve"> </w:t>
      </w:r>
    </w:p>
    <w:p w14:paraId="058BD770" w14:textId="77777777" w:rsidR="0057592A" w:rsidRDefault="005759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37C7B5A" w14:textId="6183E1DD" w:rsidR="0057592A" w:rsidRDefault="00303A2A" w:rsidP="00303A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303A2A">
        <w:rPr>
          <w:rFonts w:ascii="Times New Roman" w:eastAsia="Times New Roman" w:hAnsi="Times New Roman" w:cs="Times New Roman"/>
          <w:color w:val="000000"/>
        </w:rPr>
        <w:t>Rusinah</w:t>
      </w:r>
      <w:proofErr w:type="spellEnd"/>
      <w:r w:rsidRPr="00303A2A">
        <w:rPr>
          <w:rFonts w:ascii="Times New Roman" w:eastAsia="Times New Roman" w:hAnsi="Times New Roman" w:cs="Times New Roman"/>
          <w:color w:val="000000"/>
        </w:rPr>
        <w:t xml:space="preserve"> Binti Siron</w:t>
      </w:r>
      <w:r w:rsidRPr="00303A2A">
        <w:rPr>
          <w:rFonts w:ascii="Times New Roman" w:eastAsia="Times New Roman" w:hAnsi="Times New Roman" w:cs="Times New Roman"/>
          <w:color w:val="000000"/>
          <w:vertAlign w:val="superscript"/>
        </w:rPr>
        <w:t>1</w:t>
      </w:r>
      <w:r w:rsidRPr="00303A2A">
        <w:rPr>
          <w:rFonts w:ascii="Times New Roman" w:eastAsia="Times New Roman" w:hAnsi="Times New Roman" w:cs="Times New Roman"/>
          <w:color w:val="000000"/>
        </w:rPr>
        <w:t>, Saraswathy Kasavan</w:t>
      </w:r>
      <w:r w:rsidRPr="00303A2A">
        <w:rPr>
          <w:rFonts w:ascii="Times New Roman" w:eastAsia="Times New Roman" w:hAnsi="Times New Roman" w:cs="Times New Roman"/>
          <w:color w:val="000000"/>
          <w:vertAlign w:val="superscript"/>
        </w:rPr>
        <w:t>2</w:t>
      </w:r>
      <w:r w:rsidRPr="00303A2A">
        <w:rPr>
          <w:rFonts w:ascii="Times New Roman" w:eastAsia="Times New Roman" w:hAnsi="Times New Roman" w:cs="Times New Roman"/>
          <w:color w:val="000000"/>
        </w:rPr>
        <w:t xml:space="preserve"> &amp; Amar Hisham Jaaffar</w:t>
      </w:r>
      <w:r w:rsidRPr="00303A2A">
        <w:rPr>
          <w:rFonts w:ascii="Times New Roman" w:eastAsia="Times New Roman" w:hAnsi="Times New Roman" w:cs="Times New Roman"/>
          <w:color w:val="000000"/>
          <w:vertAlign w:val="superscript"/>
        </w:rPr>
        <w:t>2</w:t>
      </w:r>
    </w:p>
    <w:p w14:paraId="5DB11503" w14:textId="77777777" w:rsidR="00303A2A" w:rsidRPr="00303A2A" w:rsidRDefault="00303A2A" w:rsidP="00303A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303A2A">
        <w:rPr>
          <w:rFonts w:ascii="Times New Roman" w:eastAsia="Times New Roman" w:hAnsi="Times New Roman" w:cs="Times New Roman"/>
          <w:color w:val="000000"/>
          <w:vertAlign w:val="superscript"/>
        </w:rPr>
        <w:t>1</w:t>
      </w:r>
      <w:r w:rsidRPr="00303A2A">
        <w:rPr>
          <w:rFonts w:ascii="Times New Roman" w:eastAsia="Times New Roman" w:hAnsi="Times New Roman" w:cs="Times New Roman"/>
          <w:color w:val="000000"/>
        </w:rPr>
        <w:t xml:space="preserve">College of Energy Economics and Social Sciences, </w:t>
      </w:r>
      <w:proofErr w:type="spellStart"/>
      <w:r w:rsidRPr="00303A2A">
        <w:rPr>
          <w:rFonts w:ascii="Times New Roman" w:eastAsia="Times New Roman" w:hAnsi="Times New Roman" w:cs="Times New Roman"/>
          <w:color w:val="000000"/>
        </w:rPr>
        <w:t>Universiti</w:t>
      </w:r>
      <w:proofErr w:type="spellEnd"/>
      <w:r w:rsidRPr="00303A2A">
        <w:rPr>
          <w:rFonts w:ascii="Times New Roman" w:eastAsia="Times New Roman" w:hAnsi="Times New Roman" w:cs="Times New Roman"/>
          <w:color w:val="000000"/>
        </w:rPr>
        <w:t xml:space="preserve"> Tenaga Nasional, Jalan IKRAM-UNITEN, 43000 </w:t>
      </w:r>
      <w:proofErr w:type="spellStart"/>
      <w:r w:rsidRPr="00303A2A">
        <w:rPr>
          <w:rFonts w:ascii="Times New Roman" w:eastAsia="Times New Roman" w:hAnsi="Times New Roman" w:cs="Times New Roman"/>
          <w:color w:val="000000"/>
        </w:rPr>
        <w:t>Kajang</w:t>
      </w:r>
      <w:proofErr w:type="spellEnd"/>
      <w:r w:rsidRPr="00303A2A">
        <w:rPr>
          <w:rFonts w:ascii="Times New Roman" w:eastAsia="Times New Roman" w:hAnsi="Times New Roman" w:cs="Times New Roman"/>
          <w:color w:val="000000"/>
        </w:rPr>
        <w:t>, Selangor, Malaysia</w:t>
      </w:r>
    </w:p>
    <w:p w14:paraId="1701E722" w14:textId="6D7FF917" w:rsidR="0057592A" w:rsidRPr="00303A2A" w:rsidRDefault="00303A2A" w:rsidP="00303A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303A2A">
        <w:rPr>
          <w:rFonts w:ascii="Times New Roman" w:eastAsia="Times New Roman" w:hAnsi="Times New Roman" w:cs="Times New Roman"/>
          <w:color w:val="000000"/>
          <w:vertAlign w:val="superscript"/>
        </w:rPr>
        <w:t>2</w:t>
      </w:r>
      <w:r w:rsidRPr="00303A2A">
        <w:rPr>
          <w:rFonts w:ascii="Times New Roman" w:eastAsia="Times New Roman" w:hAnsi="Times New Roman" w:cs="Times New Roman"/>
          <w:color w:val="000000"/>
        </w:rPr>
        <w:t xml:space="preserve">Institute of Energy Policy and Research, </w:t>
      </w:r>
      <w:proofErr w:type="spellStart"/>
      <w:r w:rsidRPr="00303A2A">
        <w:rPr>
          <w:rFonts w:ascii="Times New Roman" w:eastAsia="Times New Roman" w:hAnsi="Times New Roman" w:cs="Times New Roman"/>
          <w:color w:val="000000"/>
        </w:rPr>
        <w:t>Universiti</w:t>
      </w:r>
      <w:proofErr w:type="spellEnd"/>
      <w:r w:rsidRPr="00303A2A">
        <w:rPr>
          <w:rFonts w:ascii="Times New Roman" w:eastAsia="Times New Roman" w:hAnsi="Times New Roman" w:cs="Times New Roman"/>
          <w:color w:val="000000"/>
        </w:rPr>
        <w:t xml:space="preserve"> Tenaga Nasional, Jalan IKRAM-UNITEN, 43000 </w:t>
      </w:r>
      <w:proofErr w:type="spellStart"/>
      <w:r w:rsidRPr="00303A2A">
        <w:rPr>
          <w:rFonts w:ascii="Times New Roman" w:eastAsia="Times New Roman" w:hAnsi="Times New Roman" w:cs="Times New Roman"/>
          <w:color w:val="000000"/>
        </w:rPr>
        <w:t>Kajang</w:t>
      </w:r>
      <w:proofErr w:type="spellEnd"/>
      <w:r w:rsidRPr="00303A2A">
        <w:rPr>
          <w:rFonts w:ascii="Times New Roman" w:eastAsia="Times New Roman" w:hAnsi="Times New Roman" w:cs="Times New Roman"/>
          <w:color w:val="000000"/>
        </w:rPr>
        <w:t>, Selangor, Malaysia</w:t>
      </w:r>
    </w:p>
    <w:p w14:paraId="3F0CD327" w14:textId="48A3A41B" w:rsidR="0057592A" w:rsidRDefault="003E5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303A2A" w:rsidRPr="00303A2A">
        <w:rPr>
          <w:rFonts w:ascii="Times New Roman" w:eastAsia="Times New Roman" w:hAnsi="Times New Roman" w:cs="Times New Roman"/>
          <w:color w:val="000000"/>
        </w:rPr>
        <w:t>Saraswathy Kasavan</w:t>
      </w:r>
      <w:r w:rsidR="00303A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(email:</w:t>
      </w:r>
      <w:r w:rsidR="00303A2A">
        <w:rPr>
          <w:rFonts w:ascii="Times New Roman" w:eastAsia="Times New Roman" w:hAnsi="Times New Roman" w:cs="Times New Roman"/>
          <w:color w:val="000000"/>
        </w:rPr>
        <w:t xml:space="preserve"> </w:t>
      </w:r>
      <w:r w:rsidR="00303A2A">
        <w:rPr>
          <w:rFonts w:ascii="Times New Roman" w:eastAsia="Times New Roman" w:hAnsi="Times New Roman" w:cs="Times New Roman"/>
          <w:i/>
          <w:color w:val="000000"/>
        </w:rPr>
        <w:t>saraswathy50@yahoo.com</w:t>
      </w:r>
      <w:r>
        <w:rPr>
          <w:rFonts w:ascii="Times New Roman" w:eastAsia="Times New Roman" w:hAnsi="Times New Roman" w:cs="Times New Roman"/>
          <w:i/>
          <w:color w:val="000000"/>
        </w:rPr>
        <w:t>)</w:t>
      </w:r>
    </w:p>
    <w:p w14:paraId="19EEF800" w14:textId="77777777" w:rsidR="0057592A" w:rsidRDefault="0057592A">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7FACDA62" w14:textId="77777777" w:rsidR="0057592A" w:rsidRDefault="003E5F8B">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14:paraId="2542DF42" w14:textId="77777777" w:rsidR="0057592A" w:rsidRDefault="005759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17BB1FC" w14:textId="77777777" w:rsidR="0057592A" w:rsidRDefault="003E5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13D257A0" w14:textId="61D6E3AB" w:rsidR="0057592A" w:rsidRDefault="003E5F8B"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2B2A3D44" w14:textId="0622947F" w:rsidR="0057592A" w:rsidRDefault="00303A2A"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303A2A">
        <w:rPr>
          <w:rFonts w:ascii="Times New Roman" w:eastAsia="Times New Roman" w:hAnsi="Times New Roman" w:cs="Times New Roman"/>
          <w:color w:val="000000"/>
          <w:sz w:val="24"/>
          <w:szCs w:val="24"/>
        </w:rPr>
        <w:t>Hydrogen fuel cell vehicles (HFCV) are leading as alternative energy-saving vehicles that replace non-renewable energy use and support sustainable transport systems for developing and developed countries. Public adoption of new transport technologies is vital for the successful evolution of a sustainable energy system. Previous studies have focused more on people’s attitudes towards hydrogen energy as alternative fuel energy. This article aims to assess the public perception of the adoption of HFCV in Kuala Lumpur, Malaysia. The overall results of this study found that demand-side action for HFCV among the public is influenced by supply-side aspects, including support infrastructure, characteristics of HFCV, operational costs, safety concerns, competitive markets, and the social equilibrium of the innovation. The current study also found that most respondents have a scant idea of the environmental benefits of using HFCV. The evidence from this study suggests that stakeholders should educate the public regarding the benefits of HFCV - an essential step when adopting new technologies. It is timely to seek innovative solutions and address appropriate policies for both energy security and environmental concerns globally in the transportation sector for the sake of present and future sustainability.</w:t>
      </w:r>
    </w:p>
    <w:p w14:paraId="0E7D3305" w14:textId="1E3F232D" w:rsidR="0057592A" w:rsidRDefault="003E5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303A2A" w:rsidRPr="00303A2A">
        <w:rPr>
          <w:rFonts w:ascii="Times New Roman" w:eastAsia="Times New Roman" w:hAnsi="Times New Roman" w:cs="Times New Roman"/>
          <w:color w:val="000000"/>
          <w:sz w:val="24"/>
          <w:szCs w:val="24"/>
        </w:rPr>
        <w:t>Energy security, hydrogen fuel cell vehicles, perception, public adoption, sustainable transport system</w:t>
      </w:r>
    </w:p>
    <w:p w14:paraId="64C82C56" w14:textId="425CDD1A" w:rsidR="0057592A" w:rsidRDefault="003E5F8B"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p>
    <w:p w14:paraId="6E59C01F" w14:textId="35A97E3E" w:rsidR="0057592A" w:rsidRDefault="003E5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5880BF96" w14:textId="5E076655"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The transportation sector became the leader in powering a country's socio-economic growth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{"citationItems":[{"id":"ITEM-1","itemData":{"author":[{"dropping-particle":"","family":"Pakpahan","given":"Riandy Yeremia","non-dropping-particle":"","parse-names":false,"suffix":""},{"dropping-particle":"","family":"Purwanto","given":"","non-dropping-particle":"","parse-names":false,"suffix":""}],"container-title":"Malaysian Journal of Consumer and Family Economics","id":"ITEM-1","issue":"S1","issued":{"date-parts":[["2021"]]},"page":"25-53","title":"Profitability and Efficiency Analysis on automotive and component industry in Inddonesia","type":"article-journal","volume":"27"},"uris":["http://www.mendeley.com/documents/?uuid=36815c06-a1d9-474f-976b-13eb0d7c85c8"]}],"mendeley":{"formattedCitation":"(Pakpahan &amp; Purwanto, 2021)","plainTextFormattedCitation":"(Pakpahan &amp; Purwanto, 2021)","previouslyFormattedCitation":"(Pakpahan &amp; Purwanto, 2021)"},"properties":{"noteIndex":0},"schema":"https://github.com/citation-style-language/schema/raw/master/csl-citation.json"}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(Pakpahan &amp; Purwanto, 2021)</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and challenged policymakers to promote more sustainable and ecologically friendly solutions </w:t>
      </w:r>
      <w:r w:rsidRPr="00303A2A">
        <w:rPr>
          <w:rFonts w:ascii="Times New Roman" w:eastAsia="Times New Roman" w:hAnsi="Times New Roman" w:cs="Times New Roman"/>
          <w:position w:val="0"/>
          <w:sz w:val="24"/>
          <w:szCs w:val="24"/>
        </w:rPr>
        <w:fldChar w:fldCharType="begin" w:fldLock="1"/>
      </w:r>
      <w:r>
        <w:rPr>
          <w:rFonts w:ascii="Times New Roman" w:eastAsia="Times New Roman" w:hAnsi="Times New Roman" w:cs="Times New Roman"/>
          <w:position w:val="0"/>
          <w:sz w:val="24"/>
          <w:szCs w:val="24"/>
        </w:rPr>
        <w:instrText>ADDIN CSL_CITATION {"citationItems":[{"id":"ITEM-1","itemData":{"author":[{"dropping-particle":"","family":"Zainal","given":"Nor Rashidah","non-dropping-particle":"","parse-names":false,"suffix":""},{"dropping-particle":"","family":"Mohamad","given":"Sabariah","non-dropping-particle":"","parse-names":false,"suffix":""}],"container-title":"Malaysian Journal of Consumer and Family Economics","id":"ITEM-1","issued":{"date-parts":[["2013"]]},"page":"67-77","title":"Sustainable mobility through public transport initiatives: The case of Johor Bahru Consumers","type":"article-journal","volume":"16"},"uris":["http://www.mendeley.com/documents/?uuid=fa677eb4-710c-4cf3-b40e-8ed760815d8e"]}],"mendeley":{"formattedCitation":"(Zainal &amp; Mohamad, 2013)","plainTextFormattedCitation":"(Zainal &amp; Mohamad, 2013)","previouslyFormattedCitation":"(Zainal &amp; Mohamad, 2013)"},"properties":{"noteIndex":0},"schema":"https://github.com/citation-style-language/schema/raw/master/csl-citation.json"}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(Zainal &amp; Mohamad, 2013)</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The transportation sector worldwide is still heavily reliant on fossil fuel resources, rapidly depleting diesel, coal, and natural gas supplies. High fossil fuel consumption in the transportation sector has created various environmental problems such as climate change, environmental pollution, urban heat islands, and degradation. For example, direct hazardous carbon emissions from the transportation sector significantly contribute to 29% global warming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{"citationItems":[{"id":"ITEM-1","itemData":{"URL":"https://www.epa.gov/ghgemissions/sources-greenhouse-gas-emissions","author":[{"dropping-particle":"","family":"EPA","given":"","non-dropping-particle":"","parse-names":false,"suffix":""}],"container-title":"United States Environmental Protection Agency","id":"ITEM-1","issued":{"date-parts":[["2019"]]},"title":"Sources of Greenhouse Gas Emissions","type":"webpage"},"uris":["http://www.mendeley.com/documents/?uuid=26202e69-f074-4f1e-a765-90f0cc07d139"]}],"mendeley":{"formattedCitation":"(EPA, 2019)","plainTextFormattedCitation":"(EPA, 2019)","previouslyFormattedCitation":"(EPA, 2019)"},"properties":{"noteIndex":0},"schema":"https://github.com/citation-style-language/schema/raw/master/csl-citation.json"}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(EPA, 2019)</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Although several developed and developing countries have been implementing a green economic system, the concept of green and smart transport systems is still new. A deep understanding of technical evolution in scaling backstop technologies is essential for implementing an effective transition to alternative energy to </w:t>
      </w:r>
      <w:r w:rsidRPr="00303A2A">
        <w:rPr>
          <w:rFonts w:ascii="Times New Roman" w:eastAsia="Times New Roman" w:hAnsi="Times New Roman" w:cs="Times New Roman"/>
          <w:position w:val="0"/>
          <w:sz w:val="24"/>
          <w:szCs w:val="24"/>
        </w:rPr>
        <w:lastRenderedPageBreak/>
        <w:t xml:space="preserve">replace non-renewable energy. There are already many green technologies available that are increasingly used to generate power; these include solar panels, windmills, biomass processors, and hydrogen fuel cells. The development of green technology will meet current energy demands, lower costs, and provide more friendly solutions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{"citationItems":[{"id":"ITEM-1","itemData":{"author":[{"dropping-particle":"","family":"Al-Amin","given":"Abul Quasem","non-dropping-particle":"","parse-names":false,"suffix":""}],"container-title":"Jurnal Teknologi","id":"ITEM-1","issued":{"date-parts":[["2017"]]},"page":"1-7","title":"Decarbonization through the introduction of hydrogen fuel cell vehicles in Malaysia: Prospects and challenges","type":"article-journal"},"uris":["http://www.mendeley.com/documents/?uuid=45ce104e-0331-4545-8cf5-ad1847cde2e9"]}],"mendeley":{"formattedCitation":"(Al-Amin, 2017)","plainTextFormattedCitation":"(Al-Amin, 2017)","previouslyFormattedCitation":"(Al-Amin, 2017)"},"properties":{"noteIndex":0},"schema":"https://github.com/citation-style-language/schema/raw/master/csl-citation.json"}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(Al-Amin, 2017)</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Most previous studies focused on alternative energy options by introducing technologies to switch from fossil to non-fossil fuels and seeking innovative solutions for future environmental sustainability in the transportation sector.</w:t>
      </w:r>
    </w:p>
    <w:p w14:paraId="5E42D00E"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Several studies have focused on biofuel production sourced from various types of agricultural commodities as alternative fuel sources. These have included such things as sugar-rich corn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{"citationItems":[{"id":"ITEM-1","itemData":{"DOI":"10.1016/j.energy.2020.118863","ISSN":"03605442","abstract":"The increase in energy demand, especially in Jordan, has encouraged researchers to consider alternative sources of energy, such as biofuel production from agricultural waste. For this study, Jordanian corn leaf waste was characterized by ultimate and proximate analysis, TGA, FTIR and solid state 13C NMR. The waste showed high volatile matter, high atomic H/C ratio and high O content. The corn leaf waste contained 32.1 wt% cellulose, 18.1 wt% hemicelluloses and 11.9 wt% lignin. The FTIR and 13C NMR spectrums showed high concentrations of aliphatic and carbonyl carbon. The corn leaf waste was pyrolysed in a temperature range of 300–450 °C under a constant flow rate of nitrogen. Higher oil yield was obtained at pyrolysis temperature of 450 °C. The gas yield and higher heating value of the product increased as the temperature increased, whereas the water content decreased. The biofuels were rich in carbon and had a high oxygen content, which decreased as the temperature increased. The 1H NMR confirmed the markedly aliphatic character of the biofuel. The GC-MS for the biofuel indicated the presence of hydrocarbon series, large amounts of oxygenated compounds and a few nitrogen and sulfur compounds. The simulated distillation showed a high proportion of diesel fraction (57–73%).","author":[{"dropping-particle":"","family":"Amer","given":"Mohammad W.","non-dropping-particle":"","parse-names":false,"suffix":""},{"dropping-particle":"","family":"Aljariri Alhesan","given":"Jameel S.","non-dropping-particle":"","parse-names":false,"suffix":""},{"dropping-particle":"","family":"Ibrahim","given":"Sawsan","non-dropping-particle":"","parse-names":false,"suffix":""},{"dropping-particle":"","family":"Qussay","given":"Ghadeer","non-dropping-particle":"","parse-names":false,"suffix":""},{"dropping-particle":"","family":"Marshall","given":"Marc","non-dropping-particle":"","parse-names":false,"suffix":""},{"dropping-particle":"","family":"Al-Ayed","given":"Omar S.","non-dropping-particle":"","parse-names":false,"suffix":""}],"container-title":"Energy","id":"ITEM-1","issued":{"date-parts":[["2021"]]},"page":"118863","publisher":"Elsevier Ltd","title":"Potential use of corn leaf waste for biofuel production in Jordan (physio-chemical study)","type":"article-journal","volume":"214"},"uris":["http://www.mendeley.com/documents/?uuid=a3199fcd-0a60-408d-9c09-24a11f16868e"]}],"mendeley":{"formattedCitation":"(Amer et al., 2021)","plainTextFormattedCitation":"(Amer et al., 2021)","previouslyFormattedCitation":"(Amer et al., 2021)"},"properties":{"noteIndex":0},"schema":"https://github.com/citation-style-language/schema/raw/master/csl-citation.json"}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(Amer et al., 2021)</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sugarcane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{"citationItems":[{"id":"ITEM-1","itemData":{"DOI":"10.1007/978-3-319-58946-6","ISBN":"9783319589466","abstract":"This book provides exhaustive information on several recent technologies that are employed for sugarcane improvement through biotechnology and will be of great interest to plant scientists, biotechnologists, molecular biologists and breeders who work on sugarcane crop. Topics discussed in this volume include genomics and transcriptomics, transgenic sugarcane for trait improvement, potential candidate promoters, new strategies for transformation, molecular farming, sugarcane as biofuel, chloroplast transformation, and genome editing.","author":[{"dropping-particle":"","family":"Mohan","given":"Chakravarthi","non-dropping-particle":"","parse-names":false,"suffix":""}],"container-title":"Sugarcane Biotechnology: Challenges and Prospects","id":"ITEM-1","issued":{"date-parts":[["2017"]]},"page":"1-176","title":"Sugarcane biotechnology: Challenges and prospects","type":"article-journal"},"uris":["http://www.mendeley.com/documents/?uuid=31f02bd3-21be-43f9-a731-dad41f32d3c7"]},{"id":"ITEM-2","itemData":{"DOI":"10.1016/j.rser.2020.110296","ISSN":"18790690","abstract":"Being a massive grower of sugarcane, China could use this crop in the biofuel sector. However, this critical aspect of the sugarcane crop in China has not been extensively explored. Therefore, this review analyzed the country's potential, bottlenecks, and a critical analysis of policies vs. the Brazilian model of sugarcane derived biofuels. The study determined that Brazilian sugarcane production significantly varied from Chinese conditions regarding first-generation ethanol production. The first-generation ethanol production is also constrained due to high domestic demands of sugar. However, sugarcane bagasse showed higher theoretical yield potential, density distribution, and cost-efficiency for disintegration in this study. Therefore, it was inferred that bagasse-based (second-generation) ethanol has excellent prospects as it does not obligate any separate transportation costs like other lignocellulosic resources and have relatively less cell wall recalcitrance requirements. Moreover, already available vast quantities of bagasse and backing from government policies also make it the right choice for engendering fuel ethanol. Although cost-effectiveness of second-generation ethanol of sugarcane introduces a hurdle, recent developments in process efficiency, as well as genetic manipulation of sugarcane for cell-wall digestibility, can play a paramount role in augmenting sugarcane's role in this sector. Furthermore, the improvement of sugarcane varieties, the adoption of mechanized production, and the exploration of germplasm resources for energy traits are ascertained as crucial factors for augmenting the commercial aptness of sugarcane bioethanol. The enhanced role of sugarcane in China's biofuels sector would contribute to energy security, sustainable sugarcane production, industrial development, and socioeconomic betterment of the sugarcane farming areas.","author":[{"dropping-particle":"","family":"Huang","given":"Jiangfeng","non-dropping-particle":"","parse-names":false,"suffix":""},{"dropping-particle":"","family":"Khan","given":"Muhammad Tahir","non-dropping-particle":"","parse-names":false,"suffix":""},{"dropping-particle":"","family":"Perecin","given":"Danilo","non-dropping-particle":"","parse-names":false,"suffix":""},{"dropping-particle":"","family":"Coelho","given":"Suani T.","non-dropping-particle":"","parse-names":false,"suffix":""},{"dropping-particle":"","family":"Zhang","given":"Muqing","non-dropping-particle":"","parse-names":false,"suffix":""}],"container-title":"Renewable and Sustainable Energy Reviews","id":"ITEM-2","issue":"March","issued":{"date-parts":[["2020"]]},"page":"110296","publisher":"Elsevier Ltd","title":"Sugarcane for bioethanol production: Potential of bagasse in Chinese perspective","type":"article-journal","volume":"133"},"uris":["http://www.mendeley.com/documents/?uuid=1a0f7334-fd2b-4189-b7a6-8f1c31dd24c0"]}],"mendeley":{"formattedCitation":"(Huang et al., 2020; Mohan, 2017)","plainTextFormattedCitation":"(Huang et al., 2020; Mohan, 2017)","previouslyFormattedCitation":"(Huang et al., 2020; Mohan, 2017)"},"properties":{"noteIndex":0},"schema":"https://github.com/citation-style-language/schema/raw/master/csl-citation.json"}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(Huang et al., 2020; Mohan, 2017)</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palm oil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{"citationItems":[{"id":"ITEM-1","itemData":{"DOI":"10.18331/BRJ2016.3.1.3","ISSN":"22928782","abstract":"Over the last decades, the palm oil industry has been growing rapidly due to increasing demands for food, cosmetic, and hygienic products. Aside from producing palm oil, the industry generates a huge quantity of residues (dry and wet) which can be processed to produce biofuel. Driven by the necessity to find an alternative and renewable energy/fuel resources, numerous technologies have been developed and more are being developed to process oil-palm and palm-oil wastes into biofuel. To further develop these technologies, it is essential to understand the current stage of the industry and technology developments. The objective of this paper is to provide an overview of the palm oil industry, review technologies available to process oil palm and palm oil residues into biofuel, and to summarise the challenges that should be overcome for further development. The paper also discusses the research and development needs, technoeconomics, and life cycle analysis of biofuel production from oil-palm and palm-oil wastes.","author":[{"dropping-particle":"","family":"Kurnia","given":"Jundika C.","non-dropping-particle":"","parse-names":false,"suffix":""},{"dropping-particle":"V.","family":"Jangam","given":"Sachin","non-dropping-particle":"","parse-names":false,"suffix":""},{"dropping-particle":"","family":"Akhtar","given":"Saad","non-dropping-particle":"","parse-names":false,"suffix":""},{"dropping-particle":"","family":"Sasmito","given":"Agus P.","non-dropping-particle":"","parse-names":false,"suffix":""},{"dropping-particle":"","family":"Mujumdar","given":"Arun S.","non-dropping-particle":"","parse-names":false,"suffix":""}],"container-title":"Biofuel Research Journal","id":"ITEM-1","issue":"1","issued":{"date-parts":[["2016"]]},"page":"332-346","title":"Advances in biofuel production from oil palm and palm oil processing wastes: A review","type":"article-journal","volume":"3"},"uris":["http://www.mendeley.com/documents/?uuid=8b94c9ec-7daf-47c3-a4d5-3537abb69b2d"]},{"id":"ITEM-2","itemData":{"DOI":"10.1007/s11356-019-04563-x","ISSN":"16147499","PMID":"30937750","abstract":"Due to global warming and increasing price of fossil fuel, scientists all over the world have been trying to find reliable alternative fuels. One of the most potential candidates is renewable energy from biomass. The race for renewable energy from biomass has long begun and focused on to combat the deteriorating condition of the environment. Palm oil has been in the spotlight as an alternative of bioenergy sources to resolve fossil fuel problem due to its environment-friendly nature. This review will look deep into the origins of palm oil and how it is processed, bioproducts from this biomass, and oil palm biomass-based power plant in Malaysia. Palm oil is usually processed from oil palm fruits and other parts of the oil palm plant are candidates for raw material of bioproduct generation. Oil palm biomass can be turned into three subcategories: bioproduct, biofuels, and biopower. Focusing on biofuel, the biodiesel from palm oil will be explored in detail and its implication in Malaysia as one of the biggest producers of oil palm in the world will also be emphasized comprehensively. The paper presents the detail of a schematic flow diagram of a palm oil mill process of transforming oil palm into crude palm oil and it wastes. This paper will also discuss the current oil palm biomass power plants in Malaysia. Palm oil has been proven itself as a potential alternative to reduce negative environmental impact of global warming.","author":[{"dropping-particle":"","family":"Mahlia","given":"Teuku Meurah Indra","non-dropping-particle":"","parse-names":false,"suffix":""},{"dropping-particle":"","family":"Ismail","given":"Norasyiqin","non-dropping-particle":"","parse-names":false,"suffix":""},{"dropping-particle":"","family":"Hossain","given":"Nazia","non-dropping-particle":"","parse-names":false,"suffix":""},{"dropping-particle":"","family":"Silitonga","given":"Arridina Susan","non-dropping-particle":"","parse-names":false,"suffix":""},{"dropping-particle":"","family":"Shamsuddin","given":"Abd Halim","non-dropping-particle":"","parse-names":false,"suffix":""}],"container-title":"Environmental Science and Pollution Research","id":"ITEM-2","issued":{"date-parts":[["2019"]]},"publisher":"Environmental Science and Pollution Research","title":"Palm oil and its wastes as bioenergy sources: a comprehensive review","type":"article-journal"},"uris":["http://www.mendeley.com/documents/?uuid=cdd3f9f6-5136-4a61-b808-b3ca4f0b4b25"]}],"mendeley":{"formattedCitation":"(Kurnia et al., 2016; Mahlia et al., 2019)","plainTextFormattedCitation":"(Kurnia et al., 2016; Mahlia et al., 2019)","previouslyFormattedCitation":"(Kurnia et al., 2016; Mahlia et al., 2019)"},"properties":{"noteIndex":0},"schema":"https://github.com/citation-style-language/schema/raw/master/csl-citation.json"}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(Kurnia et al., 2016; Mahlia et al., 2019)</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soya beans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{"citationItems":[{"id":"ITEM-1","itemData":{"DOI":"10.1111/j.1757-1707.2010.01066.x","ISSN":"17571707","abstract":"An analysis is presented which quantifies the potential for distillers dried grains with solubles (DDGS, a coproduct of wheat bioethanol production) to replace soya bean meal (SBM) and cereals in livestock rations. A major proportion of the SBM imported into Europe as a protein-rich feedstuff for livestock comes from South America, where land-use change (LUC) is associated with high carbon emissions. Production of DDGS can therefore reduce LUC in South America by substitution of SBM in animal feed. The analysis indicates that a single bioethanol distillery processing 1 million tonnes of wheat, and producing ca. 330000 tonnes of DDGS per annum, would substitute at least 136493 tonnes of whole soya beans grown on 47725ha of land, and save greenhouse gas emissions equivalent to 0.63 million tonnes CO2 per annum. By growing sugar beet and wheat in an average ratio of 0.06:0.94 on 1ha of land in Europe, the net area of agricultural land required to produce feed ingredients equivalent to 6.08 t of sugar beet pulp (SBP) and 1.72t of DDGS associated with 2363L of bioethanol, is reduced to 0.40ha. This accounts for 0.42ha of soya that is not required when DDGS displaces SBM, and 0.18ha of wheat that is not required when DDGS and SBP displace wheat in livestock rations. © 2010 Blackwell Publishing Ltd.","author":[{"dropping-particle":"","family":"Weightman","given":"R. M.","non-dropping-particle":"","parse-names":false,"suffix":""},{"dropping-particle":"","family":"Cottrill","given":"B. R.","non-dropping-particle":"","parse-names":false,"suffix":""},{"dropping-particle":"","family":"Wiltshire","given":"J. J.J.","non-dropping-particle":"","parse-names":false,"suffix":""},{"dropping-particle":"","family":"Kindred","given":"D. R.","non-dropping-particle":"","parse-names":false,"suffix":""},{"dropping-particle":"","family":"Sylvester-Bradley","given":"R.","non-dropping-particle":"","parse-names":false,"suffix":""}],"container-title":"GCB Bioenergy","id":"ITEM-1","issue":"2","issued":{"date-parts":[["2011"]]},"page":"158-170","title":"Opportunities for avoidance of land-use change through substitution of soya bean meal and cereals in European livestock diets with bioethanol coproducts","type":"article-journal","volume":"3"},"uris":["http://www.mendeley.com/documents/?uuid=25e0c2dc-3ad2-4363-9d5c-cda3f3b3dac0"]}],"mendeley":{"formattedCitation":"(Weightman et al., 2011)","plainTextFormattedCitation":"(Weightman et al., 2011)","previouslyFormattedCitation":"(Weightman et al., 2011)"},"properties":{"noteIndex":0},"schema":"https://github.com/citation-style-language/schema/raw/master/csl-citation.json"}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(Weightman et al., 2011)</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sunflowers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{"citationItems":[{"id":"ITEM-1","itemData":{"DOI":"10.3390/en13020361","ISSN":"19961073","abstract":"Together with solar, wind, and hydro renewable energy sources (RES), biomass constitutes an integral part of the high-renewables electricity systems. Considerable feedstocks for electricity generation are process-based residues. Ukraine is the world leader in sunflower seed production, therefore, husk (a by-product of oil production) is a promising biofuel for combustion- based power plants. The plants consume primarily electricity and fossil fuels (natural gas or fuel oil) for steam production. Their usage affects the edible oil production cost and impacts on climate change. The above facts force us to look for alternatives. By-product (husk) utilization can reduce exhaustible energy consumption (fossil fuels and grid electricity) and mitigate climate change. The aim of the study is to make an energy and ecological assessment of biomass energy supply systems. Specifically, the electricity and heat consumption of Ukrainian sunflower oil mills is investigated. Different options of cogeneration systems are analyzed. The preferable mode of combustion-based husk combined heat and power plants is to meet their own heat demand and to sell surplus electricity. Relative gross income and carbon dioxide emission reductions are calculated. Our results show that husk utilization can meet electricity and heat requirements of edible plants. The surplus electricity may be sold to the grid. Husk combined heat and power plants may result in reduction of carbon dioxide by 200–300% and an increase of total income by 24.7–65.7% (compared to conventional energy supply systems).","author":[{"dropping-particle":"","family":"Havrysh","given":"Valerii","non-dropping-particle":"","parse-names":false,"suffix":""},{"dropping-particle":"","family":"Kalinichenko","given":"Antonina","non-dropping-particle":"","parse-names":false,"suffix":""},{"dropping-particle":"","family":"Mentel","given":"Grzegorz","non-dropping-particle":"","parse-names":false,"suffix":""},{"dropping-particle":"","family":"Mentel","given":"Urszula","non-dropping-particle":"","parse-names":false,"suffix":""},{"dropping-particle":"","family":"Vasbieva","given":"Dinara G.","non-dropping-particle":"","parse-names":false,"suffix":""}],"container-title":"Energies","id":"ITEM-1","issue":"2","issued":{"date-parts":[["2020"]]},"title":"Husk energy supply systems for sunflower oil mills","type":"article-journal","volume":"13"},"uris":["http://www.mendeley.com/documents/?uuid=ea376183-6525-4776-88fc-d162b7dce2ff"]},{"id":"ITEM-2","itemData":{"DOI":"10.3390/su10103407","ISSN":"20711050","abstract":"Buildings account for one third of the world's energy consumption, 70% of which is devoted to heating and cooling. To increase the share of renewables in the energy consumption of buildings, it is necessary to research and promote new sources of green energy. World production of sunflower (Helianthus annuus) was 47.34 million tons in 2016, with a harvested area of 26.20 million hectares, and the main producing countries being Ukraine, the Russian Federation, and Argentina, which produce about half of world production of sunflower seed. The sunflower husk, which represents a percentage by weight of 45%-60% of the seed depending on the sunflower variety, is widely used for the production of feed; however, its energy use is very scarce. The objectives of this study were to analyse the energy properties of sunflower husk as a solid biofuel and to carry out an energy, environmental, economic and operational analysis of a thermal installation fed with this by-product of the sunflower oil industry. The results show that this agro-industrial waste has a Higher Heating Value (HHV) of 17.844 MJ/kg, similar to that of other solid biofuels currently used. In addition, replacing a 430 kW fuel oil boiler with a biomass boiler of the same capacity fed by this biofuel can avoid the emission of 254.09 tons of CO2 per year, as well as obtain an annual energy saving of 75.47%. If we consider the production of sunflower seeds in each country and the sunflower husk were used as biofuel, this would result in a CO2 saving of more than 10 per thousand of the total emissions emitted. The results of this work contribute to the standardization of this by-product as a solid biofuel for thermal energy generation due to its potential to reduce CO2 emissions and increase energy efficiency.","author":[{"dropping-particle":"","family":"Perea-Moreno","given":"Miguel Angel","non-dropping-particle":"","parse-names":false,"suffix":""},{"dropping-particle":"","family":"Manzano-Agugliaro","given":"Francisco","non-dropping-particle":"","parse-names":false,"suffix":""},{"dropping-particle":"","family":"Perea-Moreno","given":"Alberto Jesus","non-dropping-particle":"","parse-names":false,"suffix":""}],"container-title":"Sustainability (Switzerland)","id":"ITEM-2","issue":"10","issued":{"date-parts":[["2018"]]},"title":"Sustainable energy based on sunflower seed husk boiler for residential buildings","type":"article-journal","volume":"10"},"uris":["http://www.mendeley.com/documents/?uuid=0557f11d-f265-4d82-b9ee-66357c4f8f30"]}],"mendeley":{"formattedCitation":"(Havrysh et al., 2020; Perea-Moreno et al., 2018)","plainTextFormattedCitation":"(Havrysh et al., 2020; Perea-Moreno et al., 2018)","previouslyFormattedCitation":"(Havrysh et al., 2020; Perea-Moreno et al., 2018)"},"properties":{"noteIndex":0},"schema":"https://github.com/citation-style-language/schema/raw/master/csl-citation.json"}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(Havrysh et al., 2020; Perea-Moreno et al., 2018)</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and wheat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{"citationItems":[{"id":"ITEM-1","itemData":{"DOI":"10.1016/j.biortech.2008.11.011","ISSN":"09608524","PMID":"19135361","abstract":"The production of bioethanol, biohydrogen and biogas from wheat straw was investigated within a biorefinery framework. Initially, wheat straw was hydrothermally liberated to a cellulose rich fiber fraction and a hemicellulose rich liquid fraction (hydrolysate). Enzymatic hydrolysis and subsequent fermentation of cellulose yielded 0.41 g-ethanol/g-glucose, while dark fermentation of hydrolysate produced 178.0 ml-H2/g-sugars. The effluents from both bioethanol and biohydrogen processes were further used to produce methane with the yields of 0.324 and 0.381 m3/kg volatile solids (VS)added, respectively. Additionally, evaluation of six different wheat straw-to-biofuel production scenaria showed that either use of wheat straw for biogas production or multi-fuel production were the energetically most efficient processes compared to production of mono-fuel such as bioethanol when fermenting C6 sugars alone. Thus, multiple biofuels production from wheat straw can increase the efficiency for material and energy and can presumably be more economical process for biomass utilization. © 2008 Elsevier Ltd. All rights reserved.","author":[{"dropping-particle":"","family":"Kaparaju","given":"Prasad","non-dropping-particle":"","parse-names":false,"suffix":""},{"dropping-particle":"","family":"Serrano","given":"María","non-dropping-particle":"","parse-names":false,"suffix":""},{"dropping-particle":"","family":"Thomsen","given":"Anne Belinda","non-dropping-particle":"","parse-names":false,"suffix":""},{"dropping-particle":"","family":"Kongjan","given":"Prawit","non-dropping-particle":"","parse-names":false,"suffix":""},{"dropping-particle":"","family":"Angelidaki","given":"Irini","non-dropping-particle":"","parse-names":false,"suffix":""}],"container-title":"Bioresource Technology","id":"ITEM-1","issue":"9","issued":{"date-parts":[["2009"]]},"page":"2562-2568","publisher":"Elsevier Ltd","title":"Bioethanol, biohydrogen and biogas production from wheat straw in a biorefinery concept","type":"article-journal","volume":"100"},"uris":["http://www.mendeley.com/documents/?uuid=df85536b-f6b9-4cb9-aa7e-bab2880a71a4"]},{"id":"ITEM-2","itemData":{"DOI":"10.1016/b978-0-12-819597-0.00029-5","ISBN":"9780128195970","abstract":"The energy requirement of our society are fulfilled by fossil fuels which are very limited and it plays a major role in polluting our environment. The responsibility over the pollution and high consumption rate for fossil fuels has taken the focus of the research over the development of alternatives such as biofuels. Biofuels are eco-friendly, completely combustible, and nontoxic which makes it as the potential green alternative for replacement of fossil fuels. Biofuels are produced from the agricultural waste such as wheat straw, husk, leaves, etc., which contain an appropriate amount of polysaccharide which can be converted into biofuels by undergoing different process. Like other lignocellulosic biomass, wheat straw requires different pretreatment technique followed by hydrolysis in order to utilize polysaccharides cellulose and hemicellulose and the polyaromatic compound lignin. This chapter presents a summary for the utilization of wheat straw in biofuels production by using cellulase microbes produced from different fungus and bacteria. Pretreatment, hydrolysis, fermentation as well as production of different form of biofuels by the help of different studies were also discussed in this chapter.","author":[{"dropping-particle":"","family":"Srivastava","given":"Neha","non-dropping-particle":"","parse-names":false,"suffix":""},{"dropping-particle":"","family":"Shrivastav","given":"Akshay K.","non-dropping-particle":"","parse-names":false,"suffix":""},{"dropping-particle":"","family":"Srivastava","given":"Manish","non-dropping-particle":"","parse-names":false,"suffix":""},{"dropping-particle":"","family":"Mishra","given":"P.K.","non-dropping-particle":"","parse-names":false,"suffix":""}],"container-title":"Recent Developments in Bioenergy Research","id":"ITEM-2","issued":{"date-parts":[["2020"]]},"number-of-pages":"433-441","publisher":"BV","title":"Biofuels production using wheat straw","type":"book"},"uris":["http://www.mendeley.com/documents/?uuid=2b45c2e6-88ee-41ac-94f0-4987eacdc88e"]}],"mendeley":{"formattedCitation":"(Kaparaju et al., 2009; Srivastava et al., 2020)","plainTextFormattedCitation":"(Kaparaju et al., 2009; Srivastava et al., 2020)","previouslyFormattedCitation":"(Kaparaju et al., 2009; Srivastava et al., 2020)"},"properties":{"noteIndex":0},"schema":"https://github.com/citation-style-language/schema/raw/master/csl-citation.json"}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(Kaparaju et al., 2009; Srivastava et al., 2020)</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Both developed and developing countries such as the United States, Germany, Japan, Brazil, and India have boosted their use of biodiesel in their vehicles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{"citationItems":[{"id":"ITEM-1","itemData":{"author":[{"dropping-particle":"","family":"Ambrose","given":"Angelina F.","non-dropping-particle":"","parse-names":false,"suffix":""},{"dropping-particle":"Al","family":"Amin","given":"Abul Quasem","non-dropping-particle":"","parse-names":false,"suffix":""},{"dropping-particle":"","family":"Rasiah","given":"Rajah","non-dropping-particle":"","parse-names":false,"suffix":""},{"dropping-particle":"","family":"Saidur","given":"R.","non-dropping-particle":"","parse-names":false,"suffix":""},{"dropping-particle":"","family":"Amin","given":"Nowshad","non-dropping-particle":"","parse-names":false,"suffix":""}],"container-title":"International journal of hydrogen energy","id":"ITEM-1","issued":{"date-parts":[["2016"]]},"page":"1-10","title":"Prospects for introducing hydrogen fuel cell vehicles in Malaysia","type":"article-journal"},"uris":["http://www.mendeley.com/documents/?uuid=c2453841-1d8d-489f-aeed-366e62830ad0"]}],"mendeley":{"formattedCitation":"(Ambrose et al., 2016)","plainTextFormattedCitation":"(Ambrose et al., 2016)","previouslyFormattedCitation":"(Ambrose et al., 2016)"},"properties":{"noteIndex":0},"schema":"https://github.com/citation-style-language/schema/raw/master/csl-citation.json"}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(Ambrose et al., 2016)</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However, the alternative energy sources of fuel from agricultural commodities pose different problems due to unstable world market prices, insufficient supply structures, and potential environmental degradation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{"citationItems":[{"id":"ITEM-1","itemData":{"author":[{"dropping-particle":"","family":"Enweremadu","given":"C.C","non-dropping-particle":"","parse-names":false,"suffix":""},{"dropping-particle":"","family":"M.M. Mbarawa","given":"","non-dropping-particle":"","parse-names":false,"suffix":""}],"container-title":"Renewable and Sustainable Energy Reviews","id":"ITEM-1","issue":"9","issued":{"date-parts":[["2009"]]},"page":"2205-2224","title":"Technical aspects of production and analysis of biodiesal from used cooking oil- A review","type":"article-journal","volume":"13"},"uris":["http://www.mendeley.com/documents/?uuid=bdd32561-ae7c-47dd-8b4d-d061932094e7"]}],"mendeley":{"formattedCitation":"(Enweremadu &amp; M.M. Mbarawa, 2009)","plainTextFormattedCitation":"(Enweremadu &amp; M.M. Mbarawa, 2009)","previouslyFormattedCitation":"(Enweremadu &amp; M.M. Mbarawa, 2009)"},"properties":{"noteIndex":0},"schema":"https://github.com/citation-style-language/schema/raw/master/csl-citation.json"}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(Enweremadu &amp; M.M. Mbarawa, 2009)</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Solar energy and hydrogen are the best long-term and sustainable alternative energy sources to replace fossil fuels. Although solar energy usage is encouraged, concerns about its ability to efficiently replace conventional energy have slowed progress, particularly in terms of production, storage and efficiency.</w:t>
      </w:r>
    </w:p>
    <w:p w14:paraId="44349EE0"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Consequently, hydrogen has emerged as the most promising alternative energy source to meet long-term energy security and produce zero harmful emissions in smart transport systems. HFCV is also expected to support sustainable transport systems for both developing and developed countries. According to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10.1039/c2ee22596d","ISSN":"17545692","author":[{"dropping-particle":"","family":"Eberle","given":"Ulrich","non-dropping-particle":"","parse-names":false,"suffix":""},{"dropping-particle":"","family":"Müller","given":"Bernd","non-dropping-particle":"","parse-names":false,"suffix":""},{"dropping-particle":"","family":"Helmolt","given":"Rittmar","non-dropping-particle":"Von","parse-names":false,"suffix":""}],"container-title":"Energy and Environmental Science","id":"ITEM-1","issue":"10","issued":{"date-parts":[["2012"]]},"page":"8780-8798","title":"Fuel cell electric vehicles and hydrogen infrastructure: Status 2012","type":"article-journal","volume":"5"},"uris":["http://www.mendeley.com/documents/?uuid=ae2b299b-08d3-4745-961b-16939135d23f"]}],"mendeley":{"formattedCitation":"(Eberle et al., 2012)","manualFormatting":"Eberle et al. (2012)","plainTextFormattedCitation":"(Eberle et al., 2012)","previouslyFormattedCitation":"(Eberle et al., 2012)"},"properties":{"noteIndex":0},"schema":"https://github.com/citation-style-language/schema/raw/master/csl-citation.json"}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Eberle et al. (2012)</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automobile manufacturers have overcome most of the main technological obstacles for HFCV, and it is one of the innovative solutions to mitigate carbon emissions.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{"citationItems":[{"id":"ITEM-1","itemData":{"ISSN":"15387445","PMID":"6722788","author":[{"dropping-particle":"","family":"IEA","given":"","non-dropping-particle":"","parse-names":false,"suffix":""}],"container-title":"International Energy Agency","id":"ITEM-1","issued":{"date-parts":[["2015"]]},"title":"Technology Roadmap Hydrogen and Fuel Cells","type":"report"},"uris":["http://www.mendeley.com/documents/?uuid=b1708a63-27cb-4915-b1c8-041ac55ab5ee"]}],"mendeley":{"formattedCitation":"(IEA, 2015)","manualFormatting":"IEA (2015)","plainTextFormattedCitation":"(IEA, 2015)","previouslyFormattedCitation":"(IEA, 2015)"},"properties":{"noteIndex":0},"schema":"https://github.com/citation-style-language/schema/raw/master/csl-citation.json"}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IEA (2015)</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mentions that 150 million HFCV will be sold by 2050 as part of the Technology Roadmap and will cost from USD 900 to USD 1 900 for hydrogen infrastructure development.</w:t>
      </w:r>
    </w:p>
    <w:p w14:paraId="31BFBF88"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 It is not surprising that several countries are already introducing non-fossil energy for vehicles like HFCV to achieve carbon reduction and strengthen energy security without endangering economic growth. Introducing HFCV to the transport system may be a good starting point for powering green economic systems and addressing environmental concerns. Even though hydrogen fuel cells may not be an immediate solution to reducing environmental problems and be a complete energy alternative, some recent research investigations have recognized it has potential as a long-term solution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{"citationItems":[{"id":"ITEM-1","itemData":{"DOI":"10.1007/s11356-019-06128-4","ISSN":"16147499","PMID":"31456153","abstract":"Alternative energy policies targeting the adoption of hydrogen fuel cell vehicles (HFCVs) could have significant positive impacts on Malaysia’s ability to meet both its carbon reduction goal and its energy security needs. The transport sector generally contributes heavily to carbon emissions, and is also difficult to decarbonize because of the costs associated with many greener options. This study explores the possibility of decarbonizing the Malaysian transport sector by promoting the use of hydrogen vehicles, and analyzes the adoption challenges and economic obstacles (especially public acceptance) associated with introducing HFCVs. This study contends that the adoption challenges of this new technology can be overcome through the use of development strategies outlined. This study also addresses the regulatory framework that Malaysia (and other countries) might use to overcome common policy adoption challenges of HFCVs.","author":[{"dropping-particle":"","family":"Al-Amin","given":"Abul Quasem","non-dropping-particle":"","parse-names":false,"suffix":""},{"dropping-particle":"","family":"Doberstein","given":"Brent","non-dropping-particle":"","parse-names":false,"suffix":""}],"container-title":"Environmental Science and Pollution Research","id":"ITEM-1","issue":"30","issued":{"date-parts":[["2019"]]},"page":"31062-31076","title":"Introduction of hydrogen fuel cell vehicles: prospects and challenges for Malaysia’s transition to a low-carbon economy","type":"article","volume":"26"},"uris":["http://www.mendeley.com/documents/?uuid=db5cb3db-290b-4e7c-8ab3-715263f3f90e"]},{"id":"ITEM-2","itemData":{"DOI":"10.1016/j.ijhydene.2016.05.122","ISSN":"03603199","abstract":"Sustainable economic development through adoption of hydrogen pathway is expected to simultaneously solve the double challenge of environment and energy security. The momentum of current research in this area is focused on optimizing the potential benefits in transportation sector through introduction of hydrogen fuel cell vehicles (FCVs). However the rapid adoption of critical cleaner energy system is still problematic in developing countries especially in transportation. This article sheds light on the Malaysian case by highlighting related issues and obstacles, and discusses the future prospects of hydrogen FCV. We argue that innovation and technological advancement of hydrogen FCV is important and ready for introduction in Malaysia; however it is not sufficient in explaining the conditions that will allow for rapid transition in Malaysia. The main message of this article is that hydrogen FCV in Malaysia can be expected and is possible when there is a thorough understanding of energy security issues, where energy policy integration for economic development and environmental objectives are achieved at the same time. The understanding of specific problems from the standpoint of developing country is crucial in encouraging government policies to induce development of hydrogen FCV.","author":[{"dropping-particle":"","family":"Ambrose","given":"Angelina F.","non-dropping-particle":"","parse-names":false,"suffix":""},{"dropping-particle":"","family":"Al-Amin","given":"Abul Quasem","non-dropping-particle":"","parse-names":false,"suffix":""},{"dropping-particle":"","family":"Rasiah","given":"Rajah","non-dropping-particle":"","parse-names":false,"suffix":""},{"dropping-particle":"","family":"Saidur","given":"R.","non-dropping-particle":"","parse-names":false,"suffix":""},{"dropping-particle":"","family":"Amin","given":"Nowshad","non-dropping-particle":"","parse-names":false,"suffix":""}],"container-title":"International Journal of Hydrogen Energy","id":"ITEM-2","issue":"14","issued":{"date-parts":[["2017"]]},"page":"9125-9134","publisher":"Elsevier Ltd","title":"Prospects for introducing hydrogen fuel cell vehicles in Malaysia","type":"article-journal","volume":"42"},"uris":["http://www.mendeley.com/documents/?uuid=9c688775-189c-49e3-b008-28243d8d1169"]}],"mendeley":{"formattedCitation":"(Al-Amin &amp; Doberstein, 2019; Ambrose et al., 2017)","manualFormatting":"(Al-Amin &amp; Doberstein, 2019; Ambrose et al., 2017)","plainTextFormattedCitation":"(Al-Amin &amp; Doberstein, 2019; Ambrose et al., 2017)","previouslyFormattedCitation":"(Al-Amin &amp; Doberstein, 2019; Ambrose et al., 2017)"},"properties":{"noteIndex":0},"schema":"https://github.com/citation-style-language/schema/raw/master/csl-citation.json"}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(Al-Amin &amp; Doberstein, 2019; Ambrose et al., 2017)</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w:t>
      </w:r>
    </w:p>
    <w:p w14:paraId="24239B2D"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Several countries have started to adopt policies for establishing a hydrogen economy in their long-term national plan to switch to sustainable option pathways and to meet energy security. For example, Malaysia's government has launched a roadmap to assess the feasibility of developing a hydrogen fuel system as part of its sustainability strategy. </w:t>
      </w:r>
      <w:bookmarkStart w:id="1" w:name="_Hlk80658670"/>
      <w:r w:rsidRPr="00303A2A">
        <w:rPr>
          <w:rFonts w:ascii="Times New Roman" w:eastAsia="Times New Roman" w:hAnsi="Times New Roman" w:cs="Times New Roman"/>
          <w:position w:val="0"/>
          <w:sz w:val="24"/>
          <w:szCs w:val="24"/>
        </w:rPr>
        <w:t xml:space="preserve">Even though Malaysia is an oil-producing country, it is expected to be highly dependent on imported oil to fulfill rising demand in the future. In Malaysia, the transportation sector represents 37% of total energy consumption, and fossil fuel resources are needed for 98% of transport vehicles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{"citationItems":[{"id":"ITEM-1","itemData":{"DOI":"10.1016/j.ijhydene.2015.11.146","ISSN":"03603199","abstract":"Hydrogen fuel cell vehicles (FCVs) are expected to have a significant impact in meeting both energy security and environmental concerns globally. Public and private support is however essential for successful transition to a sustainable energy system. Several studies have looked into the issues and considered the purchase behaviour of related Alternative Fuel Vehicles (AFCs) and more research momentum is seen towards hydrogen FCV. The article aims to critically review and identifies gaps of acceptance, preferences and attitudes of hydrogen FCV and examine whether attitudes, subjective norms (SNs) and perceived behaviour control (PBC) have significant associations with customer purchase intention (PI) and purchase behaviour of hydrogen FCV in Malaysia. This is a timely study to address useful policies for decarbonizing the transportation sector.","author":[{"dropping-particle":"","family":"Al-Amin","given":"Abul Quasem","non-dropping-particle":"","parse-names":false,"suffix":""},{"dropping-particle":"","family":"Ambrose","given":"Angelina F.","non-dropping-particle":"","parse-names":false,"suffix":""},{"dropping-particle":"","family":"Masud","given":"Muhammad Mehedi","non-dropping-particle":"","parse-names":false,"suffix":""},{"dropping-particle":"","family":"Azam","given":"Mohammad Nurul","non-dropping-particle":"","parse-names":false,"suffix":""}],"container-title":"International Journal of Hydrogen Energy","id":"ITEM-1","issue":"4","issued":{"date-parts":[["2016"]]},"page":"2117-2127","publisher":"Elsevier Ltd","title":"People purchase intention towards hydrogen fuel cell vehicles: An experiential enquiry in Malaysia","type":"article-journal","volume":"41"},"uris":["http://www.mendeley.com/documents/?uuid=86adec04-9e5a-4430-9dd3-c783efca08c1"]}],"mendeley":{"formattedCitation":"(Al-Amin et al., 2016)","plainTextFormattedCitation":"(Al-Amin et al., 2016)","previouslyFormattedCitation":"(Al-Amin et al., 2016)"},"properties":{"noteIndex":0},"schema":"https://github.com/citation-style-language/schema/raw/master/csl-citation.json"}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(Al-Amin et al., 2016)</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According to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{"citationItems":[{"id":"ITEM-1","itemData":{"author":[{"dropping-particle":"","family":"Ambrose","given":"Angelina F.","non-dropping-particle":"","parse-names":false,"suffix":""},{"dropping-particle":"Al","family":"Amin","given":"Abul Quasem","non-dropping-particle":"","parse-names":false,"suffix":""},{"dropping-particle":"","family":"Rasiah","given":"Rajah","non-dropping-particle":"","parse-names":false,"suffix":""},{"dropping-particle":"","family":"Saidur","given":"R.","non-dropping-particle":"","parse-names":false,"suffix":""},{"dropping-particle":"","family":"Amin","given":"Nowshad","non-dropping-particle":"","parse-names":false,"suffix":""}],"container-title":"International journal of hydrogen energy","id":"ITEM-1","issued":{"date-parts":[["2016"]]},"page":"1-10","title":"Prospects for introducing hydrogen fuel cell vehicles in Malaysia","type":"article-journal"},"uris":["http://www.mendeley.com/documents/?uuid=c2453841-1d8d-489f-aeed-366e62830ad0"]}],"mendeley":{"formattedCitation":"(Ambrose et al., 2016)","manualFormatting":"Ambrose et al. (2016)","plainTextFormattedCitation":"(Ambrose et al., 2016)","previouslyFormattedCitation":"(Ambrose et al., 2016)"},"properties":{"noteIndex":0},"schema":"https://github.com/citation-style-language/schema/raw/master/csl-citation.json"}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Ambrose et al. (2016)</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Malaysia's carbon emissions might be reduced by up to 26 million </w:t>
      </w:r>
      <w:proofErr w:type="spellStart"/>
      <w:r w:rsidRPr="00303A2A">
        <w:rPr>
          <w:rFonts w:ascii="Times New Roman" w:eastAsia="Times New Roman" w:hAnsi="Times New Roman" w:cs="Times New Roman"/>
          <w:position w:val="0"/>
          <w:sz w:val="24"/>
          <w:szCs w:val="24"/>
        </w:rPr>
        <w:t>tonnes</w:t>
      </w:r>
      <w:proofErr w:type="spellEnd"/>
      <w:r w:rsidRPr="00303A2A">
        <w:rPr>
          <w:rFonts w:ascii="Times New Roman" w:eastAsia="Times New Roman" w:hAnsi="Times New Roman" w:cs="Times New Roman"/>
          <w:position w:val="0"/>
          <w:sz w:val="24"/>
          <w:szCs w:val="24"/>
        </w:rPr>
        <w:t xml:space="preserve"> of CO</w:t>
      </w:r>
      <w:r w:rsidRPr="00303A2A">
        <w:rPr>
          <w:rFonts w:ascii="Times New Roman" w:eastAsia="Times New Roman" w:hAnsi="Times New Roman" w:cs="Times New Roman"/>
          <w:position w:val="0"/>
          <w:sz w:val="24"/>
          <w:szCs w:val="24"/>
          <w:vertAlign w:val="superscript"/>
        </w:rPr>
        <w:t>2</w:t>
      </w:r>
      <w:r w:rsidRPr="00303A2A">
        <w:rPr>
          <w:rFonts w:ascii="Times New Roman" w:eastAsia="Times New Roman" w:hAnsi="Times New Roman" w:cs="Times New Roman"/>
          <w:position w:val="0"/>
          <w:sz w:val="24"/>
          <w:szCs w:val="24"/>
        </w:rPr>
        <w:t xml:space="preserve"> by replacing 50% of conventional vehicles with HFCV. However, public </w:t>
      </w:r>
      <w:bookmarkEnd w:id="1"/>
      <w:r w:rsidRPr="00303A2A">
        <w:rPr>
          <w:rFonts w:ascii="Times New Roman" w:eastAsia="Times New Roman" w:hAnsi="Times New Roman" w:cs="Times New Roman"/>
          <w:position w:val="0"/>
          <w:sz w:val="24"/>
          <w:szCs w:val="24"/>
        </w:rPr>
        <w:t xml:space="preserve">adoption of new transport technologies, like HFCV, is vital for the successful evolution of a sustainable energy system for the transportation sector. Public adoption of HFCV is influenced </w:t>
      </w:r>
      <w:r w:rsidRPr="00303A2A">
        <w:rPr>
          <w:rFonts w:ascii="Times New Roman" w:eastAsia="Times New Roman" w:hAnsi="Times New Roman" w:cs="Times New Roman"/>
          <w:position w:val="0"/>
          <w:sz w:val="24"/>
          <w:szCs w:val="24"/>
        </w:rPr>
        <w:lastRenderedPageBreak/>
        <w:t xml:space="preserve">by various factors such as energy prices, infrastructure, alternative technological developments, the cost to the user, and vehicle performance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{"citationItems":[{"id":"ITEM-1","itemData":{"DOI":"10.1016/j.ijhydene.2015.11.146","ISSN":"03603199","abstract":"Hydrogen fuel cell vehicles (FCVs) are expected to have a significant impact in meeting both energy security and environmental concerns globally. Public and private support is however essential for successful transition to a sustainable energy system. Several studies have looked into the issues and considered the purchase behaviour of related Alternative Fuel Vehicles (AFCs) and more research momentum is seen towards hydrogen FCV. The article aims to critically review and identifies gaps of acceptance, preferences and attitudes of hydrogen FCV and examine whether attitudes, subjective norms (SNs) and perceived behaviour control (PBC) have significant associations with customer purchase intention (PI) and purchase behaviour of hydrogen FCV in Malaysia. This is a timely study to address useful policies for decarbonizing the transportation sector.","author":[{"dropping-particle":"","family":"Al-Amin","given":"Abul Quasem","non-dropping-particle":"","parse-names":false,"suffix":""},{"dropping-particle":"","family":"Ambrose","given":"Angelina F.","non-dropping-particle":"","parse-names":false,"suffix":""},{"dropping-particle":"","family":"Masud","given":"Muhammad Mehedi","non-dropping-particle":"","parse-names":false,"suffix":""},{"dropping-particle":"","family":"Azam","given":"Mohammad Nurul","non-dropping-particle":"","parse-names":false,"suffix":""}],"container-title":"International Journal of Hydrogen Energy","id":"ITEM-1","issue":"4","issued":{"date-parts":[["2016"]]},"page":"2117-2127","publisher":"Elsevier Ltd","title":"People purchase intention towards hydrogen fuel cell vehicles: An experiential enquiry in Malaysia","type":"article-journal","volume":"41"},"uris":["http://www.mendeley.com/documents/?uuid=86adec04-9e5a-4430-9dd3-c783efca08c1"]}],"mendeley":{"formattedCitation":"(Al-Amin et al., 2016)","plainTextFormattedCitation":"(Al-Amin et al., 2016)","previouslyFormattedCitation":"(Al-Amin et al., 2016)"},"properties":{"noteIndex":0},"schema":"https://github.com/citation-style-language/schema/raw/master/csl-citation.json"}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(Al-Amin et al., 2016)</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More research is required in this field to identify public acceptance and preferences for alternative sustainable energy sources, particularly HFCV. Hence, this article aims to assess public perceptions in relation to the adoption of HFCV in Kuala Lumpur, Malaysia. It is a timely study to seek innovative solutions and address a </w:t>
      </w:r>
      <w:proofErr w:type="spellStart"/>
      <w:r w:rsidRPr="00303A2A">
        <w:rPr>
          <w:rFonts w:ascii="Times New Roman" w:eastAsia="Times New Roman" w:hAnsi="Times New Roman" w:cs="Times New Roman"/>
          <w:position w:val="0"/>
          <w:sz w:val="24"/>
          <w:szCs w:val="24"/>
        </w:rPr>
        <w:t>decarbonisation</w:t>
      </w:r>
      <w:proofErr w:type="spellEnd"/>
      <w:r w:rsidRPr="00303A2A">
        <w:rPr>
          <w:rFonts w:ascii="Times New Roman" w:eastAsia="Times New Roman" w:hAnsi="Times New Roman" w:cs="Times New Roman"/>
          <w:position w:val="0"/>
          <w:sz w:val="24"/>
          <w:szCs w:val="24"/>
        </w:rPr>
        <w:t xml:space="preserve"> strategy in the transportation sector for the sake of present and future sustainability.</w:t>
      </w:r>
    </w:p>
    <w:p w14:paraId="61A523B5" w14:textId="7783023E" w:rsidR="0057592A" w:rsidRDefault="0057592A" w:rsidP="00303A2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757B491" w14:textId="105390A3" w:rsidR="0057592A" w:rsidRDefault="003E5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and study area </w:t>
      </w:r>
    </w:p>
    <w:p w14:paraId="6A823A31" w14:textId="4187C313" w:rsidR="00303A2A" w:rsidRPr="00303A2A" w:rsidRDefault="003E5F8B"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303A2A" w:rsidRPr="00303A2A">
        <w:rPr>
          <w:rFonts w:ascii="Times New Roman" w:eastAsia="Times New Roman" w:hAnsi="Times New Roman" w:cs="Times New Roman"/>
          <w:position w:val="0"/>
          <w:sz w:val="24"/>
          <w:szCs w:val="24"/>
        </w:rPr>
        <w:t xml:space="preserve">Data was collected from 175 respondents from Kuala Lumpur, which comprised two districts: </w:t>
      </w:r>
      <w:proofErr w:type="spellStart"/>
      <w:r w:rsidR="00303A2A" w:rsidRPr="00303A2A">
        <w:rPr>
          <w:rFonts w:ascii="Times New Roman" w:eastAsia="Times New Roman" w:hAnsi="Times New Roman" w:cs="Times New Roman"/>
          <w:position w:val="0"/>
          <w:sz w:val="24"/>
          <w:szCs w:val="24"/>
        </w:rPr>
        <w:t>Cheras</w:t>
      </w:r>
      <w:proofErr w:type="spellEnd"/>
      <w:r w:rsidR="00303A2A" w:rsidRPr="00303A2A">
        <w:rPr>
          <w:rFonts w:ascii="Times New Roman" w:eastAsia="Times New Roman" w:hAnsi="Times New Roman" w:cs="Times New Roman"/>
          <w:position w:val="0"/>
          <w:sz w:val="24"/>
          <w:szCs w:val="24"/>
        </w:rPr>
        <w:t xml:space="preserve"> (85 respondents) and Bandar Tun Razak (90 respondents). This study used a descriptive approach to assess the public perceptions of HFCV adoption in Kuala Lumpur.</w:t>
      </w:r>
      <w:bookmarkStart w:id="2" w:name="page2"/>
      <w:bookmarkEnd w:id="2"/>
      <w:r w:rsidR="00303A2A" w:rsidRPr="00303A2A">
        <w:rPr>
          <w:rFonts w:ascii="Times New Roman" w:eastAsia="Times New Roman" w:hAnsi="Times New Roman" w:cs="Times New Roman"/>
          <w:position w:val="0"/>
          <w:sz w:val="24"/>
          <w:szCs w:val="24"/>
        </w:rPr>
        <w:t xml:space="preserve"> A survey questionnaire was adopted based on various researchers’ work on HFCV and was adapted to meet the needs and requirements of this research. Respondents were questioned whether they believed Malaysia could adopt HFCV and their confidence in successfully introducing these vehicles to the country using the Kuala Lumpur area as a case study. Respondents were also questioned on the types of vehicles suitable as HFCV. The second section of the questionnaire focused on the HFCV adoption dimensions using the item statements as shown in Table 1. The item statements were measured using a 4-point Likert scale ranging from (1) Strongly Disagree, (2) Disagree, (3) Agree, and (4) Strongly Agree. The percentage of the agreement mentioned is based on the number of agreeing and strongly agree with responses. </w:t>
      </w:r>
    </w:p>
    <w:p w14:paraId="20FF6A15"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Table 1: No. of Item Statements for HFCV Adoption Dimensions</w:t>
      </w:r>
    </w:p>
    <w:tbl>
      <w:tblPr>
        <w:tblW w:w="6285" w:type="dxa"/>
        <w:jc w:val="center"/>
        <w:tblLook w:val="00A0" w:firstRow="1" w:lastRow="0" w:firstColumn="1" w:lastColumn="0" w:noHBand="0" w:noVBand="0"/>
      </w:tblPr>
      <w:tblGrid>
        <w:gridCol w:w="4923"/>
        <w:gridCol w:w="1362"/>
      </w:tblGrid>
      <w:tr w:rsidR="00303A2A" w:rsidRPr="00303A2A" w14:paraId="741A65D2" w14:textId="77777777" w:rsidTr="00EE3671">
        <w:trPr>
          <w:trHeight w:val="207"/>
          <w:jc w:val="center"/>
        </w:trPr>
        <w:tc>
          <w:tcPr>
            <w:tcW w:w="4923" w:type="dxa"/>
            <w:tcBorders>
              <w:top w:val="single" w:sz="4" w:space="0" w:color="auto"/>
              <w:bottom w:val="single" w:sz="4" w:space="0" w:color="auto"/>
            </w:tcBorders>
          </w:tcPr>
          <w:p w14:paraId="019559E9"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lang w:eastAsia="zh-CN"/>
              </w:rPr>
            </w:pPr>
            <w:r w:rsidRPr="00303A2A">
              <w:rPr>
                <w:rFonts w:ascii="Times New Roman" w:eastAsia="Times New Roman" w:hAnsi="Times New Roman" w:cs="Times New Roman"/>
                <w:b/>
                <w:bCs/>
                <w:position w:val="0"/>
                <w:sz w:val="20"/>
                <w:szCs w:val="20"/>
                <w:lang w:eastAsia="zh-CN"/>
              </w:rPr>
              <w:t>Scale</w:t>
            </w:r>
          </w:p>
        </w:tc>
        <w:tc>
          <w:tcPr>
            <w:tcW w:w="1362" w:type="dxa"/>
            <w:tcBorders>
              <w:top w:val="single" w:sz="4" w:space="0" w:color="auto"/>
              <w:bottom w:val="single" w:sz="4" w:space="0" w:color="auto"/>
            </w:tcBorders>
          </w:tcPr>
          <w:p w14:paraId="59A6EE8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0"/>
                <w:szCs w:val="20"/>
                <w:lang w:eastAsia="zh-CN"/>
              </w:rPr>
            </w:pPr>
            <w:r w:rsidRPr="00303A2A">
              <w:rPr>
                <w:rFonts w:ascii="Times New Roman" w:eastAsia="Times New Roman" w:hAnsi="Times New Roman" w:cs="Times New Roman"/>
                <w:b/>
                <w:bCs/>
                <w:position w:val="0"/>
                <w:sz w:val="20"/>
                <w:szCs w:val="20"/>
                <w:lang w:eastAsia="zh-CN"/>
              </w:rPr>
              <w:t>No. of Item Statements</w:t>
            </w:r>
          </w:p>
        </w:tc>
      </w:tr>
      <w:tr w:rsidR="00303A2A" w:rsidRPr="00303A2A" w14:paraId="2C971BA4" w14:textId="77777777" w:rsidTr="00EE3671">
        <w:trPr>
          <w:trHeight w:val="255"/>
          <w:jc w:val="center"/>
        </w:trPr>
        <w:tc>
          <w:tcPr>
            <w:tcW w:w="4923" w:type="dxa"/>
            <w:tcBorders>
              <w:top w:val="single" w:sz="4" w:space="0" w:color="auto"/>
            </w:tcBorders>
          </w:tcPr>
          <w:p w14:paraId="33C1235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lang w:eastAsia="zh-CN"/>
              </w:rPr>
            </w:pPr>
            <w:r w:rsidRPr="00303A2A">
              <w:rPr>
                <w:rFonts w:ascii="Times New Roman" w:eastAsia="Times New Roman" w:hAnsi="Times New Roman" w:cs="Times New Roman"/>
                <w:b/>
                <w:spacing w:val="4"/>
                <w:position w:val="0"/>
                <w:sz w:val="20"/>
                <w:szCs w:val="20"/>
                <w:lang w:eastAsia="zh-CN"/>
              </w:rPr>
              <w:t>HFCV Adoption Dimensions</w:t>
            </w:r>
          </w:p>
        </w:tc>
        <w:tc>
          <w:tcPr>
            <w:tcW w:w="1362" w:type="dxa"/>
            <w:tcBorders>
              <w:top w:val="single" w:sz="4" w:space="0" w:color="auto"/>
            </w:tcBorders>
          </w:tcPr>
          <w:p w14:paraId="1375E32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lang w:eastAsia="zh-CN"/>
              </w:rPr>
            </w:pPr>
          </w:p>
        </w:tc>
      </w:tr>
      <w:tr w:rsidR="00303A2A" w:rsidRPr="00303A2A" w14:paraId="292B4FB2" w14:textId="77777777" w:rsidTr="00EE3671">
        <w:trPr>
          <w:trHeight w:val="207"/>
          <w:jc w:val="center"/>
        </w:trPr>
        <w:tc>
          <w:tcPr>
            <w:tcW w:w="4923" w:type="dxa"/>
          </w:tcPr>
          <w:p w14:paraId="3C0C3453" w14:textId="77777777" w:rsidR="00303A2A" w:rsidRPr="00303A2A" w:rsidRDefault="00303A2A" w:rsidP="00303A2A">
            <w:pPr>
              <w:widowControl w:val="0"/>
              <w:numPr>
                <w:ilvl w:val="0"/>
                <w:numId w:val="1"/>
              </w:numPr>
              <w:suppressAutoHyphens w:val="0"/>
              <w:autoSpaceDE w:val="0"/>
              <w:autoSpaceDN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0"/>
                <w:szCs w:val="20"/>
                <w:lang w:eastAsia="zh-CN"/>
              </w:rPr>
            </w:pPr>
            <w:r w:rsidRPr="00303A2A">
              <w:rPr>
                <w:rFonts w:ascii="Times New Roman" w:eastAsia="Times New Roman" w:hAnsi="Times New Roman" w:cs="Times New Roman"/>
                <w:position w:val="0"/>
                <w:sz w:val="20"/>
                <w:szCs w:val="20"/>
                <w:lang w:eastAsia="zh-CN"/>
              </w:rPr>
              <w:t>Public Understanding of HFCV</w:t>
            </w:r>
          </w:p>
        </w:tc>
        <w:tc>
          <w:tcPr>
            <w:tcW w:w="1362" w:type="dxa"/>
          </w:tcPr>
          <w:p w14:paraId="3B403483"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eastAsia="zh-CN"/>
              </w:rPr>
            </w:pPr>
            <w:r w:rsidRPr="00303A2A">
              <w:rPr>
                <w:rFonts w:ascii="Times New Roman" w:eastAsia="Times New Roman" w:hAnsi="Times New Roman" w:cs="Times New Roman"/>
                <w:position w:val="0"/>
                <w:sz w:val="20"/>
                <w:szCs w:val="20"/>
                <w:lang w:eastAsia="zh-CN"/>
              </w:rPr>
              <w:t>15</w:t>
            </w:r>
          </w:p>
        </w:tc>
      </w:tr>
      <w:tr w:rsidR="00303A2A" w:rsidRPr="00303A2A" w14:paraId="21A43E3F" w14:textId="77777777" w:rsidTr="00EE3671">
        <w:trPr>
          <w:trHeight w:val="151"/>
          <w:jc w:val="center"/>
        </w:trPr>
        <w:tc>
          <w:tcPr>
            <w:tcW w:w="4923" w:type="dxa"/>
          </w:tcPr>
          <w:p w14:paraId="7D9D2BCA" w14:textId="77777777" w:rsidR="00303A2A" w:rsidRPr="00303A2A" w:rsidRDefault="00303A2A" w:rsidP="00303A2A">
            <w:pPr>
              <w:widowControl w:val="0"/>
              <w:numPr>
                <w:ilvl w:val="0"/>
                <w:numId w:val="1"/>
              </w:numPr>
              <w:suppressAutoHyphens w:val="0"/>
              <w:autoSpaceDE w:val="0"/>
              <w:autoSpaceDN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0"/>
                <w:szCs w:val="20"/>
                <w:lang w:eastAsia="zh-CN"/>
              </w:rPr>
            </w:pPr>
            <w:r w:rsidRPr="00303A2A">
              <w:rPr>
                <w:rFonts w:ascii="Times New Roman" w:eastAsia="Times New Roman" w:hAnsi="Times New Roman" w:cs="Times New Roman"/>
                <w:position w:val="0"/>
                <w:sz w:val="20"/>
                <w:szCs w:val="20"/>
                <w:lang w:eastAsia="zh-CN"/>
              </w:rPr>
              <w:t>Public Perception of HFCV</w:t>
            </w:r>
          </w:p>
        </w:tc>
        <w:tc>
          <w:tcPr>
            <w:tcW w:w="1362" w:type="dxa"/>
          </w:tcPr>
          <w:p w14:paraId="11A5D334"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eastAsia="zh-CN"/>
              </w:rPr>
            </w:pPr>
            <w:r w:rsidRPr="00303A2A">
              <w:rPr>
                <w:rFonts w:ascii="Times New Roman" w:eastAsia="Times New Roman" w:hAnsi="Times New Roman" w:cs="Times New Roman"/>
                <w:position w:val="0"/>
                <w:sz w:val="20"/>
                <w:szCs w:val="20"/>
                <w:lang w:eastAsia="zh-CN"/>
              </w:rPr>
              <w:t>9</w:t>
            </w:r>
          </w:p>
        </w:tc>
      </w:tr>
      <w:tr w:rsidR="00303A2A" w:rsidRPr="00303A2A" w14:paraId="370569C1" w14:textId="77777777" w:rsidTr="00EE3671">
        <w:trPr>
          <w:trHeight w:val="217"/>
          <w:jc w:val="center"/>
        </w:trPr>
        <w:tc>
          <w:tcPr>
            <w:tcW w:w="4923" w:type="dxa"/>
            <w:tcBorders>
              <w:bottom w:val="single" w:sz="4" w:space="0" w:color="auto"/>
            </w:tcBorders>
          </w:tcPr>
          <w:p w14:paraId="34F4ADE3" w14:textId="4BE71F2F" w:rsidR="00303A2A" w:rsidRPr="00303A2A" w:rsidRDefault="00303A2A" w:rsidP="00303A2A">
            <w:pPr>
              <w:widowControl w:val="0"/>
              <w:numPr>
                <w:ilvl w:val="0"/>
                <w:numId w:val="1"/>
              </w:numPr>
              <w:suppressAutoHyphens w:val="0"/>
              <w:autoSpaceDE w:val="0"/>
              <w:autoSpaceDN w:val="0"/>
              <w:spacing w:after="0" w:line="240" w:lineRule="auto"/>
              <w:ind w:leftChars="0" w:left="630" w:firstLineChars="0" w:hanging="270"/>
              <w:jc w:val="both"/>
              <w:textDirection w:val="lrTb"/>
              <w:textAlignment w:val="auto"/>
              <w:outlineLvl w:val="9"/>
              <w:rPr>
                <w:rFonts w:ascii="Times New Roman" w:eastAsia="Times New Roman" w:hAnsi="Times New Roman" w:cs="Times New Roman"/>
                <w:position w:val="0"/>
                <w:sz w:val="20"/>
                <w:szCs w:val="20"/>
                <w:lang w:eastAsia="zh-CN"/>
              </w:rPr>
            </w:pPr>
            <w:r w:rsidRPr="00303A2A">
              <w:rPr>
                <w:rFonts w:ascii="Times New Roman" w:eastAsia="Times New Roman" w:hAnsi="Times New Roman" w:cs="Times New Roman"/>
                <w:position w:val="0"/>
                <w:sz w:val="20"/>
                <w:szCs w:val="20"/>
                <w:lang w:eastAsia="zh-CN"/>
              </w:rPr>
              <w:t xml:space="preserve"> Public’s Agreement on the Economic Benefits &amp; Challenges of HFCV Adoption</w:t>
            </w:r>
          </w:p>
        </w:tc>
        <w:tc>
          <w:tcPr>
            <w:tcW w:w="1362" w:type="dxa"/>
            <w:tcBorders>
              <w:bottom w:val="single" w:sz="4" w:space="0" w:color="auto"/>
            </w:tcBorders>
          </w:tcPr>
          <w:p w14:paraId="29BF9D61"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eastAsia="zh-CN"/>
              </w:rPr>
            </w:pPr>
            <w:r w:rsidRPr="00303A2A">
              <w:rPr>
                <w:rFonts w:ascii="Times New Roman" w:eastAsia="Times New Roman" w:hAnsi="Times New Roman" w:cs="Times New Roman"/>
                <w:position w:val="0"/>
                <w:sz w:val="20"/>
                <w:szCs w:val="20"/>
                <w:lang w:eastAsia="zh-CN"/>
              </w:rPr>
              <w:t xml:space="preserve">8 </w:t>
            </w:r>
          </w:p>
        </w:tc>
      </w:tr>
      <w:tr w:rsidR="00303A2A" w:rsidRPr="00303A2A" w14:paraId="43F641B5" w14:textId="77777777" w:rsidTr="00EE3671">
        <w:trPr>
          <w:trHeight w:val="268"/>
          <w:jc w:val="center"/>
        </w:trPr>
        <w:tc>
          <w:tcPr>
            <w:tcW w:w="4923" w:type="dxa"/>
            <w:tcBorders>
              <w:top w:val="single" w:sz="4" w:space="0" w:color="auto"/>
              <w:bottom w:val="single" w:sz="4" w:space="0" w:color="auto"/>
            </w:tcBorders>
          </w:tcPr>
          <w:p w14:paraId="65B6F0F2"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lang w:eastAsia="zh-CN"/>
              </w:rPr>
            </w:pPr>
            <w:r w:rsidRPr="00303A2A">
              <w:rPr>
                <w:rFonts w:ascii="Times New Roman" w:eastAsia="Times New Roman" w:hAnsi="Times New Roman" w:cs="Times New Roman"/>
                <w:b/>
                <w:position w:val="0"/>
                <w:sz w:val="20"/>
                <w:szCs w:val="20"/>
                <w:lang w:eastAsia="zh-CN"/>
              </w:rPr>
              <w:t>Total</w:t>
            </w:r>
          </w:p>
        </w:tc>
        <w:tc>
          <w:tcPr>
            <w:tcW w:w="1362" w:type="dxa"/>
            <w:tcBorders>
              <w:top w:val="single" w:sz="4" w:space="0" w:color="auto"/>
              <w:bottom w:val="single" w:sz="4" w:space="0" w:color="auto"/>
            </w:tcBorders>
          </w:tcPr>
          <w:p w14:paraId="364659F8"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eastAsia="zh-CN"/>
              </w:rPr>
            </w:pPr>
            <w:r w:rsidRPr="00303A2A">
              <w:rPr>
                <w:rFonts w:ascii="Times New Roman" w:eastAsia="Times New Roman" w:hAnsi="Times New Roman" w:cs="Times New Roman"/>
                <w:b/>
                <w:position w:val="0"/>
                <w:sz w:val="20"/>
                <w:szCs w:val="20"/>
                <w:lang w:eastAsia="zh-CN"/>
              </w:rPr>
              <w:t>32</w:t>
            </w:r>
          </w:p>
        </w:tc>
      </w:tr>
    </w:tbl>
    <w:p w14:paraId="7BB8CBA2" w14:textId="48DB687D" w:rsidR="0057592A" w:rsidRDefault="0057592A" w:rsidP="00303A2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B68F92A" w14:textId="17F6D2F7" w:rsidR="0057592A" w:rsidRDefault="003E5F8B"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14:paraId="172E5F65" w14:textId="5CFCB8CF" w:rsidR="00303A2A" w:rsidRPr="00303A2A" w:rsidRDefault="00303A2A" w:rsidP="00303A2A">
      <w:pPr>
        <w:keepNext/>
        <w:keepLines/>
        <w:suppressAutoHyphens w:val="0"/>
        <w:spacing w:before="40"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rPr>
      </w:pPr>
      <w:r w:rsidRPr="00303A2A">
        <w:rPr>
          <w:rFonts w:ascii="Times New Roman" w:eastAsia="Times New Roman" w:hAnsi="Times New Roman" w:cs="Times New Roman"/>
          <w:i/>
          <w:iCs/>
          <w:position w:val="0"/>
          <w:sz w:val="24"/>
          <w:szCs w:val="24"/>
        </w:rPr>
        <w:t>Socio-Demographic Characteristics of Respondents</w:t>
      </w:r>
    </w:p>
    <w:p w14:paraId="690E60F5" w14:textId="78BA8504"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Most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respondents were male at 51% and 51.1%, respectively. All of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95.6% of respondents from Bandar Tun Razak were Malaysian citizens. Most of the respondents were between 21-30 years old, with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at 72% and Bandar Tun Razak at 73%. The majority of the respondents also had undergraduate degrees, with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at 83.5% and Bandar Tun Razak at 73.3%. The monthly household income of most of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was between RM5,001-RM7,000. In Bandar Tun Razak, most respondents had a monthly household income of less than RM5,000, representing 76% of the respondents from the district. </w:t>
      </w:r>
    </w:p>
    <w:p w14:paraId="268DF393" w14:textId="2EC61177"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7F98CB82" w14:textId="24446498"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6ED3E53F" w14:textId="77A7720C"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6DCF331D" w14:textId="40E8CA02"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3D9A8CE9" w14:textId="77777777"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2407570F"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67AA8AD7"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lastRenderedPageBreak/>
        <w:t>Table 2: The demographic profile of respondents from the districts in Kuala Lumpur</w:t>
      </w:r>
    </w:p>
    <w:tbl>
      <w:tblPr>
        <w:tblW w:w="0" w:type="auto"/>
        <w:tblLook w:val="00A0" w:firstRow="1" w:lastRow="0" w:firstColumn="1" w:lastColumn="0" w:noHBand="0" w:noVBand="0"/>
      </w:tblPr>
      <w:tblGrid>
        <w:gridCol w:w="2167"/>
        <w:gridCol w:w="1887"/>
        <w:gridCol w:w="1547"/>
        <w:gridCol w:w="1820"/>
        <w:gridCol w:w="1595"/>
      </w:tblGrid>
      <w:tr w:rsidR="00303A2A" w:rsidRPr="00303A2A" w14:paraId="18E54429" w14:textId="77777777" w:rsidTr="00EE3671">
        <w:tc>
          <w:tcPr>
            <w:tcW w:w="2167" w:type="dxa"/>
            <w:tcBorders>
              <w:top w:val="single" w:sz="4" w:space="0" w:color="auto"/>
              <w:bottom w:val="single" w:sz="4" w:space="0" w:color="auto"/>
            </w:tcBorders>
          </w:tcPr>
          <w:p w14:paraId="149D5344"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p>
        </w:tc>
        <w:tc>
          <w:tcPr>
            <w:tcW w:w="3434" w:type="dxa"/>
            <w:gridSpan w:val="2"/>
            <w:tcBorders>
              <w:top w:val="single" w:sz="4" w:space="0" w:color="auto"/>
              <w:bottom w:val="single" w:sz="4" w:space="0" w:color="auto"/>
            </w:tcBorders>
          </w:tcPr>
          <w:p w14:paraId="72902686"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proofErr w:type="spellStart"/>
            <w:r w:rsidRPr="00303A2A">
              <w:rPr>
                <w:rFonts w:ascii="Times New Roman" w:eastAsia="Times New Roman" w:hAnsi="Times New Roman" w:cs="Times New Roman"/>
                <w:b/>
                <w:bCs/>
                <w:position w:val="0"/>
                <w:sz w:val="20"/>
                <w:szCs w:val="20"/>
              </w:rPr>
              <w:t>Cheras</w:t>
            </w:r>
            <w:proofErr w:type="spellEnd"/>
            <w:r w:rsidRPr="00303A2A">
              <w:rPr>
                <w:rFonts w:ascii="Times New Roman" w:eastAsia="Times New Roman" w:hAnsi="Times New Roman" w:cs="Times New Roman"/>
                <w:b/>
                <w:bCs/>
                <w:position w:val="0"/>
                <w:sz w:val="20"/>
                <w:szCs w:val="20"/>
              </w:rPr>
              <w:t xml:space="preserve"> </w:t>
            </w:r>
          </w:p>
        </w:tc>
        <w:tc>
          <w:tcPr>
            <w:tcW w:w="3415" w:type="dxa"/>
            <w:gridSpan w:val="2"/>
            <w:tcBorders>
              <w:top w:val="single" w:sz="4" w:space="0" w:color="auto"/>
              <w:bottom w:val="single" w:sz="4" w:space="0" w:color="auto"/>
            </w:tcBorders>
          </w:tcPr>
          <w:p w14:paraId="1F22E62E"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303A2A">
              <w:rPr>
                <w:rFonts w:ascii="Times New Roman" w:eastAsia="Times New Roman" w:hAnsi="Times New Roman" w:cs="Times New Roman"/>
                <w:b/>
                <w:bCs/>
                <w:position w:val="0"/>
                <w:sz w:val="20"/>
                <w:szCs w:val="20"/>
              </w:rPr>
              <w:t xml:space="preserve">Bandar Tun Razak </w:t>
            </w:r>
          </w:p>
        </w:tc>
      </w:tr>
      <w:tr w:rsidR="00303A2A" w:rsidRPr="00303A2A" w14:paraId="309700B8" w14:textId="77777777" w:rsidTr="00EE3671">
        <w:tc>
          <w:tcPr>
            <w:tcW w:w="2167" w:type="dxa"/>
            <w:tcBorders>
              <w:top w:val="single" w:sz="4" w:space="0" w:color="auto"/>
              <w:bottom w:val="single" w:sz="4" w:space="0" w:color="auto"/>
            </w:tcBorders>
          </w:tcPr>
          <w:p w14:paraId="2E749D61"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303A2A">
              <w:rPr>
                <w:rFonts w:ascii="Times New Roman" w:eastAsia="Times New Roman" w:hAnsi="Times New Roman" w:cs="Times New Roman"/>
                <w:b/>
                <w:bCs/>
                <w:position w:val="0"/>
                <w:sz w:val="20"/>
                <w:szCs w:val="20"/>
              </w:rPr>
              <w:t>Demographic Variable</w:t>
            </w:r>
          </w:p>
        </w:tc>
        <w:tc>
          <w:tcPr>
            <w:tcW w:w="1887" w:type="dxa"/>
            <w:tcBorders>
              <w:top w:val="single" w:sz="4" w:space="0" w:color="auto"/>
              <w:bottom w:val="single" w:sz="4" w:space="0" w:color="auto"/>
            </w:tcBorders>
          </w:tcPr>
          <w:p w14:paraId="4AC66CD4"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303A2A">
              <w:rPr>
                <w:rFonts w:ascii="Times New Roman" w:eastAsia="Times New Roman" w:hAnsi="Times New Roman" w:cs="Times New Roman"/>
                <w:b/>
                <w:bCs/>
                <w:position w:val="0"/>
                <w:sz w:val="20"/>
                <w:szCs w:val="20"/>
              </w:rPr>
              <w:t>Majority</w:t>
            </w:r>
          </w:p>
        </w:tc>
        <w:tc>
          <w:tcPr>
            <w:tcW w:w="1547" w:type="dxa"/>
            <w:tcBorders>
              <w:top w:val="single" w:sz="4" w:space="0" w:color="auto"/>
              <w:bottom w:val="single" w:sz="4" w:space="0" w:color="auto"/>
            </w:tcBorders>
          </w:tcPr>
          <w:p w14:paraId="3949CBA5"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303A2A">
              <w:rPr>
                <w:rFonts w:ascii="Times New Roman" w:eastAsia="Times New Roman" w:hAnsi="Times New Roman" w:cs="Times New Roman"/>
                <w:b/>
                <w:bCs/>
                <w:position w:val="0"/>
                <w:sz w:val="20"/>
                <w:szCs w:val="20"/>
              </w:rPr>
              <w:t>(%)</w:t>
            </w:r>
          </w:p>
        </w:tc>
        <w:tc>
          <w:tcPr>
            <w:tcW w:w="1820" w:type="dxa"/>
            <w:tcBorders>
              <w:top w:val="single" w:sz="4" w:space="0" w:color="auto"/>
              <w:bottom w:val="single" w:sz="4" w:space="0" w:color="auto"/>
            </w:tcBorders>
          </w:tcPr>
          <w:p w14:paraId="5F164F7B"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303A2A">
              <w:rPr>
                <w:rFonts w:ascii="Times New Roman" w:eastAsia="Times New Roman" w:hAnsi="Times New Roman" w:cs="Times New Roman"/>
                <w:b/>
                <w:bCs/>
                <w:position w:val="0"/>
                <w:sz w:val="20"/>
                <w:szCs w:val="20"/>
              </w:rPr>
              <w:t>Majority</w:t>
            </w:r>
          </w:p>
        </w:tc>
        <w:tc>
          <w:tcPr>
            <w:tcW w:w="1595" w:type="dxa"/>
            <w:tcBorders>
              <w:top w:val="single" w:sz="4" w:space="0" w:color="auto"/>
              <w:bottom w:val="single" w:sz="4" w:space="0" w:color="auto"/>
            </w:tcBorders>
          </w:tcPr>
          <w:p w14:paraId="75F41A04"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303A2A">
              <w:rPr>
                <w:rFonts w:ascii="Times New Roman" w:eastAsia="Times New Roman" w:hAnsi="Times New Roman" w:cs="Times New Roman"/>
                <w:b/>
                <w:bCs/>
                <w:position w:val="0"/>
                <w:sz w:val="20"/>
                <w:szCs w:val="20"/>
              </w:rPr>
              <w:t>(%)</w:t>
            </w:r>
          </w:p>
        </w:tc>
      </w:tr>
      <w:tr w:rsidR="00303A2A" w:rsidRPr="00303A2A" w14:paraId="28E45802" w14:textId="77777777" w:rsidTr="00EE3671">
        <w:tc>
          <w:tcPr>
            <w:tcW w:w="2167" w:type="dxa"/>
            <w:tcBorders>
              <w:top w:val="single" w:sz="4" w:space="0" w:color="auto"/>
            </w:tcBorders>
          </w:tcPr>
          <w:p w14:paraId="2C0350A9"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Gender</w:t>
            </w:r>
          </w:p>
        </w:tc>
        <w:tc>
          <w:tcPr>
            <w:tcW w:w="1887" w:type="dxa"/>
            <w:tcBorders>
              <w:top w:val="single" w:sz="4" w:space="0" w:color="auto"/>
            </w:tcBorders>
          </w:tcPr>
          <w:p w14:paraId="163A379E"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Male</w:t>
            </w:r>
          </w:p>
        </w:tc>
        <w:tc>
          <w:tcPr>
            <w:tcW w:w="1547" w:type="dxa"/>
            <w:tcBorders>
              <w:top w:val="single" w:sz="4" w:space="0" w:color="auto"/>
            </w:tcBorders>
          </w:tcPr>
          <w:p w14:paraId="5274622B"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51.0</w:t>
            </w:r>
          </w:p>
        </w:tc>
        <w:tc>
          <w:tcPr>
            <w:tcW w:w="1820" w:type="dxa"/>
            <w:tcBorders>
              <w:top w:val="single" w:sz="4" w:space="0" w:color="auto"/>
            </w:tcBorders>
          </w:tcPr>
          <w:p w14:paraId="55E6E72F"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Male</w:t>
            </w:r>
          </w:p>
        </w:tc>
        <w:tc>
          <w:tcPr>
            <w:tcW w:w="1595" w:type="dxa"/>
            <w:tcBorders>
              <w:top w:val="single" w:sz="4" w:space="0" w:color="auto"/>
            </w:tcBorders>
          </w:tcPr>
          <w:p w14:paraId="163FCE91"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51.1</w:t>
            </w:r>
          </w:p>
        </w:tc>
      </w:tr>
      <w:tr w:rsidR="00303A2A" w:rsidRPr="00303A2A" w14:paraId="063B4910" w14:textId="77777777" w:rsidTr="00EE3671">
        <w:tc>
          <w:tcPr>
            <w:tcW w:w="2167" w:type="dxa"/>
          </w:tcPr>
          <w:p w14:paraId="5B111B91"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Citizenship</w:t>
            </w:r>
          </w:p>
        </w:tc>
        <w:tc>
          <w:tcPr>
            <w:tcW w:w="1887" w:type="dxa"/>
          </w:tcPr>
          <w:p w14:paraId="3A5B7785"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Citizen</w:t>
            </w:r>
          </w:p>
        </w:tc>
        <w:tc>
          <w:tcPr>
            <w:tcW w:w="1547" w:type="dxa"/>
          </w:tcPr>
          <w:p w14:paraId="62050E18"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100.0</w:t>
            </w:r>
          </w:p>
        </w:tc>
        <w:tc>
          <w:tcPr>
            <w:tcW w:w="1820" w:type="dxa"/>
          </w:tcPr>
          <w:p w14:paraId="76FA9452"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Citizen</w:t>
            </w:r>
          </w:p>
        </w:tc>
        <w:tc>
          <w:tcPr>
            <w:tcW w:w="1595" w:type="dxa"/>
          </w:tcPr>
          <w:p w14:paraId="0618F352"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95.6</w:t>
            </w:r>
          </w:p>
        </w:tc>
      </w:tr>
      <w:tr w:rsidR="00303A2A" w:rsidRPr="00303A2A" w14:paraId="5B97FCC5" w14:textId="77777777" w:rsidTr="00EE3671">
        <w:tc>
          <w:tcPr>
            <w:tcW w:w="2167" w:type="dxa"/>
          </w:tcPr>
          <w:p w14:paraId="2B6EAE1A"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Age</w:t>
            </w:r>
          </w:p>
        </w:tc>
        <w:tc>
          <w:tcPr>
            <w:tcW w:w="1887" w:type="dxa"/>
          </w:tcPr>
          <w:p w14:paraId="5019D344"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21-30 years old</w:t>
            </w:r>
          </w:p>
        </w:tc>
        <w:tc>
          <w:tcPr>
            <w:tcW w:w="1547" w:type="dxa"/>
          </w:tcPr>
          <w:p w14:paraId="09CABDE9"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72.0</w:t>
            </w:r>
          </w:p>
        </w:tc>
        <w:tc>
          <w:tcPr>
            <w:tcW w:w="1820" w:type="dxa"/>
          </w:tcPr>
          <w:p w14:paraId="41E43DD4"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21-30 years old</w:t>
            </w:r>
          </w:p>
        </w:tc>
        <w:tc>
          <w:tcPr>
            <w:tcW w:w="1595" w:type="dxa"/>
          </w:tcPr>
          <w:p w14:paraId="6C24D1F8"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73.0</w:t>
            </w:r>
          </w:p>
        </w:tc>
      </w:tr>
      <w:tr w:rsidR="00303A2A" w:rsidRPr="00303A2A" w14:paraId="70CB9AE5" w14:textId="77777777" w:rsidTr="00EE3671">
        <w:tc>
          <w:tcPr>
            <w:tcW w:w="2167" w:type="dxa"/>
          </w:tcPr>
          <w:p w14:paraId="70C8FE23"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Education Level</w:t>
            </w:r>
          </w:p>
        </w:tc>
        <w:tc>
          <w:tcPr>
            <w:tcW w:w="1887" w:type="dxa"/>
          </w:tcPr>
          <w:p w14:paraId="69CA661F"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Degree</w:t>
            </w:r>
          </w:p>
        </w:tc>
        <w:tc>
          <w:tcPr>
            <w:tcW w:w="1547" w:type="dxa"/>
          </w:tcPr>
          <w:p w14:paraId="14BC9233"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83.5</w:t>
            </w:r>
          </w:p>
        </w:tc>
        <w:tc>
          <w:tcPr>
            <w:tcW w:w="1820" w:type="dxa"/>
          </w:tcPr>
          <w:p w14:paraId="21416753"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Degree</w:t>
            </w:r>
          </w:p>
        </w:tc>
        <w:tc>
          <w:tcPr>
            <w:tcW w:w="1595" w:type="dxa"/>
          </w:tcPr>
          <w:p w14:paraId="6525A8DA"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73.3</w:t>
            </w:r>
          </w:p>
        </w:tc>
      </w:tr>
      <w:tr w:rsidR="00303A2A" w:rsidRPr="00303A2A" w14:paraId="7C97D211" w14:textId="77777777" w:rsidTr="00EE3671">
        <w:tc>
          <w:tcPr>
            <w:tcW w:w="2167" w:type="dxa"/>
          </w:tcPr>
          <w:p w14:paraId="4E022C04"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Occupational Sector</w:t>
            </w:r>
          </w:p>
        </w:tc>
        <w:tc>
          <w:tcPr>
            <w:tcW w:w="1887" w:type="dxa"/>
          </w:tcPr>
          <w:p w14:paraId="445F73CA"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Government</w:t>
            </w:r>
          </w:p>
        </w:tc>
        <w:tc>
          <w:tcPr>
            <w:tcW w:w="1547" w:type="dxa"/>
          </w:tcPr>
          <w:p w14:paraId="1CE9DA29"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75.0</w:t>
            </w:r>
          </w:p>
        </w:tc>
        <w:tc>
          <w:tcPr>
            <w:tcW w:w="1820" w:type="dxa"/>
          </w:tcPr>
          <w:p w14:paraId="52631F33"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Private Sector</w:t>
            </w:r>
          </w:p>
        </w:tc>
        <w:tc>
          <w:tcPr>
            <w:tcW w:w="1595" w:type="dxa"/>
          </w:tcPr>
          <w:p w14:paraId="3FB0CC3B"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51.0</w:t>
            </w:r>
          </w:p>
        </w:tc>
      </w:tr>
      <w:tr w:rsidR="00303A2A" w:rsidRPr="00303A2A" w14:paraId="6D3EACB4" w14:textId="77777777" w:rsidTr="00EE3671">
        <w:tc>
          <w:tcPr>
            <w:tcW w:w="2167" w:type="dxa"/>
            <w:tcBorders>
              <w:bottom w:val="single" w:sz="4" w:space="0" w:color="auto"/>
            </w:tcBorders>
          </w:tcPr>
          <w:p w14:paraId="6762BFD3"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Monthly household Income</w:t>
            </w:r>
          </w:p>
        </w:tc>
        <w:tc>
          <w:tcPr>
            <w:tcW w:w="1887" w:type="dxa"/>
            <w:tcBorders>
              <w:bottom w:val="single" w:sz="4" w:space="0" w:color="auto"/>
            </w:tcBorders>
          </w:tcPr>
          <w:p w14:paraId="5265DFFC"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RM5,001 – RM7,000</w:t>
            </w:r>
          </w:p>
        </w:tc>
        <w:tc>
          <w:tcPr>
            <w:tcW w:w="1547" w:type="dxa"/>
            <w:tcBorders>
              <w:bottom w:val="single" w:sz="4" w:space="0" w:color="auto"/>
            </w:tcBorders>
          </w:tcPr>
          <w:p w14:paraId="294EBAB0"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81.0</w:t>
            </w:r>
          </w:p>
        </w:tc>
        <w:tc>
          <w:tcPr>
            <w:tcW w:w="1820" w:type="dxa"/>
            <w:tcBorders>
              <w:bottom w:val="single" w:sz="4" w:space="0" w:color="auto"/>
            </w:tcBorders>
          </w:tcPr>
          <w:p w14:paraId="4C5CBA3E"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&lt;RM5,000</w:t>
            </w:r>
          </w:p>
        </w:tc>
        <w:tc>
          <w:tcPr>
            <w:tcW w:w="1595" w:type="dxa"/>
            <w:tcBorders>
              <w:bottom w:val="single" w:sz="4" w:space="0" w:color="auto"/>
            </w:tcBorders>
          </w:tcPr>
          <w:p w14:paraId="1C61C13B"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76.0</w:t>
            </w:r>
          </w:p>
        </w:tc>
      </w:tr>
    </w:tbl>
    <w:p w14:paraId="18745F0B"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rPr>
      </w:pPr>
    </w:p>
    <w:p w14:paraId="436EE0F8"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The study found that all respondents from Kuala Lumpur think that Malaysia will be able to produce HFCV. The study also found that all respondents from Kuala Lumpur were confident that HFCV could be operated successfully in Malaysia. All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respondents believe that cars and busses are suitable for adopting hydrogen fuel cells, as shown in Figure 1. However, opinions varied on the suitability of lorries and heavy vehicles to adopt hydrogen fuel cells. Bandar Tun Razak had the lowest percentage of agreement on the suitability of lorries and heavy vehicles at 62.2%. However, 80% of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believe that hydrogen fuel cells are suitable for lorries and heavy vehicles. As part of the study, all four Japanese vehicle manufacturers listed in the questionnaire (Toyota, Honda, Nissan, and Mitsubishi) manufactured HFCV either commercially or conceptually, as shown in Figure 2. In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97.6% of the respondents believe that Toyota has adopted HFCV in Malaysia, followed by Honda (91%), Nissan (25.9%), and Mitsubishi (11.8%).  However, respondents from Bandar Tun Razak believe that Toyota also adopted HFCV in Malaysia with the highest percentage at 82.2%, followed by Honda (73.3%), Nissan (62.2%), and Toyota at 53.3%. </w:t>
      </w:r>
    </w:p>
    <w:p w14:paraId="6D33DE21"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p>
    <w:p w14:paraId="79DD769F"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p>
    <w:p w14:paraId="401C9B7C" w14:textId="77777777" w:rsidR="00303A2A" w:rsidRPr="00303A2A" w:rsidRDefault="00303A2A" w:rsidP="00303A2A">
      <w:pPr>
        <w:suppressAutoHyphens w:val="0"/>
        <w:spacing w:after="0" w:line="240" w:lineRule="auto"/>
        <w:ind w:leftChars="0" w:left="0" w:firstLineChars="0" w:firstLine="72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bCs/>
          <w:position w:val="0"/>
          <w:sz w:val="20"/>
          <w:szCs w:val="20"/>
        </w:rPr>
        <w:t>Figure 1: Public Opinion on Vehicle Suitability for HFCV Adoption</w:t>
      </w:r>
    </w:p>
    <w:p w14:paraId="2485C947" w14:textId="77777777" w:rsidR="00303A2A" w:rsidRPr="00303A2A" w:rsidRDefault="00303A2A" w:rsidP="00303A2A">
      <w:pPr>
        <w:suppressAutoHyphens w:val="0"/>
        <w:spacing w:after="0" w:line="240" w:lineRule="auto"/>
        <w:ind w:leftChars="0" w:left="0" w:firstLineChars="0" w:firstLine="180"/>
        <w:jc w:val="center"/>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noProof/>
          <w:position w:val="0"/>
          <w:sz w:val="24"/>
          <w:szCs w:val="24"/>
          <w:lang w:val="en-AU" w:eastAsia="en-AU"/>
        </w:rPr>
        <w:drawing>
          <wp:inline distT="0" distB="0" distL="0" distR="0" wp14:anchorId="5AF50D2C" wp14:editId="5D4B90CB">
            <wp:extent cx="4366260" cy="3017520"/>
            <wp:effectExtent l="0" t="0" r="15240" b="11430"/>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876B7B"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position w:val="0"/>
          <w:sz w:val="20"/>
          <w:szCs w:val="20"/>
        </w:rPr>
      </w:pPr>
    </w:p>
    <w:p w14:paraId="1353C1CD" w14:textId="77777777" w:rsid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p>
    <w:p w14:paraId="6C0D4FF9" w14:textId="77777777" w:rsid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p>
    <w:p w14:paraId="0EF39D7E" w14:textId="77777777" w:rsid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p>
    <w:p w14:paraId="55331A7C" w14:textId="55C202D6"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bCs/>
          <w:position w:val="0"/>
          <w:sz w:val="20"/>
          <w:szCs w:val="20"/>
        </w:rPr>
        <w:lastRenderedPageBreak/>
        <w:t>Figure 2: Perception and Opinion of Japanese Car Brands that have adopted HFCV in Malaysia</w:t>
      </w:r>
    </w:p>
    <w:p w14:paraId="248BE7DB"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4"/>
          <w:szCs w:val="24"/>
        </w:rPr>
      </w:pPr>
      <w:r w:rsidRPr="00303A2A">
        <w:rPr>
          <w:rFonts w:ascii="Times New Roman" w:eastAsia="Times New Roman" w:hAnsi="Times New Roman" w:cs="Times New Roman"/>
          <w:b/>
          <w:noProof/>
          <w:position w:val="0"/>
          <w:sz w:val="24"/>
          <w:szCs w:val="24"/>
          <w:lang w:val="en-AU" w:eastAsia="en-AU"/>
        </w:rPr>
        <w:drawing>
          <wp:inline distT="0" distB="0" distL="0" distR="0" wp14:anchorId="5CDD287E" wp14:editId="52FC6BCC">
            <wp:extent cx="4655820" cy="3368040"/>
            <wp:effectExtent l="0" t="0" r="11430" b="381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4A8A1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4"/>
          <w:szCs w:val="24"/>
        </w:rPr>
      </w:pPr>
    </w:p>
    <w:p w14:paraId="066C1AE5" w14:textId="0C3645C4"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i/>
          <w:iCs/>
          <w:position w:val="0"/>
          <w:sz w:val="24"/>
          <w:szCs w:val="24"/>
        </w:rPr>
      </w:pPr>
      <w:r w:rsidRPr="00303A2A">
        <w:rPr>
          <w:rFonts w:ascii="Times New Roman" w:eastAsia="Times New Roman" w:hAnsi="Times New Roman" w:cs="Times New Roman"/>
          <w:bCs/>
          <w:i/>
          <w:iCs/>
          <w:position w:val="0"/>
          <w:sz w:val="24"/>
          <w:szCs w:val="24"/>
        </w:rPr>
        <w:t>The Public Understanding of HFCV in Malaysia</w:t>
      </w:r>
    </w:p>
    <w:p w14:paraId="7C507A56"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bookmarkStart w:id="3" w:name="_Hlk84096314"/>
      <w:r w:rsidRPr="00303A2A">
        <w:rPr>
          <w:rFonts w:ascii="Times New Roman" w:eastAsia="Times New Roman" w:hAnsi="Times New Roman" w:cs="Times New Roman"/>
          <w:position w:val="0"/>
          <w:sz w:val="24"/>
          <w:szCs w:val="24"/>
        </w:rPr>
        <w:t xml:space="preserve">Several statements were included in the questionnaire to measure the respondents’ level of understanding of HFCV, as shown in Table 3. The survey results of this study were not based on the respondents’ experience of using HFCV but rather the general public’s understanding and perception without the experience of using HFCV. </w:t>
      </w:r>
      <w:bookmarkStart w:id="4" w:name="_Hlk83828001"/>
      <w:r w:rsidRPr="00303A2A">
        <w:rPr>
          <w:rFonts w:ascii="Times New Roman" w:eastAsia="Times New Roman" w:hAnsi="Times New Roman" w:cs="Times New Roman"/>
          <w:position w:val="0"/>
          <w:sz w:val="24"/>
          <w:szCs w:val="24"/>
        </w:rPr>
        <w:t xml:space="preserve">The results indicate that 80% of the respondents from Bandar Tun Razak </w:t>
      </w:r>
      <w:bookmarkStart w:id="5" w:name="_Hlk81081509"/>
      <w:r w:rsidRPr="00303A2A">
        <w:rPr>
          <w:rFonts w:ascii="Times New Roman" w:eastAsia="Times New Roman" w:hAnsi="Times New Roman" w:cs="Times New Roman"/>
          <w:position w:val="0"/>
          <w:sz w:val="24"/>
          <w:szCs w:val="24"/>
        </w:rPr>
        <w:t>agreed t</w:t>
      </w:r>
      <w:bookmarkEnd w:id="5"/>
      <w:r w:rsidRPr="00303A2A">
        <w:rPr>
          <w:rFonts w:ascii="Times New Roman" w:eastAsia="Times New Roman" w:hAnsi="Times New Roman" w:cs="Times New Roman"/>
          <w:position w:val="0"/>
          <w:sz w:val="24"/>
          <w:szCs w:val="24"/>
        </w:rPr>
        <w:t>o adopt the HFCV into their Malaysian lifestyle.</w:t>
      </w:r>
      <w:bookmarkEnd w:id="4"/>
      <w:r w:rsidRPr="00303A2A">
        <w:rPr>
          <w:rFonts w:ascii="Times New Roman" w:eastAsia="Times New Roman" w:hAnsi="Times New Roman" w:cs="Times New Roman"/>
          <w:position w:val="0"/>
          <w:sz w:val="24"/>
          <w:szCs w:val="24"/>
        </w:rPr>
        <w:t xml:space="preserve"> However, only 1.2% of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agreed about adopting the HFCV into their Malaysian lifestyle. The results indicate that 49.4 % and 44.4% of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respondents agreed that HFCVs have good performance acceleration. Most of the respondents from Bandar Tun Razak have a good understanding of the advantages of hydrogen fuel cells compared to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The former felt that HFCV had fast </w:t>
      </w:r>
      <w:proofErr w:type="spellStart"/>
      <w:r w:rsidRPr="00303A2A">
        <w:rPr>
          <w:rFonts w:ascii="Times New Roman" w:eastAsia="Times New Roman" w:hAnsi="Times New Roman" w:cs="Times New Roman"/>
          <w:position w:val="0"/>
          <w:sz w:val="24"/>
          <w:szCs w:val="24"/>
        </w:rPr>
        <w:t>refuelling</w:t>
      </w:r>
      <w:proofErr w:type="spellEnd"/>
      <w:r w:rsidRPr="00303A2A">
        <w:rPr>
          <w:rFonts w:ascii="Times New Roman" w:eastAsia="Times New Roman" w:hAnsi="Times New Roman" w:cs="Times New Roman"/>
          <w:position w:val="0"/>
          <w:sz w:val="24"/>
          <w:szCs w:val="24"/>
        </w:rPr>
        <w:t xml:space="preserve">, quality engines, low oil dependence, and good road handling. They also believed that hydrogen fuel cells provide clean energy and less CO2 emissions, thus improving air quality and reducing pollution. However, to explore environmental issues, we found that only 12.9 % and 20% of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respondents respectively agreed that HFCVs have a low environmental impact. It means that respondents from both locations were less aware of environmentally friendly cars such as the HCFV.</w:t>
      </w:r>
    </w:p>
    <w:p w14:paraId="3AE6C1AA" w14:textId="36FE9F67" w:rsid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HFCV has a high purchasing price and an inadequate support infrastructure, particularly regarding access to refueling stations to power fuel cell vehicles. However, </w:t>
      </w:r>
      <w:bookmarkStart w:id="6" w:name="_Hlk83848867"/>
      <w:r w:rsidRPr="00303A2A">
        <w:rPr>
          <w:rFonts w:ascii="Times New Roman" w:eastAsia="Times New Roman" w:hAnsi="Times New Roman" w:cs="Times New Roman"/>
          <w:position w:val="0"/>
          <w:sz w:val="24"/>
          <w:szCs w:val="24"/>
        </w:rPr>
        <w:t xml:space="preserve">most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stated that low operation costs and purchasing prices need HFCV and had adequate support infrastructure to cater for HFCV.</w:t>
      </w:r>
      <w:bookmarkEnd w:id="6"/>
      <w:r w:rsidRPr="00303A2A">
        <w:rPr>
          <w:rFonts w:ascii="Times New Roman" w:eastAsia="Times New Roman" w:hAnsi="Times New Roman" w:cs="Times New Roman"/>
          <w:position w:val="0"/>
          <w:sz w:val="24"/>
          <w:szCs w:val="24"/>
        </w:rPr>
        <w:t xml:space="preserve"> It means that most of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lacked awareness and knowledge about the disadvantages of HFCV compared to respondents from Bandar Tun Razak, who had a great level of awareness and knowledge.  Interestingly, most of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agreed that HFCV had an excellent interior design and safety features and more efficient engines than conventional vehicles. Limited fuel sources for HFCV depend on hydrogen production, whether from renewable energy (like solar and wind) or non-renewable </w:t>
      </w:r>
      <w:r w:rsidRPr="00303A2A">
        <w:rPr>
          <w:rFonts w:ascii="Times New Roman" w:eastAsia="Times New Roman" w:hAnsi="Times New Roman" w:cs="Times New Roman"/>
          <w:position w:val="0"/>
          <w:sz w:val="24"/>
          <w:szCs w:val="24"/>
        </w:rPr>
        <w:lastRenderedPageBreak/>
        <w:t xml:space="preserve">energy (such as natural gas, nuclear power, biomass). However, according to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{"citationItems":[{"id":"ITEM-1","itemData":{"abstract":"This briefing provides a synthesis of information regarding the global development of hydrogen fueling infrastructure to power fuel cell vehicles. The compilation includes research on hydrogen infrastructure deployment, fuel pathways, and planning based on developments in the prominent fuel cell vehicle growth markets around the world.","author":[{"dropping-particle":"","family":"Aaron Isenstadt","given":"","non-dropping-particle":"","parse-names":false,"suffix":""},{"dropping-particle":"","family":"Lutsey","given":"Nic","non-dropping-particle":"","parse-names":false,"suffix":""}],"id":"ITEM-1","issue":"October","issued":{"date-parts":[["2017"]]},"page":"1 - 22","title":"Developing hydrogen fueling infrastructure for fuel cell vehicles: A status update","type":"article-journal"},"uris":["http://www.mendeley.com/documents/?uuid=4a2cafab-5372-4739-a8d8-463f406de972"]}],"mendeley":{"formattedCitation":"(Aaron Isenstadt &amp; Lutsey, 2017)","manualFormatting":"Aaron Isenstadt and Lutsey (2017)","plainTextFormattedCitation":"(Aaron Isenstadt &amp; Lutsey, 2017)","previouslyFormattedCitation":"(Aaron Isenstadt &amp; Lutsey, 2017)"},"properties":{"noteIndex":0},"schema":"https://github.com/citation-style-language/schema/raw/master/csl-citation.json"}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Aaron Isenstadt and Lutsey (2017)</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hydrogen produced from renewable energy has a relatively high cost compared to hydrogen from fossil fuels. The results indicate that 38.8 % and 33.3% of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respectively agreed that fuel sources for HFCV are limited.</w:t>
      </w:r>
      <w:bookmarkEnd w:id="3"/>
    </w:p>
    <w:p w14:paraId="4085AC5A"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p>
    <w:p w14:paraId="54AD3CDA"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Table 3: The Public Understanding of HFCV in Malaysia</w:t>
      </w:r>
    </w:p>
    <w:tbl>
      <w:tblPr>
        <w:tblW w:w="9044" w:type="dxa"/>
        <w:tblInd w:w="-5" w:type="dxa"/>
        <w:tblLayout w:type="fixed"/>
        <w:tblLook w:val="00A0" w:firstRow="1" w:lastRow="0" w:firstColumn="1" w:lastColumn="0" w:noHBand="0" w:noVBand="0"/>
      </w:tblPr>
      <w:tblGrid>
        <w:gridCol w:w="709"/>
        <w:gridCol w:w="6067"/>
        <w:gridCol w:w="141"/>
        <w:gridCol w:w="993"/>
        <w:gridCol w:w="1134"/>
      </w:tblGrid>
      <w:tr w:rsidR="00303A2A" w:rsidRPr="00303A2A" w14:paraId="308A2DE2" w14:textId="77777777" w:rsidTr="00EE3671">
        <w:trPr>
          <w:tblHeader/>
        </w:trPr>
        <w:tc>
          <w:tcPr>
            <w:tcW w:w="709" w:type="dxa"/>
            <w:tcBorders>
              <w:top w:val="single" w:sz="4" w:space="0" w:color="auto"/>
              <w:bottom w:val="single" w:sz="4" w:space="0" w:color="auto"/>
            </w:tcBorders>
          </w:tcPr>
          <w:p w14:paraId="15045EC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p>
        </w:tc>
        <w:tc>
          <w:tcPr>
            <w:tcW w:w="6208" w:type="dxa"/>
            <w:gridSpan w:val="2"/>
            <w:tcBorders>
              <w:top w:val="single" w:sz="4" w:space="0" w:color="auto"/>
              <w:bottom w:val="single" w:sz="4" w:space="0" w:color="auto"/>
            </w:tcBorders>
          </w:tcPr>
          <w:p w14:paraId="63B3A04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Item Statement</w:t>
            </w:r>
          </w:p>
        </w:tc>
        <w:tc>
          <w:tcPr>
            <w:tcW w:w="2127" w:type="dxa"/>
            <w:gridSpan w:val="2"/>
            <w:tcBorders>
              <w:top w:val="single" w:sz="4" w:space="0" w:color="auto"/>
              <w:bottom w:val="single" w:sz="4" w:space="0" w:color="auto"/>
            </w:tcBorders>
          </w:tcPr>
          <w:p w14:paraId="7D1883EE"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 xml:space="preserve">% </w:t>
            </w:r>
            <w:proofErr w:type="gramStart"/>
            <w:r w:rsidRPr="00303A2A">
              <w:rPr>
                <w:rFonts w:ascii="Times New Roman" w:eastAsia="Times New Roman" w:hAnsi="Times New Roman" w:cs="Times New Roman"/>
                <w:b/>
                <w:position w:val="0"/>
                <w:sz w:val="20"/>
                <w:szCs w:val="20"/>
              </w:rPr>
              <w:t>of</w:t>
            </w:r>
            <w:proofErr w:type="gramEnd"/>
            <w:r w:rsidRPr="00303A2A">
              <w:rPr>
                <w:rFonts w:ascii="Times New Roman" w:eastAsia="Times New Roman" w:hAnsi="Times New Roman" w:cs="Times New Roman"/>
                <w:b/>
                <w:position w:val="0"/>
                <w:sz w:val="20"/>
                <w:szCs w:val="20"/>
              </w:rPr>
              <w:t xml:space="preserve"> Agreement</w:t>
            </w:r>
          </w:p>
        </w:tc>
      </w:tr>
      <w:tr w:rsidR="00303A2A" w:rsidRPr="00303A2A" w14:paraId="7E4B6F74" w14:textId="77777777" w:rsidTr="00EE3671">
        <w:trPr>
          <w:tblHeader/>
        </w:trPr>
        <w:tc>
          <w:tcPr>
            <w:tcW w:w="709" w:type="dxa"/>
            <w:tcBorders>
              <w:top w:val="single" w:sz="4" w:space="0" w:color="auto"/>
              <w:bottom w:val="single" w:sz="4" w:space="0" w:color="auto"/>
            </w:tcBorders>
          </w:tcPr>
          <w:p w14:paraId="400F0AA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No.</w:t>
            </w:r>
          </w:p>
        </w:tc>
        <w:tc>
          <w:tcPr>
            <w:tcW w:w="6067" w:type="dxa"/>
            <w:tcBorders>
              <w:top w:val="single" w:sz="4" w:space="0" w:color="auto"/>
              <w:bottom w:val="single" w:sz="4" w:space="0" w:color="auto"/>
            </w:tcBorders>
          </w:tcPr>
          <w:p w14:paraId="1C184A1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In terms of my perception of HFCV adoption in Malaysia, I believe that HFCV will……</w:t>
            </w:r>
          </w:p>
        </w:tc>
        <w:tc>
          <w:tcPr>
            <w:tcW w:w="1134" w:type="dxa"/>
            <w:gridSpan w:val="2"/>
            <w:tcBorders>
              <w:top w:val="single" w:sz="4" w:space="0" w:color="auto"/>
              <w:bottom w:val="single" w:sz="4" w:space="0" w:color="auto"/>
            </w:tcBorders>
          </w:tcPr>
          <w:p w14:paraId="6ADF084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roofErr w:type="spellStart"/>
            <w:r w:rsidRPr="00303A2A">
              <w:rPr>
                <w:rFonts w:ascii="Times New Roman" w:eastAsia="Times New Roman" w:hAnsi="Times New Roman" w:cs="Times New Roman"/>
                <w:b/>
                <w:position w:val="0"/>
                <w:sz w:val="20"/>
                <w:szCs w:val="20"/>
              </w:rPr>
              <w:t>Cheras</w:t>
            </w:r>
            <w:proofErr w:type="spellEnd"/>
          </w:p>
        </w:tc>
        <w:tc>
          <w:tcPr>
            <w:tcW w:w="1134" w:type="dxa"/>
            <w:tcBorders>
              <w:top w:val="single" w:sz="4" w:space="0" w:color="auto"/>
              <w:bottom w:val="single" w:sz="4" w:space="0" w:color="auto"/>
            </w:tcBorders>
          </w:tcPr>
          <w:p w14:paraId="094D874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BTR</w:t>
            </w:r>
          </w:p>
        </w:tc>
      </w:tr>
      <w:tr w:rsidR="00303A2A" w:rsidRPr="00303A2A" w14:paraId="421D3AD3" w14:textId="77777777" w:rsidTr="00EE3671">
        <w:trPr>
          <w:trHeight w:val="107"/>
        </w:trPr>
        <w:tc>
          <w:tcPr>
            <w:tcW w:w="709" w:type="dxa"/>
            <w:tcBorders>
              <w:top w:val="single" w:sz="4" w:space="0" w:color="auto"/>
            </w:tcBorders>
          </w:tcPr>
          <w:p w14:paraId="2EFFABF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w:t>
            </w:r>
          </w:p>
        </w:tc>
        <w:tc>
          <w:tcPr>
            <w:tcW w:w="6067" w:type="dxa"/>
            <w:tcBorders>
              <w:top w:val="single" w:sz="4" w:space="0" w:color="auto"/>
            </w:tcBorders>
            <w:vAlign w:val="center"/>
          </w:tcPr>
          <w:p w14:paraId="217572F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suit the Malaysian lifestyle</w:t>
            </w:r>
          </w:p>
        </w:tc>
        <w:tc>
          <w:tcPr>
            <w:tcW w:w="1134" w:type="dxa"/>
            <w:gridSpan w:val="2"/>
            <w:tcBorders>
              <w:top w:val="single" w:sz="4" w:space="0" w:color="auto"/>
            </w:tcBorders>
          </w:tcPr>
          <w:p w14:paraId="31C7F26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1.2</w:t>
            </w:r>
          </w:p>
        </w:tc>
        <w:tc>
          <w:tcPr>
            <w:tcW w:w="1134" w:type="dxa"/>
            <w:tcBorders>
              <w:top w:val="single" w:sz="4" w:space="0" w:color="auto"/>
            </w:tcBorders>
          </w:tcPr>
          <w:p w14:paraId="5EAA30C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80.0</w:t>
            </w:r>
          </w:p>
        </w:tc>
      </w:tr>
      <w:tr w:rsidR="00303A2A" w:rsidRPr="00303A2A" w14:paraId="6461E898" w14:textId="77777777" w:rsidTr="00EE3671">
        <w:trPr>
          <w:trHeight w:val="90"/>
        </w:trPr>
        <w:tc>
          <w:tcPr>
            <w:tcW w:w="709" w:type="dxa"/>
          </w:tcPr>
          <w:p w14:paraId="76667AE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w:t>
            </w:r>
          </w:p>
        </w:tc>
        <w:tc>
          <w:tcPr>
            <w:tcW w:w="6067" w:type="dxa"/>
            <w:vAlign w:val="center"/>
          </w:tcPr>
          <w:p w14:paraId="5485F05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good performance acceleration</w:t>
            </w:r>
          </w:p>
        </w:tc>
        <w:tc>
          <w:tcPr>
            <w:tcW w:w="1134" w:type="dxa"/>
            <w:gridSpan w:val="2"/>
          </w:tcPr>
          <w:p w14:paraId="316246B2"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2.4</w:t>
            </w:r>
          </w:p>
        </w:tc>
        <w:tc>
          <w:tcPr>
            <w:tcW w:w="1134" w:type="dxa"/>
          </w:tcPr>
          <w:p w14:paraId="223EF5A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42.2</w:t>
            </w:r>
          </w:p>
        </w:tc>
      </w:tr>
      <w:tr w:rsidR="00303A2A" w:rsidRPr="00303A2A" w14:paraId="33E3BAE7" w14:textId="77777777" w:rsidTr="00EE3671">
        <w:trPr>
          <w:trHeight w:val="80"/>
        </w:trPr>
        <w:tc>
          <w:tcPr>
            <w:tcW w:w="709" w:type="dxa"/>
          </w:tcPr>
          <w:p w14:paraId="1B24F78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w:t>
            </w:r>
          </w:p>
        </w:tc>
        <w:tc>
          <w:tcPr>
            <w:tcW w:w="6067" w:type="dxa"/>
            <w:vAlign w:val="center"/>
          </w:tcPr>
          <w:p w14:paraId="74387D2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low environmental impact</w:t>
            </w:r>
          </w:p>
        </w:tc>
        <w:tc>
          <w:tcPr>
            <w:tcW w:w="1134" w:type="dxa"/>
            <w:gridSpan w:val="2"/>
          </w:tcPr>
          <w:p w14:paraId="3626718D"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12.9</w:t>
            </w:r>
          </w:p>
        </w:tc>
        <w:tc>
          <w:tcPr>
            <w:tcW w:w="1134" w:type="dxa"/>
          </w:tcPr>
          <w:p w14:paraId="7BDEF82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20.0</w:t>
            </w:r>
          </w:p>
        </w:tc>
      </w:tr>
      <w:tr w:rsidR="00303A2A" w:rsidRPr="00303A2A" w14:paraId="0B8A5FCE" w14:textId="77777777" w:rsidTr="00EE3671">
        <w:trPr>
          <w:trHeight w:val="90"/>
        </w:trPr>
        <w:tc>
          <w:tcPr>
            <w:tcW w:w="709" w:type="dxa"/>
          </w:tcPr>
          <w:p w14:paraId="428600C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w:t>
            </w:r>
          </w:p>
        </w:tc>
        <w:tc>
          <w:tcPr>
            <w:tcW w:w="6067" w:type="dxa"/>
            <w:vAlign w:val="center"/>
          </w:tcPr>
          <w:p w14:paraId="29D838A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fast refueling</w:t>
            </w:r>
          </w:p>
        </w:tc>
        <w:tc>
          <w:tcPr>
            <w:tcW w:w="1134" w:type="dxa"/>
            <w:gridSpan w:val="2"/>
          </w:tcPr>
          <w:p w14:paraId="6702CD5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17.6</w:t>
            </w:r>
          </w:p>
        </w:tc>
        <w:tc>
          <w:tcPr>
            <w:tcW w:w="1134" w:type="dxa"/>
          </w:tcPr>
          <w:p w14:paraId="718B640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22.2</w:t>
            </w:r>
          </w:p>
        </w:tc>
      </w:tr>
      <w:tr w:rsidR="00303A2A" w:rsidRPr="00303A2A" w14:paraId="65CB46B8" w14:textId="77777777" w:rsidTr="00EE3671">
        <w:trPr>
          <w:trHeight w:val="80"/>
        </w:trPr>
        <w:tc>
          <w:tcPr>
            <w:tcW w:w="709" w:type="dxa"/>
          </w:tcPr>
          <w:p w14:paraId="568A18E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5.</w:t>
            </w:r>
          </w:p>
        </w:tc>
        <w:tc>
          <w:tcPr>
            <w:tcW w:w="6067" w:type="dxa"/>
            <w:vAlign w:val="center"/>
          </w:tcPr>
          <w:p w14:paraId="0AEA698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quality engines</w:t>
            </w:r>
          </w:p>
        </w:tc>
        <w:tc>
          <w:tcPr>
            <w:tcW w:w="1134" w:type="dxa"/>
            <w:gridSpan w:val="2"/>
          </w:tcPr>
          <w:p w14:paraId="5DDF337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16.5</w:t>
            </w:r>
          </w:p>
        </w:tc>
        <w:tc>
          <w:tcPr>
            <w:tcW w:w="1134" w:type="dxa"/>
          </w:tcPr>
          <w:p w14:paraId="56C52FE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22.2</w:t>
            </w:r>
          </w:p>
        </w:tc>
      </w:tr>
      <w:tr w:rsidR="00303A2A" w:rsidRPr="00303A2A" w14:paraId="5BD8938E" w14:textId="77777777" w:rsidTr="00EE3671">
        <w:trPr>
          <w:trHeight w:val="260"/>
        </w:trPr>
        <w:tc>
          <w:tcPr>
            <w:tcW w:w="709" w:type="dxa"/>
          </w:tcPr>
          <w:p w14:paraId="4264FB9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6.</w:t>
            </w:r>
          </w:p>
        </w:tc>
        <w:tc>
          <w:tcPr>
            <w:tcW w:w="6067" w:type="dxa"/>
            <w:vAlign w:val="center"/>
          </w:tcPr>
          <w:p w14:paraId="3714247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low oil dependence</w:t>
            </w:r>
          </w:p>
        </w:tc>
        <w:tc>
          <w:tcPr>
            <w:tcW w:w="1134" w:type="dxa"/>
            <w:gridSpan w:val="2"/>
          </w:tcPr>
          <w:p w14:paraId="1AC8094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18.8</w:t>
            </w:r>
          </w:p>
        </w:tc>
        <w:tc>
          <w:tcPr>
            <w:tcW w:w="1134" w:type="dxa"/>
          </w:tcPr>
          <w:p w14:paraId="0718C20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20.0</w:t>
            </w:r>
          </w:p>
        </w:tc>
      </w:tr>
      <w:tr w:rsidR="00303A2A" w:rsidRPr="00303A2A" w14:paraId="58E5A8D5" w14:textId="77777777" w:rsidTr="00EE3671">
        <w:trPr>
          <w:trHeight w:val="260"/>
        </w:trPr>
        <w:tc>
          <w:tcPr>
            <w:tcW w:w="709" w:type="dxa"/>
          </w:tcPr>
          <w:p w14:paraId="1EA1A8F2"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7.</w:t>
            </w:r>
          </w:p>
        </w:tc>
        <w:tc>
          <w:tcPr>
            <w:tcW w:w="6067" w:type="dxa"/>
            <w:vAlign w:val="center"/>
          </w:tcPr>
          <w:p w14:paraId="3ADB172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good road handling</w:t>
            </w:r>
          </w:p>
        </w:tc>
        <w:tc>
          <w:tcPr>
            <w:tcW w:w="1134" w:type="dxa"/>
            <w:gridSpan w:val="2"/>
          </w:tcPr>
          <w:p w14:paraId="0213A802"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15.3</w:t>
            </w:r>
          </w:p>
        </w:tc>
        <w:tc>
          <w:tcPr>
            <w:tcW w:w="1134" w:type="dxa"/>
          </w:tcPr>
          <w:p w14:paraId="472105B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40.0</w:t>
            </w:r>
          </w:p>
        </w:tc>
      </w:tr>
      <w:tr w:rsidR="00303A2A" w:rsidRPr="00303A2A" w14:paraId="197D6A4B" w14:textId="77777777" w:rsidTr="00EE3671">
        <w:trPr>
          <w:trHeight w:val="260"/>
        </w:trPr>
        <w:tc>
          <w:tcPr>
            <w:tcW w:w="709" w:type="dxa"/>
          </w:tcPr>
          <w:p w14:paraId="7D8AD24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8.</w:t>
            </w:r>
          </w:p>
        </w:tc>
        <w:tc>
          <w:tcPr>
            <w:tcW w:w="6067" w:type="dxa"/>
            <w:vAlign w:val="center"/>
          </w:tcPr>
          <w:p w14:paraId="51B3263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good safety and reliability</w:t>
            </w:r>
          </w:p>
        </w:tc>
        <w:tc>
          <w:tcPr>
            <w:tcW w:w="1134" w:type="dxa"/>
            <w:gridSpan w:val="2"/>
          </w:tcPr>
          <w:p w14:paraId="60CE268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43.5</w:t>
            </w:r>
          </w:p>
        </w:tc>
        <w:tc>
          <w:tcPr>
            <w:tcW w:w="1134" w:type="dxa"/>
          </w:tcPr>
          <w:p w14:paraId="5FAA0B3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40.0</w:t>
            </w:r>
          </w:p>
        </w:tc>
      </w:tr>
      <w:tr w:rsidR="00303A2A" w:rsidRPr="00303A2A" w14:paraId="22EDDD16" w14:textId="77777777" w:rsidTr="00EE3671">
        <w:trPr>
          <w:trHeight w:val="252"/>
        </w:trPr>
        <w:tc>
          <w:tcPr>
            <w:tcW w:w="709" w:type="dxa"/>
          </w:tcPr>
          <w:p w14:paraId="7B6377E3"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9.</w:t>
            </w:r>
          </w:p>
        </w:tc>
        <w:tc>
          <w:tcPr>
            <w:tcW w:w="6067" w:type="dxa"/>
            <w:vAlign w:val="center"/>
          </w:tcPr>
          <w:p w14:paraId="31FB4BF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low running and operation costs</w:t>
            </w:r>
          </w:p>
        </w:tc>
        <w:tc>
          <w:tcPr>
            <w:tcW w:w="1134" w:type="dxa"/>
            <w:gridSpan w:val="2"/>
          </w:tcPr>
          <w:p w14:paraId="109DBFA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58.8</w:t>
            </w:r>
          </w:p>
        </w:tc>
        <w:tc>
          <w:tcPr>
            <w:tcW w:w="1134" w:type="dxa"/>
          </w:tcPr>
          <w:p w14:paraId="0ECE7F1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22.2</w:t>
            </w:r>
          </w:p>
        </w:tc>
      </w:tr>
      <w:tr w:rsidR="00303A2A" w:rsidRPr="00303A2A" w14:paraId="18CBFABD" w14:textId="77777777" w:rsidTr="00EE3671">
        <w:trPr>
          <w:trHeight w:val="260"/>
        </w:trPr>
        <w:tc>
          <w:tcPr>
            <w:tcW w:w="709" w:type="dxa"/>
          </w:tcPr>
          <w:p w14:paraId="1A475F0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10.</w:t>
            </w:r>
          </w:p>
        </w:tc>
        <w:tc>
          <w:tcPr>
            <w:tcW w:w="6067" w:type="dxa"/>
            <w:vAlign w:val="center"/>
          </w:tcPr>
          <w:p w14:paraId="3F152E5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low purchase prices</w:t>
            </w:r>
          </w:p>
        </w:tc>
        <w:tc>
          <w:tcPr>
            <w:tcW w:w="1134" w:type="dxa"/>
            <w:gridSpan w:val="2"/>
          </w:tcPr>
          <w:p w14:paraId="2A9F8C2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51.8</w:t>
            </w:r>
          </w:p>
        </w:tc>
        <w:tc>
          <w:tcPr>
            <w:tcW w:w="1134" w:type="dxa"/>
          </w:tcPr>
          <w:p w14:paraId="45D1B2F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28.9</w:t>
            </w:r>
          </w:p>
        </w:tc>
      </w:tr>
      <w:tr w:rsidR="00303A2A" w:rsidRPr="00303A2A" w14:paraId="2E8B625F" w14:textId="77777777" w:rsidTr="00EE3671">
        <w:trPr>
          <w:trHeight w:val="170"/>
        </w:trPr>
        <w:tc>
          <w:tcPr>
            <w:tcW w:w="709" w:type="dxa"/>
          </w:tcPr>
          <w:p w14:paraId="645ED6E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11.</w:t>
            </w:r>
          </w:p>
        </w:tc>
        <w:tc>
          <w:tcPr>
            <w:tcW w:w="6067" w:type="dxa"/>
            <w:vAlign w:val="center"/>
          </w:tcPr>
          <w:p w14:paraId="25688A7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 xml:space="preserve">have a limited fuel source </w:t>
            </w:r>
          </w:p>
        </w:tc>
        <w:tc>
          <w:tcPr>
            <w:tcW w:w="1134" w:type="dxa"/>
            <w:gridSpan w:val="2"/>
          </w:tcPr>
          <w:p w14:paraId="3694791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38.8</w:t>
            </w:r>
          </w:p>
        </w:tc>
        <w:tc>
          <w:tcPr>
            <w:tcW w:w="1134" w:type="dxa"/>
          </w:tcPr>
          <w:p w14:paraId="78F6C90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33.3</w:t>
            </w:r>
          </w:p>
        </w:tc>
      </w:tr>
      <w:tr w:rsidR="00303A2A" w:rsidRPr="00303A2A" w14:paraId="7867B586" w14:textId="77777777" w:rsidTr="00EE3671">
        <w:trPr>
          <w:trHeight w:val="197"/>
        </w:trPr>
        <w:tc>
          <w:tcPr>
            <w:tcW w:w="709" w:type="dxa"/>
          </w:tcPr>
          <w:p w14:paraId="344992F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12.</w:t>
            </w:r>
          </w:p>
        </w:tc>
        <w:tc>
          <w:tcPr>
            <w:tcW w:w="6067" w:type="dxa"/>
            <w:vAlign w:val="center"/>
          </w:tcPr>
          <w:p w14:paraId="0598711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good interior design</w:t>
            </w:r>
          </w:p>
        </w:tc>
        <w:tc>
          <w:tcPr>
            <w:tcW w:w="1134" w:type="dxa"/>
            <w:gridSpan w:val="2"/>
          </w:tcPr>
          <w:p w14:paraId="4436506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47.1</w:t>
            </w:r>
          </w:p>
        </w:tc>
        <w:tc>
          <w:tcPr>
            <w:tcW w:w="1134" w:type="dxa"/>
          </w:tcPr>
          <w:p w14:paraId="72B72DD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26.7</w:t>
            </w:r>
          </w:p>
        </w:tc>
      </w:tr>
      <w:tr w:rsidR="00303A2A" w:rsidRPr="00303A2A" w14:paraId="7988EDE7" w14:textId="77777777" w:rsidTr="00EE3671">
        <w:trPr>
          <w:trHeight w:val="117"/>
        </w:trPr>
        <w:tc>
          <w:tcPr>
            <w:tcW w:w="709" w:type="dxa"/>
          </w:tcPr>
          <w:p w14:paraId="3DABDD13"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13.</w:t>
            </w:r>
          </w:p>
        </w:tc>
        <w:tc>
          <w:tcPr>
            <w:tcW w:w="6067" w:type="dxa"/>
            <w:vAlign w:val="center"/>
          </w:tcPr>
          <w:p w14:paraId="054D047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more efficient engines than conventional vehicles</w:t>
            </w:r>
          </w:p>
        </w:tc>
        <w:tc>
          <w:tcPr>
            <w:tcW w:w="1134" w:type="dxa"/>
            <w:gridSpan w:val="2"/>
          </w:tcPr>
          <w:p w14:paraId="76AFEAB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48.2</w:t>
            </w:r>
          </w:p>
        </w:tc>
        <w:tc>
          <w:tcPr>
            <w:tcW w:w="1134" w:type="dxa"/>
          </w:tcPr>
          <w:p w14:paraId="55CB765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26.7</w:t>
            </w:r>
          </w:p>
        </w:tc>
      </w:tr>
      <w:tr w:rsidR="00303A2A" w:rsidRPr="00303A2A" w14:paraId="1169CA60" w14:textId="77777777" w:rsidTr="00EE3671">
        <w:trPr>
          <w:trHeight w:val="260"/>
        </w:trPr>
        <w:tc>
          <w:tcPr>
            <w:tcW w:w="709" w:type="dxa"/>
          </w:tcPr>
          <w:p w14:paraId="151BBD7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14.</w:t>
            </w:r>
          </w:p>
        </w:tc>
        <w:tc>
          <w:tcPr>
            <w:tcW w:w="6067" w:type="dxa"/>
            <w:vAlign w:val="center"/>
          </w:tcPr>
          <w:p w14:paraId="644146F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 xml:space="preserve">have adequate support infrastructures </w:t>
            </w:r>
          </w:p>
        </w:tc>
        <w:tc>
          <w:tcPr>
            <w:tcW w:w="1134" w:type="dxa"/>
            <w:gridSpan w:val="2"/>
          </w:tcPr>
          <w:p w14:paraId="374B5FE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49.4</w:t>
            </w:r>
          </w:p>
        </w:tc>
        <w:tc>
          <w:tcPr>
            <w:tcW w:w="1134" w:type="dxa"/>
          </w:tcPr>
          <w:p w14:paraId="61ABA87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44.4</w:t>
            </w:r>
          </w:p>
        </w:tc>
      </w:tr>
      <w:tr w:rsidR="00303A2A" w:rsidRPr="00303A2A" w14:paraId="75F3EB17" w14:textId="77777777" w:rsidTr="00EE3671">
        <w:trPr>
          <w:trHeight w:val="278"/>
        </w:trPr>
        <w:tc>
          <w:tcPr>
            <w:tcW w:w="709" w:type="dxa"/>
            <w:tcBorders>
              <w:bottom w:val="single" w:sz="4" w:space="0" w:color="auto"/>
            </w:tcBorders>
          </w:tcPr>
          <w:p w14:paraId="228577C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15.</w:t>
            </w:r>
          </w:p>
        </w:tc>
        <w:tc>
          <w:tcPr>
            <w:tcW w:w="6067" w:type="dxa"/>
            <w:tcBorders>
              <w:bottom w:val="single" w:sz="4" w:space="0" w:color="auto"/>
            </w:tcBorders>
            <w:vAlign w:val="center"/>
          </w:tcPr>
          <w:p w14:paraId="754FE76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develop an image and sophisticated style of vehicle with hydrogen fuel cells</w:t>
            </w:r>
          </w:p>
        </w:tc>
        <w:tc>
          <w:tcPr>
            <w:tcW w:w="1134" w:type="dxa"/>
            <w:gridSpan w:val="2"/>
            <w:tcBorders>
              <w:bottom w:val="single" w:sz="4" w:space="0" w:color="auto"/>
            </w:tcBorders>
          </w:tcPr>
          <w:p w14:paraId="156D2E6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37.6</w:t>
            </w:r>
          </w:p>
        </w:tc>
        <w:tc>
          <w:tcPr>
            <w:tcW w:w="1134" w:type="dxa"/>
            <w:tcBorders>
              <w:bottom w:val="single" w:sz="4" w:space="0" w:color="auto"/>
            </w:tcBorders>
          </w:tcPr>
          <w:p w14:paraId="189A63D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46.7</w:t>
            </w:r>
          </w:p>
        </w:tc>
      </w:tr>
      <w:tr w:rsidR="00303A2A" w:rsidRPr="00303A2A" w14:paraId="21A0352D" w14:textId="77777777" w:rsidTr="00EE3671">
        <w:trPr>
          <w:trHeight w:val="244"/>
        </w:trPr>
        <w:tc>
          <w:tcPr>
            <w:tcW w:w="709" w:type="dxa"/>
            <w:tcBorders>
              <w:top w:val="single" w:sz="4" w:space="0" w:color="auto"/>
              <w:bottom w:val="single" w:sz="4" w:space="0" w:color="auto"/>
            </w:tcBorders>
          </w:tcPr>
          <w:p w14:paraId="298ECAF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
        </w:tc>
        <w:tc>
          <w:tcPr>
            <w:tcW w:w="6067" w:type="dxa"/>
            <w:tcBorders>
              <w:top w:val="single" w:sz="4" w:space="0" w:color="auto"/>
              <w:bottom w:val="single" w:sz="4" w:space="0" w:color="auto"/>
            </w:tcBorders>
          </w:tcPr>
          <w:p w14:paraId="660D3813"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Total Score</w:t>
            </w:r>
          </w:p>
        </w:tc>
        <w:tc>
          <w:tcPr>
            <w:tcW w:w="1134" w:type="dxa"/>
            <w:gridSpan w:val="2"/>
            <w:tcBorders>
              <w:top w:val="single" w:sz="4" w:space="0" w:color="auto"/>
              <w:bottom w:val="single" w:sz="4" w:space="0" w:color="auto"/>
            </w:tcBorders>
          </w:tcPr>
          <w:p w14:paraId="242D22A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30.7</w:t>
            </w:r>
          </w:p>
        </w:tc>
        <w:tc>
          <w:tcPr>
            <w:tcW w:w="1134" w:type="dxa"/>
            <w:tcBorders>
              <w:top w:val="single" w:sz="4" w:space="0" w:color="auto"/>
              <w:bottom w:val="single" w:sz="4" w:space="0" w:color="auto"/>
            </w:tcBorders>
          </w:tcPr>
          <w:p w14:paraId="7296E37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34.4</w:t>
            </w:r>
          </w:p>
        </w:tc>
      </w:tr>
    </w:tbl>
    <w:p w14:paraId="1198E487" w14:textId="0AFBB251" w:rsidR="00303A2A" w:rsidRPr="00303A2A" w:rsidRDefault="00303A2A" w:rsidP="00303A2A">
      <w:pPr>
        <w:keepNext/>
        <w:keepLines/>
        <w:suppressAutoHyphens w:val="0"/>
        <w:spacing w:before="40"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rPr>
      </w:pPr>
      <w:r w:rsidRPr="00303A2A">
        <w:rPr>
          <w:rFonts w:ascii="Times New Roman" w:eastAsia="Times New Roman" w:hAnsi="Times New Roman" w:cs="Times New Roman"/>
          <w:i/>
          <w:iCs/>
          <w:position w:val="0"/>
          <w:sz w:val="24"/>
          <w:szCs w:val="24"/>
        </w:rPr>
        <w:t>The Public Perception of HFCV Adoption in Malaysia</w:t>
      </w:r>
    </w:p>
    <w:p w14:paraId="3183CE0F" w14:textId="6135FC38"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The findings for the public’s perceptions of HFCV adoption in Malaysia are shown in Table 4. The results indicate that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have a fair perception of HFCV implementation with a mean score of 1.89 and 1.76, respectively, indicating that most of them slightly agree with the item statements. The results showed that 83.5% and 48.9% o</w:t>
      </w:r>
      <w:bookmarkStart w:id="7" w:name="_Hlk83828266"/>
      <w:r w:rsidRPr="00303A2A">
        <w:rPr>
          <w:rFonts w:ascii="Times New Roman" w:eastAsia="Times New Roman" w:hAnsi="Times New Roman" w:cs="Times New Roman"/>
          <w:position w:val="0"/>
          <w:sz w:val="24"/>
          <w:szCs w:val="24"/>
        </w:rPr>
        <w:t xml:space="preserve">f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respondents respectively believe that</w:t>
      </w:r>
      <w:bookmarkEnd w:id="7"/>
      <w:r w:rsidRPr="00303A2A">
        <w:rPr>
          <w:rFonts w:ascii="Times New Roman" w:eastAsia="Times New Roman" w:hAnsi="Times New Roman" w:cs="Times New Roman"/>
          <w:position w:val="0"/>
          <w:sz w:val="24"/>
          <w:szCs w:val="24"/>
        </w:rPr>
        <w:t xml:space="preserve"> HFCV can increase energy conservation and improve efficiency in Malaysia's automotive industry.  However, only 21.2% of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respondents and 28.9% of Bandar Tun Razak respondents believe that HFCV will enhance the competitiveness of the Malaysian automotive industry. Most of the public believe HFCV is only at the beginning stage in Malaysia, and alternative fuel resources, like an HFC to substitute fossil fuels, still have some uncertainties that must be addressed. Hydrogen energy is a great clean energy carrier and can provide relevant solutions to environmental problems such as climate change, toxic gas emissions, and energy security. However, the results indicated that only 38.8</w:t>
      </w:r>
      <w:proofErr w:type="gramStart"/>
      <w:r w:rsidRPr="00303A2A">
        <w:rPr>
          <w:rFonts w:ascii="Times New Roman" w:eastAsia="Times New Roman" w:hAnsi="Times New Roman" w:cs="Times New Roman"/>
          <w:position w:val="0"/>
          <w:sz w:val="24"/>
          <w:szCs w:val="24"/>
        </w:rPr>
        <w:t>%  and</w:t>
      </w:r>
      <w:proofErr w:type="gramEnd"/>
      <w:r w:rsidRPr="00303A2A">
        <w:rPr>
          <w:rFonts w:ascii="Times New Roman" w:eastAsia="Times New Roman" w:hAnsi="Times New Roman" w:cs="Times New Roman"/>
          <w:position w:val="0"/>
          <w:sz w:val="24"/>
          <w:szCs w:val="24"/>
        </w:rPr>
        <w:t xml:space="preserve"> 24.4% of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respondents respectively believe that HFCV will reduce negative environmental impacts and increase the quality of life. In other words, environmental concerns were considered to influence the adoption of HFCV and had a detrimental effect on market penetration. In this study, </w:t>
      </w:r>
      <w:bookmarkStart w:id="8" w:name="_Hlk83849263"/>
      <w:r w:rsidRPr="00303A2A">
        <w:rPr>
          <w:rFonts w:ascii="Times New Roman" w:eastAsia="Times New Roman" w:hAnsi="Times New Roman" w:cs="Times New Roman"/>
          <w:position w:val="0"/>
          <w:sz w:val="24"/>
          <w:szCs w:val="24"/>
        </w:rPr>
        <w:t xml:space="preserve">most </w:t>
      </w:r>
      <w:bookmarkStart w:id="9" w:name="_Hlk83849027"/>
      <w:r w:rsidRPr="00303A2A">
        <w:rPr>
          <w:rFonts w:ascii="Times New Roman" w:eastAsia="Times New Roman" w:hAnsi="Times New Roman" w:cs="Times New Roman"/>
          <w:position w:val="0"/>
          <w:sz w:val="24"/>
          <w:szCs w:val="24"/>
        </w:rPr>
        <w:t xml:space="preserve">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w:t>
      </w:r>
      <w:bookmarkEnd w:id="9"/>
      <w:r w:rsidRPr="00303A2A">
        <w:rPr>
          <w:rFonts w:ascii="Times New Roman" w:eastAsia="Times New Roman" w:hAnsi="Times New Roman" w:cs="Times New Roman"/>
          <w:position w:val="0"/>
          <w:sz w:val="24"/>
          <w:szCs w:val="24"/>
        </w:rPr>
        <w:t>state that HFCV will create new jobs and strengthen market forces, views not necessarily shared by respondents from Bandar Tun Razak</w:t>
      </w:r>
      <w:bookmarkEnd w:id="8"/>
      <w:r w:rsidRPr="00303A2A">
        <w:rPr>
          <w:rFonts w:ascii="Times New Roman" w:eastAsia="Times New Roman" w:hAnsi="Times New Roman" w:cs="Times New Roman"/>
          <w:position w:val="0"/>
          <w:sz w:val="24"/>
          <w:szCs w:val="24"/>
        </w:rPr>
        <w:t xml:space="preserve">. Most respondents from Bandar Tun Razak believe that HFCV will facilitate research and interactions among stakeholders, ultimately leading to a sustainable transportation system using HFCV, a view not as strongly shared by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w:t>
      </w:r>
    </w:p>
    <w:p w14:paraId="6F19ED52" w14:textId="50B26217"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6669FD92" w14:textId="0B31B57D"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0D0C4206"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2884E613"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Table 4: The Public Perception of HFCV Adoption in Malaysia</w:t>
      </w:r>
    </w:p>
    <w:tbl>
      <w:tblPr>
        <w:tblW w:w="9039" w:type="dxa"/>
        <w:tblLayout w:type="fixed"/>
        <w:tblLook w:val="00A0" w:firstRow="1" w:lastRow="0" w:firstColumn="1" w:lastColumn="0" w:noHBand="0" w:noVBand="0"/>
      </w:tblPr>
      <w:tblGrid>
        <w:gridCol w:w="562"/>
        <w:gridCol w:w="6067"/>
        <w:gridCol w:w="1134"/>
        <w:gridCol w:w="1276"/>
      </w:tblGrid>
      <w:tr w:rsidR="00303A2A" w:rsidRPr="00303A2A" w14:paraId="001AF5BB" w14:textId="77777777" w:rsidTr="00EE3671">
        <w:trPr>
          <w:trHeight w:val="213"/>
          <w:tblHeader/>
        </w:trPr>
        <w:tc>
          <w:tcPr>
            <w:tcW w:w="562" w:type="dxa"/>
            <w:tcBorders>
              <w:top w:val="single" w:sz="4" w:space="0" w:color="auto"/>
              <w:bottom w:val="single" w:sz="4" w:space="0" w:color="auto"/>
            </w:tcBorders>
          </w:tcPr>
          <w:p w14:paraId="0D7B2B7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
        </w:tc>
        <w:tc>
          <w:tcPr>
            <w:tcW w:w="6067" w:type="dxa"/>
            <w:tcBorders>
              <w:top w:val="single" w:sz="4" w:space="0" w:color="auto"/>
              <w:bottom w:val="single" w:sz="4" w:space="0" w:color="auto"/>
            </w:tcBorders>
          </w:tcPr>
          <w:p w14:paraId="493F2F6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Item Statement</w:t>
            </w:r>
          </w:p>
        </w:tc>
        <w:tc>
          <w:tcPr>
            <w:tcW w:w="2410" w:type="dxa"/>
            <w:gridSpan w:val="2"/>
            <w:tcBorders>
              <w:top w:val="single" w:sz="4" w:space="0" w:color="auto"/>
              <w:bottom w:val="single" w:sz="4" w:space="0" w:color="auto"/>
            </w:tcBorders>
          </w:tcPr>
          <w:p w14:paraId="180B2F1C"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 xml:space="preserve">% </w:t>
            </w:r>
            <w:proofErr w:type="gramStart"/>
            <w:r w:rsidRPr="00303A2A">
              <w:rPr>
                <w:rFonts w:ascii="Times New Roman" w:eastAsia="Times New Roman" w:hAnsi="Times New Roman" w:cs="Times New Roman"/>
                <w:b/>
                <w:position w:val="0"/>
                <w:sz w:val="20"/>
                <w:szCs w:val="20"/>
              </w:rPr>
              <w:t>of</w:t>
            </w:r>
            <w:proofErr w:type="gramEnd"/>
            <w:r w:rsidRPr="00303A2A">
              <w:rPr>
                <w:rFonts w:ascii="Times New Roman" w:eastAsia="Times New Roman" w:hAnsi="Times New Roman" w:cs="Times New Roman"/>
                <w:b/>
                <w:position w:val="0"/>
                <w:sz w:val="20"/>
                <w:szCs w:val="20"/>
              </w:rPr>
              <w:t xml:space="preserve"> Agreement</w:t>
            </w:r>
          </w:p>
        </w:tc>
      </w:tr>
      <w:tr w:rsidR="00303A2A" w:rsidRPr="00303A2A" w14:paraId="18FD4858" w14:textId="77777777" w:rsidTr="00EE3671">
        <w:trPr>
          <w:trHeight w:val="426"/>
          <w:tblHeader/>
        </w:trPr>
        <w:tc>
          <w:tcPr>
            <w:tcW w:w="562" w:type="dxa"/>
            <w:tcBorders>
              <w:top w:val="single" w:sz="4" w:space="0" w:color="auto"/>
              <w:bottom w:val="single" w:sz="4" w:space="0" w:color="auto"/>
            </w:tcBorders>
          </w:tcPr>
          <w:p w14:paraId="2551AF0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No</w:t>
            </w:r>
          </w:p>
        </w:tc>
        <w:tc>
          <w:tcPr>
            <w:tcW w:w="6067" w:type="dxa"/>
            <w:tcBorders>
              <w:top w:val="single" w:sz="4" w:space="0" w:color="auto"/>
              <w:bottom w:val="single" w:sz="4" w:space="0" w:color="auto"/>
            </w:tcBorders>
          </w:tcPr>
          <w:p w14:paraId="49B4337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In terms of my perception of HFCV adoption in Malaysia, I believe that HFCV will……</w:t>
            </w:r>
          </w:p>
        </w:tc>
        <w:tc>
          <w:tcPr>
            <w:tcW w:w="1134" w:type="dxa"/>
            <w:tcBorders>
              <w:top w:val="single" w:sz="4" w:space="0" w:color="auto"/>
              <w:bottom w:val="single" w:sz="4" w:space="0" w:color="auto"/>
            </w:tcBorders>
          </w:tcPr>
          <w:p w14:paraId="21279D53"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roofErr w:type="spellStart"/>
            <w:r w:rsidRPr="00303A2A">
              <w:rPr>
                <w:rFonts w:ascii="Times New Roman" w:eastAsia="Times New Roman" w:hAnsi="Times New Roman" w:cs="Times New Roman"/>
                <w:b/>
                <w:position w:val="0"/>
                <w:sz w:val="20"/>
                <w:szCs w:val="20"/>
              </w:rPr>
              <w:t>Cheras</w:t>
            </w:r>
            <w:proofErr w:type="spellEnd"/>
          </w:p>
        </w:tc>
        <w:tc>
          <w:tcPr>
            <w:tcW w:w="1276" w:type="dxa"/>
            <w:tcBorders>
              <w:top w:val="single" w:sz="4" w:space="0" w:color="auto"/>
              <w:bottom w:val="single" w:sz="4" w:space="0" w:color="auto"/>
            </w:tcBorders>
          </w:tcPr>
          <w:p w14:paraId="07CB300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BTR</w:t>
            </w:r>
          </w:p>
        </w:tc>
      </w:tr>
      <w:tr w:rsidR="00303A2A" w:rsidRPr="00303A2A" w14:paraId="2137FAEC" w14:textId="77777777" w:rsidTr="00EE3671">
        <w:trPr>
          <w:trHeight w:val="426"/>
          <w:tblHeader/>
        </w:trPr>
        <w:tc>
          <w:tcPr>
            <w:tcW w:w="562" w:type="dxa"/>
            <w:tcBorders>
              <w:top w:val="single" w:sz="4" w:space="0" w:color="auto"/>
            </w:tcBorders>
          </w:tcPr>
          <w:p w14:paraId="47CD115D"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w:t>
            </w:r>
          </w:p>
        </w:tc>
        <w:tc>
          <w:tcPr>
            <w:tcW w:w="6067" w:type="dxa"/>
            <w:tcBorders>
              <w:top w:val="single" w:sz="4" w:space="0" w:color="auto"/>
            </w:tcBorders>
          </w:tcPr>
          <w:p w14:paraId="211FFBD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Facilitate energy conservation and improve efficiency in the Malaysian automotive industry</w:t>
            </w:r>
          </w:p>
        </w:tc>
        <w:tc>
          <w:tcPr>
            <w:tcW w:w="1134" w:type="dxa"/>
            <w:tcBorders>
              <w:top w:val="single" w:sz="4" w:space="0" w:color="auto"/>
            </w:tcBorders>
          </w:tcPr>
          <w:p w14:paraId="630E60B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83.5</w:t>
            </w:r>
          </w:p>
        </w:tc>
        <w:tc>
          <w:tcPr>
            <w:tcW w:w="1276" w:type="dxa"/>
            <w:tcBorders>
              <w:top w:val="single" w:sz="4" w:space="0" w:color="auto"/>
            </w:tcBorders>
          </w:tcPr>
          <w:p w14:paraId="39A244D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48.9</w:t>
            </w:r>
          </w:p>
        </w:tc>
      </w:tr>
      <w:tr w:rsidR="00303A2A" w:rsidRPr="00303A2A" w14:paraId="0242B4E7" w14:textId="77777777" w:rsidTr="00EE3671">
        <w:trPr>
          <w:trHeight w:val="213"/>
          <w:tblHeader/>
        </w:trPr>
        <w:tc>
          <w:tcPr>
            <w:tcW w:w="562" w:type="dxa"/>
          </w:tcPr>
          <w:p w14:paraId="7BA1EB2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w:t>
            </w:r>
          </w:p>
        </w:tc>
        <w:tc>
          <w:tcPr>
            <w:tcW w:w="6067" w:type="dxa"/>
          </w:tcPr>
          <w:p w14:paraId="0DC7129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bookmarkStart w:id="10" w:name="_Hlk83828319"/>
            <w:r w:rsidRPr="00303A2A">
              <w:rPr>
                <w:rFonts w:ascii="Times New Roman" w:eastAsia="Times New Roman" w:hAnsi="Times New Roman" w:cs="Times New Roman"/>
                <w:bCs/>
                <w:position w:val="0"/>
                <w:sz w:val="20"/>
                <w:szCs w:val="20"/>
              </w:rPr>
              <w:t>Enhance the competitiveness of the Malaysian automotive industry</w:t>
            </w:r>
            <w:bookmarkEnd w:id="10"/>
          </w:p>
        </w:tc>
        <w:tc>
          <w:tcPr>
            <w:tcW w:w="1134" w:type="dxa"/>
          </w:tcPr>
          <w:p w14:paraId="2920A8A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21.2</w:t>
            </w:r>
          </w:p>
        </w:tc>
        <w:tc>
          <w:tcPr>
            <w:tcW w:w="1276" w:type="dxa"/>
          </w:tcPr>
          <w:p w14:paraId="64F4112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28.9</w:t>
            </w:r>
          </w:p>
        </w:tc>
      </w:tr>
      <w:tr w:rsidR="00303A2A" w:rsidRPr="00303A2A" w14:paraId="7457FCDE" w14:textId="77777777" w:rsidTr="00EE3671">
        <w:trPr>
          <w:trHeight w:val="441"/>
          <w:tblHeader/>
        </w:trPr>
        <w:tc>
          <w:tcPr>
            <w:tcW w:w="562" w:type="dxa"/>
          </w:tcPr>
          <w:p w14:paraId="5422AA1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w:t>
            </w:r>
          </w:p>
        </w:tc>
        <w:tc>
          <w:tcPr>
            <w:tcW w:w="6067" w:type="dxa"/>
          </w:tcPr>
          <w:p w14:paraId="50E3A8E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Reduce environmental impact and increase the quality of life through sustainable development and transportation</w:t>
            </w:r>
          </w:p>
        </w:tc>
        <w:tc>
          <w:tcPr>
            <w:tcW w:w="1134" w:type="dxa"/>
          </w:tcPr>
          <w:p w14:paraId="48D32BB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38.8</w:t>
            </w:r>
          </w:p>
        </w:tc>
        <w:tc>
          <w:tcPr>
            <w:tcW w:w="1276" w:type="dxa"/>
          </w:tcPr>
          <w:p w14:paraId="683FD84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24.4</w:t>
            </w:r>
          </w:p>
        </w:tc>
      </w:tr>
      <w:tr w:rsidR="00303A2A" w:rsidRPr="00303A2A" w14:paraId="04E1ACE6" w14:textId="77777777" w:rsidTr="00EE3671">
        <w:trPr>
          <w:trHeight w:val="441"/>
          <w:tblHeader/>
        </w:trPr>
        <w:tc>
          <w:tcPr>
            <w:tcW w:w="562" w:type="dxa"/>
          </w:tcPr>
          <w:p w14:paraId="6E8CC6E2"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w:t>
            </w:r>
          </w:p>
        </w:tc>
        <w:tc>
          <w:tcPr>
            <w:tcW w:w="6067" w:type="dxa"/>
          </w:tcPr>
          <w:p w14:paraId="29B6BE3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bookmarkStart w:id="11" w:name="_Hlk83848975"/>
            <w:r w:rsidRPr="00303A2A">
              <w:rPr>
                <w:rFonts w:ascii="Times New Roman" w:eastAsia="Times New Roman" w:hAnsi="Times New Roman" w:cs="Times New Roman"/>
                <w:bCs/>
                <w:position w:val="0"/>
                <w:sz w:val="20"/>
                <w:szCs w:val="20"/>
              </w:rPr>
              <w:t xml:space="preserve">Bring new job creation </w:t>
            </w:r>
            <w:bookmarkEnd w:id="11"/>
            <w:r w:rsidRPr="00303A2A">
              <w:rPr>
                <w:rFonts w:ascii="Times New Roman" w:eastAsia="Times New Roman" w:hAnsi="Times New Roman" w:cs="Times New Roman"/>
                <w:bCs/>
                <w:position w:val="0"/>
                <w:sz w:val="20"/>
                <w:szCs w:val="20"/>
              </w:rPr>
              <w:t>and contribute to a national competitive advantage</w:t>
            </w:r>
          </w:p>
        </w:tc>
        <w:tc>
          <w:tcPr>
            <w:tcW w:w="1134" w:type="dxa"/>
          </w:tcPr>
          <w:p w14:paraId="62AC366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28.2</w:t>
            </w:r>
          </w:p>
        </w:tc>
        <w:tc>
          <w:tcPr>
            <w:tcW w:w="1276" w:type="dxa"/>
          </w:tcPr>
          <w:p w14:paraId="03AFA88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24.4</w:t>
            </w:r>
          </w:p>
        </w:tc>
      </w:tr>
      <w:tr w:rsidR="00303A2A" w:rsidRPr="00303A2A" w14:paraId="4657FC7C" w14:textId="77777777" w:rsidTr="00EE3671">
        <w:trPr>
          <w:trHeight w:val="426"/>
          <w:tblHeader/>
        </w:trPr>
        <w:tc>
          <w:tcPr>
            <w:tcW w:w="562" w:type="dxa"/>
          </w:tcPr>
          <w:p w14:paraId="60B2A33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5.</w:t>
            </w:r>
          </w:p>
        </w:tc>
        <w:tc>
          <w:tcPr>
            <w:tcW w:w="6067" w:type="dxa"/>
          </w:tcPr>
          <w:p w14:paraId="402C162D"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Enable a market breakthrough of HFC technology, enabling market forces to drive a substantial public benefit</w:t>
            </w:r>
          </w:p>
        </w:tc>
        <w:tc>
          <w:tcPr>
            <w:tcW w:w="1134" w:type="dxa"/>
          </w:tcPr>
          <w:p w14:paraId="765B81B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34.1</w:t>
            </w:r>
          </w:p>
        </w:tc>
        <w:tc>
          <w:tcPr>
            <w:tcW w:w="1276" w:type="dxa"/>
          </w:tcPr>
          <w:p w14:paraId="2F8CC46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17.8</w:t>
            </w:r>
          </w:p>
        </w:tc>
      </w:tr>
      <w:tr w:rsidR="00303A2A" w:rsidRPr="00303A2A" w14:paraId="577B2A3E" w14:textId="77777777" w:rsidTr="00EE3671">
        <w:trPr>
          <w:trHeight w:val="654"/>
          <w:tblHeader/>
        </w:trPr>
        <w:tc>
          <w:tcPr>
            <w:tcW w:w="562" w:type="dxa"/>
          </w:tcPr>
          <w:p w14:paraId="387E030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6.</w:t>
            </w:r>
          </w:p>
        </w:tc>
        <w:tc>
          <w:tcPr>
            <w:tcW w:w="6067" w:type="dxa"/>
          </w:tcPr>
          <w:p w14:paraId="5547FA0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Facilitate research efforts and give confidence to the automotive industry, public and private investors, and stakeholders to embark on long term HFCV programs</w:t>
            </w:r>
          </w:p>
        </w:tc>
        <w:tc>
          <w:tcPr>
            <w:tcW w:w="1134" w:type="dxa"/>
          </w:tcPr>
          <w:p w14:paraId="4550363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27.1</w:t>
            </w:r>
          </w:p>
        </w:tc>
        <w:tc>
          <w:tcPr>
            <w:tcW w:w="1276" w:type="dxa"/>
          </w:tcPr>
          <w:p w14:paraId="313BA023"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42.2</w:t>
            </w:r>
          </w:p>
        </w:tc>
      </w:tr>
      <w:tr w:rsidR="00303A2A" w:rsidRPr="00303A2A" w14:paraId="522FAD56" w14:textId="77777777" w:rsidTr="00EE3671">
        <w:trPr>
          <w:trHeight w:val="288"/>
          <w:tblHeader/>
        </w:trPr>
        <w:tc>
          <w:tcPr>
            <w:tcW w:w="562" w:type="dxa"/>
          </w:tcPr>
          <w:p w14:paraId="2B1069F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7.</w:t>
            </w:r>
          </w:p>
        </w:tc>
        <w:tc>
          <w:tcPr>
            <w:tcW w:w="6067" w:type="dxa"/>
          </w:tcPr>
          <w:p w14:paraId="2FBDC94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 xml:space="preserve">Facilitate interaction between the vehicle industry in universities and research </w:t>
            </w:r>
            <w:proofErr w:type="spellStart"/>
            <w:r w:rsidRPr="00303A2A">
              <w:rPr>
                <w:rFonts w:ascii="Times New Roman" w:eastAsia="Times New Roman" w:hAnsi="Times New Roman" w:cs="Times New Roman"/>
                <w:bCs/>
                <w:position w:val="0"/>
                <w:sz w:val="20"/>
                <w:szCs w:val="20"/>
              </w:rPr>
              <w:t>centres</w:t>
            </w:r>
            <w:proofErr w:type="spellEnd"/>
            <w:r w:rsidRPr="00303A2A">
              <w:rPr>
                <w:rFonts w:ascii="Times New Roman" w:eastAsia="Times New Roman" w:hAnsi="Times New Roman" w:cs="Times New Roman"/>
                <w:bCs/>
                <w:position w:val="0"/>
                <w:sz w:val="20"/>
                <w:szCs w:val="20"/>
              </w:rPr>
              <w:t xml:space="preserve"> involved in fuel cell and hydrogen research</w:t>
            </w:r>
          </w:p>
        </w:tc>
        <w:tc>
          <w:tcPr>
            <w:tcW w:w="1134" w:type="dxa"/>
          </w:tcPr>
          <w:p w14:paraId="1EDE6FA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27.1</w:t>
            </w:r>
          </w:p>
        </w:tc>
        <w:tc>
          <w:tcPr>
            <w:tcW w:w="1276" w:type="dxa"/>
          </w:tcPr>
          <w:p w14:paraId="566DED2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40.0</w:t>
            </w:r>
          </w:p>
        </w:tc>
      </w:tr>
      <w:tr w:rsidR="00303A2A" w:rsidRPr="00303A2A" w14:paraId="0BDCDEE9" w14:textId="77777777" w:rsidTr="00EE3671">
        <w:trPr>
          <w:trHeight w:val="654"/>
          <w:tblHeader/>
        </w:trPr>
        <w:tc>
          <w:tcPr>
            <w:tcW w:w="562" w:type="dxa"/>
            <w:tcBorders>
              <w:bottom w:val="single" w:sz="4" w:space="0" w:color="auto"/>
            </w:tcBorders>
          </w:tcPr>
          <w:p w14:paraId="0A19909D"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8.</w:t>
            </w:r>
          </w:p>
        </w:tc>
        <w:tc>
          <w:tcPr>
            <w:tcW w:w="6067" w:type="dxa"/>
            <w:tcBorders>
              <w:bottom w:val="single" w:sz="4" w:space="0" w:color="auto"/>
            </w:tcBorders>
          </w:tcPr>
          <w:p w14:paraId="11CD9EB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Focus on fuel cell and hydrogen industrial competitive targets for cost, performance, and durability and overcome a critical hydrogen technology bottleneck</w:t>
            </w:r>
          </w:p>
        </w:tc>
        <w:tc>
          <w:tcPr>
            <w:tcW w:w="1134" w:type="dxa"/>
            <w:tcBorders>
              <w:bottom w:val="single" w:sz="4" w:space="0" w:color="auto"/>
            </w:tcBorders>
          </w:tcPr>
          <w:p w14:paraId="184FB25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36.5</w:t>
            </w:r>
          </w:p>
        </w:tc>
        <w:tc>
          <w:tcPr>
            <w:tcW w:w="1276" w:type="dxa"/>
            <w:tcBorders>
              <w:bottom w:val="single" w:sz="4" w:space="0" w:color="auto"/>
            </w:tcBorders>
          </w:tcPr>
          <w:p w14:paraId="4479B33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37.8</w:t>
            </w:r>
          </w:p>
        </w:tc>
      </w:tr>
      <w:tr w:rsidR="00303A2A" w:rsidRPr="00303A2A" w14:paraId="43B2C63A" w14:textId="77777777" w:rsidTr="00EE3671">
        <w:trPr>
          <w:trHeight w:val="227"/>
          <w:tblHeader/>
        </w:trPr>
        <w:tc>
          <w:tcPr>
            <w:tcW w:w="562" w:type="dxa"/>
            <w:tcBorders>
              <w:top w:val="single" w:sz="4" w:space="0" w:color="auto"/>
              <w:bottom w:val="single" w:sz="4" w:space="0" w:color="auto"/>
            </w:tcBorders>
          </w:tcPr>
          <w:p w14:paraId="33603E4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p>
        </w:tc>
        <w:tc>
          <w:tcPr>
            <w:tcW w:w="6067" w:type="dxa"/>
            <w:tcBorders>
              <w:top w:val="single" w:sz="4" w:space="0" w:color="auto"/>
              <w:bottom w:val="single" w:sz="4" w:space="0" w:color="auto"/>
            </w:tcBorders>
          </w:tcPr>
          <w:p w14:paraId="0E41F50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Total Score</w:t>
            </w:r>
          </w:p>
        </w:tc>
        <w:tc>
          <w:tcPr>
            <w:tcW w:w="1134" w:type="dxa"/>
            <w:tcBorders>
              <w:top w:val="single" w:sz="4" w:space="0" w:color="auto"/>
              <w:bottom w:val="single" w:sz="4" w:space="0" w:color="auto"/>
            </w:tcBorders>
          </w:tcPr>
          <w:p w14:paraId="1361A8B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20.2</w:t>
            </w:r>
          </w:p>
        </w:tc>
        <w:tc>
          <w:tcPr>
            <w:tcW w:w="1276" w:type="dxa"/>
            <w:tcBorders>
              <w:top w:val="single" w:sz="4" w:space="0" w:color="auto"/>
              <w:bottom w:val="single" w:sz="4" w:space="0" w:color="auto"/>
            </w:tcBorders>
          </w:tcPr>
          <w:p w14:paraId="2493586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33.8</w:t>
            </w:r>
          </w:p>
        </w:tc>
      </w:tr>
    </w:tbl>
    <w:p w14:paraId="3C6B6701" w14:textId="604D12D7" w:rsidR="00303A2A" w:rsidRPr="00303A2A" w:rsidRDefault="00303A2A" w:rsidP="00303A2A">
      <w:pPr>
        <w:keepNext/>
        <w:suppressAutoHyphens w:val="0"/>
        <w:spacing w:before="240"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rPr>
      </w:pPr>
      <w:r w:rsidRPr="00303A2A">
        <w:rPr>
          <w:rFonts w:ascii="Times New Roman" w:eastAsia="Times New Roman" w:hAnsi="Times New Roman" w:cs="Times New Roman"/>
          <w:i/>
          <w:iCs/>
          <w:position w:val="0"/>
          <w:sz w:val="24"/>
          <w:szCs w:val="24"/>
        </w:rPr>
        <w:t xml:space="preserve">The Public Perception of the </w:t>
      </w:r>
      <w:bookmarkStart w:id="12" w:name="_Hlk84023108"/>
      <w:r w:rsidRPr="00303A2A">
        <w:rPr>
          <w:rFonts w:ascii="Times New Roman" w:eastAsia="Times New Roman" w:hAnsi="Times New Roman" w:cs="Times New Roman"/>
          <w:i/>
          <w:iCs/>
          <w:position w:val="0"/>
          <w:sz w:val="24"/>
          <w:szCs w:val="24"/>
        </w:rPr>
        <w:t xml:space="preserve">Economic Benefits and Challenges </w:t>
      </w:r>
      <w:bookmarkEnd w:id="12"/>
      <w:r w:rsidRPr="00303A2A">
        <w:rPr>
          <w:rFonts w:ascii="Times New Roman" w:eastAsia="Times New Roman" w:hAnsi="Times New Roman" w:cs="Times New Roman"/>
          <w:i/>
          <w:iCs/>
          <w:position w:val="0"/>
          <w:sz w:val="24"/>
          <w:szCs w:val="24"/>
        </w:rPr>
        <w:t>in HFCV Adoption in Malaysia</w:t>
      </w:r>
    </w:p>
    <w:p w14:paraId="7F5B5339" w14:textId="5710541A"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The public perception of the economic benefits and challenges associated with HFCV adoption in Malaysia is shown in Table 5. The results indicate that most of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slightly agree on the economic benefits and challenges of adopting HFCV, represented by a mean score of 1.75 and 1.68, respectively. In Malaysia, the energy industry contributes up to 20% of total GDP and is also a major oil-exporting country ASEAN-wide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{"citationItems":[{"id":"ITEM-1","itemData":{"DOI":"10.3390/en5082989","ISSN":"19961073","abstract":"Within ASEAN, Malaysia is a major oil-exporting country; however, it is expected to become a net oil-importing country in the near future. This issue brings concerns over Malaysia's energy security, particularly on the aspect of oil import dependency. This is because its transportation and industrial sectors are still heavily dependent on oil products. By simulating dynamic interplays between developments in Malaysia's oil sector and its economy sectors, this study explores the possible years of the transformation and the extent to which it will be dependent on oil import. Four scenarios related to enhanced oil recovery, exploration and production investment, subsidy elimination and technology advances are considered for the simulation. In isolation, the subsidy elimination scenario provides the best result. However, if all scenarios are considered simultaneously, an undesired effect emerges. The earliest that Malaysia is expected to become a net oil-importing country is 2012 and the latest is 2021. Malaysia's dependence on oil imports is expected to continue increasing. In all scenarios, the shares of oil import in the total supply rise to above 90% in 2030, with the highest share at 97%. © 2012 by the authors.","author":[{"dropping-particle":"","family":"Prambudia","given":"Yudha","non-dropping-particle":"","parse-names":false,"suffix":""},{"dropping-particle":"","family":"Nakano","given":"Masaru","non-dropping-particle":"","parse-names":false,"suffix":""}],"container-title":"Energies","id":"ITEM-1","issue":"8","issued":{"date-parts":[["2012"]]},"page":"2989-3018","title":"Exploring Malaysia's transformation to net oil importer and oil import dependence","type":"article-journal","volume":"5"},"uris":["http://www.mendeley.com/documents/?uuid=e7680c49-fa71-492a-af62-fe36ffb832d0"]}],"mendeley":{"formattedCitation":"(Prambudia &amp; Nakano, 2012)","plainTextFormattedCitation":"(Prambudia &amp; Nakano, 2012)","previouslyFormattedCitation":"(Prambudia &amp; Nakano, 2012)"},"properties":{"noteIndex":0},"schema":"https://github.com/citation-style-language/schema/raw/master/csl-citation.json"}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(Prambudia &amp; Nakano, 2012)</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However, Malaysia’s anticipated dependence on oil imports due to the gradual decline in producing oil, and industrial and transportation sectors are still deeply dependent on oil products.  In this study, 4.7% and 60% of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believe that using hydrogen can reduce dependence on foreign oil imports. Besides that, 9.4% and 46.7% of respondents </w:t>
      </w:r>
      <w:bookmarkStart w:id="13" w:name="_Hlk83939998"/>
      <w:r w:rsidRPr="00303A2A">
        <w:rPr>
          <w:rFonts w:ascii="Times New Roman" w:eastAsia="Times New Roman" w:hAnsi="Times New Roman" w:cs="Times New Roman"/>
          <w:position w:val="0"/>
          <w:sz w:val="24"/>
          <w:szCs w:val="24"/>
        </w:rPr>
        <w:t xml:space="preserve">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w:t>
      </w:r>
      <w:bookmarkEnd w:id="13"/>
      <w:r w:rsidRPr="00303A2A">
        <w:rPr>
          <w:rFonts w:ascii="Times New Roman" w:eastAsia="Times New Roman" w:hAnsi="Times New Roman" w:cs="Times New Roman"/>
          <w:position w:val="0"/>
          <w:sz w:val="24"/>
          <w:szCs w:val="24"/>
        </w:rPr>
        <w:t xml:space="preserve">believe that HFCV could provide competitive market opportunities, particularly in the vehicle manufacturing industries. Most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Tun Razak respondents strongly believe that the adaption of HFCV can develop energy security and </w:t>
      </w:r>
      <w:proofErr w:type="spellStart"/>
      <w:r w:rsidRPr="00303A2A">
        <w:rPr>
          <w:rFonts w:ascii="Times New Roman" w:eastAsia="Times New Roman" w:hAnsi="Times New Roman" w:cs="Times New Roman"/>
          <w:position w:val="0"/>
          <w:sz w:val="24"/>
          <w:szCs w:val="24"/>
        </w:rPr>
        <w:t>stabilise</w:t>
      </w:r>
      <w:proofErr w:type="spellEnd"/>
      <w:r w:rsidRPr="00303A2A">
        <w:rPr>
          <w:rFonts w:ascii="Times New Roman" w:eastAsia="Times New Roman" w:hAnsi="Times New Roman" w:cs="Times New Roman"/>
          <w:position w:val="0"/>
          <w:sz w:val="24"/>
          <w:szCs w:val="24"/>
        </w:rPr>
        <w:t xml:space="preserve"> the energy process. In addition, the acceptance of HFCV by the public is also influenced by safety concerns about hydrogen transport and storage. Even though hydrogen is a highly flammable fuel source, it is much safer than other fuels because it evaporates quickly. The success of HFCV depends on </w:t>
      </w:r>
      <w:proofErr w:type="spellStart"/>
      <w:r w:rsidRPr="00303A2A">
        <w:rPr>
          <w:rFonts w:ascii="Times New Roman" w:eastAsia="Times New Roman" w:hAnsi="Times New Roman" w:cs="Times New Roman"/>
          <w:position w:val="0"/>
          <w:sz w:val="24"/>
          <w:szCs w:val="24"/>
        </w:rPr>
        <w:t>recognising</w:t>
      </w:r>
      <w:proofErr w:type="spellEnd"/>
      <w:r w:rsidRPr="00303A2A">
        <w:rPr>
          <w:rFonts w:ascii="Times New Roman" w:eastAsia="Times New Roman" w:hAnsi="Times New Roman" w:cs="Times New Roman"/>
          <w:position w:val="0"/>
          <w:sz w:val="24"/>
          <w:szCs w:val="24"/>
        </w:rPr>
        <w:t xml:space="preserve"> and accepting its advantages by the public and accepting that it is indispensable and safe. This study indicated that most respondents agreed that public education is required regarding hydrogen sources, their benefits to the environment and safety, and why people should change from conventional vehicles to HFCV</w:t>
      </w:r>
      <w:r>
        <w:rPr>
          <w:rFonts w:ascii="Times New Roman" w:eastAsia="Times New Roman" w:hAnsi="Times New Roman" w:cs="Times New Roman"/>
          <w:position w:val="0"/>
          <w:sz w:val="24"/>
          <w:szCs w:val="24"/>
        </w:rPr>
        <w:t>.</w:t>
      </w:r>
    </w:p>
    <w:p w14:paraId="28775378" w14:textId="04C9FD43"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54059E93" w14:textId="76A13FD2"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231A5400" w14:textId="44154F74"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0095EB9D" w14:textId="127C8AAE"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4EE0E1DE" w14:textId="2445F0E2"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2A36C733" w14:textId="1284B2BE"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07C9D3E1"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6D94A4F2"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Table 5: The Public Perception on the Economic Benefits and Challenges towards HFCV Adoption in Malaysia</w:t>
      </w:r>
    </w:p>
    <w:tbl>
      <w:tblPr>
        <w:tblW w:w="9180" w:type="dxa"/>
        <w:tblLayout w:type="fixed"/>
        <w:tblLook w:val="00A0" w:firstRow="1" w:lastRow="0" w:firstColumn="1" w:lastColumn="0" w:noHBand="0" w:noVBand="0"/>
      </w:tblPr>
      <w:tblGrid>
        <w:gridCol w:w="675"/>
        <w:gridCol w:w="6379"/>
        <w:gridCol w:w="1134"/>
        <w:gridCol w:w="992"/>
      </w:tblGrid>
      <w:tr w:rsidR="00303A2A" w:rsidRPr="00303A2A" w14:paraId="6E1EAC53" w14:textId="77777777" w:rsidTr="00EE3671">
        <w:trPr>
          <w:trHeight w:val="220"/>
          <w:tblHeader/>
        </w:trPr>
        <w:tc>
          <w:tcPr>
            <w:tcW w:w="675" w:type="dxa"/>
            <w:tcBorders>
              <w:top w:val="single" w:sz="4" w:space="0" w:color="auto"/>
              <w:bottom w:val="single" w:sz="4" w:space="0" w:color="auto"/>
            </w:tcBorders>
          </w:tcPr>
          <w:p w14:paraId="7A88BFD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
        </w:tc>
        <w:tc>
          <w:tcPr>
            <w:tcW w:w="6379" w:type="dxa"/>
            <w:tcBorders>
              <w:top w:val="single" w:sz="4" w:space="0" w:color="auto"/>
              <w:bottom w:val="single" w:sz="4" w:space="0" w:color="auto"/>
            </w:tcBorders>
          </w:tcPr>
          <w:p w14:paraId="6B34728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Item Statement</w:t>
            </w:r>
          </w:p>
        </w:tc>
        <w:tc>
          <w:tcPr>
            <w:tcW w:w="2126" w:type="dxa"/>
            <w:gridSpan w:val="2"/>
            <w:tcBorders>
              <w:top w:val="single" w:sz="4" w:space="0" w:color="auto"/>
              <w:bottom w:val="single" w:sz="4" w:space="0" w:color="auto"/>
            </w:tcBorders>
          </w:tcPr>
          <w:p w14:paraId="561B3DCC"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 xml:space="preserve">% </w:t>
            </w:r>
            <w:proofErr w:type="gramStart"/>
            <w:r w:rsidRPr="00303A2A">
              <w:rPr>
                <w:rFonts w:ascii="Times New Roman" w:eastAsia="Times New Roman" w:hAnsi="Times New Roman" w:cs="Times New Roman"/>
                <w:b/>
                <w:position w:val="0"/>
                <w:sz w:val="20"/>
                <w:szCs w:val="20"/>
              </w:rPr>
              <w:t>of</w:t>
            </w:r>
            <w:proofErr w:type="gramEnd"/>
            <w:r w:rsidRPr="00303A2A">
              <w:rPr>
                <w:rFonts w:ascii="Times New Roman" w:eastAsia="Times New Roman" w:hAnsi="Times New Roman" w:cs="Times New Roman"/>
                <w:b/>
                <w:position w:val="0"/>
                <w:sz w:val="20"/>
                <w:szCs w:val="20"/>
              </w:rPr>
              <w:t xml:space="preserve"> Agreement</w:t>
            </w:r>
          </w:p>
        </w:tc>
      </w:tr>
      <w:tr w:rsidR="00303A2A" w:rsidRPr="00303A2A" w14:paraId="7872792E" w14:textId="77777777" w:rsidTr="00EE3671">
        <w:trPr>
          <w:trHeight w:val="456"/>
          <w:tblHeader/>
        </w:trPr>
        <w:tc>
          <w:tcPr>
            <w:tcW w:w="675" w:type="dxa"/>
            <w:tcBorders>
              <w:top w:val="single" w:sz="4" w:space="0" w:color="auto"/>
              <w:bottom w:val="single" w:sz="4" w:space="0" w:color="auto"/>
            </w:tcBorders>
          </w:tcPr>
          <w:p w14:paraId="29C5D79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No.</w:t>
            </w:r>
          </w:p>
        </w:tc>
        <w:tc>
          <w:tcPr>
            <w:tcW w:w="6379" w:type="dxa"/>
            <w:tcBorders>
              <w:top w:val="single" w:sz="4" w:space="0" w:color="auto"/>
              <w:bottom w:val="single" w:sz="4" w:space="0" w:color="auto"/>
            </w:tcBorders>
          </w:tcPr>
          <w:p w14:paraId="25ECF4B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 xml:space="preserve">I believe in the following economic benefits and challenges associated with the adoption of HFCV </w:t>
            </w:r>
          </w:p>
        </w:tc>
        <w:tc>
          <w:tcPr>
            <w:tcW w:w="1134" w:type="dxa"/>
            <w:tcBorders>
              <w:top w:val="single" w:sz="4" w:space="0" w:color="auto"/>
              <w:bottom w:val="single" w:sz="4" w:space="0" w:color="auto"/>
            </w:tcBorders>
          </w:tcPr>
          <w:p w14:paraId="0E747B5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roofErr w:type="spellStart"/>
            <w:r w:rsidRPr="00303A2A">
              <w:rPr>
                <w:rFonts w:ascii="Times New Roman" w:eastAsia="Times New Roman" w:hAnsi="Times New Roman" w:cs="Times New Roman"/>
                <w:b/>
                <w:position w:val="0"/>
                <w:sz w:val="20"/>
                <w:szCs w:val="20"/>
              </w:rPr>
              <w:t>Cheras</w:t>
            </w:r>
            <w:proofErr w:type="spellEnd"/>
            <w:r w:rsidRPr="00303A2A">
              <w:rPr>
                <w:rFonts w:ascii="Times New Roman" w:eastAsia="Times New Roman" w:hAnsi="Times New Roman" w:cs="Times New Roman"/>
                <w:b/>
                <w:position w:val="0"/>
                <w:sz w:val="20"/>
                <w:szCs w:val="20"/>
              </w:rPr>
              <w:t xml:space="preserve"> </w:t>
            </w:r>
          </w:p>
        </w:tc>
        <w:tc>
          <w:tcPr>
            <w:tcW w:w="992" w:type="dxa"/>
            <w:tcBorders>
              <w:top w:val="single" w:sz="4" w:space="0" w:color="auto"/>
              <w:bottom w:val="single" w:sz="4" w:space="0" w:color="auto"/>
            </w:tcBorders>
          </w:tcPr>
          <w:p w14:paraId="25ACFCF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BTR</w:t>
            </w:r>
          </w:p>
        </w:tc>
      </w:tr>
      <w:tr w:rsidR="00303A2A" w:rsidRPr="00303A2A" w14:paraId="2E73A138" w14:textId="77777777" w:rsidTr="00EE3671">
        <w:trPr>
          <w:trHeight w:val="272"/>
        </w:trPr>
        <w:tc>
          <w:tcPr>
            <w:tcW w:w="675" w:type="dxa"/>
            <w:tcBorders>
              <w:top w:val="single" w:sz="4" w:space="0" w:color="auto"/>
            </w:tcBorders>
          </w:tcPr>
          <w:p w14:paraId="5A9FE2E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1.</w:t>
            </w:r>
          </w:p>
        </w:tc>
        <w:tc>
          <w:tcPr>
            <w:tcW w:w="6379" w:type="dxa"/>
            <w:tcBorders>
              <w:top w:val="single" w:sz="4" w:space="0" w:color="auto"/>
            </w:tcBorders>
          </w:tcPr>
          <w:p w14:paraId="42D0A83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Reduce dependence on foreign oil imports since hydrogen can be derived from domestic sources</w:t>
            </w:r>
          </w:p>
        </w:tc>
        <w:tc>
          <w:tcPr>
            <w:tcW w:w="1134" w:type="dxa"/>
            <w:tcBorders>
              <w:top w:val="single" w:sz="4" w:space="0" w:color="auto"/>
            </w:tcBorders>
          </w:tcPr>
          <w:p w14:paraId="59D2EA5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4.7</w:t>
            </w:r>
          </w:p>
        </w:tc>
        <w:tc>
          <w:tcPr>
            <w:tcW w:w="992" w:type="dxa"/>
            <w:tcBorders>
              <w:top w:val="single" w:sz="4" w:space="0" w:color="auto"/>
            </w:tcBorders>
          </w:tcPr>
          <w:p w14:paraId="0B754F6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60.0</w:t>
            </w:r>
          </w:p>
        </w:tc>
      </w:tr>
      <w:tr w:rsidR="00303A2A" w:rsidRPr="00303A2A" w14:paraId="25816AC8" w14:textId="77777777" w:rsidTr="00EE3671">
        <w:trPr>
          <w:trHeight w:val="272"/>
        </w:trPr>
        <w:tc>
          <w:tcPr>
            <w:tcW w:w="675" w:type="dxa"/>
          </w:tcPr>
          <w:p w14:paraId="24FCBEC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2.</w:t>
            </w:r>
          </w:p>
        </w:tc>
        <w:tc>
          <w:tcPr>
            <w:tcW w:w="6379" w:type="dxa"/>
          </w:tcPr>
          <w:p w14:paraId="0F2FC58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To be a developed country and competitive through high impact technology in vehicle manufacturing</w:t>
            </w:r>
          </w:p>
        </w:tc>
        <w:tc>
          <w:tcPr>
            <w:tcW w:w="1134" w:type="dxa"/>
          </w:tcPr>
          <w:p w14:paraId="36BA128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9.4</w:t>
            </w:r>
          </w:p>
        </w:tc>
        <w:tc>
          <w:tcPr>
            <w:tcW w:w="992" w:type="dxa"/>
          </w:tcPr>
          <w:p w14:paraId="1B65A54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46.7</w:t>
            </w:r>
          </w:p>
        </w:tc>
      </w:tr>
      <w:tr w:rsidR="00303A2A" w:rsidRPr="00303A2A" w14:paraId="596B6356" w14:textId="77777777" w:rsidTr="00EE3671">
        <w:trPr>
          <w:trHeight w:val="225"/>
        </w:trPr>
        <w:tc>
          <w:tcPr>
            <w:tcW w:w="675" w:type="dxa"/>
          </w:tcPr>
          <w:p w14:paraId="70EA4F0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w:t>
            </w:r>
          </w:p>
        </w:tc>
        <w:tc>
          <w:tcPr>
            <w:tcW w:w="6379" w:type="dxa"/>
          </w:tcPr>
          <w:p w14:paraId="67E6873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Provide reliable info to the public on hydrogen fuel safety and its benefits</w:t>
            </w:r>
          </w:p>
        </w:tc>
        <w:tc>
          <w:tcPr>
            <w:tcW w:w="1134" w:type="dxa"/>
          </w:tcPr>
          <w:p w14:paraId="11DF75A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27.1</w:t>
            </w:r>
          </w:p>
        </w:tc>
        <w:tc>
          <w:tcPr>
            <w:tcW w:w="992" w:type="dxa"/>
          </w:tcPr>
          <w:p w14:paraId="44B11B2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37.8</w:t>
            </w:r>
          </w:p>
        </w:tc>
      </w:tr>
      <w:tr w:rsidR="00303A2A" w:rsidRPr="00303A2A" w14:paraId="4BCC5CE8" w14:textId="77777777" w:rsidTr="00EE3671">
        <w:trPr>
          <w:trHeight w:val="255"/>
        </w:trPr>
        <w:tc>
          <w:tcPr>
            <w:tcW w:w="675" w:type="dxa"/>
          </w:tcPr>
          <w:p w14:paraId="07CEAE9D"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4.</w:t>
            </w:r>
          </w:p>
        </w:tc>
        <w:tc>
          <w:tcPr>
            <w:tcW w:w="6379" w:type="dxa"/>
          </w:tcPr>
          <w:p w14:paraId="1F0D84B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 xml:space="preserve">The level of understanding of Malaysians about HFCV is still low, and they need to be educated through the continuous dissemination of information. </w:t>
            </w:r>
          </w:p>
        </w:tc>
        <w:tc>
          <w:tcPr>
            <w:tcW w:w="1134" w:type="dxa"/>
          </w:tcPr>
          <w:p w14:paraId="64AA405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38.8</w:t>
            </w:r>
          </w:p>
        </w:tc>
        <w:tc>
          <w:tcPr>
            <w:tcW w:w="992" w:type="dxa"/>
          </w:tcPr>
          <w:p w14:paraId="7273493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24.4</w:t>
            </w:r>
          </w:p>
        </w:tc>
      </w:tr>
      <w:tr w:rsidR="00303A2A" w:rsidRPr="00303A2A" w14:paraId="62C0EEBE" w14:textId="77777777" w:rsidTr="00EE3671">
        <w:trPr>
          <w:trHeight w:val="220"/>
        </w:trPr>
        <w:tc>
          <w:tcPr>
            <w:tcW w:w="675" w:type="dxa"/>
          </w:tcPr>
          <w:p w14:paraId="7A15046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5.</w:t>
            </w:r>
          </w:p>
        </w:tc>
        <w:tc>
          <w:tcPr>
            <w:tcW w:w="6379" w:type="dxa"/>
          </w:tcPr>
          <w:p w14:paraId="1357A2C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The current infrastructure for producing and getting hydrogen to consumers cannot yet support the widespread adoption of fuel cell vehicles</w:t>
            </w:r>
          </w:p>
        </w:tc>
        <w:tc>
          <w:tcPr>
            <w:tcW w:w="1134" w:type="dxa"/>
          </w:tcPr>
          <w:p w14:paraId="240BF2AD"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38.8</w:t>
            </w:r>
          </w:p>
        </w:tc>
        <w:tc>
          <w:tcPr>
            <w:tcW w:w="992" w:type="dxa"/>
          </w:tcPr>
          <w:p w14:paraId="7969968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15.6</w:t>
            </w:r>
          </w:p>
        </w:tc>
      </w:tr>
      <w:tr w:rsidR="00303A2A" w:rsidRPr="00303A2A" w14:paraId="2D7B2AE6" w14:textId="77777777" w:rsidTr="00EE3671">
        <w:trPr>
          <w:trHeight w:val="255"/>
        </w:trPr>
        <w:tc>
          <w:tcPr>
            <w:tcW w:w="675" w:type="dxa"/>
          </w:tcPr>
          <w:p w14:paraId="1E93DB4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6.</w:t>
            </w:r>
          </w:p>
        </w:tc>
        <w:tc>
          <w:tcPr>
            <w:tcW w:w="6379" w:type="dxa"/>
          </w:tcPr>
          <w:p w14:paraId="2950B82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 xml:space="preserve">Consumers must embrace fuel cell vehicles before their benefits can be </w:t>
            </w:r>
            <w:proofErr w:type="spellStart"/>
            <w:r w:rsidRPr="00303A2A">
              <w:rPr>
                <w:rFonts w:ascii="Times New Roman" w:eastAsia="Times New Roman" w:hAnsi="Times New Roman" w:cs="Times New Roman"/>
                <w:position w:val="0"/>
                <w:sz w:val="20"/>
                <w:szCs w:val="20"/>
              </w:rPr>
              <w:t>realised</w:t>
            </w:r>
            <w:proofErr w:type="spellEnd"/>
            <w:r w:rsidRPr="00303A2A">
              <w:rPr>
                <w:rFonts w:ascii="Times New Roman" w:eastAsia="Times New Roman" w:hAnsi="Times New Roman" w:cs="Times New Roman"/>
                <w:position w:val="0"/>
                <w:sz w:val="20"/>
                <w:szCs w:val="20"/>
              </w:rPr>
              <w:t>, and consumers may have concerns about the dependability and safety of HFCV</w:t>
            </w:r>
          </w:p>
        </w:tc>
        <w:tc>
          <w:tcPr>
            <w:tcW w:w="1134" w:type="dxa"/>
          </w:tcPr>
          <w:p w14:paraId="18B52C8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32.9</w:t>
            </w:r>
          </w:p>
        </w:tc>
        <w:tc>
          <w:tcPr>
            <w:tcW w:w="992" w:type="dxa"/>
          </w:tcPr>
          <w:p w14:paraId="7978E1C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33.3</w:t>
            </w:r>
          </w:p>
        </w:tc>
      </w:tr>
      <w:tr w:rsidR="00303A2A" w:rsidRPr="00303A2A" w14:paraId="53A3D4C7" w14:textId="77777777" w:rsidTr="00EE3671">
        <w:trPr>
          <w:trHeight w:val="255"/>
        </w:trPr>
        <w:tc>
          <w:tcPr>
            <w:tcW w:w="675" w:type="dxa"/>
          </w:tcPr>
          <w:p w14:paraId="692980A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7.</w:t>
            </w:r>
          </w:p>
        </w:tc>
        <w:tc>
          <w:tcPr>
            <w:tcW w:w="6379" w:type="dxa"/>
          </w:tcPr>
          <w:p w14:paraId="7839BBB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 xml:space="preserve">The adoption of hydrogen as a flexible energy carrier can contribute positively to energy security and </w:t>
            </w:r>
            <w:proofErr w:type="spellStart"/>
            <w:r w:rsidRPr="00303A2A">
              <w:rPr>
                <w:rFonts w:ascii="Times New Roman" w:eastAsia="Times New Roman" w:hAnsi="Times New Roman" w:cs="Times New Roman"/>
                <w:position w:val="0"/>
                <w:sz w:val="20"/>
                <w:szCs w:val="20"/>
              </w:rPr>
              <w:t>stabilise</w:t>
            </w:r>
            <w:proofErr w:type="spellEnd"/>
            <w:r w:rsidRPr="00303A2A">
              <w:rPr>
                <w:rFonts w:ascii="Times New Roman" w:eastAsia="Times New Roman" w:hAnsi="Times New Roman" w:cs="Times New Roman"/>
                <w:position w:val="0"/>
                <w:sz w:val="20"/>
                <w:szCs w:val="20"/>
              </w:rPr>
              <w:t xml:space="preserve"> the energy process as it can be produced from any primary energy sources</w:t>
            </w:r>
          </w:p>
        </w:tc>
        <w:tc>
          <w:tcPr>
            <w:tcW w:w="1134" w:type="dxa"/>
          </w:tcPr>
          <w:p w14:paraId="59E26F82"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48.2</w:t>
            </w:r>
          </w:p>
        </w:tc>
        <w:tc>
          <w:tcPr>
            <w:tcW w:w="992" w:type="dxa"/>
          </w:tcPr>
          <w:p w14:paraId="5EDCB1F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33.3</w:t>
            </w:r>
          </w:p>
        </w:tc>
      </w:tr>
      <w:tr w:rsidR="00303A2A" w:rsidRPr="00303A2A" w14:paraId="0B75564C" w14:textId="77777777" w:rsidTr="00EE3671">
        <w:trPr>
          <w:trHeight w:val="255"/>
        </w:trPr>
        <w:tc>
          <w:tcPr>
            <w:tcW w:w="675" w:type="dxa"/>
            <w:tcBorders>
              <w:bottom w:val="single" w:sz="4" w:space="0" w:color="auto"/>
            </w:tcBorders>
          </w:tcPr>
          <w:p w14:paraId="4F26A8C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8.</w:t>
            </w:r>
          </w:p>
        </w:tc>
        <w:tc>
          <w:tcPr>
            <w:tcW w:w="6379" w:type="dxa"/>
            <w:tcBorders>
              <w:bottom w:val="single" w:sz="4" w:space="0" w:color="auto"/>
            </w:tcBorders>
          </w:tcPr>
          <w:p w14:paraId="192626B3"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To inform effectively and efficiently the general public about the advantages to the environment and to address any concerns which they might have about hydrogen safety</w:t>
            </w:r>
          </w:p>
        </w:tc>
        <w:tc>
          <w:tcPr>
            <w:tcW w:w="1134" w:type="dxa"/>
            <w:tcBorders>
              <w:bottom w:val="single" w:sz="4" w:space="0" w:color="auto"/>
            </w:tcBorders>
          </w:tcPr>
          <w:p w14:paraId="67A7684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56.5</w:t>
            </w:r>
          </w:p>
        </w:tc>
        <w:tc>
          <w:tcPr>
            <w:tcW w:w="992" w:type="dxa"/>
            <w:tcBorders>
              <w:bottom w:val="single" w:sz="4" w:space="0" w:color="auto"/>
            </w:tcBorders>
          </w:tcPr>
          <w:p w14:paraId="1C58886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60.0</w:t>
            </w:r>
          </w:p>
        </w:tc>
      </w:tr>
      <w:tr w:rsidR="00303A2A" w:rsidRPr="00303A2A" w14:paraId="4F683EB0" w14:textId="77777777" w:rsidTr="00EE3671">
        <w:trPr>
          <w:trHeight w:val="239"/>
        </w:trPr>
        <w:tc>
          <w:tcPr>
            <w:tcW w:w="675" w:type="dxa"/>
            <w:tcBorders>
              <w:top w:val="single" w:sz="4" w:space="0" w:color="auto"/>
              <w:bottom w:val="single" w:sz="4" w:space="0" w:color="auto"/>
            </w:tcBorders>
          </w:tcPr>
          <w:p w14:paraId="2F7C5FA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
        </w:tc>
        <w:tc>
          <w:tcPr>
            <w:tcW w:w="6379" w:type="dxa"/>
            <w:tcBorders>
              <w:top w:val="single" w:sz="4" w:space="0" w:color="auto"/>
              <w:bottom w:val="single" w:sz="4" w:space="0" w:color="auto"/>
            </w:tcBorders>
          </w:tcPr>
          <w:p w14:paraId="516E4C6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Total Score</w:t>
            </w:r>
          </w:p>
        </w:tc>
        <w:tc>
          <w:tcPr>
            <w:tcW w:w="1134" w:type="dxa"/>
            <w:tcBorders>
              <w:top w:val="single" w:sz="4" w:space="0" w:color="auto"/>
              <w:bottom w:val="single" w:sz="4" w:space="0" w:color="auto"/>
            </w:tcBorders>
          </w:tcPr>
          <w:p w14:paraId="0F76EBB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32.1</w:t>
            </w:r>
          </w:p>
        </w:tc>
        <w:tc>
          <w:tcPr>
            <w:tcW w:w="992" w:type="dxa"/>
            <w:tcBorders>
              <w:top w:val="single" w:sz="4" w:space="0" w:color="auto"/>
              <w:bottom w:val="single" w:sz="4" w:space="0" w:color="auto"/>
            </w:tcBorders>
          </w:tcPr>
          <w:p w14:paraId="603E419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38.9</w:t>
            </w:r>
          </w:p>
        </w:tc>
      </w:tr>
    </w:tbl>
    <w:p w14:paraId="6D39BC2D" w14:textId="77777777" w:rsidR="00303A2A" w:rsidRPr="00303A2A" w:rsidRDefault="00303A2A" w:rsidP="00303A2A">
      <w:pPr>
        <w:widowControl w:val="0"/>
        <w:suppressAutoHyphens w:val="0"/>
        <w:autoSpaceDE w:val="0"/>
        <w:autoSpaceDN w:val="0"/>
        <w:spacing w:after="0" w:line="240" w:lineRule="auto"/>
        <w:ind w:leftChars="0" w:left="0" w:firstLineChars="0" w:firstLine="0"/>
        <w:jc w:val="both"/>
        <w:textDirection w:val="lrTb"/>
        <w:textAlignment w:val="auto"/>
        <w:rPr>
          <w:rFonts w:ascii="Times New Roman" w:eastAsia="Times New Roman" w:hAnsi="Times New Roman" w:cs="Times New Roman"/>
          <w:b/>
          <w:position w:val="0"/>
          <w:sz w:val="24"/>
          <w:szCs w:val="24"/>
        </w:rPr>
      </w:pPr>
    </w:p>
    <w:p w14:paraId="02BEB26A" w14:textId="70E083CB" w:rsidR="0057592A" w:rsidRPr="00303A2A" w:rsidRDefault="003E5F8B" w:rsidP="00303A2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Conclusion </w:t>
      </w:r>
    </w:p>
    <w:p w14:paraId="0E9A02F2"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This study addresses the public perception of adopting HFCV in Kuala Lumpur, Malaysia. Currently, Malaysia faces fuel depletion, high carbon emissions, and energy security issues due to its greater dependence on fossil fuels as the primary energy source in the transportation sector. The transportation system cannot be ignored in the context of socio-economic development and needs more sustainable and environmentally friendly options for alternative energy sources. Therefore, HFCV is expected to strengthen energy security and zero tailpipe emission by reducing fossil fuel dependence and supporting sustainable transport systems. Several developed nations have already moved towards a green hydrogen economy by slowly converting from conventional vehicles to HFCV. Notably, some developing countries, including Malaysia, are also looking to technological innovation to substitute non-renewable fuels (natural gas, oil, and coal) with hydrogen in their transportation systems. Even though hydrogen energy has potential for emission-free transport systems, safety concerns are still a constraint because it is a highly flammable fuel source and the high costs of investing in hydrogen fuel cell technology. In Malaysia, the policy of energy more consider R&amp;D option and need a holistic approach to the successful evolution from a conventional energy economy to a sustainable energy system. This study focuses more on the understanding and perception of HFCV among the public by looking at the economic and environmental benefits, which are vital for the successful introduction of HFCV. In other words, the findings look more at the demand-side action with a focus on public perceptions concerning the adoption of HFCV. The results are consistent with other studies that considered the influence of consumer behavior on the purchase intention of HFCV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{"citationItems":[{"id":"ITEM-1","itemData":{"DOI":"10.1016/j.ijhydene.2015.11.146","ISSN":"03603199","abstract":"Hydrogen fuel cell vehicles (FCVs) are expected to have a significant impact in meeting both energy security and environmental concerns globally. Public and private support is however essential for successful transition to a sustainable energy system. Several studies have looked into the issues and considered the purchase behaviour of related Alternative Fuel Vehicles (AFCs) and more research momentum is seen towards hydrogen FCV. The article aims to critically review and identifies gaps of acceptance, preferences and attitudes of hydrogen FCV and examine whether attitudes, subjective norms (SNs) and perceived behaviour control (PBC) have significant associations with customer purchase intention (PI) and purchase behaviour of hydrogen FCV in Malaysia. This is a timely study to address useful policies for decarbonizing the transportation sector.","author":[{"dropping-particle":"","family":"Al-Amin","given":"Abul Quasem","non-dropping-particle":"","parse-names":false,"suffix":""},{"dropping-particle":"","family":"Ambrose","given":"Angelina F.","non-dropping-particle":"","parse-names":false,"suffix":""},{"dropping-particle":"","family":"Masud","given":"Muhammad Mehedi","non-dropping-particle":"","parse-names":false,"suffix":""},{"dropping-particle":"","family":"Azam","given":"Mohammad Nurul","non-dropping-particle":"","parse-names":false,"suffix":""}],"container-title":"International Journal of Hydrogen Energy","id":"ITEM-1","issue":"4","issued":{"date-parts":[["2016"]]},"page":"2117-2127","publisher":"Elsevier Ltd","title":"People purchase intention towards hydrogen fuel cell vehicles: An experiential enquiry in Malaysia","type":"article-journal","volume":"41"},"uris":["http://www.mendeley.com/documents/?uuid=86adec04-9e5a-4430-9dd3-c783efca08c1"]},{"id":"ITEM-2","itemData":{"abstract":"Energy from hydrogen is an appropriate technological choice in the context of sustainable development. The opportunities offered by the use of energy from hydrogen also represent a significant challenge for mobile technologies and daily life. Nevertheless, despite a significant amount of research and information regarding the benefits of hydrogen energy, it creates considerable controversy in many countries. Globally, there is a lack of understanding about the production process of hydrogen energy and the benefits it provides, which leads to concerns regarding the consistency of its use. In this study, an original questionnaire was used as a research tool to determine the opinions of inhabitants of countries in which hydrogen energy is underutilized and where the infrastructure for hydrogen energy is underdeveloped. Respondents presented their attitude to ecology, and indicated their knowledge regarding the operation of hydrogen energy and the use of hydrogen fuel. The results indicate that society is not convinced that the safety levels for energy derived from hydrogen are adequate. It can be concluded that knowledge about hydrogen as an energy source, and the production safety and storage methods of hydrogen, is very low. Negative attitudes to hydrogen energy can be an important barrier in the development of this energy in many countries.","author":[{"dropping-particle":"","family":"Ingaldi","given":"Manueka","non-dropping-particle":"","parse-names":false,"suffix":""},{"dropping-particle":"","family":"Klimecka-Ttar","given":"Dorota","non-dropping-particle":"","parse-names":false,"suffix":""}],"container-title":"Energies","id":"ITEM-2","issued":{"date-parts":[["2020"]]},"page":"6495","title":"People’s Attitude to Energy from Hydrogen—From the Point of View of Modern Energy Technologies and Social Responsibility","type":"article-journal","volume":"13"},"uris":["http://www.mendeley.com/documents/?uuid=f5713e34-7423-45a3-9eb5-9065e04cb4bb"]}],"mendeley":{"formattedCitation":"(Al-Amin et al., 2016; Ingaldi &amp; Klimecka-Ttar, 2020)","plainTextFormattedCitation":"(Al-Amin et al., 2016; Ingaldi &amp; Klimecka-Ttar, 2020)","previouslyFormattedCitation":"(Al-Amin et al., 2016; Ingaldi &amp; Klimecka-Ttar, 2020)"},"properties":{"noteIndex":0},"schema":"https://github.com/citation-style-language/schema/raw/master/csl-citation.json"}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(Al-Amin et al., 2016; Ingaldi &amp; Klimecka-Ttar, 2020)</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w:t>
      </w:r>
    </w:p>
    <w:p w14:paraId="456FB776"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bookmarkStart w:id="14" w:name="_Hlk84082661"/>
      <w:r w:rsidRPr="00303A2A">
        <w:rPr>
          <w:rFonts w:ascii="Times New Roman" w:eastAsia="Times New Roman" w:hAnsi="Times New Roman" w:cs="Times New Roman"/>
          <w:position w:val="0"/>
          <w:sz w:val="24"/>
          <w:szCs w:val="24"/>
        </w:rPr>
        <w:t>The overall results of this study found that demand-side action for HFCV among the public is influenced by supply-side aspects, including support infrastructure, characteristics of HFCV, operation costs, safety concerns, competitive markets,</w:t>
      </w:r>
      <w:r w:rsidRPr="00303A2A">
        <w:rPr>
          <w:rFonts w:ascii="Times New Roman" w:eastAsia="Times New Roman" w:hAnsi="Times New Roman" w:cs="Times New Roman"/>
          <w:position w:val="0"/>
          <w:sz w:val="24"/>
          <w:szCs w:val="24"/>
          <w:lang w:val="en-GB"/>
        </w:rPr>
        <w:t xml:space="preserve"> </w:t>
      </w:r>
      <w:r w:rsidRPr="00303A2A">
        <w:rPr>
          <w:rFonts w:ascii="Times New Roman" w:eastAsia="Times New Roman" w:hAnsi="Times New Roman" w:cs="Times New Roman"/>
          <w:position w:val="0"/>
          <w:sz w:val="24"/>
          <w:szCs w:val="24"/>
        </w:rPr>
        <w:t xml:space="preserve">and the social equilibrium of the innovation. Consequently, market demand and new technology adoption of HFCV will be successfully created </w:t>
      </w:r>
      <w:r w:rsidRPr="00303A2A">
        <w:rPr>
          <w:rFonts w:ascii="Times New Roman" w:eastAsia="Times New Roman" w:hAnsi="Times New Roman" w:cs="Times New Roman"/>
          <w:position w:val="0"/>
          <w:sz w:val="24"/>
          <w:szCs w:val="24"/>
        </w:rPr>
        <w:lastRenderedPageBreak/>
        <w:t xml:space="preserve">with the adoption by the public that leads to the consumer's intention to purchase. The study also found that most respondents do not have much knowledge or awareness of the environmental benefits of using HFCV. The evidence from this study suggests that stakeholders should educate the public regarding the benefits of HFCV and create awareness through local advertising on television and radio - this is considered an essential step in the adoption of new technologies such as HFCV. The findings of this study also suggest that long-term planning and relevant policies by the Malaysian government are needed as it seeks new energy options and balances growing energy demands while at the same time developing a </w:t>
      </w:r>
      <w:proofErr w:type="spellStart"/>
      <w:r w:rsidRPr="00303A2A">
        <w:rPr>
          <w:rFonts w:ascii="Times New Roman" w:eastAsia="Times New Roman" w:hAnsi="Times New Roman" w:cs="Times New Roman"/>
          <w:position w:val="0"/>
          <w:sz w:val="24"/>
          <w:szCs w:val="24"/>
        </w:rPr>
        <w:t>decarbonised</w:t>
      </w:r>
      <w:proofErr w:type="spellEnd"/>
      <w:r w:rsidRPr="00303A2A">
        <w:rPr>
          <w:rFonts w:ascii="Times New Roman" w:eastAsia="Times New Roman" w:hAnsi="Times New Roman" w:cs="Times New Roman"/>
          <w:position w:val="0"/>
          <w:sz w:val="24"/>
          <w:szCs w:val="24"/>
        </w:rPr>
        <w:t xml:space="preserve"> economy through the introduction of HFCV. The opportunity to test drive the vehicles and use hydrogen fuel cells in local public transport will build confidence and acceptance of the new technology in local communities. Although this study focused on the Malaysian scenario, the findings can be </w:t>
      </w:r>
      <w:proofErr w:type="spellStart"/>
      <w:r w:rsidRPr="00303A2A">
        <w:rPr>
          <w:rFonts w:ascii="Times New Roman" w:eastAsia="Times New Roman" w:hAnsi="Times New Roman" w:cs="Times New Roman"/>
          <w:position w:val="0"/>
          <w:sz w:val="24"/>
          <w:szCs w:val="24"/>
        </w:rPr>
        <w:t>utilised</w:t>
      </w:r>
      <w:proofErr w:type="spellEnd"/>
      <w:r w:rsidRPr="00303A2A">
        <w:rPr>
          <w:rFonts w:ascii="Times New Roman" w:eastAsia="Times New Roman" w:hAnsi="Times New Roman" w:cs="Times New Roman"/>
          <w:position w:val="0"/>
          <w:sz w:val="24"/>
          <w:szCs w:val="24"/>
        </w:rPr>
        <w:t xml:space="preserve"> in other developing countries looking for sustainable energy security and reduced carbon emissions in the transportation sector by using HFCV.</w:t>
      </w:r>
      <w:bookmarkEnd w:id="14"/>
    </w:p>
    <w:p w14:paraId="6919196A" w14:textId="05269CC6" w:rsidR="0057592A" w:rsidRDefault="0057592A" w:rsidP="00303A2A">
      <w:pPr>
        <w:spacing w:after="0" w:line="240" w:lineRule="auto"/>
        <w:ind w:leftChars="0" w:left="0" w:firstLineChars="0" w:firstLine="0"/>
        <w:rPr>
          <w:rFonts w:ascii="Times New Roman" w:eastAsia="Times New Roman" w:hAnsi="Times New Roman" w:cs="Times New Roman"/>
          <w:sz w:val="24"/>
          <w:szCs w:val="24"/>
        </w:rPr>
      </w:pPr>
    </w:p>
    <w:p w14:paraId="2A093F0D" w14:textId="64D222B2" w:rsidR="00303A2A" w:rsidRPr="00303A2A" w:rsidRDefault="003E5F8B" w:rsidP="00303A2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38381055" w14:textId="27AE5433"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303A2A">
        <w:rPr>
          <w:rFonts w:ascii="Times New Roman" w:hAnsi="Times New Roman" w:cs="Times New Roman"/>
          <w:noProof/>
          <w:sz w:val="24"/>
          <w:szCs w:val="24"/>
        </w:rPr>
        <w:t xml:space="preserve">Aaron Isenstadt, &amp; Lutsey, N. (2017). </w:t>
      </w:r>
      <w:r w:rsidRPr="00303A2A">
        <w:rPr>
          <w:rFonts w:ascii="Times New Roman" w:hAnsi="Times New Roman" w:cs="Times New Roman"/>
          <w:i/>
          <w:iCs/>
          <w:noProof/>
          <w:sz w:val="24"/>
          <w:szCs w:val="24"/>
        </w:rPr>
        <w:t>Developing hydrogen fueling infrastructure for fuel cell vehicles: A status update</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October</w:t>
      </w:r>
      <w:r w:rsidRPr="00303A2A">
        <w:rPr>
          <w:rFonts w:ascii="Times New Roman" w:hAnsi="Times New Roman" w:cs="Times New Roman"/>
          <w:noProof/>
          <w:sz w:val="24"/>
          <w:szCs w:val="24"/>
        </w:rPr>
        <w:t>, 1–22. https://www.theicct.org/publications/developing-hydrogen-fueling-infrastructure-fuel-cell-vehicles-status-update</w:t>
      </w:r>
    </w:p>
    <w:p w14:paraId="59D761D9"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Al-Amin, A. Q. (2017). Decarbonization through the introduction of hydrogen fuel cell vehicles in Malaysia: Prospects and challenges. </w:t>
      </w:r>
      <w:r w:rsidRPr="00303A2A">
        <w:rPr>
          <w:rFonts w:ascii="Times New Roman" w:hAnsi="Times New Roman" w:cs="Times New Roman"/>
          <w:i/>
          <w:iCs/>
          <w:noProof/>
          <w:sz w:val="24"/>
          <w:szCs w:val="24"/>
        </w:rPr>
        <w:t>Jurnal Teknologi</w:t>
      </w:r>
      <w:r w:rsidRPr="00303A2A">
        <w:rPr>
          <w:rFonts w:ascii="Times New Roman" w:hAnsi="Times New Roman" w:cs="Times New Roman"/>
          <w:noProof/>
          <w:sz w:val="24"/>
          <w:szCs w:val="24"/>
        </w:rPr>
        <w:t>, 1–7. http://file//localhost(null)%5Cnpapers3://publication/uuid/6197D1B2-59B2-40F2-B09E-1D8B08FC4BA9</w:t>
      </w:r>
    </w:p>
    <w:p w14:paraId="36D1B1ED"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Al-Amin, A. Q., Ambrose, A. F., Masud, M. M., &amp; Azam, M. N. (2016). People purchase intention towards hydrogen fuel cell vehicles: An experiential enquiry in Malaysia. </w:t>
      </w:r>
      <w:r w:rsidRPr="00303A2A">
        <w:rPr>
          <w:rFonts w:ascii="Times New Roman" w:hAnsi="Times New Roman" w:cs="Times New Roman"/>
          <w:i/>
          <w:iCs/>
          <w:noProof/>
          <w:sz w:val="24"/>
          <w:szCs w:val="24"/>
        </w:rPr>
        <w:t>International Journal of Hydrogen Energy</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41</w:t>
      </w:r>
      <w:r w:rsidRPr="00303A2A">
        <w:rPr>
          <w:rFonts w:ascii="Times New Roman" w:hAnsi="Times New Roman" w:cs="Times New Roman"/>
          <w:noProof/>
          <w:sz w:val="24"/>
          <w:szCs w:val="24"/>
        </w:rPr>
        <w:t>(4), 2117–2127. https://doi.org/10.1016/j.ijhydene.2015.11.146</w:t>
      </w:r>
    </w:p>
    <w:p w14:paraId="25A3A0C0"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Al-Amin, A. Q., &amp; Doberstein, B. (2019). Introduction of hydrogen fuel cell vehicles: prospects and challenges for Malaysia’s transition to a low-carbon economy. In </w:t>
      </w:r>
      <w:r w:rsidRPr="00303A2A">
        <w:rPr>
          <w:rFonts w:ascii="Times New Roman" w:hAnsi="Times New Roman" w:cs="Times New Roman"/>
          <w:i/>
          <w:iCs/>
          <w:noProof/>
          <w:sz w:val="24"/>
          <w:szCs w:val="24"/>
        </w:rPr>
        <w:t>Environmental Science and Pollution Research</w:t>
      </w:r>
      <w:r w:rsidRPr="00303A2A">
        <w:rPr>
          <w:rFonts w:ascii="Times New Roman" w:hAnsi="Times New Roman" w:cs="Times New Roman"/>
          <w:noProof/>
          <w:sz w:val="24"/>
          <w:szCs w:val="24"/>
        </w:rPr>
        <w:t xml:space="preserve"> (Vol. 26, Issue 30, pp. 31062–31076). https://doi.org/10.1007/s11356-019-06128-4</w:t>
      </w:r>
    </w:p>
    <w:p w14:paraId="115A9C73"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Ambrose, A. F., Al-Amin, A. Q., Rasiah, R., Saidur, R., &amp; Amin, N. (2017). Prospects for introducing hydrogen fuel cell vehicles in Malaysia. </w:t>
      </w:r>
      <w:r w:rsidRPr="00303A2A">
        <w:rPr>
          <w:rFonts w:ascii="Times New Roman" w:hAnsi="Times New Roman" w:cs="Times New Roman"/>
          <w:i/>
          <w:iCs/>
          <w:noProof/>
          <w:sz w:val="24"/>
          <w:szCs w:val="24"/>
        </w:rPr>
        <w:t>International Journal of Hydrogen Energy</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42</w:t>
      </w:r>
      <w:r w:rsidRPr="00303A2A">
        <w:rPr>
          <w:rFonts w:ascii="Times New Roman" w:hAnsi="Times New Roman" w:cs="Times New Roman"/>
          <w:noProof/>
          <w:sz w:val="24"/>
          <w:szCs w:val="24"/>
        </w:rPr>
        <w:t>(14), 9125–9134. https://doi.org/10.1016/j.ijhydene.2016.05.122</w:t>
      </w:r>
    </w:p>
    <w:p w14:paraId="5C30B22E"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Ambrose, A. F., Amin, A. Q. Al, Rasiah, R., Saidur, R., &amp; Amin, N. (2016). Prospects for introducing hydrogen fuel cell vehicles in Malaysia. </w:t>
      </w:r>
      <w:r w:rsidRPr="00303A2A">
        <w:rPr>
          <w:rFonts w:ascii="Times New Roman" w:hAnsi="Times New Roman" w:cs="Times New Roman"/>
          <w:i/>
          <w:iCs/>
          <w:noProof/>
          <w:sz w:val="24"/>
          <w:szCs w:val="24"/>
        </w:rPr>
        <w:t>International Journal of Hydrogen Energy</w:t>
      </w:r>
      <w:r w:rsidRPr="00303A2A">
        <w:rPr>
          <w:rFonts w:ascii="Times New Roman" w:hAnsi="Times New Roman" w:cs="Times New Roman"/>
          <w:noProof/>
          <w:sz w:val="24"/>
          <w:szCs w:val="24"/>
        </w:rPr>
        <w:t>, 1–10.</w:t>
      </w:r>
    </w:p>
    <w:p w14:paraId="533076B6"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Amer, M. W., Aljariri Alhesan, J. S., Ibrahim, S., Qussay, G., Marshall, M., &amp; Al-Ayed, O. S. (2021). Potential use of corn leaf waste for biofuel production in Jordan (physio-chemical study). </w:t>
      </w:r>
      <w:r w:rsidRPr="00303A2A">
        <w:rPr>
          <w:rFonts w:ascii="Times New Roman" w:hAnsi="Times New Roman" w:cs="Times New Roman"/>
          <w:i/>
          <w:iCs/>
          <w:noProof/>
          <w:sz w:val="24"/>
          <w:szCs w:val="24"/>
        </w:rPr>
        <w:t>Energy</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214</w:t>
      </w:r>
      <w:r w:rsidRPr="00303A2A">
        <w:rPr>
          <w:rFonts w:ascii="Times New Roman" w:hAnsi="Times New Roman" w:cs="Times New Roman"/>
          <w:noProof/>
          <w:sz w:val="24"/>
          <w:szCs w:val="24"/>
        </w:rPr>
        <w:t>, 118863. https://doi.org/10.1016/j.energy.2020.118863</w:t>
      </w:r>
    </w:p>
    <w:p w14:paraId="05470275"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Eberle, U., Müller, B., &amp; Von Helmolt, R. (2012). Fuel cell electric vehicles and hydrogen infrastructure: Status 2012. </w:t>
      </w:r>
      <w:r w:rsidRPr="00303A2A">
        <w:rPr>
          <w:rFonts w:ascii="Times New Roman" w:hAnsi="Times New Roman" w:cs="Times New Roman"/>
          <w:i/>
          <w:iCs/>
          <w:noProof/>
          <w:sz w:val="24"/>
          <w:szCs w:val="24"/>
        </w:rPr>
        <w:t>Energy and Environmental Science</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5</w:t>
      </w:r>
      <w:r w:rsidRPr="00303A2A">
        <w:rPr>
          <w:rFonts w:ascii="Times New Roman" w:hAnsi="Times New Roman" w:cs="Times New Roman"/>
          <w:noProof/>
          <w:sz w:val="24"/>
          <w:szCs w:val="24"/>
        </w:rPr>
        <w:t>(10), 8780–8798. https://doi.org/10.1039/c2ee22596d</w:t>
      </w:r>
    </w:p>
    <w:p w14:paraId="1035E9EB"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Enweremadu, C. ., &amp; M.M. Mbarawa. (2009). Technical aspects of production and analysis of biodiesal from used cooking oil- A review. </w:t>
      </w:r>
      <w:r w:rsidRPr="00303A2A">
        <w:rPr>
          <w:rFonts w:ascii="Times New Roman" w:hAnsi="Times New Roman" w:cs="Times New Roman"/>
          <w:i/>
          <w:iCs/>
          <w:noProof/>
          <w:sz w:val="24"/>
          <w:szCs w:val="24"/>
        </w:rPr>
        <w:t>Renewable and Sustainable Energy Reviews</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13</w:t>
      </w:r>
      <w:r w:rsidRPr="00303A2A">
        <w:rPr>
          <w:rFonts w:ascii="Times New Roman" w:hAnsi="Times New Roman" w:cs="Times New Roman"/>
          <w:noProof/>
          <w:sz w:val="24"/>
          <w:szCs w:val="24"/>
        </w:rPr>
        <w:t>(9), 2205–2224.</w:t>
      </w:r>
    </w:p>
    <w:p w14:paraId="7F5BA4AC"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EPA. (2019). </w:t>
      </w:r>
      <w:r w:rsidRPr="00303A2A">
        <w:rPr>
          <w:rFonts w:ascii="Times New Roman" w:hAnsi="Times New Roman" w:cs="Times New Roman"/>
          <w:i/>
          <w:iCs/>
          <w:noProof/>
          <w:sz w:val="24"/>
          <w:szCs w:val="24"/>
        </w:rPr>
        <w:t>Sources of Greenhouse Gas Emissions</w:t>
      </w:r>
      <w:r w:rsidRPr="00303A2A">
        <w:rPr>
          <w:rFonts w:ascii="Times New Roman" w:hAnsi="Times New Roman" w:cs="Times New Roman"/>
          <w:noProof/>
          <w:sz w:val="24"/>
          <w:szCs w:val="24"/>
        </w:rPr>
        <w:t>. United States Environmental Protection Agency. https://www.epa.gov/ghgemissions/sources-greenhouse-gas-emissions</w:t>
      </w:r>
    </w:p>
    <w:p w14:paraId="79C9658C"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lastRenderedPageBreak/>
        <w:t xml:space="preserve">Havrysh, V., Kalinichenko, A., Mentel, G., Mentel, U., &amp; Vasbieva, D. G. (2020). Husk energy supply systems for sunflower oil mills. </w:t>
      </w:r>
      <w:r w:rsidRPr="00303A2A">
        <w:rPr>
          <w:rFonts w:ascii="Times New Roman" w:hAnsi="Times New Roman" w:cs="Times New Roman"/>
          <w:i/>
          <w:iCs/>
          <w:noProof/>
          <w:sz w:val="24"/>
          <w:szCs w:val="24"/>
        </w:rPr>
        <w:t>Energies</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13</w:t>
      </w:r>
      <w:r w:rsidRPr="00303A2A">
        <w:rPr>
          <w:rFonts w:ascii="Times New Roman" w:hAnsi="Times New Roman" w:cs="Times New Roman"/>
          <w:noProof/>
          <w:sz w:val="24"/>
          <w:szCs w:val="24"/>
        </w:rPr>
        <w:t>(2). https://doi.org/10.3390/en13020361</w:t>
      </w:r>
    </w:p>
    <w:p w14:paraId="3E49B0DC"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Huang, J., Khan, M. T., Perecin, D., Coelho, S. T., &amp; Zhang, M. (2020). Sugarcane for bioethanol production: Potential of bagasse in Chinese perspective. </w:t>
      </w:r>
      <w:r w:rsidRPr="00303A2A">
        <w:rPr>
          <w:rFonts w:ascii="Times New Roman" w:hAnsi="Times New Roman" w:cs="Times New Roman"/>
          <w:i/>
          <w:iCs/>
          <w:noProof/>
          <w:sz w:val="24"/>
          <w:szCs w:val="24"/>
        </w:rPr>
        <w:t>Renewable and Sustainable Energy Reviews</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133</w:t>
      </w:r>
      <w:r w:rsidRPr="00303A2A">
        <w:rPr>
          <w:rFonts w:ascii="Times New Roman" w:hAnsi="Times New Roman" w:cs="Times New Roman"/>
          <w:noProof/>
          <w:sz w:val="24"/>
          <w:szCs w:val="24"/>
        </w:rPr>
        <w:t>(March), 110296. https://doi.org/10.1016/j.rser.2020.110296</w:t>
      </w:r>
    </w:p>
    <w:p w14:paraId="2C12AB49"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IEA. (2015). Technology Roadmap Hydrogen and Fuel Cells. In </w:t>
      </w:r>
      <w:r w:rsidRPr="00303A2A">
        <w:rPr>
          <w:rFonts w:ascii="Times New Roman" w:hAnsi="Times New Roman" w:cs="Times New Roman"/>
          <w:i/>
          <w:iCs/>
          <w:noProof/>
          <w:sz w:val="24"/>
          <w:szCs w:val="24"/>
        </w:rPr>
        <w:t>International Energy Agency</w:t>
      </w:r>
      <w:r w:rsidRPr="00303A2A">
        <w:rPr>
          <w:rFonts w:ascii="Times New Roman" w:hAnsi="Times New Roman" w:cs="Times New Roman"/>
          <w:noProof/>
          <w:sz w:val="24"/>
          <w:szCs w:val="24"/>
        </w:rPr>
        <w:t>. file:///C:/Users/Asus/Google Drive/MY JOURNAL PAPER/Hydrogen Fuel Cell Vehicles/LR/Technology_Roadmap_for_Hydrogen_Fuel_Cel.pdf</w:t>
      </w:r>
    </w:p>
    <w:p w14:paraId="6341CE4F"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Ingaldi, M., &amp; Klimecka-Ttar, D. (2020). People’s Attitude to Energy from Hydrogen—From the Point of View of Modern Energy Technologies and Social Responsibility. </w:t>
      </w:r>
      <w:r w:rsidRPr="00303A2A">
        <w:rPr>
          <w:rFonts w:ascii="Times New Roman" w:hAnsi="Times New Roman" w:cs="Times New Roman"/>
          <w:i/>
          <w:iCs/>
          <w:noProof/>
          <w:sz w:val="24"/>
          <w:szCs w:val="24"/>
        </w:rPr>
        <w:t>Energies</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13</w:t>
      </w:r>
      <w:r w:rsidRPr="00303A2A">
        <w:rPr>
          <w:rFonts w:ascii="Times New Roman" w:hAnsi="Times New Roman" w:cs="Times New Roman"/>
          <w:noProof/>
          <w:sz w:val="24"/>
          <w:szCs w:val="24"/>
        </w:rPr>
        <w:t>, 6495.</w:t>
      </w:r>
    </w:p>
    <w:p w14:paraId="6E948EC7"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Kaparaju, P., Serrano, M., Thomsen, A. B., Kongjan, P., &amp; Angelidaki, I. (2009). Bioethanol, biohydrogen and biogas production from wheat straw in a biorefinery concept. </w:t>
      </w:r>
      <w:r w:rsidRPr="00303A2A">
        <w:rPr>
          <w:rFonts w:ascii="Times New Roman" w:hAnsi="Times New Roman" w:cs="Times New Roman"/>
          <w:i/>
          <w:iCs/>
          <w:noProof/>
          <w:sz w:val="24"/>
          <w:szCs w:val="24"/>
        </w:rPr>
        <w:t>Bioresource Technology</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100</w:t>
      </w:r>
      <w:r w:rsidRPr="00303A2A">
        <w:rPr>
          <w:rFonts w:ascii="Times New Roman" w:hAnsi="Times New Roman" w:cs="Times New Roman"/>
          <w:noProof/>
          <w:sz w:val="24"/>
          <w:szCs w:val="24"/>
        </w:rPr>
        <w:t>(9), 2562–2568. https://doi.org/10.1016/j.biortech.2008.11.011</w:t>
      </w:r>
    </w:p>
    <w:p w14:paraId="54365F94"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Kurnia, J. C., Jangam, S. V., Akhtar, S., Sasmito, A. P., &amp; Mujumdar, A. S. (2016). Advances in biofuel production from oil palm and palm oil processing wastes: A review. </w:t>
      </w:r>
      <w:r w:rsidRPr="00303A2A">
        <w:rPr>
          <w:rFonts w:ascii="Times New Roman" w:hAnsi="Times New Roman" w:cs="Times New Roman"/>
          <w:i/>
          <w:iCs/>
          <w:noProof/>
          <w:sz w:val="24"/>
          <w:szCs w:val="24"/>
        </w:rPr>
        <w:t>Biofuel Research Journal</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3</w:t>
      </w:r>
      <w:r w:rsidRPr="00303A2A">
        <w:rPr>
          <w:rFonts w:ascii="Times New Roman" w:hAnsi="Times New Roman" w:cs="Times New Roman"/>
          <w:noProof/>
          <w:sz w:val="24"/>
          <w:szCs w:val="24"/>
        </w:rPr>
        <w:t>(1), 332–346. https://doi.org/10.18331/BRJ2016.3.1.3</w:t>
      </w:r>
    </w:p>
    <w:p w14:paraId="44FD9133"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Mahlia, T. M. I., Ismail, N., Hossain, N., Silitonga, A. S., &amp; Shamsuddin, A. H. (2019). Palm oil and its wastes as bioenergy sources: a comprehensive review. </w:t>
      </w:r>
      <w:r w:rsidRPr="00303A2A">
        <w:rPr>
          <w:rFonts w:ascii="Times New Roman" w:hAnsi="Times New Roman" w:cs="Times New Roman"/>
          <w:i/>
          <w:iCs/>
          <w:noProof/>
          <w:sz w:val="24"/>
          <w:szCs w:val="24"/>
        </w:rPr>
        <w:t>Environmental Science and Pollution Research</w:t>
      </w:r>
      <w:r w:rsidRPr="00303A2A">
        <w:rPr>
          <w:rFonts w:ascii="Times New Roman" w:hAnsi="Times New Roman" w:cs="Times New Roman"/>
          <w:noProof/>
          <w:sz w:val="24"/>
          <w:szCs w:val="24"/>
        </w:rPr>
        <w:t>. https://doi.org/10.1007/s11356-019-04563-x</w:t>
      </w:r>
    </w:p>
    <w:p w14:paraId="4EB82299"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Mohan, C. (2017). Sugarcane biotechnology: Challenges and prospects. </w:t>
      </w:r>
      <w:r w:rsidRPr="00303A2A">
        <w:rPr>
          <w:rFonts w:ascii="Times New Roman" w:hAnsi="Times New Roman" w:cs="Times New Roman"/>
          <w:i/>
          <w:iCs/>
          <w:noProof/>
          <w:sz w:val="24"/>
          <w:szCs w:val="24"/>
        </w:rPr>
        <w:t>Sugarcane Biotechnology: Challenges and Prospects</w:t>
      </w:r>
      <w:r w:rsidRPr="00303A2A">
        <w:rPr>
          <w:rFonts w:ascii="Times New Roman" w:hAnsi="Times New Roman" w:cs="Times New Roman"/>
          <w:noProof/>
          <w:sz w:val="24"/>
          <w:szCs w:val="24"/>
        </w:rPr>
        <w:t>, 1–176. https://doi.org/10.1007/978-3-319-58946-6</w:t>
      </w:r>
    </w:p>
    <w:p w14:paraId="091435F5"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Pakpahan, R. Y., &amp; Purwanto. (2021). Profitability and Efficiency Analysis on automotive and component industry in Inddonesia. </w:t>
      </w:r>
      <w:r w:rsidRPr="00303A2A">
        <w:rPr>
          <w:rFonts w:ascii="Times New Roman" w:hAnsi="Times New Roman" w:cs="Times New Roman"/>
          <w:i/>
          <w:iCs/>
          <w:noProof/>
          <w:sz w:val="24"/>
          <w:szCs w:val="24"/>
        </w:rPr>
        <w:t>Malaysian Journal of Consumer and Family Economics</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27</w:t>
      </w:r>
      <w:r w:rsidRPr="00303A2A">
        <w:rPr>
          <w:rFonts w:ascii="Times New Roman" w:hAnsi="Times New Roman" w:cs="Times New Roman"/>
          <w:noProof/>
          <w:sz w:val="24"/>
          <w:szCs w:val="24"/>
        </w:rPr>
        <w:t>(S1), 25–53.</w:t>
      </w:r>
    </w:p>
    <w:p w14:paraId="67669A78"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Perea-Moreno, M. A., Manzano-Agugliaro, F., &amp; Perea-Moreno, A. J. (2018). Sustainable energy based on sunflower seed husk boiler for residential buildings. </w:t>
      </w:r>
      <w:r w:rsidRPr="00303A2A">
        <w:rPr>
          <w:rFonts w:ascii="Times New Roman" w:hAnsi="Times New Roman" w:cs="Times New Roman"/>
          <w:i/>
          <w:iCs/>
          <w:noProof/>
          <w:sz w:val="24"/>
          <w:szCs w:val="24"/>
        </w:rPr>
        <w:t>Sustainability (Switzerland)</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10</w:t>
      </w:r>
      <w:r w:rsidRPr="00303A2A">
        <w:rPr>
          <w:rFonts w:ascii="Times New Roman" w:hAnsi="Times New Roman" w:cs="Times New Roman"/>
          <w:noProof/>
          <w:sz w:val="24"/>
          <w:szCs w:val="24"/>
        </w:rPr>
        <w:t>(10). https://doi.org/10.3390/su10103407</w:t>
      </w:r>
    </w:p>
    <w:p w14:paraId="6640DCB6"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Prambudia, Y., &amp; Nakano, M. (2012). Exploring Malaysia’s transformation to net oil importer and oil import dependence. </w:t>
      </w:r>
      <w:r w:rsidRPr="00303A2A">
        <w:rPr>
          <w:rFonts w:ascii="Times New Roman" w:hAnsi="Times New Roman" w:cs="Times New Roman"/>
          <w:i/>
          <w:iCs/>
          <w:noProof/>
          <w:sz w:val="24"/>
          <w:szCs w:val="24"/>
        </w:rPr>
        <w:t>Energies</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5</w:t>
      </w:r>
      <w:r w:rsidRPr="00303A2A">
        <w:rPr>
          <w:rFonts w:ascii="Times New Roman" w:hAnsi="Times New Roman" w:cs="Times New Roman"/>
          <w:noProof/>
          <w:sz w:val="24"/>
          <w:szCs w:val="24"/>
        </w:rPr>
        <w:t>(8), 2989–3018. https://doi.org/10.3390/en5082989</w:t>
      </w:r>
    </w:p>
    <w:p w14:paraId="61601A44"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Srivastava, N., Shrivastav, A. K., Srivastava, M., &amp; Mishra, P. K. (2020). Biofuels production using wheat straw. In </w:t>
      </w:r>
      <w:r w:rsidRPr="00303A2A">
        <w:rPr>
          <w:rFonts w:ascii="Times New Roman" w:hAnsi="Times New Roman" w:cs="Times New Roman"/>
          <w:i/>
          <w:iCs/>
          <w:noProof/>
          <w:sz w:val="24"/>
          <w:szCs w:val="24"/>
        </w:rPr>
        <w:t>Recent Developments in Bioenergy Research</w:t>
      </w:r>
      <w:r w:rsidRPr="00303A2A">
        <w:rPr>
          <w:rFonts w:ascii="Times New Roman" w:hAnsi="Times New Roman" w:cs="Times New Roman"/>
          <w:noProof/>
          <w:sz w:val="24"/>
          <w:szCs w:val="24"/>
        </w:rPr>
        <w:t>. BV. https://doi.org/10.1016/b978-0-12-819597-0.00029-5</w:t>
      </w:r>
    </w:p>
    <w:p w14:paraId="3EDC8EFA"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303A2A">
        <w:rPr>
          <w:rFonts w:ascii="Times New Roman" w:hAnsi="Times New Roman" w:cs="Times New Roman"/>
          <w:noProof/>
          <w:sz w:val="24"/>
          <w:szCs w:val="24"/>
        </w:rPr>
        <w:t xml:space="preserve">Weightman, R. M., Cottrill, B. R., Wiltshire, J. J. J., Kindred, D. R., &amp; Sylvester-Bradley, R. (2011). Opportunities for avoidance of land-use change through substitution of soya bean meal and cereals in European livestock diets with bioethanol coproducts. </w:t>
      </w:r>
      <w:r w:rsidRPr="00303A2A">
        <w:rPr>
          <w:rFonts w:ascii="Times New Roman" w:hAnsi="Times New Roman" w:cs="Times New Roman"/>
          <w:i/>
          <w:iCs/>
          <w:noProof/>
          <w:sz w:val="24"/>
          <w:szCs w:val="24"/>
        </w:rPr>
        <w:t>GCB Bioenergy</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3</w:t>
      </w:r>
      <w:r w:rsidRPr="00303A2A">
        <w:rPr>
          <w:rFonts w:ascii="Times New Roman" w:hAnsi="Times New Roman" w:cs="Times New Roman"/>
          <w:noProof/>
          <w:sz w:val="24"/>
          <w:szCs w:val="24"/>
        </w:rPr>
        <w:t>(2), 158–170. https://doi.org/10.1111/j.1757-1707.2010.01066.x</w:t>
      </w:r>
    </w:p>
    <w:p w14:paraId="2E65D25B" w14:textId="77777777" w:rsidR="00303A2A" w:rsidRPr="00303A2A" w:rsidRDefault="00303A2A" w:rsidP="00303A2A">
      <w:pPr>
        <w:widowControl w:val="0"/>
        <w:autoSpaceDE w:val="0"/>
        <w:autoSpaceDN w:val="0"/>
        <w:adjustRightInd w:val="0"/>
        <w:spacing w:after="0" w:line="240" w:lineRule="auto"/>
        <w:ind w:left="0" w:hanging="2"/>
        <w:rPr>
          <w:rFonts w:ascii="Times New Roman" w:hAnsi="Times New Roman" w:cs="Times New Roman"/>
          <w:noProof/>
          <w:sz w:val="24"/>
        </w:rPr>
      </w:pPr>
      <w:r w:rsidRPr="00303A2A">
        <w:rPr>
          <w:rFonts w:ascii="Times New Roman" w:hAnsi="Times New Roman" w:cs="Times New Roman"/>
          <w:noProof/>
          <w:sz w:val="24"/>
          <w:szCs w:val="24"/>
        </w:rPr>
        <w:t xml:space="preserve">Zainal, N. R., &amp; Mohamad, S. (2013). Sustainable mobility through public transport initiatives: The case of Johor Bahru Consumers. </w:t>
      </w:r>
      <w:r w:rsidRPr="00303A2A">
        <w:rPr>
          <w:rFonts w:ascii="Times New Roman" w:hAnsi="Times New Roman" w:cs="Times New Roman"/>
          <w:i/>
          <w:iCs/>
          <w:noProof/>
          <w:sz w:val="24"/>
          <w:szCs w:val="24"/>
        </w:rPr>
        <w:t>Malaysian Journal of Consumer and Family Economics</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16</w:t>
      </w:r>
      <w:r w:rsidRPr="00303A2A">
        <w:rPr>
          <w:rFonts w:ascii="Times New Roman" w:hAnsi="Times New Roman" w:cs="Times New Roman"/>
          <w:noProof/>
          <w:sz w:val="24"/>
          <w:szCs w:val="24"/>
        </w:rPr>
        <w:t>, 67–77.</w:t>
      </w:r>
    </w:p>
    <w:p w14:paraId="3DD850AF" w14:textId="49DE77A3" w:rsidR="00303A2A" w:rsidRDefault="00303A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3469A950" w14:textId="54913C93" w:rsidR="00303A2A" w:rsidRDefault="00303A2A">
      <w:pPr>
        <w:spacing w:after="0" w:line="240" w:lineRule="auto"/>
        <w:ind w:left="0" w:hanging="2"/>
        <w:rPr>
          <w:rFonts w:ascii="Times New Roman" w:eastAsia="Times New Roman" w:hAnsi="Times New Roman" w:cs="Times New Roman"/>
          <w:sz w:val="24"/>
          <w:szCs w:val="24"/>
        </w:rPr>
      </w:pPr>
    </w:p>
    <w:p w14:paraId="62CDBD6D" w14:textId="09E8D944" w:rsidR="00303A2A" w:rsidRDefault="00303A2A">
      <w:pPr>
        <w:spacing w:after="0" w:line="240" w:lineRule="auto"/>
        <w:ind w:left="0" w:hanging="2"/>
        <w:rPr>
          <w:rFonts w:ascii="Times New Roman" w:eastAsia="Times New Roman" w:hAnsi="Times New Roman" w:cs="Times New Roman"/>
          <w:sz w:val="24"/>
          <w:szCs w:val="24"/>
        </w:rPr>
      </w:pPr>
    </w:p>
    <w:p w14:paraId="44E3B0F0" w14:textId="6E07B99B" w:rsidR="00303A2A" w:rsidRDefault="00303A2A">
      <w:pPr>
        <w:spacing w:after="0" w:line="240" w:lineRule="auto"/>
        <w:ind w:left="0" w:hanging="2"/>
        <w:rPr>
          <w:rFonts w:ascii="Times New Roman" w:eastAsia="Times New Roman" w:hAnsi="Times New Roman" w:cs="Times New Roman"/>
          <w:sz w:val="24"/>
          <w:szCs w:val="24"/>
        </w:rPr>
      </w:pPr>
    </w:p>
    <w:p w14:paraId="39686805" w14:textId="6C89FD33" w:rsidR="00303A2A" w:rsidRDefault="00303A2A">
      <w:pPr>
        <w:spacing w:after="0" w:line="240" w:lineRule="auto"/>
        <w:ind w:left="0" w:hanging="2"/>
        <w:rPr>
          <w:rFonts w:ascii="Times New Roman" w:eastAsia="Times New Roman" w:hAnsi="Times New Roman" w:cs="Times New Roman"/>
          <w:sz w:val="24"/>
          <w:szCs w:val="24"/>
        </w:rPr>
      </w:pPr>
    </w:p>
    <w:p w14:paraId="30D8C4B2" w14:textId="65641784" w:rsidR="0057592A" w:rsidRDefault="0057592A" w:rsidP="00303A2A">
      <w:pPr>
        <w:spacing w:after="0" w:line="240" w:lineRule="auto"/>
        <w:ind w:leftChars="0" w:left="0" w:firstLineChars="0" w:firstLine="0"/>
        <w:rPr>
          <w:rFonts w:ascii="Times New Roman" w:eastAsia="Times New Roman" w:hAnsi="Times New Roman" w:cs="Times New Roman"/>
          <w:sz w:val="24"/>
          <w:szCs w:val="24"/>
        </w:rPr>
      </w:pPr>
    </w:p>
    <w:sectPr w:rsidR="0057592A">
      <w:headerReference w:type="default" r:id="rId12"/>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C10E" w14:textId="77777777" w:rsidR="003E5F8B" w:rsidRDefault="003E5F8B">
      <w:pPr>
        <w:spacing w:after="0" w:line="240" w:lineRule="auto"/>
        <w:ind w:left="0" w:hanging="2"/>
      </w:pPr>
      <w:r>
        <w:separator/>
      </w:r>
    </w:p>
  </w:endnote>
  <w:endnote w:type="continuationSeparator" w:id="0">
    <w:p w14:paraId="2320F042" w14:textId="77777777" w:rsidR="003E5F8B" w:rsidRDefault="003E5F8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B60E" w14:textId="77777777" w:rsidR="003E5F8B" w:rsidRDefault="003E5F8B">
      <w:pPr>
        <w:spacing w:after="0" w:line="240" w:lineRule="auto"/>
        <w:ind w:left="0" w:hanging="2"/>
      </w:pPr>
      <w:r>
        <w:separator/>
      </w:r>
    </w:p>
  </w:footnote>
  <w:footnote w:type="continuationSeparator" w:id="0">
    <w:p w14:paraId="635C3329" w14:textId="77777777" w:rsidR="003E5F8B" w:rsidRDefault="003E5F8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84CE" w14:textId="77777777" w:rsidR="0057592A" w:rsidRDefault="003E5F8B">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0075A8C9" w14:textId="77777777" w:rsidR="0057592A" w:rsidRDefault="003E5F8B">
    <w:pPr>
      <w:tabs>
        <w:tab w:val="center" w:pos="4680"/>
        <w:tab w:val="right" w:pos="9360"/>
      </w:tabs>
      <w:spacing w:after="0" w:line="240" w:lineRule="auto"/>
      <w:ind w:left="0" w:hanging="2"/>
    </w:pPr>
    <w:r>
      <w:rPr>
        <w:rFonts w:ascii="Times New Roman" w:eastAsia="Times New Roman" w:hAnsi="Times New Roman" w:cs="Times New Roman"/>
        <w:sz w:val="18"/>
        <w:szCs w:val="18"/>
      </w:rPr>
      <w:t xml:space="preserve">© Year, e-ISSN </w:t>
    </w:r>
    <w:r>
      <w:rPr>
        <w:rFonts w:ascii="Times New Roman" w:eastAsia="Times New Roman" w:hAnsi="Times New Roman" w:cs="Times New Roman"/>
        <w:sz w:val="18"/>
        <w:szCs w:val="18"/>
      </w:rPr>
      <w:t>2682-</w:t>
    </w:r>
    <w:proofErr w:type="gramStart"/>
    <w:r>
      <w:rPr>
        <w:rFonts w:ascii="Times New Roman" w:eastAsia="Times New Roman" w:hAnsi="Times New Roman" w:cs="Times New Roman"/>
        <w:sz w:val="18"/>
        <w:szCs w:val="18"/>
      </w:rPr>
      <w:t xml:space="preserve">7727 </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B5E4C"/>
    <w:multiLevelType w:val="hybridMultilevel"/>
    <w:tmpl w:val="860A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63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MjE3MjAxsDA3NDFT0lEKTi0uzszPAykwrAUAK9pj6iwAAAA="/>
  </w:docVars>
  <w:rsids>
    <w:rsidRoot w:val="0057592A"/>
    <w:rsid w:val="00303A2A"/>
    <w:rsid w:val="003E5F8B"/>
    <w:rsid w:val="0057592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4C179"/>
  <w15:docId w15:val="{FB8B1636-72A2-4B5C-99B2-02956487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MY" sz="1000">
                <a:latin typeface="Times New Roman" panose="02020603050405020304" pitchFamily="18" charset="0"/>
                <a:cs typeface="Times New Roman" panose="02020603050405020304" pitchFamily="18" charset="0"/>
              </a:rPr>
              <a:t>Which type of vehicles is more suitable for HFCV adaption?</a:t>
            </a:r>
          </a:p>
        </c:rich>
      </c:tx>
      <c:layout>
        <c:manualLayout>
          <c:xMode val="edge"/>
          <c:yMode val="edge"/>
          <c:x val="0.14397905759162305"/>
          <c:y val="1.968503937007874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0848038335598929"/>
          <c:y val="0.19626133948085386"/>
          <c:w val="0.84623483546641365"/>
          <c:h val="0.58908191371515817"/>
        </c:manualLayout>
      </c:layout>
      <c:barChart>
        <c:barDir val="col"/>
        <c:grouping val="clustered"/>
        <c:varyColors val="0"/>
        <c:ser>
          <c:idx val="0"/>
          <c:order val="0"/>
          <c:tx>
            <c:strRef>
              <c:f>Sheet1!$B$1</c:f>
              <c:strCache>
                <c:ptCount val="1"/>
                <c:pt idx="0">
                  <c:v>Cheras </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Car/Bus</c:v>
                </c:pt>
                <c:pt idx="1">
                  <c:v>Lorry/Heavy Vechicles</c:v>
                </c:pt>
              </c:strCache>
            </c:strRef>
          </c:cat>
          <c:val>
            <c:numRef>
              <c:f>Sheet1!$B$2:$B$3</c:f>
              <c:numCache>
                <c:formatCode>0%</c:formatCode>
                <c:ptCount val="2"/>
                <c:pt idx="0">
                  <c:v>1</c:v>
                </c:pt>
                <c:pt idx="1">
                  <c:v>0.8</c:v>
                </c:pt>
              </c:numCache>
            </c:numRef>
          </c:val>
          <c:extLst>
            <c:ext xmlns:c16="http://schemas.microsoft.com/office/drawing/2014/chart" uri="{C3380CC4-5D6E-409C-BE32-E72D297353CC}">
              <c16:uniqueId val="{00000000-D02D-4127-9C94-E8FAD40AFAA7}"/>
            </c:ext>
          </c:extLst>
        </c:ser>
        <c:ser>
          <c:idx val="1"/>
          <c:order val="1"/>
          <c:tx>
            <c:strRef>
              <c:f>Sheet1!$C$1</c:f>
              <c:strCache>
                <c:ptCount val="1"/>
                <c:pt idx="0">
                  <c:v>Bandar Tun Razak</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Car/Bus</c:v>
                </c:pt>
                <c:pt idx="1">
                  <c:v>Lorry/Heavy Vechicles</c:v>
                </c:pt>
              </c:strCache>
            </c:strRef>
          </c:cat>
          <c:val>
            <c:numRef>
              <c:f>Sheet1!$C$2:$C$3</c:f>
              <c:numCache>
                <c:formatCode>0.00%</c:formatCode>
                <c:ptCount val="2"/>
                <c:pt idx="0" formatCode="0%">
                  <c:v>1</c:v>
                </c:pt>
                <c:pt idx="1">
                  <c:v>0.622</c:v>
                </c:pt>
              </c:numCache>
            </c:numRef>
          </c:val>
          <c:extLst>
            <c:ext xmlns:c16="http://schemas.microsoft.com/office/drawing/2014/chart" uri="{C3380CC4-5D6E-409C-BE32-E72D297353CC}">
              <c16:uniqueId val="{00000001-D02D-4127-9C94-E8FAD40AFAA7}"/>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Car/Bus</c:v>
                </c:pt>
                <c:pt idx="1">
                  <c:v>Lorry/Heavy Vechicles</c:v>
                </c:pt>
              </c:strCache>
            </c:strRef>
          </c:cat>
          <c:val>
            <c:numRef>
              <c:f>Sheet1!$D$2:$D$3</c:f>
            </c:numRef>
          </c:val>
          <c:extLst>
            <c:ext xmlns:c16="http://schemas.microsoft.com/office/drawing/2014/chart" uri="{C3380CC4-5D6E-409C-BE32-E72D297353CC}">
              <c16:uniqueId val="{00000002-D02D-4127-9C94-E8FAD40AFAA7}"/>
            </c:ext>
          </c:extLst>
        </c:ser>
        <c:dLbls>
          <c:showLegendKey val="0"/>
          <c:showVal val="1"/>
          <c:showCatName val="0"/>
          <c:showSerName val="0"/>
          <c:showPercent val="0"/>
          <c:showBubbleSize val="0"/>
        </c:dLbls>
        <c:gapWidth val="219"/>
        <c:overlap val="-27"/>
        <c:axId val="1205061040"/>
        <c:axId val="1"/>
      </c:barChart>
      <c:catAx>
        <c:axId val="120506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5061040"/>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MY" sz="1000">
                <a:latin typeface="Times New Roman" panose="02020603050405020304" pitchFamily="18" charset="0"/>
                <a:cs typeface="Times New Roman" panose="02020603050405020304" pitchFamily="18" charset="0"/>
              </a:rPr>
              <a:t>Japanese car brand that has adopted HFCV in Malaysia </a:t>
            </a:r>
          </a:p>
        </c:rich>
      </c:tx>
      <c:layout>
        <c:manualLayout>
          <c:xMode val="edge"/>
          <c:yMode val="edge"/>
          <c:x val="0.24991803295015647"/>
          <c:y val="1.896555532241499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3.6855036855036855E-2"/>
          <c:y val="0.21980491333799679"/>
          <c:w val="0.90663390663390664"/>
          <c:h val="0.58918384063039952"/>
        </c:manualLayout>
      </c:layout>
      <c:barChart>
        <c:barDir val="col"/>
        <c:grouping val="clustered"/>
        <c:varyColors val="0"/>
        <c:ser>
          <c:idx val="0"/>
          <c:order val="0"/>
          <c:tx>
            <c:strRef>
              <c:f>Sheet1!$B$1</c:f>
              <c:strCache>
                <c:ptCount val="1"/>
                <c:pt idx="0">
                  <c:v>Cheras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Toyata</c:v>
                </c:pt>
                <c:pt idx="1">
                  <c:v>Honda</c:v>
                </c:pt>
                <c:pt idx="2">
                  <c:v>Nissan</c:v>
                </c:pt>
                <c:pt idx="3">
                  <c:v>Mitsubishi</c:v>
                </c:pt>
              </c:strCache>
            </c:strRef>
          </c:cat>
          <c:val>
            <c:numRef>
              <c:f>Sheet1!$B$2:$B$5</c:f>
              <c:numCache>
                <c:formatCode>0%</c:formatCode>
                <c:ptCount val="4"/>
                <c:pt idx="0" formatCode="0.00%">
                  <c:v>0.97599999999999998</c:v>
                </c:pt>
                <c:pt idx="1">
                  <c:v>0.90600000000000003</c:v>
                </c:pt>
                <c:pt idx="2" formatCode="0.00%">
                  <c:v>0.25900000000000001</c:v>
                </c:pt>
                <c:pt idx="3" formatCode="0.00%">
                  <c:v>0.11799999999999999</c:v>
                </c:pt>
              </c:numCache>
            </c:numRef>
          </c:val>
          <c:extLst>
            <c:ext xmlns:c16="http://schemas.microsoft.com/office/drawing/2014/chart" uri="{C3380CC4-5D6E-409C-BE32-E72D297353CC}">
              <c16:uniqueId val="{00000000-9AF4-4492-82E4-B9B228F68887}"/>
            </c:ext>
          </c:extLst>
        </c:ser>
        <c:ser>
          <c:idx val="1"/>
          <c:order val="1"/>
          <c:tx>
            <c:strRef>
              <c:f>Sheet1!$C$1</c:f>
              <c:strCache>
                <c:ptCount val="1"/>
                <c:pt idx="0">
                  <c:v>Bandar Tun Razak </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Toyata</c:v>
                </c:pt>
                <c:pt idx="1">
                  <c:v>Honda</c:v>
                </c:pt>
                <c:pt idx="2">
                  <c:v>Nissan</c:v>
                </c:pt>
                <c:pt idx="3">
                  <c:v>Mitsubishi</c:v>
                </c:pt>
              </c:strCache>
            </c:strRef>
          </c:cat>
          <c:val>
            <c:numRef>
              <c:f>Sheet1!$C$2:$C$5</c:f>
              <c:numCache>
                <c:formatCode>0.00%</c:formatCode>
                <c:ptCount val="4"/>
                <c:pt idx="0">
                  <c:v>0.82199999999999995</c:v>
                </c:pt>
                <c:pt idx="1">
                  <c:v>0.73299999999999998</c:v>
                </c:pt>
                <c:pt idx="2">
                  <c:v>0.622</c:v>
                </c:pt>
                <c:pt idx="3">
                  <c:v>0.53300000000000003</c:v>
                </c:pt>
              </c:numCache>
            </c:numRef>
          </c:val>
          <c:extLst>
            <c:ext xmlns:c16="http://schemas.microsoft.com/office/drawing/2014/chart" uri="{C3380CC4-5D6E-409C-BE32-E72D297353CC}">
              <c16:uniqueId val="{00000001-9AF4-4492-82E4-B9B228F68887}"/>
            </c:ext>
          </c:extLst>
        </c:ser>
        <c:dLbls>
          <c:showLegendKey val="0"/>
          <c:showVal val="1"/>
          <c:showCatName val="0"/>
          <c:showSerName val="0"/>
          <c:showPercent val="0"/>
          <c:showBubbleSize val="0"/>
        </c:dLbls>
        <c:gapWidth val="219"/>
        <c:overlap val="-27"/>
        <c:axId val="1205854320"/>
        <c:axId val="1"/>
      </c:barChart>
      <c:catAx>
        <c:axId val="120585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585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AMUW2mVAx/zV5va1gAJKp5+sOG+pdp8k67xfC38exX+E4w1DevpSXIl/tfqrAKyaePt3v1CVCUeZb9X2Fxe1L1m5+GBThP2SlfKJKlwrs1B26HIk0SveT5ptcKQqmDWz9iavI611U5ua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0AAE03-4A3F-4F73-97B7-6506FBE3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4455</Words>
  <Characters>26125</Characters>
  <Application>Microsoft Office Word</Application>
  <DocSecurity>0</DocSecurity>
  <Lines>591</Lines>
  <Paragraphs>262</Paragraphs>
  <ScaleCrop>false</ScaleCrop>
  <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Saraswathy Kasavan</cp:lastModifiedBy>
  <cp:revision>2</cp:revision>
  <dcterms:created xsi:type="dcterms:W3CDTF">2022-04-21T16:12:00Z</dcterms:created>
  <dcterms:modified xsi:type="dcterms:W3CDTF">2022-04-21T16:12:00Z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Unique User Id_1">
    <vt:lpwstr>59630710-60dc-38b4-b265-f10ff3043988</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http://www.zotero.org/styles/industrial-marketing-management</vt:lpwstr>
  </property>
  <property fmtid="{D5CDD505-2E9C-101B-9397-08002B2CF9AE}" pid="19" name="Mendeley Recent Style Name 6_1">
    <vt:lpwstr>Industrial Marketing Management</vt:lpwstr>
  </property>
  <property fmtid="{D5CDD505-2E9C-101B-9397-08002B2CF9AE}" pid="20" name="Mendeley Recent Style Id 7_1">
    <vt:lpwstr>http://www.zotero.org/styles/journal-of-cleaner-production</vt:lpwstr>
  </property>
  <property fmtid="{D5CDD505-2E9C-101B-9397-08002B2CF9AE}" pid="21" name="Mendeley Recent Style Name 7_1">
    <vt:lpwstr>Journal of Cleaner Production</vt:lpwstr>
  </property>
  <property fmtid="{D5CDD505-2E9C-101B-9397-08002B2CF9AE}" pid="22" name="Mendeley Recent Style Id 8_1">
    <vt:lpwstr>http://www.zotero.org/styles/resources-conservation-and-recycling</vt:lpwstr>
  </property>
  <property fmtid="{D5CDD505-2E9C-101B-9397-08002B2CF9AE}" pid="23" name="Mendeley Recent Style Name 8_1">
    <vt:lpwstr>Resources, Conservation &amp; Recycling</vt:lpwstr>
  </property>
  <property fmtid="{D5CDD505-2E9C-101B-9397-08002B2CF9AE}" pid="24" name="Mendeley Recent Style Id 9_1">
    <vt:lpwstr>http://www.zotero.org/styles/waste-management</vt:lpwstr>
  </property>
  <property fmtid="{D5CDD505-2E9C-101B-9397-08002B2CF9AE}" pid="25" name="Mendeley Recent Style Name 9_1">
    <vt:lpwstr>Waste Management</vt:lpwstr>
  </property>
</Properties>
</file>