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281DD" w14:textId="6F432740" w:rsidR="00303A2A" w:rsidRDefault="00303A2A" w:rsidP="00E77595">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sz w:val="28"/>
          <w:szCs w:val="28"/>
        </w:rPr>
      </w:pPr>
      <w:r w:rsidRPr="00303A2A">
        <w:rPr>
          <w:rFonts w:ascii="Times New Roman" w:eastAsia="Times New Roman" w:hAnsi="Times New Roman" w:cs="Times New Roman"/>
          <w:b/>
          <w:sz w:val="28"/>
          <w:szCs w:val="28"/>
        </w:rPr>
        <w:t xml:space="preserve">The </w:t>
      </w:r>
      <w:r w:rsidR="00905B69" w:rsidRPr="00303A2A">
        <w:rPr>
          <w:rFonts w:ascii="Times New Roman" w:eastAsia="Times New Roman" w:hAnsi="Times New Roman" w:cs="Times New Roman"/>
          <w:b/>
          <w:sz w:val="28"/>
          <w:szCs w:val="28"/>
        </w:rPr>
        <w:t xml:space="preserve">public perception of adopting </w:t>
      </w:r>
      <w:r w:rsidR="0006420D" w:rsidRPr="00303A2A">
        <w:rPr>
          <w:rFonts w:ascii="Times New Roman" w:eastAsia="Times New Roman" w:hAnsi="Times New Roman" w:cs="Times New Roman"/>
          <w:b/>
          <w:sz w:val="28"/>
          <w:szCs w:val="28"/>
        </w:rPr>
        <w:t xml:space="preserve">hydrogen fuel cell vehicles </w:t>
      </w:r>
      <w:r w:rsidRPr="00303A2A">
        <w:rPr>
          <w:rFonts w:ascii="Times New Roman" w:eastAsia="Times New Roman" w:hAnsi="Times New Roman" w:cs="Times New Roman"/>
          <w:b/>
          <w:sz w:val="28"/>
          <w:szCs w:val="28"/>
        </w:rPr>
        <w:t>in Kuala Lumpur, Malaysia</w:t>
      </w:r>
    </w:p>
    <w:p w14:paraId="058BD770" w14:textId="77777777" w:rsidR="0057592A" w:rsidRDefault="0057592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337C7B5A" w14:textId="2684E326" w:rsidR="0057592A" w:rsidRDefault="00303A2A" w:rsidP="00303A2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vertAlign w:val="superscript"/>
        </w:rPr>
      </w:pPr>
      <w:proofErr w:type="spellStart"/>
      <w:r w:rsidRPr="00303A2A">
        <w:rPr>
          <w:rFonts w:ascii="Times New Roman" w:eastAsia="Times New Roman" w:hAnsi="Times New Roman" w:cs="Times New Roman"/>
          <w:color w:val="000000"/>
        </w:rPr>
        <w:t>Rusinah</w:t>
      </w:r>
      <w:proofErr w:type="spellEnd"/>
      <w:r w:rsidRPr="00303A2A">
        <w:rPr>
          <w:rFonts w:ascii="Times New Roman" w:eastAsia="Times New Roman" w:hAnsi="Times New Roman" w:cs="Times New Roman"/>
          <w:color w:val="000000"/>
        </w:rPr>
        <w:t xml:space="preserve"> </w:t>
      </w:r>
      <w:proofErr w:type="spellStart"/>
      <w:r w:rsidRPr="00303A2A">
        <w:rPr>
          <w:rFonts w:ascii="Times New Roman" w:eastAsia="Times New Roman" w:hAnsi="Times New Roman" w:cs="Times New Roman"/>
          <w:color w:val="000000"/>
        </w:rPr>
        <w:t>Binti</w:t>
      </w:r>
      <w:proofErr w:type="spellEnd"/>
      <w:r w:rsidRPr="00303A2A">
        <w:rPr>
          <w:rFonts w:ascii="Times New Roman" w:eastAsia="Times New Roman" w:hAnsi="Times New Roman" w:cs="Times New Roman"/>
          <w:color w:val="000000"/>
        </w:rPr>
        <w:t xml:space="preserve"> Siron</w:t>
      </w:r>
      <w:r w:rsidRPr="00303A2A">
        <w:rPr>
          <w:rFonts w:ascii="Times New Roman" w:eastAsia="Times New Roman" w:hAnsi="Times New Roman" w:cs="Times New Roman"/>
          <w:color w:val="000000"/>
          <w:vertAlign w:val="superscript"/>
        </w:rPr>
        <w:t>1</w:t>
      </w:r>
      <w:r w:rsidRPr="00303A2A">
        <w:rPr>
          <w:rFonts w:ascii="Times New Roman" w:eastAsia="Times New Roman" w:hAnsi="Times New Roman" w:cs="Times New Roman"/>
          <w:color w:val="000000"/>
        </w:rPr>
        <w:t xml:space="preserve">, </w:t>
      </w:r>
      <w:proofErr w:type="spellStart"/>
      <w:r w:rsidRPr="00303A2A">
        <w:rPr>
          <w:rFonts w:ascii="Times New Roman" w:eastAsia="Times New Roman" w:hAnsi="Times New Roman" w:cs="Times New Roman"/>
          <w:color w:val="000000"/>
        </w:rPr>
        <w:t>Saraswathy</w:t>
      </w:r>
      <w:proofErr w:type="spellEnd"/>
      <w:r w:rsidRPr="00303A2A">
        <w:rPr>
          <w:rFonts w:ascii="Times New Roman" w:eastAsia="Times New Roman" w:hAnsi="Times New Roman" w:cs="Times New Roman"/>
          <w:color w:val="000000"/>
        </w:rPr>
        <w:t xml:space="preserve"> Kasavan</w:t>
      </w:r>
      <w:r w:rsidRPr="00303A2A">
        <w:rPr>
          <w:rFonts w:ascii="Times New Roman" w:eastAsia="Times New Roman" w:hAnsi="Times New Roman" w:cs="Times New Roman"/>
          <w:color w:val="000000"/>
          <w:vertAlign w:val="superscript"/>
        </w:rPr>
        <w:t>2</w:t>
      </w:r>
      <w:r w:rsidR="0006420D">
        <w:rPr>
          <w:rFonts w:ascii="Times New Roman" w:eastAsia="Times New Roman" w:hAnsi="Times New Roman" w:cs="Times New Roman"/>
          <w:color w:val="000000"/>
        </w:rPr>
        <w:t>,</w:t>
      </w:r>
      <w:r w:rsidRPr="00303A2A">
        <w:rPr>
          <w:rFonts w:ascii="Times New Roman" w:eastAsia="Times New Roman" w:hAnsi="Times New Roman" w:cs="Times New Roman"/>
          <w:color w:val="000000"/>
        </w:rPr>
        <w:t xml:space="preserve"> Amar Hisham Jaaffar</w:t>
      </w:r>
      <w:r w:rsidR="001A52CA">
        <w:rPr>
          <w:rFonts w:ascii="Times New Roman" w:eastAsia="Times New Roman" w:hAnsi="Times New Roman" w:cs="Times New Roman"/>
          <w:color w:val="000000"/>
          <w:vertAlign w:val="superscript"/>
        </w:rPr>
        <w:t>3</w:t>
      </w:r>
    </w:p>
    <w:p w14:paraId="20AC5879" w14:textId="77777777" w:rsidR="0025474F" w:rsidRDefault="0025474F" w:rsidP="00303A2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5DB11503" w14:textId="3645890B" w:rsidR="00303A2A" w:rsidRDefault="00303A2A" w:rsidP="00303A2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303A2A">
        <w:rPr>
          <w:rFonts w:ascii="Times New Roman" w:eastAsia="Times New Roman" w:hAnsi="Times New Roman" w:cs="Times New Roman"/>
          <w:color w:val="000000"/>
          <w:vertAlign w:val="superscript"/>
        </w:rPr>
        <w:t>1</w:t>
      </w:r>
      <w:r w:rsidRPr="00303A2A">
        <w:rPr>
          <w:rFonts w:ascii="Times New Roman" w:eastAsia="Times New Roman" w:hAnsi="Times New Roman" w:cs="Times New Roman"/>
          <w:color w:val="000000"/>
        </w:rPr>
        <w:t xml:space="preserve">College of Energy Economics and Social Sciences, </w:t>
      </w:r>
      <w:proofErr w:type="spellStart"/>
      <w:r w:rsidRPr="00303A2A">
        <w:rPr>
          <w:rFonts w:ascii="Times New Roman" w:eastAsia="Times New Roman" w:hAnsi="Times New Roman" w:cs="Times New Roman"/>
          <w:color w:val="000000"/>
        </w:rPr>
        <w:t>Universiti</w:t>
      </w:r>
      <w:proofErr w:type="spellEnd"/>
      <w:r w:rsidRPr="00303A2A">
        <w:rPr>
          <w:rFonts w:ascii="Times New Roman" w:eastAsia="Times New Roman" w:hAnsi="Times New Roman" w:cs="Times New Roman"/>
          <w:color w:val="000000"/>
        </w:rPr>
        <w:t xml:space="preserve"> Tenaga Nasional, </w:t>
      </w:r>
      <w:proofErr w:type="spellStart"/>
      <w:r w:rsidRPr="00303A2A">
        <w:rPr>
          <w:rFonts w:ascii="Times New Roman" w:eastAsia="Times New Roman" w:hAnsi="Times New Roman" w:cs="Times New Roman"/>
          <w:color w:val="000000"/>
        </w:rPr>
        <w:t>Jalan</w:t>
      </w:r>
      <w:proofErr w:type="spellEnd"/>
      <w:r w:rsidRPr="00303A2A">
        <w:rPr>
          <w:rFonts w:ascii="Times New Roman" w:eastAsia="Times New Roman" w:hAnsi="Times New Roman" w:cs="Times New Roman"/>
          <w:color w:val="000000"/>
        </w:rPr>
        <w:t xml:space="preserve"> IKRAM-UNITEN, 43000 </w:t>
      </w:r>
      <w:proofErr w:type="spellStart"/>
      <w:r w:rsidRPr="00303A2A">
        <w:rPr>
          <w:rFonts w:ascii="Times New Roman" w:eastAsia="Times New Roman" w:hAnsi="Times New Roman" w:cs="Times New Roman"/>
          <w:color w:val="000000"/>
        </w:rPr>
        <w:t>Kajang</w:t>
      </w:r>
      <w:proofErr w:type="spellEnd"/>
      <w:r w:rsidRPr="00303A2A">
        <w:rPr>
          <w:rFonts w:ascii="Times New Roman" w:eastAsia="Times New Roman" w:hAnsi="Times New Roman" w:cs="Times New Roman"/>
          <w:color w:val="000000"/>
        </w:rPr>
        <w:t>, Selangor, Malaysia</w:t>
      </w:r>
    </w:p>
    <w:p w14:paraId="24A74630" w14:textId="26F916E9" w:rsidR="001A52CA" w:rsidRPr="00303A2A" w:rsidRDefault="001A52CA" w:rsidP="00303A2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2</w:t>
      </w:r>
      <w:r w:rsidRPr="001A52CA">
        <w:rPr>
          <w:rFonts w:ascii="Times New Roman" w:eastAsia="Times New Roman" w:hAnsi="Times New Roman" w:cs="Times New Roman"/>
          <w:color w:val="000000"/>
        </w:rPr>
        <w:t xml:space="preserve">Faculty of Business Management and Professional Studies, Management and Science University, Off </w:t>
      </w:r>
      <w:proofErr w:type="spellStart"/>
      <w:r w:rsidRPr="001A52CA">
        <w:rPr>
          <w:rFonts w:ascii="Times New Roman" w:eastAsia="Times New Roman" w:hAnsi="Times New Roman" w:cs="Times New Roman"/>
          <w:color w:val="000000"/>
        </w:rPr>
        <w:t>Persiaran</w:t>
      </w:r>
      <w:proofErr w:type="spellEnd"/>
      <w:r w:rsidRPr="001A52CA">
        <w:rPr>
          <w:rFonts w:ascii="Times New Roman" w:eastAsia="Times New Roman" w:hAnsi="Times New Roman" w:cs="Times New Roman"/>
          <w:color w:val="000000"/>
        </w:rPr>
        <w:t xml:space="preserve"> </w:t>
      </w:r>
      <w:proofErr w:type="spellStart"/>
      <w:r w:rsidRPr="001A52CA">
        <w:rPr>
          <w:rFonts w:ascii="Times New Roman" w:eastAsia="Times New Roman" w:hAnsi="Times New Roman" w:cs="Times New Roman"/>
          <w:color w:val="000000"/>
        </w:rPr>
        <w:t>Olahraga</w:t>
      </w:r>
      <w:proofErr w:type="spellEnd"/>
      <w:r w:rsidRPr="001A52CA">
        <w:rPr>
          <w:rFonts w:ascii="Times New Roman" w:eastAsia="Times New Roman" w:hAnsi="Times New Roman" w:cs="Times New Roman"/>
          <w:color w:val="000000"/>
        </w:rPr>
        <w:t xml:space="preserve">, </w:t>
      </w:r>
      <w:proofErr w:type="spellStart"/>
      <w:r w:rsidRPr="001A52CA">
        <w:rPr>
          <w:rFonts w:ascii="Times New Roman" w:eastAsia="Times New Roman" w:hAnsi="Times New Roman" w:cs="Times New Roman"/>
          <w:color w:val="000000"/>
        </w:rPr>
        <w:t>Seksyen</w:t>
      </w:r>
      <w:proofErr w:type="spellEnd"/>
      <w:r w:rsidRPr="001A52CA">
        <w:rPr>
          <w:rFonts w:ascii="Times New Roman" w:eastAsia="Times New Roman" w:hAnsi="Times New Roman" w:cs="Times New Roman"/>
          <w:color w:val="000000"/>
        </w:rPr>
        <w:t xml:space="preserve"> 13, 40100 Shah </w:t>
      </w:r>
      <w:proofErr w:type="spellStart"/>
      <w:r w:rsidRPr="001A52CA">
        <w:rPr>
          <w:rFonts w:ascii="Times New Roman" w:eastAsia="Times New Roman" w:hAnsi="Times New Roman" w:cs="Times New Roman"/>
          <w:color w:val="000000"/>
        </w:rPr>
        <w:t>Alam</w:t>
      </w:r>
      <w:proofErr w:type="spellEnd"/>
      <w:r w:rsidRPr="001A52CA">
        <w:rPr>
          <w:rFonts w:ascii="Times New Roman" w:eastAsia="Times New Roman" w:hAnsi="Times New Roman" w:cs="Times New Roman"/>
          <w:color w:val="000000"/>
        </w:rPr>
        <w:t>, Selangor, Malaysia</w:t>
      </w:r>
    </w:p>
    <w:p w14:paraId="1701E722" w14:textId="20123DC6" w:rsidR="0057592A" w:rsidRDefault="001A52CA" w:rsidP="00303A2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3</w:t>
      </w:r>
      <w:r w:rsidR="00303A2A" w:rsidRPr="00303A2A">
        <w:rPr>
          <w:rFonts w:ascii="Times New Roman" w:eastAsia="Times New Roman" w:hAnsi="Times New Roman" w:cs="Times New Roman"/>
          <w:color w:val="000000"/>
        </w:rPr>
        <w:t xml:space="preserve">Institute of Energy Policy and Research, </w:t>
      </w:r>
      <w:proofErr w:type="spellStart"/>
      <w:r w:rsidR="00303A2A" w:rsidRPr="00303A2A">
        <w:rPr>
          <w:rFonts w:ascii="Times New Roman" w:eastAsia="Times New Roman" w:hAnsi="Times New Roman" w:cs="Times New Roman"/>
          <w:color w:val="000000"/>
        </w:rPr>
        <w:t>Universiti</w:t>
      </w:r>
      <w:proofErr w:type="spellEnd"/>
      <w:r w:rsidR="00303A2A" w:rsidRPr="00303A2A">
        <w:rPr>
          <w:rFonts w:ascii="Times New Roman" w:eastAsia="Times New Roman" w:hAnsi="Times New Roman" w:cs="Times New Roman"/>
          <w:color w:val="000000"/>
        </w:rPr>
        <w:t xml:space="preserve"> Tenaga Nasional, </w:t>
      </w:r>
      <w:proofErr w:type="spellStart"/>
      <w:r w:rsidR="00303A2A" w:rsidRPr="00303A2A">
        <w:rPr>
          <w:rFonts w:ascii="Times New Roman" w:eastAsia="Times New Roman" w:hAnsi="Times New Roman" w:cs="Times New Roman"/>
          <w:color w:val="000000"/>
        </w:rPr>
        <w:t>Jalan</w:t>
      </w:r>
      <w:proofErr w:type="spellEnd"/>
      <w:r w:rsidR="00303A2A" w:rsidRPr="00303A2A">
        <w:rPr>
          <w:rFonts w:ascii="Times New Roman" w:eastAsia="Times New Roman" w:hAnsi="Times New Roman" w:cs="Times New Roman"/>
          <w:color w:val="000000"/>
        </w:rPr>
        <w:t xml:space="preserve"> IKRAM-UNITEN, 43000 </w:t>
      </w:r>
      <w:proofErr w:type="spellStart"/>
      <w:r w:rsidR="00303A2A" w:rsidRPr="00303A2A">
        <w:rPr>
          <w:rFonts w:ascii="Times New Roman" w:eastAsia="Times New Roman" w:hAnsi="Times New Roman" w:cs="Times New Roman"/>
          <w:color w:val="000000"/>
        </w:rPr>
        <w:t>Kajang</w:t>
      </w:r>
      <w:proofErr w:type="spellEnd"/>
      <w:r w:rsidR="00303A2A" w:rsidRPr="00303A2A">
        <w:rPr>
          <w:rFonts w:ascii="Times New Roman" w:eastAsia="Times New Roman" w:hAnsi="Times New Roman" w:cs="Times New Roman"/>
          <w:color w:val="000000"/>
        </w:rPr>
        <w:t>, Selangor, Malaysia</w:t>
      </w:r>
    </w:p>
    <w:p w14:paraId="76D890B8" w14:textId="77777777" w:rsidR="0025474F" w:rsidRPr="00303A2A" w:rsidRDefault="0025474F" w:rsidP="00303A2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3F0CD327" w14:textId="48A3A41B" w:rsidR="0057592A" w:rsidRDefault="003E5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r w:rsidR="00303A2A" w:rsidRPr="00303A2A">
        <w:rPr>
          <w:rFonts w:ascii="Times New Roman" w:eastAsia="Times New Roman" w:hAnsi="Times New Roman" w:cs="Times New Roman"/>
          <w:color w:val="000000"/>
        </w:rPr>
        <w:t>Saraswathy Kasavan</w:t>
      </w:r>
      <w:r w:rsidR="00303A2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(email:</w:t>
      </w:r>
      <w:r w:rsidR="00303A2A">
        <w:rPr>
          <w:rFonts w:ascii="Times New Roman" w:eastAsia="Times New Roman" w:hAnsi="Times New Roman" w:cs="Times New Roman"/>
          <w:color w:val="000000"/>
        </w:rPr>
        <w:t xml:space="preserve"> </w:t>
      </w:r>
      <w:r w:rsidR="00303A2A" w:rsidRPr="0025474F">
        <w:rPr>
          <w:rFonts w:ascii="Times New Roman" w:eastAsia="Times New Roman" w:hAnsi="Times New Roman" w:cs="Times New Roman"/>
          <w:iCs/>
          <w:color w:val="000000"/>
        </w:rPr>
        <w:t>saraswathy50@yahoo.com</w:t>
      </w:r>
      <w:r>
        <w:rPr>
          <w:rFonts w:ascii="Times New Roman" w:eastAsia="Times New Roman" w:hAnsi="Times New Roman" w:cs="Times New Roman"/>
          <w:i/>
          <w:color w:val="000000"/>
        </w:rPr>
        <w:t>)</w:t>
      </w:r>
    </w:p>
    <w:p w14:paraId="19EEF800" w14:textId="77777777" w:rsidR="0057592A" w:rsidRDefault="0057592A">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7FACDA62" w14:textId="08555F2B" w:rsidR="0057592A" w:rsidRDefault="003E5F8B">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Received: </w:t>
      </w:r>
      <w:r w:rsidR="00DB0ECB">
        <w:rPr>
          <w:rFonts w:ascii="Times New Roman" w:eastAsia="Times New Roman" w:hAnsi="Times New Roman" w:cs="Times New Roman"/>
        </w:rPr>
        <w:t>22 April 2022; Accepted: 4 January 2023</w:t>
      </w:r>
      <w:r w:rsidR="00DB0ECB" w:rsidRPr="00C87727">
        <w:rPr>
          <w:rFonts w:ascii="Times New Roman" w:eastAsia="Times New Roman" w:hAnsi="Times New Roman" w:cs="Times New Roman"/>
        </w:rPr>
        <w:t>;</w:t>
      </w:r>
      <w:r w:rsidR="00DB0ECB">
        <w:rPr>
          <w:rFonts w:ascii="Times New Roman" w:eastAsia="Times New Roman" w:hAnsi="Times New Roman" w:cs="Times New Roman"/>
        </w:rPr>
        <w:t xml:space="preserve"> </w:t>
      </w:r>
      <w:r>
        <w:rPr>
          <w:rFonts w:ascii="Times New Roman" w:eastAsia="Times New Roman" w:hAnsi="Times New Roman" w:cs="Times New Roman"/>
        </w:rPr>
        <w:t>Published:</w:t>
      </w:r>
      <w:r w:rsidR="00DB0ECB">
        <w:rPr>
          <w:rFonts w:ascii="Times New Roman" w:eastAsia="Times New Roman" w:hAnsi="Times New Roman" w:cs="Times New Roman"/>
        </w:rPr>
        <w:t xml:space="preserve"> 2</w:t>
      </w:r>
      <w:r w:rsidR="002638D8">
        <w:rPr>
          <w:rFonts w:ascii="Times New Roman" w:eastAsia="Times New Roman" w:hAnsi="Times New Roman" w:cs="Times New Roman"/>
        </w:rPr>
        <w:t>4</w:t>
      </w:r>
      <w:r w:rsidR="00DB0ECB">
        <w:rPr>
          <w:rFonts w:ascii="Times New Roman" w:eastAsia="Times New Roman" w:hAnsi="Times New Roman" w:cs="Times New Roman"/>
        </w:rPr>
        <w:t xml:space="preserve"> February 2023</w:t>
      </w:r>
    </w:p>
    <w:p w14:paraId="2542DF42" w14:textId="77777777" w:rsidR="0057592A" w:rsidRDefault="0057592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117BB1FC" w14:textId="77777777" w:rsidR="0057592A" w:rsidRDefault="003E5F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13D257A0" w14:textId="5FFC988B" w:rsidR="0057592A" w:rsidRDefault="003E5F8B" w:rsidP="00303A2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Abstract </w:t>
      </w:r>
    </w:p>
    <w:p w14:paraId="7874EFEC" w14:textId="77777777" w:rsidR="0019771A" w:rsidRDefault="0019771A" w:rsidP="00303A2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B2A3D44" w14:textId="0622947F" w:rsidR="0057592A" w:rsidRDefault="00303A2A" w:rsidP="00303A2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303A2A">
        <w:rPr>
          <w:rFonts w:ascii="Times New Roman" w:eastAsia="Times New Roman" w:hAnsi="Times New Roman" w:cs="Times New Roman"/>
          <w:color w:val="000000"/>
          <w:sz w:val="24"/>
          <w:szCs w:val="24"/>
        </w:rPr>
        <w:t>Hydrogen fuel cell vehicles (HFCV) are leading as alternative energy-saving vehicles that replace non-renewable energy use and support sustainable transport systems for developing and developed countries. Public adoption of new transport technologies is vital for the successful evolution of a sustainable energy system. Previous studies have focused more on people’s attitudes towards hydrogen energy as alternative fuel energy. This article aims to assess the public perception of the adoption of HFCV in Kuala Lumpur, Malaysia. The overall results of this study found that demand-side action for HFCV among the public is influenced by supply-side aspects, including support infrastructure, characteristics of HFCV, operational costs, safety concerns, competitive markets, and the social equilibrium of the innovation. The current study also found that most respondents have a scant idea of the environmental benefits of using HFCV. The evidence from this study suggests that stakeholders should educate the public regarding the benefits of HFCV - an essential step when adopting new technologies. It is timely to seek innovative solutions and address appropriate policies for both energy security and environmental concerns globally in the transportation sector for the sake of present and future sustainability.</w:t>
      </w:r>
    </w:p>
    <w:p w14:paraId="6309D68D" w14:textId="77777777" w:rsidR="0019771A" w:rsidRDefault="0019771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bookmarkStart w:id="0" w:name="_heading=h.gjdgxs" w:colFirst="0" w:colLast="0"/>
      <w:bookmarkEnd w:id="0"/>
    </w:p>
    <w:p w14:paraId="0E7D3305" w14:textId="1867B5A2" w:rsidR="0057592A" w:rsidRDefault="003E5F8B" w:rsidP="006B22A2">
      <w:pPr>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Keywords: </w:t>
      </w:r>
      <w:r w:rsidR="002C1CE4" w:rsidRPr="002C1CE4">
        <w:rPr>
          <w:rFonts w:ascii="Times New Roman" w:eastAsia="Times New Roman" w:hAnsi="Times New Roman" w:cs="Times New Roman"/>
          <w:bCs/>
          <w:color w:val="000000"/>
          <w:sz w:val="24"/>
          <w:szCs w:val="24"/>
        </w:rPr>
        <w:t>Alternative energy-saving vehicles, e</w:t>
      </w:r>
      <w:r w:rsidR="00303A2A" w:rsidRPr="002C1CE4">
        <w:rPr>
          <w:rFonts w:ascii="Times New Roman" w:eastAsia="Times New Roman" w:hAnsi="Times New Roman" w:cs="Times New Roman"/>
          <w:bCs/>
          <w:color w:val="000000"/>
          <w:sz w:val="24"/>
          <w:szCs w:val="24"/>
        </w:rPr>
        <w:t xml:space="preserve">nergy security, </w:t>
      </w:r>
      <w:r w:rsidR="00211AAB" w:rsidRPr="002C1CE4">
        <w:rPr>
          <w:rFonts w:ascii="Times New Roman" w:eastAsia="Times New Roman" w:hAnsi="Times New Roman" w:cs="Times New Roman"/>
          <w:bCs/>
          <w:color w:val="000000"/>
          <w:sz w:val="24"/>
          <w:szCs w:val="24"/>
        </w:rPr>
        <w:t>Hydrogen Fuel Cell Vehicles</w:t>
      </w:r>
      <w:r w:rsidR="00303A2A" w:rsidRPr="002C1CE4">
        <w:rPr>
          <w:rFonts w:ascii="Times New Roman" w:eastAsia="Times New Roman" w:hAnsi="Times New Roman" w:cs="Times New Roman"/>
          <w:bCs/>
          <w:color w:val="000000"/>
          <w:sz w:val="24"/>
          <w:szCs w:val="24"/>
        </w:rPr>
        <w:t xml:space="preserve">, </w:t>
      </w:r>
      <w:r w:rsidR="002C1CE4" w:rsidRPr="002C1CE4">
        <w:rPr>
          <w:rFonts w:ascii="Times New Roman" w:eastAsia="Times New Roman" w:hAnsi="Times New Roman" w:cs="Times New Roman"/>
          <w:bCs/>
          <w:color w:val="000000"/>
          <w:sz w:val="24"/>
          <w:szCs w:val="24"/>
        </w:rPr>
        <w:t xml:space="preserve">public </w:t>
      </w:r>
      <w:r w:rsidR="00303A2A" w:rsidRPr="002C1CE4">
        <w:rPr>
          <w:rFonts w:ascii="Times New Roman" w:eastAsia="Times New Roman" w:hAnsi="Times New Roman" w:cs="Times New Roman"/>
          <w:bCs/>
          <w:color w:val="000000"/>
          <w:sz w:val="24"/>
          <w:szCs w:val="24"/>
        </w:rPr>
        <w:t>perception, public adoption, sustainable transport system</w:t>
      </w:r>
    </w:p>
    <w:p w14:paraId="64C82C56" w14:textId="3B0867CC" w:rsidR="0057592A" w:rsidRDefault="003E5F8B" w:rsidP="00303A2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4C82DED1" w14:textId="77777777" w:rsidR="00211AAB" w:rsidRDefault="00211AAB" w:rsidP="00303A2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E59C01F" w14:textId="53AACC5E" w:rsidR="0057592A" w:rsidRDefault="003E5F8B">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Introduction </w:t>
      </w:r>
    </w:p>
    <w:p w14:paraId="5A6F272F" w14:textId="77777777" w:rsidR="00211AAB" w:rsidRDefault="00211AA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880BF96" w14:textId="5E076655" w:rsidR="00303A2A" w:rsidRP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303A2A">
        <w:rPr>
          <w:rFonts w:ascii="Times New Roman" w:eastAsia="Times New Roman" w:hAnsi="Times New Roman" w:cs="Times New Roman"/>
          <w:position w:val="0"/>
          <w:sz w:val="24"/>
          <w:szCs w:val="24"/>
        </w:rPr>
        <w:t xml:space="preserve">The transportation sector became the leader in powering a country's socio-economic growth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{"citationItems":[{"id":"ITEM-1","itemData":{"author":[{"dropping-particle":"","family":"Pakpahan","given":"Riandy Yeremia","non-dropping-particle":"","parse-names":false,"suffix":""},{"dropping-particle":"","family":"Purwanto","given":"","non-dropping-particle":"","parse-names":false,"suffix":""}],"container-title":"Malaysian Journal of Consumer and Family Economics","id":"ITEM-1","issue":"S1","issued":{"date-parts":[["2021"]]},"page":"25-53","title":"Profitability and Efficiency Analysis on automotive and component industry in Inddonesia","type":"article-journal","volume":"27"},"uris":["http://www.mendeley.com/documents/?uuid=36815c06-a1d9-474f-976b-13eb0d7c85c8"]}],"mendeley":{"formattedCitation":"(Pakpahan &amp; Purwanto, 2021)","plainTextFormattedCitation":"(Pakpahan &amp; Purwanto, 2021)","previouslyFormattedCitation":"(Pakpahan &amp; Purwanto, 2021)"},"properties":{"noteIndex":0},"schema":"https://github.com/citation-style-language/schema/raw/master/csl-citation.json"}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(Pakpahan &amp; Purwanto, 2021)</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and challenged policymakers to promote more sustainable and ecologically friendly solutions </w:t>
      </w:r>
      <w:r w:rsidRPr="00303A2A">
        <w:rPr>
          <w:rFonts w:ascii="Times New Roman" w:eastAsia="Times New Roman" w:hAnsi="Times New Roman" w:cs="Times New Roman"/>
          <w:position w:val="0"/>
          <w:sz w:val="24"/>
          <w:szCs w:val="24"/>
        </w:rPr>
        <w:fldChar w:fldCharType="begin" w:fldLock="1"/>
      </w:r>
      <w:r>
        <w:rPr>
          <w:rFonts w:ascii="Times New Roman" w:eastAsia="Times New Roman" w:hAnsi="Times New Roman" w:cs="Times New Roman"/>
          <w:position w:val="0"/>
          <w:sz w:val="24"/>
          <w:szCs w:val="24"/>
        </w:rPr>
        <w:instrText>ADDIN CSL_CITATION {"citationItems":[{"id":"ITEM-1","itemData":{"author":[{"dropping-particle":"","family":"Zainal","given":"Nor Rashidah","non-dropping-particle":"","parse-names":false,"suffix":""},{"dropping-particle":"","family":"Mohamad","given":"Sabariah","non-dropping-particle":"","parse-names":false,"suffix":""}],"container-title":"Malaysian Journal of Consumer and Family Economics","id":"ITEM-1","issued":{"date-parts":[["2013"]]},"page":"67-77","title":"Sustainable mobility through public transport initiatives: The case of Johor Bahru Consumers","type":"article-journal","volume":"16"},"uris":["http://www.mendeley.com/documents/?uuid=fa677eb4-710c-4cf3-b40e-8ed760815d8e"]}],"mendeley":{"formattedCitation":"(Zainal &amp; Mohamad, 2013)","plainTextFormattedCitation":"(Zainal &amp; Mohamad, 2013)","previouslyFormattedCitation":"(Zainal &amp; Mohamad, 2013)"},"properties":{"noteIndex":0},"schema":"https://github.com/citation-style-language/schema/raw/master/csl-citation.json"}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(Zainal &amp; Mohamad, 2013)</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The transportation sector worldwide is still heavily reliant on fossil fuel resources, rapidly depleting diesel, coal, and natural gas supplies. High fossil fuel consumption in the transportation sector has created various environmental problems such as climate change, environmental pollution, urban heat islands, and degradation. For example, direct hazardous carbon emissions from the transportation sector </w:t>
      </w:r>
      <w:r w:rsidRPr="00303A2A">
        <w:rPr>
          <w:rFonts w:ascii="Times New Roman" w:eastAsia="Times New Roman" w:hAnsi="Times New Roman" w:cs="Times New Roman"/>
          <w:position w:val="0"/>
          <w:sz w:val="24"/>
          <w:szCs w:val="24"/>
        </w:rPr>
        <w:lastRenderedPageBreak/>
        <w:t xml:space="preserve">significantly contribute to 29% global warming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{"citationItems":[{"id":"ITEM-1","itemData":{"URL":"https://www.epa.gov/ghgemissions/sources-greenhouse-gas-emissions","author":[{"dropping-particle":"","family":"EPA","given":"","non-dropping-particle":"","parse-names":false,"suffix":""}],"container-title":"United States Environmental Protection Agency","id":"ITEM-1","issued":{"date-parts":[["2019"]]},"title":"Sources of Greenhouse Gas Emissions","type":"webpage"},"uris":["http://www.mendeley.com/documents/?uuid=26202e69-f074-4f1e-a765-90f0cc07d139"]}],"mendeley":{"formattedCitation":"(EPA, 2019)","plainTextFormattedCitation":"(EPA, 2019)","previouslyFormattedCitation":"(EPA, 2019)"},"properties":{"noteIndex":0},"schema":"https://github.com/citation-style-language/schema/raw/master/csl-citation.json"}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(EPA, 2019)</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Although several developed and developing countries have been implementing a green economic system, the concept of green and smart transport systems is still new. A deep understanding of technical evolution in scaling backstop technologies is essential for implementing an effective transition to alternative energy to replace non-renewable energy. There are already many green technologies available that are increasingly used to generate power; these include solar panels, windmills, biomass processors, and hydrogen fuel cells. The development of green technology will meet current energy demands, lower costs, and provide more friendly solutions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{"citationItems":[{"id":"ITEM-1","itemData":{"author":[{"dropping-particle":"","family":"Al-Amin","given":"Abul Quasem","non-dropping-particle":"","parse-names":false,"suffix":""}],"container-title":"Jurnal Teknologi","id":"ITEM-1","issued":{"date-parts":[["2017"]]},"page":"1-7","title":"Decarbonization through the introduction of hydrogen fuel cell vehicles in Malaysia: Prospects and challenges","type":"article-journal"},"uris":["http://www.mendeley.com/documents/?uuid=45ce104e-0331-4545-8cf5-ad1847cde2e9"]}],"mendeley":{"formattedCitation":"(Al-Amin, 2017)","plainTextFormattedCitation":"(Al-Amin, 2017)","previouslyFormattedCitation":"(Al-Amin, 2017)"},"properties":{"noteIndex":0},"schema":"https://github.com/citation-style-language/schema/raw/master/csl-citation.json"}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(Al-Amin, 2017)</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Most previous studies focused on alternative energy options by introducing technologies to switch from fossil to non-fossil fuels and seeking innovative solutions for future environmental sustainability in the transportation sector.</w:t>
      </w:r>
    </w:p>
    <w:p w14:paraId="5E42D00E" w14:textId="4FBBD831" w:rsidR="00303A2A" w:rsidRPr="00303A2A" w:rsidRDefault="00303A2A" w:rsidP="00303A2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rPr>
      </w:pPr>
      <w:r w:rsidRPr="00303A2A">
        <w:rPr>
          <w:rFonts w:ascii="Times New Roman" w:eastAsia="Times New Roman" w:hAnsi="Times New Roman" w:cs="Times New Roman"/>
          <w:position w:val="0"/>
          <w:sz w:val="24"/>
          <w:szCs w:val="24"/>
        </w:rPr>
        <w:t xml:space="preserve">Several studies have focused on biofuel production sourced from various types of agricultural commodities as alternative fuel sources. These have included such things as sugar-rich corn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{"citationItems":[{"id":"ITEM-1","itemData":{"DOI":"10.1016/j.energy.2020.118863","ISSN":"03605442","abstract":"The increase in energy demand, especially in Jordan, has encouraged researchers to consider alternative sources of energy, such as biofuel production from agricultural waste. For this study, Jordanian corn leaf waste was characterized by ultimate and proximate analysis, TGA, FTIR and solid state 13C NMR. The waste showed high volatile matter, high atomic H/C ratio and high O content. The corn leaf waste contained 32.1 wt% cellulose, 18.1 wt% hemicelluloses and 11.9 wt% lignin. The FTIR and 13C NMR spectrums showed high concentrations of aliphatic and carbonyl carbon. The corn leaf waste was pyrolysed in a temperature range of 300–450 °C under a constant flow rate of nitrogen. Higher oil yield was obtained at pyrolysis temperature of 450 °C. The gas yield and higher heating value of the product increased as the temperature increased, whereas the water content decreased. The biofuels were rich in carbon and had a high oxygen content, which decreased as the temperature increased. The 1H NMR confirmed the markedly aliphatic character of the biofuel. The GC-MS for the biofuel indicated the presence of hydrocarbon series, large amounts of oxygenated compounds and a few nitrogen and sulfur compounds. The simulated distillation showed a high proportion of diesel fraction (57–73%).","author":[{"dropping-particle":"","family":"Amer","given":"Mohammad W.","non-dropping-particle":"","parse-names":false,"suffix":""},{"dropping-particle":"","family":"Aljariri Alhesan","given":"Jameel S.","non-dropping-particle":"","parse-names":false,"suffix":""},{"dropping-particle":"","family":"Ibrahim","given":"Sawsan","non-dropping-particle":"","parse-names":false,"suffix":""},{"dropping-particle":"","family":"Qussay","given":"Ghadeer","non-dropping-particle":"","parse-names":false,"suffix":""},{"dropping-particle":"","family":"Marshall","given":"Marc","non-dropping-particle":"","parse-names":false,"suffix":""},{"dropping-particle":"","family":"Al-Ayed","given":"Omar S.","non-dropping-particle":"","parse-names":false,"suffix":""}],"container-title":"Energy","id":"ITEM-1","issued":{"date-parts":[["2021"]]},"page":"118863","publisher":"Elsevier Ltd","title":"Potential use of corn leaf waste for biofuel production in Jordan (physio-chemical study)","type":"article-journal","volume":"214"},"uris":["http://www.mendeley.com/documents/?uuid=a3199fcd-0a60-408d-9c09-24a11f16868e"]}],"mendeley":{"formattedCitation":"(Amer et al., 2021)","plainTextFormattedCitation":"(Amer et al., 2021)","previouslyFormattedCitation":"(Amer et al., 2021)"},"properties":{"noteIndex":0},"schema":"https://github.com/citation-style-language/schema/raw/master/csl-citation.json"}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(Amer et al., 2021)</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sugarcane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{"citationItems":[{"id":"ITEM-1","itemData":{"DOI":"10.1007/978-3-319-58946-6","ISBN":"9783319589466","abstract":"This book provides exhaustive information on several recent technologies that are employed for sugarcane improvement through biotechnology and will be of great interest to plant scientists, biotechnologists, molecular biologists and breeders who work on sugarcane crop. Topics discussed in this volume include genomics and transcriptomics, transgenic sugarcane for trait improvement, potential candidate promoters, new strategies for transformation, molecular farming, sugarcane as biofuel, chloroplast transformation, and genome editing.","author":[{"dropping-particle":"","family":"Mohan","given":"Chakravarthi","non-dropping-particle":"","parse-names":false,"suffix":""}],"container-title":"Sugarcane Biotechnology: Challenges and Prospects","id":"ITEM-1","issued":{"date-parts":[["2017"]]},"page":"1-176","title":"Sugarcane biotechnology: Challenges and prospects","type":"article-journal"},"uris":["http://www.mendeley.com/documents/?uuid=31f02bd3-21be-43f9-a731-dad41f32d3c7"]},{"id":"ITEM-2","itemData":{"DOI":"10.1016/j.rser.2020.110296","ISSN":"18790690","abstract":"Being a massive grower of sugarcane, China could use this crop in the biofuel sector. However, this critical aspect of the sugarcane crop in China has not been extensively explored. Therefore, this review analyzed the country's potential, bottlenecks, and a critical analysis of policies vs. the Brazilian model of sugarcane derived biofuels. The study determined that Brazilian sugarcane production significantly varied from Chinese conditions regarding first-generation ethanol production. The first-generation ethanol production is also constrained due to high domestic demands of sugar. However, sugarcane bagasse showed higher theoretical yield potential, density distribution, and cost-efficiency for disintegration in this study. Therefore, it was inferred that bagasse-based (second-generation) ethanol has excellent prospects as it does not obligate any separate transportation costs like other lignocellulosic resources and have relatively less cell wall recalcitrance requirements. Moreover, already available vast quantities of bagasse and backing from government policies also make it the right choice for engendering fuel ethanol. Although cost-effectiveness of second-generation ethanol of sugarcane introduces a hurdle, recent developments in process efficiency, as well as genetic manipulation of sugarcane for cell-wall digestibility, can play a paramount role in augmenting sugarcane's role in this sector. Furthermore, the improvement of sugarcane varieties, the adoption of mechanized production, and the exploration of germplasm resources for energy traits are ascertained as crucial factors for augmenting the commercial aptness of sugarcane bioethanol. The enhanced role of sugarcane in China's biofuels sector would contribute to energy security, sustainable sugarcane production, industrial development, and socioeconomic betterment of the sugarcane farming areas.","author":[{"dropping-particle":"","family":"Huang","given":"Jiangfeng","non-dropping-particle":"","parse-names":false,"suffix":""},{"dropping-particle":"","family":"Khan","given":"Muhammad Tahir","non-dropping-particle":"","parse-names":false,"suffix":""},{"dropping-particle":"","family":"Perecin","given":"Danilo","non-dropping-particle":"","parse-names":false,"suffix":""},{"dropping-particle":"","family":"Coelho","given":"Suani T.","non-dropping-particle":"","parse-names":false,"suffix":""},{"dropping-particle":"","family":"Zhang","given":"Muqing","non-dropping-particle":"","parse-names":false,"suffix":""}],"container-title":"Renewable and Sustainable Energy Reviews","id":"ITEM-2","issue":"March","issued":{"date-parts":[["2020"]]},"page":"110296","publisher":"Elsevier Ltd","title":"Sugarcane for bioethanol production: Potential of bagasse in Chinese perspective","type":"article-journal","volume":"133"},"uris":["http://www.mendeley.com/documents/?uuid=1a0f7334-fd2b-4189-b7a6-8f1c31dd24c0"]}],"mendeley":{"formattedCitation":"(Huang et al., 2020; Mohan, 2017)","plainTextFormattedCitation":"(Huang et al., 2020; Mohan, 2017)","previouslyFormattedCitation":"(Huang et al., 2020; Mohan, 2017)"},"properties":{"noteIndex":0},"schema":"https://github.com/citation-style-language/schema/raw/master/csl-citation.json"}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(Huang et al., 2020; Mohan, 2017)</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palm oil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 xml:space="preserve">ADDIN CSL_CITATION {"citationItems":[{"id":"ITEM-1","itemData":{"DOI":"10.18331/BRJ2016.3.1.3","ISSN":"22928782","abstract":"Over the last decades, the palm oil industry has been growing rapidly due to increasing demands for food, cosmetic, and hygienic products. Aside from producing palm oil, the industry generates a huge quantity of residues (dry and wet) which can be processed to produce biofuel. Driven by the necessity to find an alternative and renewable energy/fuel resources, numerous technologies have been developed and more are being developed to process oil-palm and palm-oil wastes into biofuel. To further develop these technologies, it is essential to understand the current stage of the industry and technology developments. The objective of this paper is to provide an overview of the palm oil industry, review technologies available to process oil palm and palm oil residues into biofuel, and to summarise the challenges that should be overcome for further development. The paper also discusses the research and development needs, technoeconomics, and life cycle analysis of biofuel production from oil-palm and palm-oil wastes.","author":[{"dropping-particle":"","family":"Kurnia","given":"Jundika C.","non-dropping-particle":"","parse-names":false,"suffix":""},{"dropping-particle":"V.","family":"Jangam","given":"Sachin","non-dropping-particle":"","parse-names":false,"suffix":""},{"dropping-particle":"","family":"Akhtar","given":"Saad","non-dropping-particle":"","parse-names":false,"suffix":""},{"dropping-particle":"","family":"Sasmito","given":"Agus P.","non-dropping-particle":"","parse-names":false,"suffix":""},{"dropping-particle":"","family":"Mujumdar","given":"Arun S.","non-dropping-particle":"","parse-names":false,"suffix":""}],"container-title":"Biofuel Research Journal","id":"ITEM-1","issue":"1","issued":{"date-parts":[["2016"]]},"page":"332-346","title":"Advances in biofuel production from oil palm and palm oil processing wastes: A review","type":"article-journal","volume":"3"},"uris":["http://www.mendeley.com/documents/?uuid=8b94c9ec-7daf-47c3-a4d5-3537abb69b2d"]},{"id":"ITEM-2","itemData":{"DOI":"10.1007/s11356-019-04563-x","ISSN":"16147499","PMID":"30937750","abstract":"Due to global warming and increasing price of fossil fuel, scientists all over the world have been trying to find reliable alternative fuels. One of the most potential candidates is renewable energy from biomass. The race for renewable energy from biomass has long begun and focused on to combat the deteriorating condition of the environment. Palm oil has been in the spotlight as an alternative of bioenergy sources to resolve fossil fuel problem due to its environment-friendly nature. This review will look deep into the origins of palm oil and how it is processed, bioproducts from this biomass, and oil palm biomass-based power plant in Malaysia. Palm oil is usually processed from oil palm fruits and other parts of the oil palm plant are candidates for raw material of bioproduct generation. Oil palm biomass can be turned into three subcategories: bioproduct, biofuels, and biopower. Focusing on biofuel, the biodiesel from palm oil will be explored in detail and its implication in Malaysia as one of the biggest producers of oil palm in the world will also be emphasized comprehensively. The paper presents the detail of a schematic flow diagram of a palm oil mill process of transforming oil palm into crude palm oil and it wastes. This paper will also discuss the current oil palm biomass </w:instrText>
      </w:r>
      <w:r w:rsidRPr="0006420D">
        <w:rPr>
          <w:rFonts w:ascii="Times New Roman" w:eastAsia="Times New Roman" w:hAnsi="Times New Roman" w:cs="Times New Roman"/>
          <w:position w:val="0"/>
          <w:sz w:val="24"/>
          <w:szCs w:val="24"/>
          <w:lang w:val="nb-NO"/>
        </w:rPr>
        <w:instrText>power plants in Malaysia. Palm oil has been proven itself as a potential alternative to reduce negative environmental impact of global warming.","author":[{"dropping-particle":"","family":"Mahlia","given":"Teuku Meurah Indra","non-dropping-particle":"","parse-names":false,"suffix":""},{"dropping-particle":"","family":"Ismail","given":"Norasyiqin","non-dropping-particle":"","parse-names":false,"suffix":""},{"dropping-particle":"","family":"Hossain","given":"Nazia","non-dropping-particle":"","parse-names":false,"suffix":""},{"dropping-particle":"","family":"Silitonga","given":"Arridina Susan","non-dropping-particle":"","parse-names":false,"suffix":""},{"dropping-particle":"","family":"Shamsuddin","given":"Abd Halim","non-dropping-particle":"","parse-names":false,"suffix":""}],"container-title":"Environmental Science and Pollution Research","id":"ITEM-2","issued":{"date-parts":[["2019"]]},"publisher":"Environmental Science and Pollution Research","title":"Palm oil and its wastes as bioenergy sources: a comprehensive review","type":"article-journal"},"uris":["http://www.mendeley.com/documents/?uuid=cdd3f9f6-5136-4a61-b808-b3ca4f0b4b25"]}],"mendeley":{"formattedCitation":"(Kurnia et al., 2016; Mahlia et al., 2019)","plainTextFormattedCitation":"(Kurnia et al., 2016; Mahlia et al., 2019)","previouslyFormattedCitation":"(Kurnia et al., 2016; Mahlia et al., 2019)"},"properties":{"noteIndex":0},"schema":"https://github.com/citation-style-language/schema/raw/master/csl-citation.json"}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06420D">
        <w:rPr>
          <w:rFonts w:ascii="Times New Roman" w:eastAsia="Times New Roman" w:hAnsi="Times New Roman" w:cs="Times New Roman"/>
          <w:noProof/>
          <w:position w:val="0"/>
          <w:sz w:val="24"/>
          <w:szCs w:val="24"/>
          <w:lang w:val="nb-NO"/>
        </w:rPr>
        <w:t>(Kurnia et al., 2016; Mahlia et al., 2019)</w:t>
      </w:r>
      <w:r w:rsidRPr="00303A2A">
        <w:rPr>
          <w:rFonts w:ascii="Times New Roman" w:eastAsia="Times New Roman" w:hAnsi="Times New Roman" w:cs="Times New Roman"/>
          <w:position w:val="0"/>
          <w:sz w:val="24"/>
          <w:szCs w:val="24"/>
        </w:rPr>
        <w:fldChar w:fldCharType="end"/>
      </w:r>
      <w:r w:rsidRPr="0006420D">
        <w:rPr>
          <w:rFonts w:ascii="Times New Roman" w:eastAsia="Times New Roman" w:hAnsi="Times New Roman" w:cs="Times New Roman"/>
          <w:position w:val="0"/>
          <w:sz w:val="24"/>
          <w:szCs w:val="24"/>
          <w:lang w:val="nb-NO"/>
        </w:rPr>
        <w:t xml:space="preserve">, soya beans </w:t>
      </w:r>
      <w:r w:rsidRPr="00303A2A">
        <w:rPr>
          <w:rFonts w:ascii="Times New Roman" w:eastAsia="Times New Roman" w:hAnsi="Times New Roman" w:cs="Times New Roman"/>
          <w:position w:val="0"/>
          <w:sz w:val="24"/>
          <w:szCs w:val="24"/>
        </w:rPr>
        <w:fldChar w:fldCharType="begin" w:fldLock="1"/>
      </w:r>
      <w:r w:rsidRPr="0006420D">
        <w:rPr>
          <w:rFonts w:ascii="Times New Roman" w:eastAsia="Times New Roman" w:hAnsi="Times New Roman" w:cs="Times New Roman"/>
          <w:position w:val="0"/>
          <w:sz w:val="24"/>
          <w:szCs w:val="24"/>
          <w:lang w:val="nb-NO"/>
        </w:rPr>
        <w:instrText>ADDIN CSL_CITATION {"citationItems":[{"id":"ITEM-1","itemData":{"DOI":"10.1111/j.1757-1707.2010.01066.x","ISSN":"17571707","abstract":"An analysis is presented which quantifies the potential for distillers dried grains with solubles (DDGS, a coproduct of wheat bioethanol production) to replace soya bean meal (SBM) and cereals in livestock rations. A major proportion of the SBM imported into Europe as a protein-rich feedstuff for livestock comes from South America, where land-use change (LUC) is associated with high carbon emissions. Production of DDGS can therefore reduce LUC in South America by substitution of SBM in animal feed. The analysis indicates that a single bioethanol distillery processing 1 million tonnes of wheat, and producing ca. 330000 tonnes of DDGS per annum, would substitute at least 136493 tonnes of whole soya beans grown on 47725ha of land, and save greenhouse gas emissions equivalent to 0.63 million tonnes CO2 per annum. By growing sugar beet and wheat in an average ratio of 0.06:0.94 on 1ha of land in Europe, the net area of agricultural land required to produce feed ingredients equivalent to 6.08 t of sugar beet pulp (SBP) and 1.72t of DDGS associated with 2363L of bioethanol, is reduced to 0.40ha. This accounts for 0.42ha of soya that is not required when DDGS displaces SBM, and 0.18ha of wheat that is not required when DDGS and SBP displace wheat in livestock rations. © 2010 Blackwell Publishing Ltd.","author":[{"dropping-particle":"","family":"Weightman","given":"R. M.","non-dropping-particle":"","parse-names":false,"suffix":""},{"dropping-particle":"","family":"Cottrill","given":"B. R.","non-dropping-particle":"","parse-names":false,"suffix":""},{"dropping-particle":"","family":"Wiltshire","given":"J. J.J.","non-dropping-particle":"","parse-names":false,"suffix":""},{"dropping-particle":"","family":"Kindred","given":"D. R.","non-dropping-particle":"","parse-names":false,"suffix":""},{"dropping-particle":"","family":"Sylvester-Bradley","given":"R.","non-dropping-particle":"","parse-names":false,"suffix":""}],"container-title":"GCB Bioenergy","id":"ITEM-1","issue":"2","issued":{"date-parts":[["2011"]]},"page":"158-170","title":"Opportunities for avoidance of land-use change through substitution of soya bean meal and cereals in European livestock diets with bioethanol coproducts","type":"article-journal","volume":"3"},"uris":["http://www.mendeley.com/documents/?uuid=25e0c2dc-3ad2-4363-9d5c-cda3f3b3dac0"]}],"mendeley":{"formattedCitation":"(Weightman et al., 2011)","plainTextFormattedCitation":"(Weightman et al., 2011)","previouslyFormattedCitation":"(Weightman et al., 2011)"},"properties":{"noteIndex":0},"schema":"https://github.com/citation-style-language/schema/raw/master/csl-citation.json"}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06420D">
        <w:rPr>
          <w:rFonts w:ascii="Times New Roman" w:eastAsia="Times New Roman" w:hAnsi="Times New Roman" w:cs="Times New Roman"/>
          <w:noProof/>
          <w:position w:val="0"/>
          <w:sz w:val="24"/>
          <w:szCs w:val="24"/>
          <w:lang w:val="nb-NO"/>
        </w:rPr>
        <w:t>(Weightman et al., 2011)</w:t>
      </w:r>
      <w:r w:rsidRPr="00303A2A">
        <w:rPr>
          <w:rFonts w:ascii="Times New Roman" w:eastAsia="Times New Roman" w:hAnsi="Times New Roman" w:cs="Times New Roman"/>
          <w:position w:val="0"/>
          <w:sz w:val="24"/>
          <w:szCs w:val="24"/>
        </w:rPr>
        <w:fldChar w:fldCharType="end"/>
      </w:r>
      <w:r w:rsidRPr="0006420D">
        <w:rPr>
          <w:rFonts w:ascii="Times New Roman" w:eastAsia="Times New Roman" w:hAnsi="Times New Roman" w:cs="Times New Roman"/>
          <w:position w:val="0"/>
          <w:sz w:val="24"/>
          <w:szCs w:val="24"/>
          <w:lang w:val="nb-NO"/>
        </w:rPr>
        <w:t xml:space="preserve">, sunflowers </w:t>
      </w:r>
      <w:r w:rsidRPr="00303A2A">
        <w:rPr>
          <w:rFonts w:ascii="Times New Roman" w:eastAsia="Times New Roman" w:hAnsi="Times New Roman" w:cs="Times New Roman"/>
          <w:position w:val="0"/>
          <w:sz w:val="24"/>
          <w:szCs w:val="24"/>
        </w:rPr>
        <w:fldChar w:fldCharType="begin" w:fldLock="1"/>
      </w:r>
      <w:r w:rsidRPr="0006420D">
        <w:rPr>
          <w:rFonts w:ascii="Times New Roman" w:eastAsia="Times New Roman" w:hAnsi="Times New Roman" w:cs="Times New Roman"/>
          <w:position w:val="0"/>
          <w:sz w:val="24"/>
          <w:szCs w:val="24"/>
          <w:lang w:val="nb-NO"/>
        </w:rPr>
        <w:instrText>ADDIN CSL_CITATION {"citationItems":[{"id":"ITEM-1","itemData":{"DOI":"10.3390/en13020361","ISSN":"19961073","abstract":"Together with solar, wind, and hydro renewable energy sources (RES), biomass constitutes an integral part of the high-renewables electricity systems. Considerable feedstocks for electricity generation are process-based residues. Ukraine is the world leader in sunflower seed production, therefore, husk (a by-product of oil production) is a promising biofuel for combustion- based power plants. The plants consume primarily electricity and fossil fuels (natural gas or fuel oil) for steam production. Their usage affects the edible oil production cost and impacts on climate change. The above facts force us to look for alternatives. By-product (husk) utilization can reduce exhaustible energy consumption (fossil fuels and grid electricity) and mitigate climate change. The aim of the study is to make an energy and ecological assessment of biomass energy supply systems. Specifically, the electricity and heat consumption of Ukrainian sunflower oil mills is investigated. Different options of cogeneration systems are analyzed. The preferable mode of combustion-based husk combined heat and power plants is to meet their own heat demand and to sell surplus electricity. Relative gross income and carbon dioxide emission reductions are calculated. Our results show that husk utilization can meet electricity and heat requirements of edible</w:instrText>
      </w:r>
      <w:r w:rsidRPr="00303A2A">
        <w:rPr>
          <w:rFonts w:ascii="Times New Roman" w:eastAsia="Times New Roman" w:hAnsi="Times New Roman" w:cs="Times New Roman"/>
          <w:position w:val="0"/>
          <w:sz w:val="24"/>
          <w:szCs w:val="24"/>
        </w:rPr>
        <w:instrText xml:space="preserve"> plants. The surplus electricity may be sold to the grid. Husk combined heat and power plants may result in reduction of carbon dioxide by 200–300% and an increase of total income by 24.7–65.7% (compared to conventional energy supply systems).","author":[{"dropping-particle":"","family":"Havrysh","given":"Valerii","non-dropping-particle":"","parse-names":false,"suffix":""},{"dropping-particle":"","family":"Kalinichenko","given":"Antonina","non-dropping-particle":"","parse-names":false,"suffix":""},{"dropping-particle":"","family":"Mentel","given":"Grzegorz","non-dropping-particle":"","parse-names":false,"suffix":""},{"dropping-particle":"","family":"Mentel","given":"Urszula","non-dropping-particle":"","parse-names":false,"suffix":""},{"dropping-particle":"","family":"Vasbieva","given":"Dinara G.","non-dropping-particle":"","parse-names":false,"suffix":""}],"container-title":"Energies","id":"ITEM-1","issue":"2","issued":{"date-parts":[["2020"]]},"title":"Husk energy supply systems for sunflower oil mills","type":"article-journal","volume":"13"},"uris":["http://www.mendeley.com/documents/?uuid=ea376183-6525-4776-88fc-d162b7dce2ff"]},{"id":"ITEM-2","itemData":{"DOI":"10.3390/su10103407","ISSN":"20711050","abstract":"Buildings account for one third of the world's energy consumption, 70% of which is devoted to heating and cooling. To increase the share of renewables in the energy consumption of buildings, it is necessary to research and promote new sources of green energy. World production of sunflower (Helianthus annuus) was 47.34 million tons in 2016, with a harvested area of 26.20 million hectares, and the main producing countries being Ukraine, the Russian Federation, and Argentina, which produce about half of world production of sunflower seed. The sunflower husk, which represents a percentage by weight of 45%-60% of the seed depending on the sunflower variety, is widely used for the production of feed; however, its energy use is very scarce. The objectives of this study were to analyse the energy properties of sunflower husk as a solid biofuel and to carry out an energy, environmental, economic and operational analysis of a thermal installation fed with this by-product of the sunflower oil industry. The results show that this agro-industrial waste has a Higher Heating Value (HHV) of 17.844 MJ/kg, similar to that of other solid biofuels currently used. In addition, replacing a 430 kW fuel oil boiler with a biomass boiler of the same capacity fed by this biofuel can avoid the emission of 254.09 tons of CO2 per year, as well as obtain an annual energy saving of 75.47%. If we consider the production of sunflower seeds in each country and the sunflower husk were used as biofuel, this would result in a CO2 saving of more than 10 per thousand of the total emissions emitted. The results of this work contribute to the standardization of this by-product as a solid biofuel for thermal energy generation due to its potential to reduce CO2 emissions and increase energy efficiency.","author":[{"dropping-particle":"","family":"Perea-Moreno","given":"Miguel Angel","non-dropping-particle":"","parse-names":false,"suffix":""},{"dropping-particle":"","family":"Manzano-Agugliaro","given":"Francisco","non-dropping-particle":"","parse-names":false,"suffix":""},{"dropping-particle":"","family":"Perea-Moreno","given":"Alberto Jesus","non-dropping-particle":"","parse-names":false,"suffix":""}],"container-title":"Sustainability (Switzerland)","id":"ITEM-2","issue":"10","issued":{"date-parts":[["2018"]]},"title":"Sustainable energy based on sunflower seed husk boiler for residential buildings","type":"article-journal","volume":"10"},"uris":["http://www.mendeley.com/documents/?uuid=0557f11d-f265-4d82-b9ee-66357c4f8f30"]}],"mendeley":{"formattedCitation":"(Havrysh et al., 2020; Perea-Moreno et al., 2018)","plainTextFormattedCitation":"(Havrysh et al., 2020; Perea-Moreno et al., 2018)","previouslyFormattedCitation":"(Havrysh et al., 2020; Perea-Moreno et al., 2018)"},"properties":{"noteIndex":0},"schema":"https://github.com/citation-style-language/schema/raw/master/csl-citation.json"}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(Havrysh et al., 2020; Perea-Moreno et al., 2018)</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and wheat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{"citationItems":[{"id":"ITEM-1","itemData":{"DOI":"10.1016/j.biortech.2008.11.011","ISSN":"09608524","PMID":"19135361","abstract":"The production of bioethanol, biohydrogen and biogas from wheat straw was investigated within a biorefinery framework. Initially, wheat straw was hydrothermally liberated to a cellulose rich fiber fraction and a hemicellulose rich liquid fraction (hydrolysate). Enzymatic hydrolysis and subsequent fermentation of cellulose yielded 0.41 g-ethanol/g-glucose, while dark fermentation of hydrolysate produced 178.0 ml-H2/g-sugars. The effluents from both bioethanol and biohydrogen processes were further used to produce methane with the yields of 0.324 and 0.381 m3/kg volatile solids (VS)added, respectively. Additionally, evaluation of six different wheat straw-to-biofuel production scenaria showed that either use of wheat straw for biogas production or multi-fuel production were the energetically most efficient processes compared to production of mono-fuel such as bioethanol when fermenting C6 sugars alone. Thus, multiple biofuels production from wheat straw can increase the efficiency for material and energy and can presumably be more economical process for biomass utilization. © 2008 Elsevier Ltd. All rights reserved.","author":[{"dropping-particle":"","family":"Kaparaju","given":"Prasad","non-dropping-particle":"","parse-names":false,"suffix":""},{"dropping-particle":"","family":"Serrano","given":"María","non-dropping-particle":"","parse-names":false,"suffix":""},{"dropping-particle":"","family":"Thomsen","given":"Anne Belinda","non-dropping-particle":"","parse-names":false,"suffix":""},{"dropping-particle":"","family":"Kongjan","given":"Prawit","non-dropping-particle":"","parse-names":false,"suffix":""},{"dropping-particle":"","family":"Angelidaki","given":"Irini","non-dropping-particle":"","parse-names":false,"suffix":""}],"container-title":"Bioresource Technology","id":"ITEM-1","issue":"9","issued":{"date-parts":[["2009"]]},"page":"2562-2568","publisher":"Elsevier Ltd","title":"Bioethanol, biohydrogen and biogas production from wheat straw in a biorefinery concept","type":"article-journal","volume":"100"},"uris":["http://www.mendeley.com/documents/?uuid=df85536b-f6b9-4cb9-aa7e-bab2880a71a4"]},{"id":"ITEM-2","itemData":{"DOI":"10.1016/b978-0-12-819597-0.00029-5","ISBN":"9780128195970","abstract":"The energy requirement of our society are fulfilled by fossil fuels which are very limited and it plays a major role in polluting our environment. The responsibility over the pollution and high consumption rate for fossil fuels has taken the focus of the research over the development of alternatives such as biofuels. Biofuels are eco-friendly, completely combustible, and nontoxic which makes it as the potential green alternative for replacement of fossil fuels. Biofuels are produced from the agricultural waste such as wheat straw, husk, leaves, etc., which contain an appropriate amount of polysaccharide which can be converted into biofuels by undergoing different process. Like other lignocellulosic biomass, wheat straw requires different pretreatment technique followed by hydrolysis in order to utilize polysaccharides cellulose and hemicellulose and the polyaromatic compound lignin. This chapter presents a summary for the utilization of wheat straw in biofuels production by using cellulase microbes produced from different fungus and bacteria. Pretreatment, hydrolysis, fermentation as well as production of different form of biofuels by the help of different studies were also discussed in this chapter.","author":[{"dropping-particle":"","family":"Srivastava","given":"Neha","non-dropping-particle":"","parse-names":false,"suffix":""},{"dropping-particle":"","family":"Shrivastav","given":"Akshay K.","non-dropping-particle":"","parse-names":false,"suffix":""},{"dropping-particle":"","family":"Srivastava","given":"Manish","non-dropping-particle":"","parse-names":false,"suffix":""},{"dropping-particle":"","family":"Mishra","given":"P.K.","non-dropping-particle":"","parse-names":false,"suffix":""}],"container-title":"Recent Developments in Bioenergy Research","id":"ITEM-2","issued":{"date-parts":[["2020"]]},"number-of-pages":"433-441","publisher":"BV","title":"Biofuels production using wheat straw","type":"book"},"uris":["http://www.mendeley.com/documents/?uuid=2b45c2e6-88ee-41ac-94f0-4987eacdc88e"]}],"mendeley":{"formattedCitation":"(Kaparaju et al., 2009; Srivastava et al., 2020)","plainTextFormattedCitation":"(Kaparaju et al., 2009; Srivastava et al., 2020)","previouslyFormattedCitation":"(Kaparaju et al., 2009; Srivastava et al., 2020)"},"properties":{"noteIndex":0},"schema":"https://github.com/citation-style-language/schema/raw/master/csl-citation.json"}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(Kaparaju et al., 2009; Srivastava et al., 2020)</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Both developed and developing countries such as the United States, Germany, Japan, Brazil and India have boosted their use of biodiesel in their vehicles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{"citationItems":[{"id":"ITEM-1","itemData":{"author":[{"dropping-particle":"","family":"Ambrose","given":"Angelina F.","non-dropping-particle":"","parse-names":false,"suffix":""},{"dropping-particle":"Al","family":"Amin","given":"Abul Quasem","non-dropping-particle":"","parse-names":false,"suffix":""},{"dropping-particle":"","family":"Rasiah","given":"Rajah","non-dropping-particle":"","parse-names":false,"suffix":""},{"dropping-particle":"","family":"Saidur","given":"R.","non-dropping-particle":"","parse-names":false,"suffix":""},{"dropping-particle":"","family":"Amin","given":"Nowshad","non-dropping-particle":"","parse-names":false,"suffix":""}],"container-title":"International journal of hydrogen energy","id":"ITEM-1","issued":{"date-parts":[["2016"]]},"page":"1-10","title":"Prospects for introducing hydrogen fuel cell vehicles in Malaysia","type":"article-journal"},"uris":["http://www.mendeley.com/documents/?uuid=c2453841-1d8d-489f-aeed-366e62830ad0"]}],"mendeley":{"formattedCitation":"(Ambrose et al., 2016)","plainTextFormattedCitation":"(Ambrose et al., 2016)","previouslyFormattedCitation":"(Ambrose et al., 2016)"},"properties":{"noteIndex":0},"schema":"https://github.com/citation-style-language/schema/raw/master/csl-citation.json"}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(Ambrose et al., 2016)</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However, the alternative energy sources of fuel from agricultural commodities pose different problems due to unstable world market prices, insufficient supply structures, and potential environmental degradation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{"citationItems":[{"id":"ITEM-1","itemData":{"author":[{"dropping-particle":"","family":"Enweremadu","given":"C.C","non-dropping-particle":"","parse-names":false,"suffix":""},{"dropping-particle":"","family":"M.M. Mbarawa","given":"","non-dropping-particle":"","parse-names":false,"suffix":""}],"container-title":"Renewable and Sustainable Energy Reviews","id":"ITEM-1","issue":"9","issued":{"date-parts":[["2009"]]},"page":"2205-2224","title":"Technical aspects of production and analysis of biodiesal from used cooking oil- A review","type":"article-journal","volume":"13"},"uris":["http://www.mendeley.com/documents/?uuid=bdd32561-ae7c-47dd-8b4d-d061932094e7"]}],"mendeley":{"formattedCitation":"(Enweremadu &amp; M.M. Mbarawa, 2009)","plainTextFormattedCitation":"(Enweremadu &amp; M.M. Mbarawa, 2009)","previouslyFormattedCitation":"(Enweremadu &amp; M.M. Mbarawa, 2009)"},"properties":{"noteIndex":0},"schema":"https://github.com/citation-style-language/schema/raw/master/csl-citation.json"}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(Enweremadu &amp; M.M. Mbarawa, 2009)</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Solar energy and hydrogen are the best long-term and sustainable alternative energy sources to replace fossil fuels. Although solar energy usage is encouraged, concerns about its ability to efficiently replace conventional energy have slowed progress, particularly in terms of production, storage and efficiency.</w:t>
      </w:r>
    </w:p>
    <w:p w14:paraId="44349EE0" w14:textId="77777777" w:rsidR="00303A2A" w:rsidRPr="00303A2A" w:rsidRDefault="00303A2A" w:rsidP="00303A2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rPr>
      </w:pPr>
      <w:r w:rsidRPr="00303A2A">
        <w:rPr>
          <w:rFonts w:ascii="Times New Roman" w:eastAsia="Times New Roman" w:hAnsi="Times New Roman" w:cs="Times New Roman"/>
          <w:position w:val="0"/>
          <w:sz w:val="24"/>
          <w:szCs w:val="24"/>
        </w:rPr>
        <w:t xml:space="preserve">Consequently, hydrogen has emerged as the most promising alternative energy source to meet long-term energy security and produce zero harmful emissions in smart transport systems. HFCV is also expected to support sustainable transport systems for both developing and developed countries. According to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DOI":"10.1039/c2ee22596d","ISSN":"17545692","author":[{"dropping-particle":"","family":"Eberle","given":"Ulrich","non-dropping-particle":"","parse-names":false,"suffix":""},{"dropping-particle":"","family":"Müller","given":"Bernd","non-dropping-particle":"","parse-names":false,"suffix":""},{"dropping-particle":"","family":"Helmolt","given":"Rittmar","non-dropping-particle":"Von","parse-names":false,"suffix":""}],"container-title":"Energy and Environmental Science","id":"ITEM-1","issue":"10","issued":{"date-parts":[["2012"]]},"page":"8780-8798","title":"Fuel cell electric vehicles and hydrogen infrastructure: Status 2012","type":"article-journal","volume":"5"},"uris":["http://www.mendeley.com/documents/?uuid=ae2b299b-08d3-4745-961b-16939135d23f"]}],"mendeley":{"formattedCitation":"(Eberle et al., 2012)","manualFormatting":"Eberle et al. (2012)","plainTextFormattedCitation":"(Eberle et al., 2012)","previouslyFormattedCitation":"(Eberle et al., 2012)"},"properties":{"noteIndex":0},"schema":"https://github.com/citation-style-language/schema/raw/master/csl-citation.json"}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Eberle et al. (2012)</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automobile manufacturers have overcome most of the main technological obstacles for HFCV, and it is one of the innovative solutions to mitigate carbon emissions.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{"citationItems":[{"id":"ITEM-1","itemData":{"ISSN":"15387445","PMID":"6722788","author":[{"dropping-particle":"","family":"IEA","given":"","non-dropping-particle":"","parse-names":false,"suffix":""}],"container-title":"International Energy Agency","id":"ITEM-1","issued":{"date-parts":[["2015"]]},"title":"Technology Roadmap Hydrogen and Fuel Cells","type":"report"},"uris":["http://www.mendeley.com/documents/?uuid=b1708a63-27cb-4915-b1c8-041ac55ab5ee"]}],"mendeley":{"formattedCitation":"(IEA, 2015)","manualFormatting":"IEA (2015)","plainTextFormattedCitation":"(IEA, 2015)","previouslyFormattedCitation":"(IEA, 2015)"},"properties":{"noteIndex":0},"schema":"https://github.com/citation-style-language/schema/raw/master/csl-citation.json"}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IEA (2015)</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mentions that 150 million HFCV will be sold by 2050 as part of the Technology Roadmap and will cost from USD 900 to USD 1 900 for hydrogen infrastructure development.</w:t>
      </w:r>
    </w:p>
    <w:p w14:paraId="31BFBF88" w14:textId="7461C0CA" w:rsidR="00303A2A" w:rsidRPr="00303A2A" w:rsidRDefault="00303A2A" w:rsidP="006B22A2">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rPr>
      </w:pPr>
      <w:r w:rsidRPr="00303A2A">
        <w:rPr>
          <w:rFonts w:ascii="Times New Roman" w:eastAsia="Times New Roman" w:hAnsi="Times New Roman" w:cs="Times New Roman"/>
          <w:position w:val="0"/>
          <w:sz w:val="24"/>
          <w:szCs w:val="24"/>
        </w:rPr>
        <w:t xml:space="preserve">It is not surprising that several countries are already introducing non-fossil energy for vehicles like HFCV to achieve carbon reduction and strengthen energy security without endangering economic growth. Introducing HFCV to the transport system may be a good starting point for powering green economic systems and addressing environmental concerns. Even though hydrogen fuel cells may not be an immediate solution to reducing environmental problems and be a complete energy alternative, some recent research investigations have recognized it has potential as a long-term solution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{"citationItems":[{"id":"ITEM-1","itemData":{"DOI":"10.1007/s11356-019-06128-4","ISSN":"16147499","PMID":"31456153","abstract":"Alternative energy policies targeting the adoption of hydrogen fuel cell vehicles (HFCVs) could have significant positive impacts on Malaysia’s ability to meet both its carbon reduction goal and its energy security needs. The transport sector generally contributes heavily to carbon emissions, and is also difficult to decarbonize because of the costs associated with many greener options. This study explores the possibility of decarbonizing the Malaysian transport sector by promoting the use of hydrogen vehicles, and analyzes the adoption challenges and economic obstacles (especially public acceptance) associated with introducing HFCVs. This study contends that the adoption challenges of this new technology can be overcome through the use of development strategies outlined. This study also addresses the regulatory framework that Malaysia (and other countries) might use to overcome common policy adoption challenges of HFCVs.","author":[{"dropping-particle":"","family":"Al-Amin","given":"Abul Quasem","non-dropping-particle":"","parse-names":false,"suffix":""},{"dropping-particle":"","family":"Doberstein","given":"Brent","non-dropping-particle":"","parse-names":false,"suffix":""}],"container-title":"Environmental Science and Pollution Research","id":"ITEM-1","issue":"30","issued":{"date-parts":[["2019"]]},"page":"31062-31076","title":"Introduction of hydrogen fuel cell vehicles: prospects and challenges for Malaysia’s transition to a low-carbon economy","type":"article","volume":"26"},"uris":["http://www.mendeley.com/documents/?uuid=db5cb3db-290b-4e7c-8ab3-715263f3f90e"]},{"id":"ITEM-2","itemData":{"DOI":"10.1016/j.ijhydene.2016.05.122","ISSN":"03603199","abstract":"Sustainable economic development through adoption of hydrogen pathway is expected to simultaneously solve the double challenge of environment and energy security. The momentum of current research in this area is focused on optimizing the potential benefits in transportation sector through introduction of hydrogen fuel cell vehicles (FCVs). However the rapid adoption of critical cleaner energy system is still problematic in developing countries especially in transportation. This article sheds light on the Malaysian case by highlighting related issues and obstacles, and discusses the future prospects of hydrogen FCV. We argue that innovation and technological advancement of hydrogen FCV is important and ready for introduction in Malaysia; however it is not sufficient in explaining the conditions that will allow for rapid transition in Malaysia. The main message of this article is that hydrogen FCV in Malaysia can be expected and is possible when there is a thorough understanding of energy security issues, where energy policy integration for economic development and environmental objectives are achieved at the same time. The understanding of specific problems from the standpoint of developing country is crucial in encouraging government policies to induce development of hydrogen FCV.","author":[{"dropping-particle":"","family":"Ambrose","given":"Angelina F.","non-dropping-particle":"","parse-names":false,"suffix":""},{"dropping-particle":"","family":"Al-Amin","given":"Abul Quasem","non-dropping-particle":"","parse-names":false,"suffix":""},{"dropping-particle":"","family":"Rasiah","given":"Rajah","non-dropping-particle":"","parse-names":false,"suffix":""},{"dropping-particle":"","family":"Saidur","given":"R.","non-dropping-particle":"","parse-names":false,"suffix":""},{"dropping-particle":"","family":"Amin","given":"Nowshad","non-dropping-particle":"","parse-names":false,"suffix":""}],"container-title":"International Journal of Hydrogen Energy","id":"ITEM-2","issue":"14","issued":{"date-parts":[["2017"]]},"page":"9125-9134","publisher":"Elsevier Ltd","title":"Prospects for introducing hydrogen fuel cell vehicles in Malaysia","type":"article-journal","volume":"42"},"uris":["http://www.mendeley.com/documents/?uuid=9c688775-189c-49e3-b008-28243d8d1169"]}],"mendeley":{"formattedCitation":"(Al-Amin &amp; Doberstein, 2019; Ambrose et al., 2017)","manualFormatting":"(Al-Amin &amp; Doberstein, 2019; Ambrose et al., 2017)","plainTextFormattedCitation":"(Al-Amin &amp; Doberstein, 2019; Ambrose et al., 2017)","previouslyFormattedCitation":"(Al-Amin &amp; Doberstein, 2019; Ambrose et al., 2017)"},"properties":{"noteIndex":0},"schema":"https://github.com/citation-style-language/schema/raw/master/csl-citation.json"}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(Al-Amin &amp; Doberstein, 2019; Ambrose et al., 2017)</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w:t>
      </w:r>
    </w:p>
    <w:p w14:paraId="24239B2D" w14:textId="77777777" w:rsidR="00303A2A" w:rsidRPr="00303A2A" w:rsidRDefault="00303A2A" w:rsidP="00303A2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rPr>
      </w:pPr>
      <w:r w:rsidRPr="00303A2A">
        <w:rPr>
          <w:rFonts w:ascii="Times New Roman" w:eastAsia="Times New Roman" w:hAnsi="Times New Roman" w:cs="Times New Roman"/>
          <w:position w:val="0"/>
          <w:sz w:val="24"/>
          <w:szCs w:val="24"/>
        </w:rPr>
        <w:t xml:space="preserve">Several countries have started to adopt policies for establishing a hydrogen economy in their long-term national plan to switch to sustainable option pathways and to meet energy security. For example, Malaysia's government has launched a roadmap to assess the feasibility of developing a hydrogen fuel system as part of its sustainability strategy. </w:t>
      </w:r>
      <w:bookmarkStart w:id="1" w:name="_Hlk80658670"/>
      <w:r w:rsidRPr="00303A2A">
        <w:rPr>
          <w:rFonts w:ascii="Times New Roman" w:eastAsia="Times New Roman" w:hAnsi="Times New Roman" w:cs="Times New Roman"/>
          <w:position w:val="0"/>
          <w:sz w:val="24"/>
          <w:szCs w:val="24"/>
        </w:rPr>
        <w:t xml:space="preserve">Even though Malaysia is an oil-producing country, it is expected to be highly dependent on imported oil to fulfill rising demand in the future. In Malaysia, the transportation sector represents 37% of total energy consumption, and fossil fuel resources are needed for 98% of transport vehicles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{"citationItems":[{"id":"ITEM-1","itemData":{"DOI":"10.1016/j.ijhydene.2015.11.146","ISSN":"03603199","abstract":"Hydrogen fuel cell vehicles (FCVs) are expected to have a significant impact in meeting both energy security and environmental concerns globally. Public and private support is however essential for successful transition to a sustainable energy system. Several studies have looked into the issues and considered the purchase behaviour of related Alternative Fuel Vehicles (AFCs) and more research momentum is seen towards hydrogen FCV. The article aims to critically review and identifies gaps of acceptance, preferences and attitudes of hydrogen FCV and examine whether attitudes, subjective norms (SNs) and perceived behaviour control (PBC) have significant associations with customer purchase intention (PI) and purchase behaviour of hydrogen FCV in Malaysia. This is a timely study to address useful policies for decarbonizing the transportation sector.","author":[{"dropping-particle":"","family":"Al-Amin","given":"Abul Quasem","non-dropping-particle":"","parse-names":false,"suffix":""},{"dropping-particle":"","family":"Ambrose","given":"Angelina F.","non-dropping-particle":"","parse-names":false,"suffix":""},{"dropping-particle":"","family":"Masud","given":"Muhammad Mehedi","non-dropping-particle":"","parse-names":false,"suffix":""},{"dropping-particle":"","family":"Azam","given":"Mohammad Nurul","non-dropping-particle":"","parse-names":false,"suffix":""}],"container-title":"International Journal of Hydrogen Energy","id":"ITEM-1","issue":"4","issued":{"date-parts":[["2016"]]},"page":"2117-2127","publisher":"Elsevier Ltd","title":"People purchase intention towards hydrogen fuel cell vehicles: An experiential enquiry in Malaysia","type":"article-journal","volume":"41"},"uris":["http://www.mendeley.com/documents/?uuid=86adec04-9e5a-4430-9dd3-c783efca08c1"]}],"mendeley":{"formattedCitation":"(Al-Amin et al., 2016)","plainTextFormattedCitation":"(Al-Amin et al., 2016)","previouslyFormattedCitation":"(Al-Amin et al., 2016)"},"properties":{"noteIndex":0},"schema":"https://github.com/citation-style-language/schema/raw/master/csl-citation.json"}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 xml:space="preserve">(Al-Amin et al., </w:t>
      </w:r>
      <w:r w:rsidRPr="00303A2A">
        <w:rPr>
          <w:rFonts w:ascii="Times New Roman" w:eastAsia="Times New Roman" w:hAnsi="Times New Roman" w:cs="Times New Roman"/>
          <w:noProof/>
          <w:position w:val="0"/>
          <w:sz w:val="24"/>
          <w:szCs w:val="24"/>
        </w:rPr>
        <w:lastRenderedPageBreak/>
        <w:t>2016)</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According to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{"citationItems":[{"id":"ITEM-1","itemData":{"author":[{"dropping-particle":"","family":"Ambrose","given":"Angelina F.","non-dropping-particle":"","parse-names":false,"suffix":""},{"dropping-particle":"Al","family":"Amin","given":"Abul Quasem","non-dropping-particle":"","parse-names":false,"suffix":""},{"dropping-particle":"","family":"Rasiah","given":"Rajah","non-dropping-particle":"","parse-names":false,"suffix":""},{"dropping-particle":"","family":"Saidur","given":"R.","non-dropping-particle":"","parse-names":false,"suffix":""},{"dropping-particle":"","family":"Amin","given":"Nowshad","non-dropping-particle":"","parse-names":false,"suffix":""}],"container-title":"International journal of hydrogen energy","id":"ITEM-1","issued":{"date-parts":[["2016"]]},"page":"1-10","title":"Prospects for introducing hydrogen fuel cell vehicles in Malaysia","type":"article-journal"},"uris":["http://www.mendeley.com/documents/?uuid=c2453841-1d8d-489f-aeed-366e62830ad0"]}],"mendeley":{"formattedCitation":"(Ambrose et al., 2016)","manualFormatting":"Ambrose et al. (2016)","plainTextFormattedCitation":"(Ambrose et al., 2016)","previouslyFormattedCitation":"(Ambrose et al., 2016)"},"properties":{"noteIndex":0},"schema":"https://github.com/citation-style-language/schema/raw/master/csl-citation.json"}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Ambrose et al. (2016)</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Malaysia's carbon emissions might be reduced by up to 26 million </w:t>
      </w:r>
      <w:proofErr w:type="spellStart"/>
      <w:r w:rsidRPr="00303A2A">
        <w:rPr>
          <w:rFonts w:ascii="Times New Roman" w:eastAsia="Times New Roman" w:hAnsi="Times New Roman" w:cs="Times New Roman"/>
          <w:position w:val="0"/>
          <w:sz w:val="24"/>
          <w:szCs w:val="24"/>
        </w:rPr>
        <w:t>tonnes</w:t>
      </w:r>
      <w:proofErr w:type="spellEnd"/>
      <w:r w:rsidRPr="00303A2A">
        <w:rPr>
          <w:rFonts w:ascii="Times New Roman" w:eastAsia="Times New Roman" w:hAnsi="Times New Roman" w:cs="Times New Roman"/>
          <w:position w:val="0"/>
          <w:sz w:val="24"/>
          <w:szCs w:val="24"/>
        </w:rPr>
        <w:t xml:space="preserve"> of CO</w:t>
      </w:r>
      <w:r w:rsidRPr="00303A2A">
        <w:rPr>
          <w:rFonts w:ascii="Times New Roman" w:eastAsia="Times New Roman" w:hAnsi="Times New Roman" w:cs="Times New Roman"/>
          <w:position w:val="0"/>
          <w:sz w:val="24"/>
          <w:szCs w:val="24"/>
          <w:vertAlign w:val="superscript"/>
        </w:rPr>
        <w:t>2</w:t>
      </w:r>
      <w:r w:rsidRPr="00303A2A">
        <w:rPr>
          <w:rFonts w:ascii="Times New Roman" w:eastAsia="Times New Roman" w:hAnsi="Times New Roman" w:cs="Times New Roman"/>
          <w:position w:val="0"/>
          <w:sz w:val="24"/>
          <w:szCs w:val="24"/>
        </w:rPr>
        <w:t xml:space="preserve"> by replacing 50% of conventional vehicles with HFCV. However, public </w:t>
      </w:r>
      <w:bookmarkEnd w:id="1"/>
      <w:r w:rsidRPr="00303A2A">
        <w:rPr>
          <w:rFonts w:ascii="Times New Roman" w:eastAsia="Times New Roman" w:hAnsi="Times New Roman" w:cs="Times New Roman"/>
          <w:position w:val="0"/>
          <w:sz w:val="24"/>
          <w:szCs w:val="24"/>
        </w:rPr>
        <w:t xml:space="preserve">adoption of new transport technologies, like HFCV, is vital for the successful evolution of a sustainable energy system for the transportation sector. Public adoption of HFCV is influenced by various factors such as energy prices, infrastructure, alternative technological developments, the cost to the user, and vehicle performance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{"citationItems":[{"id":"ITEM-1","itemData":{"DOI":"10.1016/j.ijhydene.2015.11.146","ISSN":"03603199","abstract":"Hydrogen fuel cell vehicles (FCVs) are expected to have a significant impact in meeting both energy security and environmental concerns globally. Public and private support is however essential for successful transition to a sustainable energy system. Several studies have looked into the issues and considered the purchase behaviour of related Alternative Fuel Vehicles (AFCs) and more research momentum is seen towards hydrogen FCV. The article aims to critically review and identifies gaps of acceptance, preferences and attitudes of hydrogen FCV and examine whether attitudes, subjective norms (SNs) and perceived behaviour control (PBC) have significant associations with customer purchase intention (PI) and purchase behaviour of hydrogen FCV in Malaysia. This is a timely study to address useful policies for decarbonizing the transportation sector.","author":[{"dropping-particle":"","family":"Al-Amin","given":"Abul Quasem","non-dropping-particle":"","parse-names":false,"suffix":""},{"dropping-particle":"","family":"Ambrose","given":"Angelina F.","non-dropping-particle":"","parse-names":false,"suffix":""},{"dropping-particle":"","family":"Masud","given":"Muhammad Mehedi","non-dropping-particle":"","parse-names":false,"suffix":""},{"dropping-particle":"","family":"Azam","given":"Mohammad Nurul","non-dropping-particle":"","parse-names":false,"suffix":""}],"container-title":"International Journal of Hydrogen Energy","id":"ITEM-1","issue":"4","issued":{"date-parts":[["2016"]]},"page":"2117-2127","publisher":"Elsevier Ltd","title":"People purchase intention towards hydrogen fuel cell vehicles: An experiential enquiry in Malaysia","type":"article-journal","volume":"41"},"uris":["http://www.mendeley.com/documents/?uuid=86adec04-9e5a-4430-9dd3-c783efca08c1"]}],"mendeley":{"formattedCitation":"(Al-Amin et al., 2016)","plainTextFormattedCitation":"(Al-Amin et al., 2016)","previouslyFormattedCitation":"(Al-Amin et al., 2016)"},"properties":{"noteIndex":0},"schema":"https://github.com/citation-style-language/schema/raw/master/csl-citation.json"}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(Al-Amin et al., 2016)</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More research is required in this field to identify public acceptance and preferences for alternative sustainable energy sources, particularly HFCV. Hence, this article aims to assess public perceptions in relation to the adoption of HFCV in Kuala Lumpur, Malaysia. It is a timely study to seek innovative solutions and address a </w:t>
      </w:r>
      <w:proofErr w:type="spellStart"/>
      <w:r w:rsidRPr="00303A2A">
        <w:rPr>
          <w:rFonts w:ascii="Times New Roman" w:eastAsia="Times New Roman" w:hAnsi="Times New Roman" w:cs="Times New Roman"/>
          <w:position w:val="0"/>
          <w:sz w:val="24"/>
          <w:szCs w:val="24"/>
        </w:rPr>
        <w:t>decarbonisation</w:t>
      </w:r>
      <w:proofErr w:type="spellEnd"/>
      <w:r w:rsidRPr="00303A2A">
        <w:rPr>
          <w:rFonts w:ascii="Times New Roman" w:eastAsia="Times New Roman" w:hAnsi="Times New Roman" w:cs="Times New Roman"/>
          <w:position w:val="0"/>
          <w:sz w:val="24"/>
          <w:szCs w:val="24"/>
        </w:rPr>
        <w:t xml:space="preserve"> strategy in the transportation sector for the sake of present and future sustainability.</w:t>
      </w:r>
    </w:p>
    <w:p w14:paraId="61A523B5" w14:textId="65E95A54" w:rsidR="0057592A" w:rsidRDefault="0057592A" w:rsidP="00303A2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443B2880" w14:textId="77777777" w:rsidR="006B22A2" w:rsidRDefault="006B22A2" w:rsidP="00303A2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757B491" w14:textId="652E0249" w:rsidR="0057592A" w:rsidRDefault="003E5F8B">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Method and study area </w:t>
      </w:r>
    </w:p>
    <w:p w14:paraId="311AA2EE" w14:textId="77777777" w:rsidR="006B22A2" w:rsidRDefault="006B22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A823A31" w14:textId="148D37FC" w:rsidR="00303A2A" w:rsidRDefault="00303A2A" w:rsidP="00303A2A">
      <w:pPr>
        <w:pBdr>
          <w:top w:val="nil"/>
          <w:left w:val="nil"/>
          <w:bottom w:val="nil"/>
          <w:right w:val="nil"/>
          <w:between w:val="nil"/>
        </w:pBdr>
        <w:spacing w:after="0" w:line="240" w:lineRule="auto"/>
        <w:ind w:left="0" w:hanging="2"/>
        <w:jc w:val="both"/>
        <w:rPr>
          <w:rFonts w:ascii="Times New Roman" w:eastAsia="Times New Roman" w:hAnsi="Times New Roman" w:cs="Times New Roman"/>
          <w:position w:val="0"/>
          <w:sz w:val="24"/>
          <w:szCs w:val="24"/>
        </w:rPr>
      </w:pPr>
      <w:r w:rsidRPr="00303A2A">
        <w:rPr>
          <w:rFonts w:ascii="Times New Roman" w:eastAsia="Times New Roman" w:hAnsi="Times New Roman" w:cs="Times New Roman"/>
          <w:position w:val="0"/>
          <w:sz w:val="24"/>
          <w:szCs w:val="24"/>
        </w:rPr>
        <w:t xml:space="preserve">Data was collected from 175 respondents from Kuala Lumpur, which comprised two districts: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(85 respondents) and Bandar Tun Razak (90 respondents). This study used a descriptive approach to assess the public perceptions of HFCV adoption in Kuala Lumpur.</w:t>
      </w:r>
      <w:bookmarkStart w:id="2" w:name="page2"/>
      <w:bookmarkEnd w:id="2"/>
      <w:r w:rsidRPr="00303A2A">
        <w:rPr>
          <w:rFonts w:ascii="Times New Roman" w:eastAsia="Times New Roman" w:hAnsi="Times New Roman" w:cs="Times New Roman"/>
          <w:position w:val="0"/>
          <w:sz w:val="24"/>
          <w:szCs w:val="24"/>
        </w:rPr>
        <w:t xml:space="preserve"> A survey questionnaire was adopted based on various researchers’ work on HFCV and was adapted to meet the needs and requirements of this research. Respondents were questioned whether they believed Malaysia could adopt HFCV and their confidence in successfully introducing these vehicles to the country using the Kuala Lumpur area as a case study. Respondents were also questioned on the types of vehicles suitable as HFCV. The second section of the questionnaire focused on the HFCV adoption dimensions using the item statements as shown in Table 1. The item statements were measured using a 4-point Likert scale ranging from (1) Strongly </w:t>
      </w:r>
      <w:r w:rsidR="00501C7F">
        <w:rPr>
          <w:rFonts w:ascii="Times New Roman" w:eastAsia="Times New Roman" w:hAnsi="Times New Roman" w:cs="Times New Roman"/>
          <w:position w:val="0"/>
          <w:sz w:val="24"/>
          <w:szCs w:val="24"/>
        </w:rPr>
        <w:t>d</w:t>
      </w:r>
      <w:r w:rsidRPr="00303A2A">
        <w:rPr>
          <w:rFonts w:ascii="Times New Roman" w:eastAsia="Times New Roman" w:hAnsi="Times New Roman" w:cs="Times New Roman"/>
          <w:position w:val="0"/>
          <w:sz w:val="24"/>
          <w:szCs w:val="24"/>
        </w:rPr>
        <w:t xml:space="preserve">isagree, (2) Disagree, (3) Agree, and (4) Strongly </w:t>
      </w:r>
      <w:r w:rsidR="00501C7F">
        <w:rPr>
          <w:rFonts w:ascii="Times New Roman" w:eastAsia="Times New Roman" w:hAnsi="Times New Roman" w:cs="Times New Roman"/>
          <w:position w:val="0"/>
          <w:sz w:val="24"/>
          <w:szCs w:val="24"/>
        </w:rPr>
        <w:t>a</w:t>
      </w:r>
      <w:r w:rsidRPr="00303A2A">
        <w:rPr>
          <w:rFonts w:ascii="Times New Roman" w:eastAsia="Times New Roman" w:hAnsi="Times New Roman" w:cs="Times New Roman"/>
          <w:position w:val="0"/>
          <w:sz w:val="24"/>
          <w:szCs w:val="24"/>
        </w:rPr>
        <w:t xml:space="preserve">gree. The percentage of the agreement mentioned is based on the number of agreeing and strongly agree with responses. </w:t>
      </w:r>
    </w:p>
    <w:p w14:paraId="019EB002" w14:textId="77777777" w:rsidR="006B22A2" w:rsidRPr="0006420D" w:rsidRDefault="006B22A2" w:rsidP="00303A2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20FF6A15" w14:textId="57FB79E6" w:rsid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
          <w:position w:val="0"/>
          <w:sz w:val="20"/>
          <w:szCs w:val="20"/>
        </w:rPr>
        <w:t>Table 1</w:t>
      </w:r>
      <w:r w:rsidR="006B22A2">
        <w:rPr>
          <w:rFonts w:ascii="Times New Roman" w:eastAsia="Times New Roman" w:hAnsi="Times New Roman" w:cs="Times New Roman"/>
          <w:b/>
          <w:position w:val="0"/>
          <w:sz w:val="20"/>
          <w:szCs w:val="20"/>
        </w:rPr>
        <w:t xml:space="preserve">. </w:t>
      </w:r>
      <w:r w:rsidRPr="006B22A2">
        <w:rPr>
          <w:rFonts w:ascii="Times New Roman" w:eastAsia="Times New Roman" w:hAnsi="Times New Roman" w:cs="Times New Roman"/>
          <w:bCs/>
          <w:position w:val="0"/>
          <w:sz w:val="20"/>
          <w:szCs w:val="20"/>
        </w:rPr>
        <w:t>No.</w:t>
      </w:r>
      <w:r w:rsidR="006B22A2">
        <w:rPr>
          <w:rFonts w:ascii="Times New Roman" w:eastAsia="Times New Roman" w:hAnsi="Times New Roman" w:cs="Times New Roman"/>
          <w:bCs/>
          <w:position w:val="0"/>
          <w:sz w:val="20"/>
          <w:szCs w:val="20"/>
        </w:rPr>
        <w:t xml:space="preserve"> </w:t>
      </w:r>
      <w:r w:rsidRPr="006B22A2">
        <w:rPr>
          <w:rFonts w:ascii="Times New Roman" w:eastAsia="Times New Roman" w:hAnsi="Times New Roman" w:cs="Times New Roman"/>
          <w:bCs/>
          <w:position w:val="0"/>
          <w:sz w:val="20"/>
          <w:szCs w:val="20"/>
        </w:rPr>
        <w:t xml:space="preserve">of </w:t>
      </w:r>
      <w:r w:rsidR="00E6621D" w:rsidRPr="006B22A2">
        <w:rPr>
          <w:rFonts w:ascii="Times New Roman" w:eastAsia="Times New Roman" w:hAnsi="Times New Roman" w:cs="Times New Roman"/>
          <w:bCs/>
          <w:position w:val="0"/>
          <w:sz w:val="20"/>
          <w:szCs w:val="20"/>
        </w:rPr>
        <w:t xml:space="preserve">item statements </w:t>
      </w:r>
      <w:r w:rsidRPr="006B22A2">
        <w:rPr>
          <w:rFonts w:ascii="Times New Roman" w:eastAsia="Times New Roman" w:hAnsi="Times New Roman" w:cs="Times New Roman"/>
          <w:bCs/>
          <w:position w:val="0"/>
          <w:sz w:val="20"/>
          <w:szCs w:val="20"/>
        </w:rPr>
        <w:t xml:space="preserve">for HFCV </w:t>
      </w:r>
      <w:r w:rsidR="00E6621D" w:rsidRPr="006B22A2">
        <w:rPr>
          <w:rFonts w:ascii="Times New Roman" w:eastAsia="Times New Roman" w:hAnsi="Times New Roman" w:cs="Times New Roman"/>
          <w:bCs/>
          <w:position w:val="0"/>
          <w:sz w:val="20"/>
          <w:szCs w:val="20"/>
        </w:rPr>
        <w:t>adoption dimensions</w:t>
      </w:r>
    </w:p>
    <w:p w14:paraId="11909145" w14:textId="77777777" w:rsidR="006B22A2" w:rsidRPr="00303A2A" w:rsidRDefault="006B22A2"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rPr>
      </w:pPr>
    </w:p>
    <w:tbl>
      <w:tblPr>
        <w:tblW w:w="6521" w:type="dxa"/>
        <w:jc w:val="center"/>
        <w:tblLook w:val="00A0" w:firstRow="1" w:lastRow="0" w:firstColumn="1" w:lastColumn="0" w:noHBand="0" w:noVBand="0"/>
      </w:tblPr>
      <w:tblGrid>
        <w:gridCol w:w="4923"/>
        <w:gridCol w:w="1598"/>
      </w:tblGrid>
      <w:tr w:rsidR="00303A2A" w:rsidRPr="00303A2A" w14:paraId="741A65D2" w14:textId="77777777" w:rsidTr="00782932">
        <w:trPr>
          <w:trHeight w:val="207"/>
          <w:jc w:val="center"/>
        </w:trPr>
        <w:tc>
          <w:tcPr>
            <w:tcW w:w="4923" w:type="dxa"/>
            <w:tcBorders>
              <w:top w:val="single" w:sz="4" w:space="0" w:color="auto"/>
              <w:bottom w:val="single" w:sz="4" w:space="0" w:color="auto"/>
            </w:tcBorders>
            <w:shd w:val="clear" w:color="auto" w:fill="B8CCE4" w:themeFill="accent1" w:themeFillTint="66"/>
          </w:tcPr>
          <w:p w14:paraId="019559E9" w14:textId="77777777" w:rsidR="00303A2A" w:rsidRPr="00303A2A" w:rsidRDefault="00303A2A" w:rsidP="00B733DC">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lang w:eastAsia="zh-CN"/>
              </w:rPr>
            </w:pPr>
            <w:r w:rsidRPr="00303A2A">
              <w:rPr>
                <w:rFonts w:ascii="Times New Roman" w:eastAsia="Times New Roman" w:hAnsi="Times New Roman" w:cs="Times New Roman"/>
                <w:b/>
                <w:bCs/>
                <w:position w:val="0"/>
                <w:sz w:val="20"/>
                <w:szCs w:val="20"/>
                <w:lang w:eastAsia="zh-CN"/>
              </w:rPr>
              <w:t>Scale</w:t>
            </w:r>
          </w:p>
        </w:tc>
        <w:tc>
          <w:tcPr>
            <w:tcW w:w="1598" w:type="dxa"/>
            <w:tcBorders>
              <w:top w:val="single" w:sz="4" w:space="0" w:color="auto"/>
              <w:bottom w:val="single" w:sz="4" w:space="0" w:color="auto"/>
            </w:tcBorders>
            <w:shd w:val="clear" w:color="auto" w:fill="B8CCE4" w:themeFill="accent1" w:themeFillTint="66"/>
          </w:tcPr>
          <w:p w14:paraId="59A6EE8C" w14:textId="0760E81D" w:rsidR="00303A2A" w:rsidRPr="00303A2A" w:rsidRDefault="00303A2A" w:rsidP="00B733DC">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lang w:eastAsia="zh-CN"/>
              </w:rPr>
            </w:pPr>
            <w:r w:rsidRPr="00303A2A">
              <w:rPr>
                <w:rFonts w:ascii="Times New Roman" w:eastAsia="Times New Roman" w:hAnsi="Times New Roman" w:cs="Times New Roman"/>
                <w:b/>
                <w:bCs/>
                <w:position w:val="0"/>
                <w:sz w:val="20"/>
                <w:szCs w:val="20"/>
                <w:lang w:eastAsia="zh-CN"/>
              </w:rPr>
              <w:t xml:space="preserve">No. of </w:t>
            </w:r>
            <w:r w:rsidR="00E6621D" w:rsidRPr="00303A2A">
              <w:rPr>
                <w:rFonts w:ascii="Times New Roman" w:eastAsia="Times New Roman" w:hAnsi="Times New Roman" w:cs="Times New Roman"/>
                <w:b/>
                <w:bCs/>
                <w:position w:val="0"/>
                <w:sz w:val="20"/>
                <w:szCs w:val="20"/>
                <w:lang w:eastAsia="zh-CN"/>
              </w:rPr>
              <w:t>item statements</w:t>
            </w:r>
          </w:p>
        </w:tc>
      </w:tr>
      <w:tr w:rsidR="00303A2A" w:rsidRPr="00303A2A" w14:paraId="2C971BA4" w14:textId="77777777" w:rsidTr="00B733DC">
        <w:trPr>
          <w:trHeight w:val="255"/>
          <w:jc w:val="center"/>
        </w:trPr>
        <w:tc>
          <w:tcPr>
            <w:tcW w:w="4923" w:type="dxa"/>
            <w:tcBorders>
              <w:top w:val="single" w:sz="4" w:space="0" w:color="auto"/>
            </w:tcBorders>
          </w:tcPr>
          <w:p w14:paraId="33C12359" w14:textId="53FDCEC0" w:rsidR="00303A2A" w:rsidRPr="00B733DC"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lang w:eastAsia="zh-CN"/>
              </w:rPr>
            </w:pPr>
            <w:r w:rsidRPr="00B733DC">
              <w:rPr>
                <w:rFonts w:ascii="Times New Roman" w:eastAsia="Times New Roman" w:hAnsi="Times New Roman" w:cs="Times New Roman"/>
                <w:spacing w:val="4"/>
                <w:position w:val="0"/>
                <w:sz w:val="20"/>
                <w:szCs w:val="20"/>
                <w:lang w:eastAsia="zh-CN"/>
              </w:rPr>
              <w:t xml:space="preserve">HFCV </w:t>
            </w:r>
            <w:r w:rsidR="00B733DC" w:rsidRPr="00B733DC">
              <w:rPr>
                <w:rFonts w:ascii="Times New Roman" w:eastAsia="Times New Roman" w:hAnsi="Times New Roman" w:cs="Times New Roman"/>
                <w:spacing w:val="4"/>
                <w:position w:val="0"/>
                <w:sz w:val="20"/>
                <w:szCs w:val="20"/>
                <w:lang w:eastAsia="zh-CN"/>
              </w:rPr>
              <w:t>adoption dimensions</w:t>
            </w:r>
          </w:p>
        </w:tc>
        <w:tc>
          <w:tcPr>
            <w:tcW w:w="1598" w:type="dxa"/>
            <w:tcBorders>
              <w:top w:val="single" w:sz="4" w:space="0" w:color="auto"/>
            </w:tcBorders>
          </w:tcPr>
          <w:p w14:paraId="1375E321"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lang w:eastAsia="zh-CN"/>
              </w:rPr>
            </w:pPr>
          </w:p>
        </w:tc>
      </w:tr>
      <w:tr w:rsidR="00303A2A" w:rsidRPr="00303A2A" w14:paraId="292B4FB2" w14:textId="77777777" w:rsidTr="00B733DC">
        <w:trPr>
          <w:trHeight w:val="207"/>
          <w:jc w:val="center"/>
        </w:trPr>
        <w:tc>
          <w:tcPr>
            <w:tcW w:w="4923" w:type="dxa"/>
          </w:tcPr>
          <w:p w14:paraId="3C0C3453" w14:textId="17CB56C1" w:rsidR="00303A2A" w:rsidRPr="00B733DC" w:rsidRDefault="00B733DC" w:rsidP="00303A2A">
            <w:pPr>
              <w:widowControl w:val="0"/>
              <w:numPr>
                <w:ilvl w:val="0"/>
                <w:numId w:val="1"/>
              </w:numPr>
              <w:suppressAutoHyphens w:val="0"/>
              <w:autoSpaceDE w:val="0"/>
              <w:autoSpaceDN w:val="0"/>
              <w:spacing w:after="0" w:line="240" w:lineRule="auto"/>
              <w:ind w:leftChars="0" w:firstLineChars="0"/>
              <w:jc w:val="both"/>
              <w:textDirection w:val="lrTb"/>
              <w:textAlignment w:val="auto"/>
              <w:outlineLvl w:val="9"/>
              <w:rPr>
                <w:rFonts w:ascii="Times New Roman" w:eastAsia="Times New Roman" w:hAnsi="Times New Roman" w:cs="Times New Roman"/>
                <w:position w:val="0"/>
                <w:sz w:val="20"/>
                <w:szCs w:val="20"/>
                <w:lang w:eastAsia="zh-CN"/>
              </w:rPr>
            </w:pPr>
            <w:r>
              <w:rPr>
                <w:rFonts w:ascii="Times New Roman" w:eastAsia="Times New Roman" w:hAnsi="Times New Roman" w:cs="Times New Roman"/>
                <w:position w:val="0"/>
                <w:sz w:val="20"/>
                <w:szCs w:val="20"/>
                <w:lang w:eastAsia="zh-CN"/>
              </w:rPr>
              <w:t>Public u</w:t>
            </w:r>
            <w:r w:rsidR="00303A2A" w:rsidRPr="00B733DC">
              <w:rPr>
                <w:rFonts w:ascii="Times New Roman" w:eastAsia="Times New Roman" w:hAnsi="Times New Roman" w:cs="Times New Roman"/>
                <w:position w:val="0"/>
                <w:sz w:val="20"/>
                <w:szCs w:val="20"/>
                <w:lang w:eastAsia="zh-CN"/>
              </w:rPr>
              <w:t>nderstanding of HFCV</w:t>
            </w:r>
          </w:p>
        </w:tc>
        <w:tc>
          <w:tcPr>
            <w:tcW w:w="1598" w:type="dxa"/>
          </w:tcPr>
          <w:p w14:paraId="3B403483"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eastAsia="zh-CN"/>
              </w:rPr>
            </w:pPr>
            <w:r w:rsidRPr="00303A2A">
              <w:rPr>
                <w:rFonts w:ascii="Times New Roman" w:eastAsia="Times New Roman" w:hAnsi="Times New Roman" w:cs="Times New Roman"/>
                <w:position w:val="0"/>
                <w:sz w:val="20"/>
                <w:szCs w:val="20"/>
                <w:lang w:eastAsia="zh-CN"/>
              </w:rPr>
              <w:t>15</w:t>
            </w:r>
          </w:p>
        </w:tc>
      </w:tr>
      <w:tr w:rsidR="00303A2A" w:rsidRPr="00303A2A" w14:paraId="21A43E3F" w14:textId="77777777" w:rsidTr="00B733DC">
        <w:trPr>
          <w:trHeight w:val="151"/>
          <w:jc w:val="center"/>
        </w:trPr>
        <w:tc>
          <w:tcPr>
            <w:tcW w:w="4923" w:type="dxa"/>
          </w:tcPr>
          <w:p w14:paraId="7D9D2BCA" w14:textId="03009125" w:rsidR="00303A2A" w:rsidRPr="00B733DC" w:rsidRDefault="00B733DC" w:rsidP="00303A2A">
            <w:pPr>
              <w:widowControl w:val="0"/>
              <w:numPr>
                <w:ilvl w:val="0"/>
                <w:numId w:val="1"/>
              </w:numPr>
              <w:suppressAutoHyphens w:val="0"/>
              <w:autoSpaceDE w:val="0"/>
              <w:autoSpaceDN w:val="0"/>
              <w:spacing w:after="0" w:line="240" w:lineRule="auto"/>
              <w:ind w:leftChars="0" w:firstLineChars="0"/>
              <w:jc w:val="both"/>
              <w:textDirection w:val="lrTb"/>
              <w:textAlignment w:val="auto"/>
              <w:outlineLvl w:val="9"/>
              <w:rPr>
                <w:rFonts w:ascii="Times New Roman" w:eastAsia="Times New Roman" w:hAnsi="Times New Roman" w:cs="Times New Roman"/>
                <w:position w:val="0"/>
                <w:sz w:val="20"/>
                <w:szCs w:val="20"/>
                <w:lang w:eastAsia="zh-CN"/>
              </w:rPr>
            </w:pPr>
            <w:r>
              <w:rPr>
                <w:rFonts w:ascii="Times New Roman" w:eastAsia="Times New Roman" w:hAnsi="Times New Roman" w:cs="Times New Roman"/>
                <w:position w:val="0"/>
                <w:sz w:val="20"/>
                <w:szCs w:val="20"/>
                <w:lang w:eastAsia="zh-CN"/>
              </w:rPr>
              <w:t>Public p</w:t>
            </w:r>
            <w:r w:rsidR="00303A2A" w:rsidRPr="00B733DC">
              <w:rPr>
                <w:rFonts w:ascii="Times New Roman" w:eastAsia="Times New Roman" w:hAnsi="Times New Roman" w:cs="Times New Roman"/>
                <w:position w:val="0"/>
                <w:sz w:val="20"/>
                <w:szCs w:val="20"/>
                <w:lang w:eastAsia="zh-CN"/>
              </w:rPr>
              <w:t>erception of HFCV</w:t>
            </w:r>
          </w:p>
        </w:tc>
        <w:tc>
          <w:tcPr>
            <w:tcW w:w="1598" w:type="dxa"/>
          </w:tcPr>
          <w:p w14:paraId="11A5D334" w14:textId="31ED950D" w:rsidR="00303A2A" w:rsidRPr="00303A2A" w:rsidRDefault="002E00E1"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eastAsia="zh-CN"/>
              </w:rPr>
            </w:pPr>
            <w:r>
              <w:rPr>
                <w:rFonts w:ascii="Times New Roman" w:eastAsia="Times New Roman" w:hAnsi="Times New Roman" w:cs="Times New Roman"/>
                <w:position w:val="0"/>
                <w:sz w:val="20"/>
                <w:szCs w:val="20"/>
                <w:lang w:eastAsia="zh-CN"/>
              </w:rPr>
              <w:t>8</w:t>
            </w:r>
          </w:p>
        </w:tc>
      </w:tr>
      <w:tr w:rsidR="00303A2A" w:rsidRPr="00303A2A" w14:paraId="370569C1" w14:textId="77777777" w:rsidTr="00B733DC">
        <w:trPr>
          <w:trHeight w:val="217"/>
          <w:jc w:val="center"/>
        </w:trPr>
        <w:tc>
          <w:tcPr>
            <w:tcW w:w="4923" w:type="dxa"/>
            <w:tcBorders>
              <w:bottom w:val="single" w:sz="4" w:space="0" w:color="auto"/>
            </w:tcBorders>
          </w:tcPr>
          <w:p w14:paraId="34F4ADE3" w14:textId="589A2577" w:rsidR="00303A2A" w:rsidRPr="00B733DC" w:rsidRDefault="00303A2A" w:rsidP="00303A2A">
            <w:pPr>
              <w:widowControl w:val="0"/>
              <w:numPr>
                <w:ilvl w:val="0"/>
                <w:numId w:val="1"/>
              </w:numPr>
              <w:suppressAutoHyphens w:val="0"/>
              <w:autoSpaceDE w:val="0"/>
              <w:autoSpaceDN w:val="0"/>
              <w:spacing w:after="0" w:line="240" w:lineRule="auto"/>
              <w:ind w:leftChars="0" w:left="630" w:firstLineChars="0" w:hanging="270"/>
              <w:jc w:val="both"/>
              <w:textDirection w:val="lrTb"/>
              <w:textAlignment w:val="auto"/>
              <w:outlineLvl w:val="9"/>
              <w:rPr>
                <w:rFonts w:ascii="Times New Roman" w:eastAsia="Times New Roman" w:hAnsi="Times New Roman" w:cs="Times New Roman"/>
                <w:position w:val="0"/>
                <w:sz w:val="20"/>
                <w:szCs w:val="20"/>
                <w:lang w:eastAsia="zh-CN"/>
              </w:rPr>
            </w:pPr>
            <w:r w:rsidRPr="00B733DC">
              <w:rPr>
                <w:rFonts w:ascii="Times New Roman" w:eastAsia="Times New Roman" w:hAnsi="Times New Roman" w:cs="Times New Roman"/>
                <w:position w:val="0"/>
                <w:sz w:val="20"/>
                <w:szCs w:val="20"/>
                <w:lang w:eastAsia="zh-CN"/>
              </w:rPr>
              <w:t xml:space="preserve"> Public’s </w:t>
            </w:r>
            <w:r w:rsidR="00B733DC" w:rsidRPr="00B733DC">
              <w:rPr>
                <w:rFonts w:ascii="Times New Roman" w:eastAsia="Times New Roman" w:hAnsi="Times New Roman" w:cs="Times New Roman"/>
                <w:position w:val="0"/>
                <w:sz w:val="20"/>
                <w:szCs w:val="20"/>
                <w:lang w:eastAsia="zh-CN"/>
              </w:rPr>
              <w:t>agreement on the economic benefits &amp; challenges o</w:t>
            </w:r>
            <w:r w:rsidR="00B733DC">
              <w:rPr>
                <w:rFonts w:ascii="Times New Roman" w:eastAsia="Times New Roman" w:hAnsi="Times New Roman" w:cs="Times New Roman"/>
                <w:position w:val="0"/>
                <w:sz w:val="20"/>
                <w:szCs w:val="20"/>
                <w:lang w:eastAsia="zh-CN"/>
              </w:rPr>
              <w:t>f HFCV a</w:t>
            </w:r>
            <w:r w:rsidRPr="00B733DC">
              <w:rPr>
                <w:rFonts w:ascii="Times New Roman" w:eastAsia="Times New Roman" w:hAnsi="Times New Roman" w:cs="Times New Roman"/>
                <w:position w:val="0"/>
                <w:sz w:val="20"/>
                <w:szCs w:val="20"/>
                <w:lang w:eastAsia="zh-CN"/>
              </w:rPr>
              <w:t>doption</w:t>
            </w:r>
          </w:p>
        </w:tc>
        <w:tc>
          <w:tcPr>
            <w:tcW w:w="1598" w:type="dxa"/>
            <w:tcBorders>
              <w:bottom w:val="single" w:sz="4" w:space="0" w:color="auto"/>
            </w:tcBorders>
          </w:tcPr>
          <w:p w14:paraId="29BF9D61"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eastAsia="zh-CN"/>
              </w:rPr>
            </w:pPr>
            <w:r w:rsidRPr="00303A2A">
              <w:rPr>
                <w:rFonts w:ascii="Times New Roman" w:eastAsia="Times New Roman" w:hAnsi="Times New Roman" w:cs="Times New Roman"/>
                <w:position w:val="0"/>
                <w:sz w:val="20"/>
                <w:szCs w:val="20"/>
                <w:lang w:eastAsia="zh-CN"/>
              </w:rPr>
              <w:t xml:space="preserve">8 </w:t>
            </w:r>
          </w:p>
        </w:tc>
      </w:tr>
      <w:tr w:rsidR="00303A2A" w:rsidRPr="00303A2A" w14:paraId="43F641B5" w14:textId="77777777" w:rsidTr="00B733DC">
        <w:trPr>
          <w:trHeight w:val="268"/>
          <w:jc w:val="center"/>
        </w:trPr>
        <w:tc>
          <w:tcPr>
            <w:tcW w:w="4923" w:type="dxa"/>
            <w:tcBorders>
              <w:top w:val="single" w:sz="4" w:space="0" w:color="auto"/>
              <w:bottom w:val="single" w:sz="4" w:space="0" w:color="auto"/>
            </w:tcBorders>
          </w:tcPr>
          <w:p w14:paraId="65B6F0F2" w14:textId="77777777" w:rsidR="00303A2A" w:rsidRPr="00303A2A" w:rsidRDefault="00303A2A" w:rsidP="00B733D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lang w:eastAsia="zh-CN"/>
              </w:rPr>
            </w:pPr>
            <w:r w:rsidRPr="00303A2A">
              <w:rPr>
                <w:rFonts w:ascii="Times New Roman" w:eastAsia="Times New Roman" w:hAnsi="Times New Roman" w:cs="Times New Roman"/>
                <w:b/>
                <w:position w:val="0"/>
                <w:sz w:val="20"/>
                <w:szCs w:val="20"/>
                <w:lang w:eastAsia="zh-CN"/>
              </w:rPr>
              <w:t>Total</w:t>
            </w:r>
          </w:p>
        </w:tc>
        <w:tc>
          <w:tcPr>
            <w:tcW w:w="1598" w:type="dxa"/>
            <w:tcBorders>
              <w:top w:val="single" w:sz="4" w:space="0" w:color="auto"/>
              <w:bottom w:val="single" w:sz="4" w:space="0" w:color="auto"/>
            </w:tcBorders>
          </w:tcPr>
          <w:p w14:paraId="364659F8" w14:textId="64DA3B90" w:rsidR="00303A2A" w:rsidRPr="00303A2A" w:rsidRDefault="00303A2A" w:rsidP="00B733DC">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lang w:eastAsia="zh-CN"/>
              </w:rPr>
            </w:pPr>
            <w:r w:rsidRPr="00303A2A">
              <w:rPr>
                <w:rFonts w:ascii="Times New Roman" w:eastAsia="Times New Roman" w:hAnsi="Times New Roman" w:cs="Times New Roman"/>
                <w:b/>
                <w:position w:val="0"/>
                <w:sz w:val="20"/>
                <w:szCs w:val="20"/>
                <w:lang w:eastAsia="zh-CN"/>
              </w:rPr>
              <w:t>3</w:t>
            </w:r>
            <w:r w:rsidR="002E00E1">
              <w:rPr>
                <w:rFonts w:ascii="Times New Roman" w:eastAsia="Times New Roman" w:hAnsi="Times New Roman" w:cs="Times New Roman"/>
                <w:b/>
                <w:position w:val="0"/>
                <w:sz w:val="20"/>
                <w:szCs w:val="20"/>
                <w:lang w:eastAsia="zh-CN"/>
              </w:rPr>
              <w:t>1</w:t>
            </w:r>
          </w:p>
        </w:tc>
      </w:tr>
    </w:tbl>
    <w:p w14:paraId="7BB8CBA2" w14:textId="5FF24FAA" w:rsidR="0057592A" w:rsidRPr="0006420D" w:rsidRDefault="0057592A" w:rsidP="00303A2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6DE70E50" w14:textId="77777777" w:rsidR="00501C7F" w:rsidRPr="0006420D" w:rsidRDefault="00501C7F" w:rsidP="00303A2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77934AD0" w14:textId="77777777" w:rsidR="00501C7F" w:rsidRDefault="003E5F8B" w:rsidP="00303A2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Results and discussion</w:t>
      </w:r>
    </w:p>
    <w:p w14:paraId="7B68F92A" w14:textId="541CFFEF" w:rsidR="0057592A" w:rsidRDefault="003E5F8B" w:rsidP="00303A2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172E5F65" w14:textId="530B320F" w:rsidR="00303A2A" w:rsidRDefault="00303A2A" w:rsidP="00303A2A">
      <w:pPr>
        <w:keepNext/>
        <w:keepLines/>
        <w:suppressAutoHyphens w:val="0"/>
        <w:spacing w:before="40" w:after="0" w:line="240" w:lineRule="auto"/>
        <w:ind w:leftChars="0" w:left="0" w:firstLineChars="0" w:firstLine="0"/>
        <w:textDirection w:val="lrTb"/>
        <w:textAlignment w:val="auto"/>
        <w:outlineLvl w:val="1"/>
        <w:rPr>
          <w:rFonts w:ascii="Times New Roman" w:eastAsia="Times New Roman" w:hAnsi="Times New Roman" w:cs="Times New Roman"/>
          <w:i/>
          <w:iCs/>
          <w:position w:val="0"/>
          <w:sz w:val="24"/>
          <w:szCs w:val="24"/>
        </w:rPr>
      </w:pPr>
      <w:r w:rsidRPr="00303A2A">
        <w:rPr>
          <w:rFonts w:ascii="Times New Roman" w:eastAsia="Times New Roman" w:hAnsi="Times New Roman" w:cs="Times New Roman"/>
          <w:i/>
          <w:iCs/>
          <w:position w:val="0"/>
          <w:sz w:val="24"/>
          <w:szCs w:val="24"/>
        </w:rPr>
        <w:t>Socio-</w:t>
      </w:r>
      <w:r w:rsidR="00E6621D" w:rsidRPr="00303A2A">
        <w:rPr>
          <w:rFonts w:ascii="Times New Roman" w:eastAsia="Times New Roman" w:hAnsi="Times New Roman" w:cs="Times New Roman"/>
          <w:i/>
          <w:iCs/>
          <w:position w:val="0"/>
          <w:sz w:val="24"/>
          <w:szCs w:val="24"/>
        </w:rPr>
        <w:t>demographic characteristics of respondents</w:t>
      </w:r>
    </w:p>
    <w:p w14:paraId="6F8C5A83" w14:textId="77777777" w:rsidR="00E6621D" w:rsidRPr="00303A2A" w:rsidRDefault="00E6621D" w:rsidP="00303A2A">
      <w:pPr>
        <w:keepNext/>
        <w:keepLines/>
        <w:suppressAutoHyphens w:val="0"/>
        <w:spacing w:before="40" w:after="0" w:line="240" w:lineRule="auto"/>
        <w:ind w:leftChars="0" w:left="0" w:firstLineChars="0" w:firstLine="0"/>
        <w:textDirection w:val="lrTb"/>
        <w:textAlignment w:val="auto"/>
        <w:outlineLvl w:val="1"/>
        <w:rPr>
          <w:rFonts w:ascii="Times New Roman" w:eastAsia="Times New Roman" w:hAnsi="Times New Roman" w:cs="Times New Roman"/>
          <w:i/>
          <w:iCs/>
          <w:position w:val="0"/>
          <w:sz w:val="24"/>
          <w:szCs w:val="24"/>
        </w:rPr>
      </w:pPr>
    </w:p>
    <w:p w14:paraId="690E60F5" w14:textId="65E22B9F" w:rsidR="00303A2A" w:rsidRDefault="00303A2A" w:rsidP="0006420D">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303A2A">
        <w:rPr>
          <w:rFonts w:ascii="Times New Roman" w:eastAsia="Times New Roman" w:hAnsi="Times New Roman" w:cs="Times New Roman"/>
          <w:position w:val="0"/>
          <w:sz w:val="24"/>
          <w:szCs w:val="24"/>
        </w:rPr>
        <w:t xml:space="preserve">Most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Bandar </w:t>
      </w:r>
      <w:proofErr w:type="spellStart"/>
      <w:r w:rsidRPr="00303A2A">
        <w:rPr>
          <w:rFonts w:ascii="Times New Roman" w:eastAsia="Times New Roman" w:hAnsi="Times New Roman" w:cs="Times New Roman"/>
          <w:position w:val="0"/>
          <w:sz w:val="24"/>
          <w:szCs w:val="24"/>
        </w:rPr>
        <w:t>Tun</w:t>
      </w:r>
      <w:proofErr w:type="spellEnd"/>
      <w:r w:rsidRPr="00303A2A">
        <w:rPr>
          <w:rFonts w:ascii="Times New Roman" w:eastAsia="Times New Roman" w:hAnsi="Times New Roman" w:cs="Times New Roman"/>
          <w:position w:val="0"/>
          <w:sz w:val="24"/>
          <w:szCs w:val="24"/>
        </w:rPr>
        <w:t xml:space="preserve"> Razak respondents were male at 51% and 51.1%, respectively</w:t>
      </w:r>
      <w:r w:rsidR="002E00E1">
        <w:rPr>
          <w:rFonts w:ascii="Times New Roman" w:eastAsia="Times New Roman" w:hAnsi="Times New Roman" w:cs="Times New Roman"/>
          <w:position w:val="0"/>
          <w:sz w:val="24"/>
          <w:szCs w:val="24"/>
        </w:rPr>
        <w:t xml:space="preserve"> (as shown in Table 2)</w:t>
      </w:r>
      <w:r w:rsidRPr="00303A2A">
        <w:rPr>
          <w:rFonts w:ascii="Times New Roman" w:eastAsia="Times New Roman" w:hAnsi="Times New Roman" w:cs="Times New Roman"/>
          <w:position w:val="0"/>
          <w:sz w:val="24"/>
          <w:szCs w:val="24"/>
        </w:rPr>
        <w:t xml:space="preserve">. All of the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95.6% of respondents from Bandar Tun Razak were Malaysian citizens. Most of the respondents were between 21-30 years old, with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at 72% and Bandar Tun Razak at 73%. The majority of the respondents also had </w:t>
      </w:r>
      <w:r w:rsidRPr="00303A2A">
        <w:rPr>
          <w:rFonts w:ascii="Times New Roman" w:eastAsia="Times New Roman" w:hAnsi="Times New Roman" w:cs="Times New Roman"/>
          <w:position w:val="0"/>
          <w:sz w:val="24"/>
          <w:szCs w:val="24"/>
        </w:rPr>
        <w:lastRenderedPageBreak/>
        <w:t xml:space="preserve">undergraduate degrees, with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at 83.5% and Bandar Tun Razak at 73.3%. The monthly household income of most of the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was between RM5,001-RM7,000. In Bandar Tun Razak, most respondents had a monthly household income of less than RM5,000, representing 76% of the respondents from the district. </w:t>
      </w:r>
    </w:p>
    <w:p w14:paraId="2407570F" w14:textId="77777777" w:rsidR="00303A2A" w:rsidRPr="00E6621D"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bCs/>
          <w:position w:val="0"/>
          <w:sz w:val="24"/>
          <w:szCs w:val="24"/>
        </w:rPr>
      </w:pPr>
    </w:p>
    <w:p w14:paraId="67AA8AD7" w14:textId="44080766" w:rsid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E6621D">
        <w:rPr>
          <w:rFonts w:ascii="Times New Roman" w:eastAsia="Times New Roman" w:hAnsi="Times New Roman" w:cs="Times New Roman"/>
          <w:b/>
          <w:bCs/>
          <w:position w:val="0"/>
          <w:sz w:val="20"/>
          <w:szCs w:val="20"/>
        </w:rPr>
        <w:t>Table 2</w:t>
      </w:r>
      <w:r w:rsidR="00E6621D" w:rsidRPr="00E6621D">
        <w:rPr>
          <w:rFonts w:ascii="Times New Roman" w:eastAsia="Times New Roman" w:hAnsi="Times New Roman" w:cs="Times New Roman"/>
          <w:b/>
          <w:bCs/>
          <w:position w:val="0"/>
          <w:sz w:val="20"/>
          <w:szCs w:val="20"/>
        </w:rPr>
        <w:t>.</w:t>
      </w:r>
      <w:r w:rsidR="00E6621D">
        <w:rPr>
          <w:rFonts w:ascii="Times New Roman" w:eastAsia="Times New Roman" w:hAnsi="Times New Roman" w:cs="Times New Roman"/>
          <w:position w:val="0"/>
          <w:sz w:val="20"/>
          <w:szCs w:val="20"/>
        </w:rPr>
        <w:t xml:space="preserve"> </w:t>
      </w:r>
      <w:r w:rsidRPr="00303A2A">
        <w:rPr>
          <w:rFonts w:ascii="Times New Roman" w:eastAsia="Times New Roman" w:hAnsi="Times New Roman" w:cs="Times New Roman"/>
          <w:position w:val="0"/>
          <w:sz w:val="20"/>
          <w:szCs w:val="20"/>
        </w:rPr>
        <w:t>The demographic profile of respondents from the districts in Kuala Lumpur</w:t>
      </w:r>
    </w:p>
    <w:p w14:paraId="0310BA90" w14:textId="77777777" w:rsidR="00E6621D" w:rsidRPr="00303A2A" w:rsidRDefault="00E6621D"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p>
    <w:tbl>
      <w:tblPr>
        <w:tblW w:w="0" w:type="auto"/>
        <w:jc w:val="center"/>
        <w:tblLook w:val="00A0" w:firstRow="1" w:lastRow="0" w:firstColumn="1" w:lastColumn="0" w:noHBand="0" w:noVBand="0"/>
      </w:tblPr>
      <w:tblGrid>
        <w:gridCol w:w="2167"/>
        <w:gridCol w:w="1887"/>
        <w:gridCol w:w="199"/>
        <w:gridCol w:w="1348"/>
        <w:gridCol w:w="1820"/>
        <w:gridCol w:w="1595"/>
      </w:tblGrid>
      <w:tr w:rsidR="001E4B68" w:rsidRPr="00303A2A" w14:paraId="18E54429" w14:textId="77777777" w:rsidTr="00782932">
        <w:trPr>
          <w:jc w:val="center"/>
        </w:trPr>
        <w:tc>
          <w:tcPr>
            <w:tcW w:w="2167" w:type="dxa"/>
            <w:vMerge w:val="restart"/>
            <w:tcBorders>
              <w:top w:val="single" w:sz="4" w:space="0" w:color="auto"/>
            </w:tcBorders>
            <w:shd w:val="clear" w:color="auto" w:fill="B8CCE4" w:themeFill="accent1" w:themeFillTint="66"/>
          </w:tcPr>
          <w:p w14:paraId="149D5344" w14:textId="047C1691" w:rsidR="001E4B68" w:rsidRPr="00303A2A" w:rsidRDefault="001E4B68" w:rsidP="00303A2A">
            <w:pPr>
              <w:spacing w:after="0" w:line="240" w:lineRule="auto"/>
              <w:ind w:left="0" w:hanging="2"/>
              <w:jc w:val="center"/>
              <w:rPr>
                <w:rFonts w:ascii="Times New Roman" w:eastAsia="Times New Roman" w:hAnsi="Times New Roman" w:cs="Times New Roman"/>
                <w:position w:val="0"/>
                <w:sz w:val="20"/>
                <w:szCs w:val="20"/>
              </w:rPr>
            </w:pPr>
            <w:r>
              <w:rPr>
                <w:rFonts w:ascii="Times New Roman" w:eastAsia="Times New Roman" w:hAnsi="Times New Roman" w:cs="Times New Roman"/>
                <w:b/>
                <w:bCs/>
                <w:position w:val="0"/>
                <w:sz w:val="20"/>
                <w:szCs w:val="20"/>
              </w:rPr>
              <w:t>Demographic v</w:t>
            </w:r>
            <w:r w:rsidRPr="00303A2A">
              <w:rPr>
                <w:rFonts w:ascii="Times New Roman" w:eastAsia="Times New Roman" w:hAnsi="Times New Roman" w:cs="Times New Roman"/>
                <w:b/>
                <w:bCs/>
                <w:position w:val="0"/>
                <w:sz w:val="20"/>
                <w:szCs w:val="20"/>
              </w:rPr>
              <w:t>ariable</w:t>
            </w:r>
          </w:p>
        </w:tc>
        <w:tc>
          <w:tcPr>
            <w:tcW w:w="3434" w:type="dxa"/>
            <w:gridSpan w:val="3"/>
            <w:tcBorders>
              <w:top w:val="single" w:sz="4" w:space="0" w:color="auto"/>
              <w:bottom w:val="single" w:sz="4" w:space="0" w:color="auto"/>
            </w:tcBorders>
            <w:shd w:val="clear" w:color="auto" w:fill="B8CCE4" w:themeFill="accent1" w:themeFillTint="66"/>
          </w:tcPr>
          <w:p w14:paraId="72902686" w14:textId="77777777" w:rsidR="001E4B68" w:rsidRPr="00303A2A" w:rsidRDefault="001E4B68"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rPr>
            </w:pPr>
            <w:proofErr w:type="spellStart"/>
            <w:r w:rsidRPr="00303A2A">
              <w:rPr>
                <w:rFonts w:ascii="Times New Roman" w:eastAsia="Times New Roman" w:hAnsi="Times New Roman" w:cs="Times New Roman"/>
                <w:b/>
                <w:bCs/>
                <w:position w:val="0"/>
                <w:sz w:val="20"/>
                <w:szCs w:val="20"/>
              </w:rPr>
              <w:t>Cheras</w:t>
            </w:r>
            <w:proofErr w:type="spellEnd"/>
            <w:r w:rsidRPr="00303A2A">
              <w:rPr>
                <w:rFonts w:ascii="Times New Roman" w:eastAsia="Times New Roman" w:hAnsi="Times New Roman" w:cs="Times New Roman"/>
                <w:b/>
                <w:bCs/>
                <w:position w:val="0"/>
                <w:sz w:val="20"/>
                <w:szCs w:val="20"/>
              </w:rPr>
              <w:t xml:space="preserve"> </w:t>
            </w:r>
          </w:p>
        </w:tc>
        <w:tc>
          <w:tcPr>
            <w:tcW w:w="3415" w:type="dxa"/>
            <w:gridSpan w:val="2"/>
            <w:tcBorders>
              <w:top w:val="single" w:sz="4" w:space="0" w:color="auto"/>
              <w:bottom w:val="single" w:sz="4" w:space="0" w:color="auto"/>
            </w:tcBorders>
            <w:shd w:val="clear" w:color="auto" w:fill="B8CCE4" w:themeFill="accent1" w:themeFillTint="66"/>
          </w:tcPr>
          <w:p w14:paraId="1F22E62E" w14:textId="77777777" w:rsidR="001E4B68" w:rsidRPr="00303A2A" w:rsidRDefault="001E4B68"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rPr>
            </w:pPr>
            <w:r w:rsidRPr="00303A2A">
              <w:rPr>
                <w:rFonts w:ascii="Times New Roman" w:eastAsia="Times New Roman" w:hAnsi="Times New Roman" w:cs="Times New Roman"/>
                <w:b/>
                <w:bCs/>
                <w:position w:val="0"/>
                <w:sz w:val="20"/>
                <w:szCs w:val="20"/>
              </w:rPr>
              <w:t xml:space="preserve">Bandar Tun Razak </w:t>
            </w:r>
          </w:p>
        </w:tc>
      </w:tr>
      <w:tr w:rsidR="001E4B68" w:rsidRPr="00303A2A" w14:paraId="309700B8" w14:textId="77777777" w:rsidTr="00782932">
        <w:trPr>
          <w:jc w:val="center"/>
        </w:trPr>
        <w:tc>
          <w:tcPr>
            <w:tcW w:w="2167" w:type="dxa"/>
            <w:vMerge/>
            <w:tcBorders>
              <w:bottom w:val="single" w:sz="4" w:space="0" w:color="auto"/>
            </w:tcBorders>
            <w:shd w:val="clear" w:color="auto" w:fill="B8CCE4" w:themeFill="accent1" w:themeFillTint="66"/>
          </w:tcPr>
          <w:p w14:paraId="2E749D61" w14:textId="706D0180" w:rsidR="001E4B68" w:rsidRPr="00303A2A" w:rsidRDefault="001E4B68"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rPr>
            </w:pPr>
          </w:p>
        </w:tc>
        <w:tc>
          <w:tcPr>
            <w:tcW w:w="1887" w:type="dxa"/>
            <w:tcBorders>
              <w:top w:val="single" w:sz="4" w:space="0" w:color="auto"/>
              <w:bottom w:val="single" w:sz="4" w:space="0" w:color="auto"/>
            </w:tcBorders>
            <w:shd w:val="clear" w:color="auto" w:fill="B8CCE4" w:themeFill="accent1" w:themeFillTint="66"/>
          </w:tcPr>
          <w:p w14:paraId="4AC66CD4" w14:textId="77777777" w:rsidR="001E4B68" w:rsidRPr="00303A2A" w:rsidRDefault="001E4B68"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rPr>
            </w:pPr>
            <w:r w:rsidRPr="00303A2A">
              <w:rPr>
                <w:rFonts w:ascii="Times New Roman" w:eastAsia="Times New Roman" w:hAnsi="Times New Roman" w:cs="Times New Roman"/>
                <w:b/>
                <w:bCs/>
                <w:position w:val="0"/>
                <w:sz w:val="20"/>
                <w:szCs w:val="20"/>
              </w:rPr>
              <w:t>Majority</w:t>
            </w:r>
          </w:p>
        </w:tc>
        <w:tc>
          <w:tcPr>
            <w:tcW w:w="1547" w:type="dxa"/>
            <w:gridSpan w:val="2"/>
            <w:tcBorders>
              <w:top w:val="single" w:sz="4" w:space="0" w:color="auto"/>
              <w:bottom w:val="single" w:sz="4" w:space="0" w:color="auto"/>
            </w:tcBorders>
            <w:shd w:val="clear" w:color="auto" w:fill="B8CCE4" w:themeFill="accent1" w:themeFillTint="66"/>
          </w:tcPr>
          <w:p w14:paraId="3949CBA5" w14:textId="77777777" w:rsidR="001E4B68" w:rsidRPr="00303A2A" w:rsidRDefault="001E4B68"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rPr>
            </w:pPr>
            <w:r w:rsidRPr="00303A2A">
              <w:rPr>
                <w:rFonts w:ascii="Times New Roman" w:eastAsia="Times New Roman" w:hAnsi="Times New Roman" w:cs="Times New Roman"/>
                <w:b/>
                <w:bCs/>
                <w:position w:val="0"/>
                <w:sz w:val="20"/>
                <w:szCs w:val="20"/>
              </w:rPr>
              <w:t>(%)</w:t>
            </w:r>
          </w:p>
        </w:tc>
        <w:tc>
          <w:tcPr>
            <w:tcW w:w="1820" w:type="dxa"/>
            <w:tcBorders>
              <w:top w:val="single" w:sz="4" w:space="0" w:color="auto"/>
              <w:bottom w:val="single" w:sz="4" w:space="0" w:color="auto"/>
            </w:tcBorders>
            <w:shd w:val="clear" w:color="auto" w:fill="B8CCE4" w:themeFill="accent1" w:themeFillTint="66"/>
          </w:tcPr>
          <w:p w14:paraId="5F164F7B" w14:textId="77777777" w:rsidR="001E4B68" w:rsidRPr="00303A2A" w:rsidRDefault="001E4B68"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rPr>
            </w:pPr>
            <w:r w:rsidRPr="00303A2A">
              <w:rPr>
                <w:rFonts w:ascii="Times New Roman" w:eastAsia="Times New Roman" w:hAnsi="Times New Roman" w:cs="Times New Roman"/>
                <w:b/>
                <w:bCs/>
                <w:position w:val="0"/>
                <w:sz w:val="20"/>
                <w:szCs w:val="20"/>
              </w:rPr>
              <w:t>Majority</w:t>
            </w:r>
          </w:p>
        </w:tc>
        <w:tc>
          <w:tcPr>
            <w:tcW w:w="1595" w:type="dxa"/>
            <w:tcBorders>
              <w:top w:val="single" w:sz="4" w:space="0" w:color="auto"/>
              <w:bottom w:val="single" w:sz="4" w:space="0" w:color="auto"/>
            </w:tcBorders>
            <w:shd w:val="clear" w:color="auto" w:fill="B8CCE4" w:themeFill="accent1" w:themeFillTint="66"/>
          </w:tcPr>
          <w:p w14:paraId="75F41A04" w14:textId="77777777" w:rsidR="001E4B68" w:rsidRPr="00303A2A" w:rsidRDefault="001E4B68"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rPr>
            </w:pPr>
            <w:r w:rsidRPr="00303A2A">
              <w:rPr>
                <w:rFonts w:ascii="Times New Roman" w:eastAsia="Times New Roman" w:hAnsi="Times New Roman" w:cs="Times New Roman"/>
                <w:b/>
                <w:bCs/>
                <w:position w:val="0"/>
                <w:sz w:val="20"/>
                <w:szCs w:val="20"/>
              </w:rPr>
              <w:t>(%)</w:t>
            </w:r>
          </w:p>
        </w:tc>
      </w:tr>
      <w:tr w:rsidR="00303A2A" w:rsidRPr="00303A2A" w14:paraId="28E45802" w14:textId="77777777" w:rsidTr="00E07494">
        <w:trPr>
          <w:jc w:val="center"/>
        </w:trPr>
        <w:tc>
          <w:tcPr>
            <w:tcW w:w="2167" w:type="dxa"/>
            <w:tcBorders>
              <w:top w:val="single" w:sz="4" w:space="0" w:color="auto"/>
            </w:tcBorders>
          </w:tcPr>
          <w:p w14:paraId="2C0350A9" w14:textId="77777777" w:rsidR="00303A2A" w:rsidRPr="00303A2A" w:rsidRDefault="00303A2A" w:rsidP="001E4B68">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Gender</w:t>
            </w:r>
          </w:p>
        </w:tc>
        <w:tc>
          <w:tcPr>
            <w:tcW w:w="2086" w:type="dxa"/>
            <w:gridSpan w:val="2"/>
            <w:tcBorders>
              <w:top w:val="single" w:sz="4" w:space="0" w:color="auto"/>
            </w:tcBorders>
          </w:tcPr>
          <w:p w14:paraId="163A379E" w14:textId="77777777" w:rsidR="00303A2A" w:rsidRPr="00303A2A" w:rsidRDefault="00303A2A" w:rsidP="00E07494">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Male</w:t>
            </w:r>
          </w:p>
        </w:tc>
        <w:tc>
          <w:tcPr>
            <w:tcW w:w="1348" w:type="dxa"/>
            <w:tcBorders>
              <w:top w:val="single" w:sz="4" w:space="0" w:color="auto"/>
            </w:tcBorders>
          </w:tcPr>
          <w:p w14:paraId="5274622B"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51.0</w:t>
            </w:r>
          </w:p>
        </w:tc>
        <w:tc>
          <w:tcPr>
            <w:tcW w:w="1820" w:type="dxa"/>
            <w:tcBorders>
              <w:top w:val="single" w:sz="4" w:space="0" w:color="auto"/>
            </w:tcBorders>
          </w:tcPr>
          <w:p w14:paraId="55E6E72F" w14:textId="77777777" w:rsidR="00303A2A" w:rsidRPr="00303A2A" w:rsidRDefault="00303A2A" w:rsidP="00E07494">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Male</w:t>
            </w:r>
          </w:p>
        </w:tc>
        <w:tc>
          <w:tcPr>
            <w:tcW w:w="1595" w:type="dxa"/>
            <w:tcBorders>
              <w:top w:val="single" w:sz="4" w:space="0" w:color="auto"/>
            </w:tcBorders>
          </w:tcPr>
          <w:p w14:paraId="163FCE91"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51.1</w:t>
            </w:r>
          </w:p>
        </w:tc>
      </w:tr>
      <w:tr w:rsidR="00303A2A" w:rsidRPr="00303A2A" w14:paraId="063B4910" w14:textId="77777777" w:rsidTr="00E07494">
        <w:trPr>
          <w:jc w:val="center"/>
        </w:trPr>
        <w:tc>
          <w:tcPr>
            <w:tcW w:w="2167" w:type="dxa"/>
          </w:tcPr>
          <w:p w14:paraId="5B111B91" w14:textId="77777777" w:rsidR="00303A2A" w:rsidRPr="00303A2A" w:rsidRDefault="00303A2A" w:rsidP="001E4B68">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Citizenship</w:t>
            </w:r>
          </w:p>
        </w:tc>
        <w:tc>
          <w:tcPr>
            <w:tcW w:w="2086" w:type="dxa"/>
            <w:gridSpan w:val="2"/>
          </w:tcPr>
          <w:p w14:paraId="3A5B7785" w14:textId="77777777" w:rsidR="00303A2A" w:rsidRPr="00303A2A" w:rsidRDefault="00303A2A" w:rsidP="00E07494">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Citizen</w:t>
            </w:r>
          </w:p>
        </w:tc>
        <w:tc>
          <w:tcPr>
            <w:tcW w:w="1348" w:type="dxa"/>
          </w:tcPr>
          <w:p w14:paraId="62050E18"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100.0</w:t>
            </w:r>
          </w:p>
        </w:tc>
        <w:tc>
          <w:tcPr>
            <w:tcW w:w="1820" w:type="dxa"/>
          </w:tcPr>
          <w:p w14:paraId="76FA9452" w14:textId="77777777" w:rsidR="00303A2A" w:rsidRPr="00303A2A" w:rsidRDefault="00303A2A" w:rsidP="00E07494">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Citizen</w:t>
            </w:r>
          </w:p>
        </w:tc>
        <w:tc>
          <w:tcPr>
            <w:tcW w:w="1595" w:type="dxa"/>
          </w:tcPr>
          <w:p w14:paraId="0618F352"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95.6</w:t>
            </w:r>
          </w:p>
        </w:tc>
      </w:tr>
      <w:tr w:rsidR="00303A2A" w:rsidRPr="00303A2A" w14:paraId="5B97FCC5" w14:textId="77777777" w:rsidTr="00E07494">
        <w:trPr>
          <w:jc w:val="center"/>
        </w:trPr>
        <w:tc>
          <w:tcPr>
            <w:tcW w:w="2167" w:type="dxa"/>
          </w:tcPr>
          <w:p w14:paraId="2B6EAE1A" w14:textId="77777777" w:rsidR="00303A2A" w:rsidRPr="00303A2A" w:rsidRDefault="00303A2A" w:rsidP="001E4B68">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Age</w:t>
            </w:r>
          </w:p>
        </w:tc>
        <w:tc>
          <w:tcPr>
            <w:tcW w:w="2086" w:type="dxa"/>
            <w:gridSpan w:val="2"/>
          </w:tcPr>
          <w:p w14:paraId="5019D344" w14:textId="77777777" w:rsidR="00303A2A" w:rsidRPr="00303A2A" w:rsidRDefault="00303A2A" w:rsidP="00E07494">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21-30 years old</w:t>
            </w:r>
          </w:p>
        </w:tc>
        <w:tc>
          <w:tcPr>
            <w:tcW w:w="1348" w:type="dxa"/>
          </w:tcPr>
          <w:p w14:paraId="09CABDE9"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72.0</w:t>
            </w:r>
          </w:p>
        </w:tc>
        <w:tc>
          <w:tcPr>
            <w:tcW w:w="1820" w:type="dxa"/>
          </w:tcPr>
          <w:p w14:paraId="41E43DD4" w14:textId="77777777" w:rsidR="00303A2A" w:rsidRPr="00303A2A" w:rsidRDefault="00303A2A" w:rsidP="00E07494">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21-30 years old</w:t>
            </w:r>
          </w:p>
        </w:tc>
        <w:tc>
          <w:tcPr>
            <w:tcW w:w="1595" w:type="dxa"/>
          </w:tcPr>
          <w:p w14:paraId="6C24D1F8"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73.0</w:t>
            </w:r>
          </w:p>
        </w:tc>
      </w:tr>
      <w:tr w:rsidR="00303A2A" w:rsidRPr="00303A2A" w14:paraId="70CB9AE5" w14:textId="77777777" w:rsidTr="00E07494">
        <w:trPr>
          <w:jc w:val="center"/>
        </w:trPr>
        <w:tc>
          <w:tcPr>
            <w:tcW w:w="2167" w:type="dxa"/>
          </w:tcPr>
          <w:p w14:paraId="70C8FE23" w14:textId="574194F4" w:rsidR="00303A2A" w:rsidRPr="00303A2A" w:rsidRDefault="001E4B68" w:rsidP="001E4B68">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Pr>
                <w:rFonts w:ascii="Times New Roman" w:eastAsia="Times New Roman" w:hAnsi="Times New Roman" w:cs="Times New Roman"/>
                <w:bCs/>
                <w:position w:val="0"/>
                <w:sz w:val="20"/>
                <w:szCs w:val="20"/>
              </w:rPr>
              <w:t>Education l</w:t>
            </w:r>
            <w:r w:rsidR="00303A2A" w:rsidRPr="00303A2A">
              <w:rPr>
                <w:rFonts w:ascii="Times New Roman" w:eastAsia="Times New Roman" w:hAnsi="Times New Roman" w:cs="Times New Roman"/>
                <w:bCs/>
                <w:position w:val="0"/>
                <w:sz w:val="20"/>
                <w:szCs w:val="20"/>
              </w:rPr>
              <w:t>evel</w:t>
            </w:r>
          </w:p>
        </w:tc>
        <w:tc>
          <w:tcPr>
            <w:tcW w:w="2086" w:type="dxa"/>
            <w:gridSpan w:val="2"/>
          </w:tcPr>
          <w:p w14:paraId="69CA661F" w14:textId="77777777" w:rsidR="00303A2A" w:rsidRPr="00303A2A" w:rsidRDefault="00303A2A" w:rsidP="00E07494">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Degree</w:t>
            </w:r>
          </w:p>
        </w:tc>
        <w:tc>
          <w:tcPr>
            <w:tcW w:w="1348" w:type="dxa"/>
          </w:tcPr>
          <w:p w14:paraId="14BC9233"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83.5</w:t>
            </w:r>
          </w:p>
        </w:tc>
        <w:tc>
          <w:tcPr>
            <w:tcW w:w="1820" w:type="dxa"/>
          </w:tcPr>
          <w:p w14:paraId="21416753" w14:textId="77777777" w:rsidR="00303A2A" w:rsidRPr="00303A2A" w:rsidRDefault="00303A2A" w:rsidP="00E07494">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Degree</w:t>
            </w:r>
          </w:p>
        </w:tc>
        <w:tc>
          <w:tcPr>
            <w:tcW w:w="1595" w:type="dxa"/>
          </w:tcPr>
          <w:p w14:paraId="6525A8DA"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73.3</w:t>
            </w:r>
          </w:p>
        </w:tc>
      </w:tr>
      <w:tr w:rsidR="00303A2A" w:rsidRPr="00303A2A" w14:paraId="7C97D211" w14:textId="77777777" w:rsidTr="00E07494">
        <w:trPr>
          <w:jc w:val="center"/>
        </w:trPr>
        <w:tc>
          <w:tcPr>
            <w:tcW w:w="2167" w:type="dxa"/>
          </w:tcPr>
          <w:p w14:paraId="4E022C04" w14:textId="59A8CD91" w:rsidR="00303A2A" w:rsidRPr="00303A2A" w:rsidRDefault="001E4B68" w:rsidP="001E4B68">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Pr>
                <w:rFonts w:ascii="Times New Roman" w:eastAsia="Times New Roman" w:hAnsi="Times New Roman" w:cs="Times New Roman"/>
                <w:bCs/>
                <w:position w:val="0"/>
                <w:sz w:val="20"/>
                <w:szCs w:val="20"/>
              </w:rPr>
              <w:t>Occupational s</w:t>
            </w:r>
            <w:r w:rsidR="00303A2A" w:rsidRPr="00303A2A">
              <w:rPr>
                <w:rFonts w:ascii="Times New Roman" w:eastAsia="Times New Roman" w:hAnsi="Times New Roman" w:cs="Times New Roman"/>
                <w:bCs/>
                <w:position w:val="0"/>
                <w:sz w:val="20"/>
                <w:szCs w:val="20"/>
              </w:rPr>
              <w:t>ector</w:t>
            </w:r>
          </w:p>
        </w:tc>
        <w:tc>
          <w:tcPr>
            <w:tcW w:w="2086" w:type="dxa"/>
            <w:gridSpan w:val="2"/>
          </w:tcPr>
          <w:p w14:paraId="445F73CA" w14:textId="77777777" w:rsidR="00303A2A" w:rsidRPr="00303A2A" w:rsidRDefault="00303A2A" w:rsidP="00E07494">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Government</w:t>
            </w:r>
          </w:p>
        </w:tc>
        <w:tc>
          <w:tcPr>
            <w:tcW w:w="1348" w:type="dxa"/>
          </w:tcPr>
          <w:p w14:paraId="1CE9DA29"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75.0</w:t>
            </w:r>
          </w:p>
        </w:tc>
        <w:tc>
          <w:tcPr>
            <w:tcW w:w="1820" w:type="dxa"/>
          </w:tcPr>
          <w:p w14:paraId="52631F33" w14:textId="57FCB007" w:rsidR="00303A2A" w:rsidRPr="00303A2A" w:rsidRDefault="001E4B68" w:rsidP="00E07494">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Pr>
                <w:rFonts w:ascii="Times New Roman" w:eastAsia="Times New Roman" w:hAnsi="Times New Roman" w:cs="Times New Roman"/>
                <w:position w:val="0"/>
                <w:sz w:val="20"/>
                <w:szCs w:val="20"/>
              </w:rPr>
              <w:t>Private s</w:t>
            </w:r>
            <w:r w:rsidR="00303A2A" w:rsidRPr="00303A2A">
              <w:rPr>
                <w:rFonts w:ascii="Times New Roman" w:eastAsia="Times New Roman" w:hAnsi="Times New Roman" w:cs="Times New Roman"/>
                <w:position w:val="0"/>
                <w:sz w:val="20"/>
                <w:szCs w:val="20"/>
              </w:rPr>
              <w:t>ector</w:t>
            </w:r>
          </w:p>
        </w:tc>
        <w:tc>
          <w:tcPr>
            <w:tcW w:w="1595" w:type="dxa"/>
          </w:tcPr>
          <w:p w14:paraId="3FB0CC3B"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51.0</w:t>
            </w:r>
          </w:p>
        </w:tc>
      </w:tr>
      <w:tr w:rsidR="00303A2A" w:rsidRPr="00303A2A" w14:paraId="6D3EACB4" w14:textId="77777777" w:rsidTr="00E07494">
        <w:trPr>
          <w:jc w:val="center"/>
        </w:trPr>
        <w:tc>
          <w:tcPr>
            <w:tcW w:w="2167" w:type="dxa"/>
            <w:tcBorders>
              <w:bottom w:val="single" w:sz="4" w:space="0" w:color="auto"/>
            </w:tcBorders>
          </w:tcPr>
          <w:p w14:paraId="6762BFD3" w14:textId="77777777" w:rsidR="00303A2A" w:rsidRPr="00303A2A" w:rsidRDefault="00303A2A" w:rsidP="001E4B68">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Monthly household Income</w:t>
            </w:r>
          </w:p>
        </w:tc>
        <w:tc>
          <w:tcPr>
            <w:tcW w:w="2086" w:type="dxa"/>
            <w:gridSpan w:val="2"/>
            <w:tcBorders>
              <w:bottom w:val="single" w:sz="4" w:space="0" w:color="auto"/>
            </w:tcBorders>
          </w:tcPr>
          <w:p w14:paraId="5265DFFC" w14:textId="77777777" w:rsidR="00303A2A" w:rsidRPr="00303A2A" w:rsidRDefault="00303A2A" w:rsidP="00E07494">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RM5,001 – RM7,000</w:t>
            </w:r>
          </w:p>
        </w:tc>
        <w:tc>
          <w:tcPr>
            <w:tcW w:w="1348" w:type="dxa"/>
            <w:tcBorders>
              <w:bottom w:val="single" w:sz="4" w:space="0" w:color="auto"/>
            </w:tcBorders>
          </w:tcPr>
          <w:p w14:paraId="294EBAB0"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81.0</w:t>
            </w:r>
          </w:p>
        </w:tc>
        <w:tc>
          <w:tcPr>
            <w:tcW w:w="1820" w:type="dxa"/>
            <w:tcBorders>
              <w:bottom w:val="single" w:sz="4" w:space="0" w:color="auto"/>
            </w:tcBorders>
          </w:tcPr>
          <w:p w14:paraId="4C5CBA3E" w14:textId="77777777" w:rsidR="00303A2A" w:rsidRPr="00303A2A" w:rsidRDefault="00303A2A" w:rsidP="00E07494">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&lt;RM5,000</w:t>
            </w:r>
          </w:p>
        </w:tc>
        <w:tc>
          <w:tcPr>
            <w:tcW w:w="1595" w:type="dxa"/>
            <w:tcBorders>
              <w:bottom w:val="single" w:sz="4" w:space="0" w:color="auto"/>
            </w:tcBorders>
          </w:tcPr>
          <w:p w14:paraId="1C61C13B"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76.0</w:t>
            </w:r>
          </w:p>
        </w:tc>
      </w:tr>
    </w:tbl>
    <w:p w14:paraId="18745F0B" w14:textId="77777777" w:rsidR="00303A2A" w:rsidRP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0"/>
          <w:szCs w:val="20"/>
        </w:rPr>
      </w:pPr>
    </w:p>
    <w:p w14:paraId="436EE0F8" w14:textId="5FB38A7A" w:rsidR="00303A2A" w:rsidRPr="00303A2A" w:rsidRDefault="00303A2A" w:rsidP="00303A2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rPr>
      </w:pPr>
      <w:r w:rsidRPr="00303A2A">
        <w:rPr>
          <w:rFonts w:ascii="Times New Roman" w:eastAsia="Times New Roman" w:hAnsi="Times New Roman" w:cs="Times New Roman"/>
          <w:position w:val="0"/>
          <w:sz w:val="24"/>
          <w:szCs w:val="24"/>
        </w:rPr>
        <w:t xml:space="preserve">The study found that all respondents from Kuala Lumpur think that Malaysia will be able to produce HFCV. The study also found that all respondents from Kuala Lumpur were confident that HFCV could be operated successfully in Malaysia. All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Bandar </w:t>
      </w:r>
      <w:proofErr w:type="spellStart"/>
      <w:r w:rsidRPr="00303A2A">
        <w:rPr>
          <w:rFonts w:ascii="Times New Roman" w:eastAsia="Times New Roman" w:hAnsi="Times New Roman" w:cs="Times New Roman"/>
          <w:position w:val="0"/>
          <w:sz w:val="24"/>
          <w:szCs w:val="24"/>
        </w:rPr>
        <w:t>Tun</w:t>
      </w:r>
      <w:proofErr w:type="spellEnd"/>
      <w:r w:rsidRPr="00303A2A">
        <w:rPr>
          <w:rFonts w:ascii="Times New Roman" w:eastAsia="Times New Roman" w:hAnsi="Times New Roman" w:cs="Times New Roman"/>
          <w:position w:val="0"/>
          <w:sz w:val="24"/>
          <w:szCs w:val="24"/>
        </w:rPr>
        <w:t xml:space="preserve"> Razak respondents believe that cars and busses are suitable for adopting hydrogen fuel cells, as shown in Figure 1. However, opinions varied on the suitability of lorries and heavy vehicles to adopt hydrogen fuel cells. Bandar Tun Razak had the lowest percentage of agreement on the suitability of lorries and heavy vehicles at 62.2%. However, 80% of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believe that hydrogen fuel cells are suitable for lorries and heavy vehicles. As part of the study, all four Japanese vehicle manufacturers listed in the questionnaire (Toyota, Honda, Nissan and Mitsubishi) manufactured HFCV either commercially or conceptually, as shown in Figure 2. In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97.6% of the respondents believe that Toyota has adopted HFCV in Malaysia, followed by Honda (91%), Nissan (25.9%)</w:t>
      </w:r>
      <w:r w:rsidR="00E6621D">
        <w:rPr>
          <w:rFonts w:ascii="Times New Roman" w:eastAsia="Times New Roman" w:hAnsi="Times New Roman" w:cs="Times New Roman"/>
          <w:position w:val="0"/>
          <w:sz w:val="24"/>
          <w:szCs w:val="24"/>
        </w:rPr>
        <w:t xml:space="preserve"> </w:t>
      </w:r>
      <w:r w:rsidRPr="00303A2A">
        <w:rPr>
          <w:rFonts w:ascii="Times New Roman" w:eastAsia="Times New Roman" w:hAnsi="Times New Roman" w:cs="Times New Roman"/>
          <w:position w:val="0"/>
          <w:sz w:val="24"/>
          <w:szCs w:val="24"/>
        </w:rPr>
        <w:t xml:space="preserve">and Mitsubishi (11.8%).  However, respondents from Bandar Tun Razak believe that Toyota also adopted HFCV in Malaysia with the highest percentage at 82.2%, followed by Honda (73.3%), Nissan (62.2%) and Toyota at 53.3%. </w:t>
      </w:r>
    </w:p>
    <w:p w14:paraId="6D33DE21" w14:textId="77777777" w:rsidR="00303A2A" w:rsidRPr="00303A2A" w:rsidRDefault="00303A2A" w:rsidP="00303A2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rPr>
      </w:pPr>
    </w:p>
    <w:p w14:paraId="2485C947" w14:textId="77777777" w:rsidR="00303A2A" w:rsidRPr="0006420D" w:rsidRDefault="00303A2A" w:rsidP="00303A2A">
      <w:pPr>
        <w:suppressAutoHyphens w:val="0"/>
        <w:spacing w:after="0" w:line="240" w:lineRule="auto"/>
        <w:ind w:leftChars="0" w:left="0" w:firstLineChars="0" w:firstLine="180"/>
        <w:jc w:val="center"/>
        <w:textDirection w:val="lrTb"/>
        <w:textAlignment w:val="auto"/>
        <w:outlineLvl w:val="9"/>
        <w:rPr>
          <w:rFonts w:ascii="Times New Roman" w:eastAsia="Times New Roman" w:hAnsi="Times New Roman" w:cs="Times New Roman"/>
          <w:position w:val="0"/>
          <w:sz w:val="20"/>
          <w:szCs w:val="20"/>
        </w:rPr>
      </w:pPr>
      <w:r w:rsidRPr="0006420D">
        <w:rPr>
          <w:rFonts w:ascii="Times New Roman" w:eastAsia="Times New Roman" w:hAnsi="Times New Roman" w:cs="Times New Roman"/>
          <w:noProof/>
          <w:position w:val="0"/>
          <w:sz w:val="20"/>
          <w:szCs w:val="20"/>
          <w:lang w:val="en-MY" w:eastAsia="en-MY"/>
        </w:rPr>
        <w:drawing>
          <wp:inline distT="0" distB="0" distL="0" distR="0" wp14:anchorId="5AF50D2C" wp14:editId="31EDBF4B">
            <wp:extent cx="4087505" cy="2668137"/>
            <wp:effectExtent l="0" t="0" r="8255" b="18415"/>
            <wp:docPr id="19"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351E31" w14:textId="10C5FD37" w:rsidR="00E6621D" w:rsidRPr="00303A2A" w:rsidRDefault="00E6621D" w:rsidP="0006420D">
      <w:pPr>
        <w:suppressAutoHyphens w:val="0"/>
        <w:spacing w:before="120" w:after="0" w:line="240" w:lineRule="auto"/>
        <w:ind w:leftChars="0" w:left="0" w:firstLineChars="0" w:firstLine="720"/>
        <w:jc w:val="center"/>
        <w:textDirection w:val="lrTb"/>
        <w:textAlignment w:val="auto"/>
        <w:outlineLvl w:val="9"/>
        <w:rPr>
          <w:rFonts w:ascii="Times New Roman" w:eastAsia="Times New Roman" w:hAnsi="Times New Roman" w:cs="Times New Roman"/>
          <w:position w:val="0"/>
          <w:sz w:val="20"/>
          <w:szCs w:val="20"/>
        </w:rPr>
      </w:pPr>
      <w:r w:rsidRPr="00E6621D">
        <w:rPr>
          <w:rFonts w:ascii="Times New Roman" w:eastAsia="Times New Roman" w:hAnsi="Times New Roman" w:cs="Times New Roman"/>
          <w:b/>
          <w:position w:val="0"/>
          <w:sz w:val="20"/>
          <w:szCs w:val="20"/>
        </w:rPr>
        <w:t>Figure 1.</w:t>
      </w:r>
      <w:r>
        <w:rPr>
          <w:rFonts w:ascii="Times New Roman" w:eastAsia="Times New Roman" w:hAnsi="Times New Roman" w:cs="Times New Roman"/>
          <w:bCs/>
          <w:position w:val="0"/>
          <w:sz w:val="20"/>
          <w:szCs w:val="20"/>
        </w:rPr>
        <w:t xml:space="preserve"> </w:t>
      </w:r>
      <w:r w:rsidRPr="00303A2A">
        <w:rPr>
          <w:rFonts w:ascii="Times New Roman" w:eastAsia="Times New Roman" w:hAnsi="Times New Roman" w:cs="Times New Roman"/>
          <w:bCs/>
          <w:position w:val="0"/>
          <w:sz w:val="20"/>
          <w:szCs w:val="20"/>
        </w:rPr>
        <w:t>Public opinion on vehicle suitability for HFCV adoption</w:t>
      </w:r>
    </w:p>
    <w:p w14:paraId="248BE7DB" w14:textId="77777777" w:rsidR="00303A2A" w:rsidRP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4"/>
          <w:szCs w:val="24"/>
        </w:rPr>
      </w:pPr>
      <w:r w:rsidRPr="0006420D">
        <w:rPr>
          <w:rFonts w:ascii="Times New Roman" w:eastAsia="Times New Roman" w:hAnsi="Times New Roman" w:cs="Times New Roman"/>
          <w:b/>
          <w:noProof/>
          <w:position w:val="0"/>
          <w:sz w:val="20"/>
          <w:szCs w:val="20"/>
          <w:lang w:val="en-MY" w:eastAsia="en-MY"/>
        </w:rPr>
        <w:lastRenderedPageBreak/>
        <w:drawing>
          <wp:inline distT="0" distB="0" distL="0" distR="0" wp14:anchorId="5CDD287E" wp14:editId="2955F320">
            <wp:extent cx="4947285" cy="3077571"/>
            <wp:effectExtent l="0" t="0" r="5715" b="8890"/>
            <wp:docPr id="18"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BCA98C" w14:textId="77777777" w:rsidR="00E6621D" w:rsidRPr="0006420D" w:rsidRDefault="00E6621D" w:rsidP="00E6621D">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16"/>
          <w:szCs w:val="16"/>
        </w:rPr>
      </w:pPr>
    </w:p>
    <w:p w14:paraId="2ADE8818" w14:textId="2AA824C8" w:rsidR="00E6621D" w:rsidRPr="00303A2A" w:rsidRDefault="00E6621D" w:rsidP="00E6621D">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EE3FAC">
        <w:rPr>
          <w:rFonts w:ascii="Times New Roman" w:eastAsia="Times New Roman" w:hAnsi="Times New Roman" w:cs="Times New Roman"/>
          <w:b/>
          <w:position w:val="0"/>
          <w:sz w:val="20"/>
          <w:szCs w:val="20"/>
        </w:rPr>
        <w:t>Figure 2.</w:t>
      </w:r>
      <w:r>
        <w:rPr>
          <w:rFonts w:ascii="Times New Roman" w:eastAsia="Times New Roman" w:hAnsi="Times New Roman" w:cs="Times New Roman"/>
          <w:bCs/>
          <w:position w:val="0"/>
          <w:sz w:val="20"/>
          <w:szCs w:val="20"/>
        </w:rPr>
        <w:t xml:space="preserve"> </w:t>
      </w:r>
      <w:r w:rsidRPr="00303A2A">
        <w:rPr>
          <w:rFonts w:ascii="Times New Roman" w:eastAsia="Times New Roman" w:hAnsi="Times New Roman" w:cs="Times New Roman"/>
          <w:bCs/>
          <w:position w:val="0"/>
          <w:sz w:val="20"/>
          <w:szCs w:val="20"/>
        </w:rPr>
        <w:t>Perception and opinion of Japanese car brands that have adopted HFCV in Malaysia</w:t>
      </w:r>
    </w:p>
    <w:p w14:paraId="264A8A1C"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4"/>
          <w:szCs w:val="24"/>
        </w:rPr>
      </w:pPr>
    </w:p>
    <w:p w14:paraId="066C1AE5" w14:textId="76F286F4" w:rsid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i/>
          <w:iCs/>
          <w:position w:val="0"/>
          <w:sz w:val="24"/>
          <w:szCs w:val="24"/>
        </w:rPr>
      </w:pPr>
      <w:r w:rsidRPr="00303A2A">
        <w:rPr>
          <w:rFonts w:ascii="Times New Roman" w:eastAsia="Times New Roman" w:hAnsi="Times New Roman" w:cs="Times New Roman"/>
          <w:bCs/>
          <w:i/>
          <w:iCs/>
          <w:position w:val="0"/>
          <w:sz w:val="24"/>
          <w:szCs w:val="24"/>
        </w:rPr>
        <w:t xml:space="preserve">The </w:t>
      </w:r>
      <w:r w:rsidR="00E6621D" w:rsidRPr="00303A2A">
        <w:rPr>
          <w:rFonts w:ascii="Times New Roman" w:eastAsia="Times New Roman" w:hAnsi="Times New Roman" w:cs="Times New Roman"/>
          <w:bCs/>
          <w:i/>
          <w:iCs/>
          <w:position w:val="0"/>
          <w:sz w:val="24"/>
          <w:szCs w:val="24"/>
        </w:rPr>
        <w:t xml:space="preserve">public understanding </w:t>
      </w:r>
      <w:r w:rsidRPr="00303A2A">
        <w:rPr>
          <w:rFonts w:ascii="Times New Roman" w:eastAsia="Times New Roman" w:hAnsi="Times New Roman" w:cs="Times New Roman"/>
          <w:bCs/>
          <w:i/>
          <w:iCs/>
          <w:position w:val="0"/>
          <w:sz w:val="24"/>
          <w:szCs w:val="24"/>
        </w:rPr>
        <w:t>of HFCV in Malaysia</w:t>
      </w:r>
    </w:p>
    <w:p w14:paraId="4DB532E0" w14:textId="77777777" w:rsidR="00E6621D" w:rsidRPr="00303A2A" w:rsidRDefault="00E6621D"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i/>
          <w:iCs/>
          <w:position w:val="0"/>
          <w:sz w:val="24"/>
          <w:szCs w:val="24"/>
        </w:rPr>
      </w:pPr>
    </w:p>
    <w:p w14:paraId="7C507A56" w14:textId="77777777" w:rsidR="00303A2A" w:rsidRP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bookmarkStart w:id="3" w:name="_Hlk84096314"/>
      <w:r w:rsidRPr="00303A2A">
        <w:rPr>
          <w:rFonts w:ascii="Times New Roman" w:eastAsia="Times New Roman" w:hAnsi="Times New Roman" w:cs="Times New Roman"/>
          <w:position w:val="0"/>
          <w:sz w:val="24"/>
          <w:szCs w:val="24"/>
        </w:rPr>
        <w:t xml:space="preserve">Several statements were included in the questionnaire to measure the respondents’ level of understanding of HFCV, as shown in Table 3. The survey results of this study were not based on the respondents’ experience of using HFCV but rather the general public’s understanding and perception without the experience of using HFCV. </w:t>
      </w:r>
      <w:bookmarkStart w:id="4" w:name="_Hlk83828001"/>
      <w:r w:rsidRPr="00303A2A">
        <w:rPr>
          <w:rFonts w:ascii="Times New Roman" w:eastAsia="Times New Roman" w:hAnsi="Times New Roman" w:cs="Times New Roman"/>
          <w:position w:val="0"/>
          <w:sz w:val="24"/>
          <w:szCs w:val="24"/>
        </w:rPr>
        <w:t xml:space="preserve">The results indicate that 80% of the respondents from Bandar Tun Razak </w:t>
      </w:r>
      <w:bookmarkStart w:id="5" w:name="_Hlk81081509"/>
      <w:r w:rsidRPr="00303A2A">
        <w:rPr>
          <w:rFonts w:ascii="Times New Roman" w:eastAsia="Times New Roman" w:hAnsi="Times New Roman" w:cs="Times New Roman"/>
          <w:position w:val="0"/>
          <w:sz w:val="24"/>
          <w:szCs w:val="24"/>
        </w:rPr>
        <w:t>agreed t</w:t>
      </w:r>
      <w:bookmarkEnd w:id="5"/>
      <w:r w:rsidRPr="00303A2A">
        <w:rPr>
          <w:rFonts w:ascii="Times New Roman" w:eastAsia="Times New Roman" w:hAnsi="Times New Roman" w:cs="Times New Roman"/>
          <w:position w:val="0"/>
          <w:sz w:val="24"/>
          <w:szCs w:val="24"/>
        </w:rPr>
        <w:t>o adopt the HFCV into their Malaysian lifestyle.</w:t>
      </w:r>
      <w:bookmarkEnd w:id="4"/>
      <w:r w:rsidRPr="00303A2A">
        <w:rPr>
          <w:rFonts w:ascii="Times New Roman" w:eastAsia="Times New Roman" w:hAnsi="Times New Roman" w:cs="Times New Roman"/>
          <w:position w:val="0"/>
          <w:sz w:val="24"/>
          <w:szCs w:val="24"/>
        </w:rPr>
        <w:t xml:space="preserve"> However, only 1.2% of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agreed about adopting the HFCV into their Malaysian lifestyle. The results indicate that 49.4 % and 44.4% of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Bandar </w:t>
      </w:r>
      <w:proofErr w:type="spellStart"/>
      <w:r w:rsidRPr="00303A2A">
        <w:rPr>
          <w:rFonts w:ascii="Times New Roman" w:eastAsia="Times New Roman" w:hAnsi="Times New Roman" w:cs="Times New Roman"/>
          <w:position w:val="0"/>
          <w:sz w:val="24"/>
          <w:szCs w:val="24"/>
        </w:rPr>
        <w:t>Tun</w:t>
      </w:r>
      <w:proofErr w:type="spellEnd"/>
      <w:r w:rsidRPr="00303A2A">
        <w:rPr>
          <w:rFonts w:ascii="Times New Roman" w:eastAsia="Times New Roman" w:hAnsi="Times New Roman" w:cs="Times New Roman"/>
          <w:position w:val="0"/>
          <w:sz w:val="24"/>
          <w:szCs w:val="24"/>
        </w:rPr>
        <w:t xml:space="preserve"> Razak respondents agreed that HFCVs have good performance acceleration. Most of the respondents from Bandar Tun Razak have a good understanding of the advantages of hydrogen fuel cells compared to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The former felt that HFCV had fast </w:t>
      </w:r>
      <w:proofErr w:type="spellStart"/>
      <w:r w:rsidRPr="00303A2A">
        <w:rPr>
          <w:rFonts w:ascii="Times New Roman" w:eastAsia="Times New Roman" w:hAnsi="Times New Roman" w:cs="Times New Roman"/>
          <w:position w:val="0"/>
          <w:sz w:val="24"/>
          <w:szCs w:val="24"/>
        </w:rPr>
        <w:t>refuelling</w:t>
      </w:r>
      <w:proofErr w:type="spellEnd"/>
      <w:r w:rsidRPr="00303A2A">
        <w:rPr>
          <w:rFonts w:ascii="Times New Roman" w:eastAsia="Times New Roman" w:hAnsi="Times New Roman" w:cs="Times New Roman"/>
          <w:position w:val="0"/>
          <w:sz w:val="24"/>
          <w:szCs w:val="24"/>
        </w:rPr>
        <w:t xml:space="preserve">, quality engines, low oil dependence, and good road handling. They also believed that hydrogen fuel cells provide clean energy and less CO2 emissions, thus improving air quality and reducing pollution. However, to explore environmental issues, we found that only 12.9 % and 20% of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Bandar </w:t>
      </w:r>
      <w:proofErr w:type="spellStart"/>
      <w:r w:rsidRPr="00303A2A">
        <w:rPr>
          <w:rFonts w:ascii="Times New Roman" w:eastAsia="Times New Roman" w:hAnsi="Times New Roman" w:cs="Times New Roman"/>
          <w:position w:val="0"/>
          <w:sz w:val="24"/>
          <w:szCs w:val="24"/>
        </w:rPr>
        <w:t>Tun</w:t>
      </w:r>
      <w:proofErr w:type="spellEnd"/>
      <w:r w:rsidRPr="00303A2A">
        <w:rPr>
          <w:rFonts w:ascii="Times New Roman" w:eastAsia="Times New Roman" w:hAnsi="Times New Roman" w:cs="Times New Roman"/>
          <w:position w:val="0"/>
          <w:sz w:val="24"/>
          <w:szCs w:val="24"/>
        </w:rPr>
        <w:t xml:space="preserve"> Razak respondents respectively agreed that HFCVs have a low environmental impact. It means that respondents from both locations were less aware of environmentally friendly cars such as the HCFV.</w:t>
      </w:r>
    </w:p>
    <w:p w14:paraId="3AE6C1AA" w14:textId="36FE9F67" w:rsidR="00303A2A" w:rsidRDefault="00303A2A" w:rsidP="00303A2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rPr>
      </w:pPr>
      <w:r w:rsidRPr="00303A2A">
        <w:rPr>
          <w:rFonts w:ascii="Times New Roman" w:eastAsia="Times New Roman" w:hAnsi="Times New Roman" w:cs="Times New Roman"/>
          <w:position w:val="0"/>
          <w:sz w:val="24"/>
          <w:szCs w:val="24"/>
        </w:rPr>
        <w:t xml:space="preserve">HFCV has a high purchasing price and an inadequate support infrastructure, particularly regarding access to refueling stations to power fuel cell vehicles. However, </w:t>
      </w:r>
      <w:bookmarkStart w:id="6" w:name="_Hlk83848867"/>
      <w:r w:rsidRPr="00303A2A">
        <w:rPr>
          <w:rFonts w:ascii="Times New Roman" w:eastAsia="Times New Roman" w:hAnsi="Times New Roman" w:cs="Times New Roman"/>
          <w:position w:val="0"/>
          <w:sz w:val="24"/>
          <w:szCs w:val="24"/>
        </w:rPr>
        <w:t xml:space="preserve">most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stated that low operation costs and purchasing prices need HFCV and had adequate support infrastructure to cater for HFCV.</w:t>
      </w:r>
      <w:bookmarkEnd w:id="6"/>
      <w:r w:rsidRPr="00303A2A">
        <w:rPr>
          <w:rFonts w:ascii="Times New Roman" w:eastAsia="Times New Roman" w:hAnsi="Times New Roman" w:cs="Times New Roman"/>
          <w:position w:val="0"/>
          <w:sz w:val="24"/>
          <w:szCs w:val="24"/>
        </w:rPr>
        <w:t xml:space="preserve"> It means that most of the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lacked awareness and knowledge about the disadvantages of HFCV compared to respondents from Bandar Tun Razak, who had a great level of awareness and knowledge.  Interestingly, most of the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agreed that HFCV had an excellent interior design and safety features and more efficient engines than conventional vehicles. Limited fuel sources for HFCV depend on hydrogen production, whether from renewable energy (like solar and wind) or non-renewable </w:t>
      </w:r>
      <w:r w:rsidRPr="00303A2A">
        <w:rPr>
          <w:rFonts w:ascii="Times New Roman" w:eastAsia="Times New Roman" w:hAnsi="Times New Roman" w:cs="Times New Roman"/>
          <w:position w:val="0"/>
          <w:sz w:val="24"/>
          <w:szCs w:val="24"/>
        </w:rPr>
        <w:lastRenderedPageBreak/>
        <w:t xml:space="preserve">energy (such as natural gas, nuclear power, biomass). However, according to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{"citationItems":[{"id":"ITEM-1","itemData":{"abstract":"This briefing provides a synthesis of information regarding the global development of hydrogen fueling infrastructure to power fuel cell vehicles. The compilation includes research on hydrogen infrastructure deployment, fuel pathways, and planning based on developments in the prominent fuel cell vehicle growth markets around the world.","author":[{"dropping-particle":"","family":"Aaron Isenstadt","given":"","non-dropping-particle":"","parse-names":false,"suffix":""},{"dropping-particle":"","family":"Lutsey","given":"Nic","non-dropping-particle":"","parse-names":false,"suffix":""}],"id":"ITEM-1","issue":"October","issued":{"date-parts":[["2017"]]},"page":"1 - 22","title":"Developing hydrogen fueling infrastructure for fuel cell vehicles: A status update","type":"article-journal"},"uris":["http://www.mendeley.com/documents/?uuid=4a2cafab-5372-4739-a8d8-463f406de972"]}],"mendeley":{"formattedCitation":"(Aaron Isenstadt &amp; Lutsey, 2017)","manualFormatting":"Aaron Isenstadt and Lutsey (2017)","plainTextFormattedCitation":"(Aaron Isenstadt &amp; Lutsey, 2017)","previouslyFormattedCitation":"(Aaron Isenstadt &amp; Lutsey, 2017)"},"properties":{"noteIndex":0},"schema":"https://github.com/citation-style-language/schema/raw/master/csl-citation.json"}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Aaron Isenstadt and Lutsey (2017)</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hydrogen produced from renewable energy has a relatively high cost compared to hydrogen from fossil fuels. The results indicate that 38.8 % and 33.3% of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Bandar </w:t>
      </w:r>
      <w:proofErr w:type="spellStart"/>
      <w:r w:rsidRPr="00303A2A">
        <w:rPr>
          <w:rFonts w:ascii="Times New Roman" w:eastAsia="Times New Roman" w:hAnsi="Times New Roman" w:cs="Times New Roman"/>
          <w:position w:val="0"/>
          <w:sz w:val="24"/>
          <w:szCs w:val="24"/>
        </w:rPr>
        <w:t>Tun</w:t>
      </w:r>
      <w:proofErr w:type="spellEnd"/>
      <w:r w:rsidRPr="00303A2A">
        <w:rPr>
          <w:rFonts w:ascii="Times New Roman" w:eastAsia="Times New Roman" w:hAnsi="Times New Roman" w:cs="Times New Roman"/>
          <w:position w:val="0"/>
          <w:sz w:val="24"/>
          <w:szCs w:val="24"/>
        </w:rPr>
        <w:t xml:space="preserve"> Razak respectively agreed that fuel sources for HFCV are limited.</w:t>
      </w:r>
      <w:bookmarkEnd w:id="3"/>
    </w:p>
    <w:p w14:paraId="4085AC5A" w14:textId="77777777" w:rsidR="00303A2A" w:rsidRPr="00303A2A" w:rsidRDefault="00303A2A" w:rsidP="00303A2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rPr>
      </w:pPr>
    </w:p>
    <w:p w14:paraId="54AD3CDA" w14:textId="6856714C" w:rsid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6256B">
        <w:rPr>
          <w:rFonts w:ascii="Times New Roman" w:eastAsia="Times New Roman" w:hAnsi="Times New Roman" w:cs="Times New Roman"/>
          <w:b/>
          <w:position w:val="0"/>
          <w:sz w:val="20"/>
          <w:szCs w:val="20"/>
        </w:rPr>
        <w:t>Table 3</w:t>
      </w:r>
      <w:r w:rsidR="0036256B">
        <w:rPr>
          <w:rFonts w:ascii="Times New Roman" w:eastAsia="Times New Roman" w:hAnsi="Times New Roman" w:cs="Times New Roman"/>
          <w:bCs/>
          <w:position w:val="0"/>
          <w:sz w:val="20"/>
          <w:szCs w:val="20"/>
        </w:rPr>
        <w:t>.</w:t>
      </w:r>
      <w:r w:rsidRPr="00303A2A">
        <w:rPr>
          <w:rFonts w:ascii="Times New Roman" w:eastAsia="Times New Roman" w:hAnsi="Times New Roman" w:cs="Times New Roman"/>
          <w:bCs/>
          <w:position w:val="0"/>
          <w:sz w:val="20"/>
          <w:szCs w:val="20"/>
        </w:rPr>
        <w:t xml:space="preserve"> The </w:t>
      </w:r>
      <w:r w:rsidR="0036256B" w:rsidRPr="00303A2A">
        <w:rPr>
          <w:rFonts w:ascii="Times New Roman" w:eastAsia="Times New Roman" w:hAnsi="Times New Roman" w:cs="Times New Roman"/>
          <w:bCs/>
          <w:position w:val="0"/>
          <w:sz w:val="20"/>
          <w:szCs w:val="20"/>
        </w:rPr>
        <w:t xml:space="preserve">public understanding </w:t>
      </w:r>
      <w:r w:rsidRPr="00303A2A">
        <w:rPr>
          <w:rFonts w:ascii="Times New Roman" w:eastAsia="Times New Roman" w:hAnsi="Times New Roman" w:cs="Times New Roman"/>
          <w:bCs/>
          <w:position w:val="0"/>
          <w:sz w:val="20"/>
          <w:szCs w:val="20"/>
        </w:rPr>
        <w:t>of HFCV in Malaysia</w:t>
      </w:r>
    </w:p>
    <w:p w14:paraId="51537045" w14:textId="77777777" w:rsidR="0036256B" w:rsidRPr="00303A2A" w:rsidRDefault="0036256B"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p>
    <w:tbl>
      <w:tblPr>
        <w:tblW w:w="9044" w:type="dxa"/>
        <w:jc w:val="center"/>
        <w:tblLayout w:type="fixed"/>
        <w:tblLook w:val="00A0" w:firstRow="1" w:lastRow="0" w:firstColumn="1" w:lastColumn="0" w:noHBand="0" w:noVBand="0"/>
      </w:tblPr>
      <w:tblGrid>
        <w:gridCol w:w="709"/>
        <w:gridCol w:w="6067"/>
        <w:gridCol w:w="141"/>
        <w:gridCol w:w="993"/>
        <w:gridCol w:w="1134"/>
      </w:tblGrid>
      <w:tr w:rsidR="00D6406E" w:rsidRPr="00303A2A" w14:paraId="308A2DE2" w14:textId="77777777" w:rsidTr="007106A5">
        <w:trPr>
          <w:tblHeader/>
          <w:jc w:val="center"/>
        </w:trPr>
        <w:tc>
          <w:tcPr>
            <w:tcW w:w="709" w:type="dxa"/>
            <w:vMerge w:val="restart"/>
            <w:tcBorders>
              <w:top w:val="single" w:sz="4" w:space="0" w:color="auto"/>
            </w:tcBorders>
            <w:shd w:val="clear" w:color="auto" w:fill="B8CCE4" w:themeFill="accent1" w:themeFillTint="66"/>
          </w:tcPr>
          <w:p w14:paraId="15045EC0" w14:textId="1A5E9711" w:rsidR="00D6406E" w:rsidRPr="00303A2A" w:rsidRDefault="00D6406E" w:rsidP="00303A2A">
            <w:pPr>
              <w:spacing w:after="0" w:line="240" w:lineRule="auto"/>
              <w:ind w:left="0" w:hanging="2"/>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
                <w:position w:val="0"/>
                <w:sz w:val="20"/>
                <w:szCs w:val="20"/>
              </w:rPr>
              <w:t>No.</w:t>
            </w:r>
          </w:p>
        </w:tc>
        <w:tc>
          <w:tcPr>
            <w:tcW w:w="6208" w:type="dxa"/>
            <w:gridSpan w:val="2"/>
            <w:tcBorders>
              <w:top w:val="single" w:sz="4" w:space="0" w:color="auto"/>
              <w:bottom w:val="single" w:sz="4" w:space="0" w:color="auto"/>
            </w:tcBorders>
            <w:shd w:val="clear" w:color="auto" w:fill="B8CCE4" w:themeFill="accent1" w:themeFillTint="66"/>
          </w:tcPr>
          <w:p w14:paraId="63B3A046" w14:textId="77777777" w:rsidR="00D6406E" w:rsidRPr="00303A2A" w:rsidRDefault="00D6406E" w:rsidP="00D6406E">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Item Statement</w:t>
            </w:r>
          </w:p>
        </w:tc>
        <w:tc>
          <w:tcPr>
            <w:tcW w:w="2127" w:type="dxa"/>
            <w:gridSpan w:val="2"/>
            <w:tcBorders>
              <w:top w:val="single" w:sz="4" w:space="0" w:color="auto"/>
              <w:bottom w:val="single" w:sz="4" w:space="0" w:color="auto"/>
            </w:tcBorders>
            <w:shd w:val="clear" w:color="auto" w:fill="B8CCE4" w:themeFill="accent1" w:themeFillTint="66"/>
          </w:tcPr>
          <w:p w14:paraId="7D1883EE" w14:textId="6118372F" w:rsidR="00D6406E" w:rsidRPr="00303A2A" w:rsidRDefault="00D6406E" w:rsidP="00D6406E">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rPr>
            </w:pPr>
            <w:r>
              <w:rPr>
                <w:rFonts w:ascii="Times New Roman" w:eastAsia="Times New Roman" w:hAnsi="Times New Roman" w:cs="Times New Roman"/>
                <w:b/>
                <w:position w:val="0"/>
                <w:sz w:val="20"/>
                <w:szCs w:val="20"/>
              </w:rPr>
              <w:t>% of a</w:t>
            </w:r>
            <w:r w:rsidRPr="00303A2A">
              <w:rPr>
                <w:rFonts w:ascii="Times New Roman" w:eastAsia="Times New Roman" w:hAnsi="Times New Roman" w:cs="Times New Roman"/>
                <w:b/>
                <w:position w:val="0"/>
                <w:sz w:val="20"/>
                <w:szCs w:val="20"/>
              </w:rPr>
              <w:t>greement</w:t>
            </w:r>
          </w:p>
        </w:tc>
      </w:tr>
      <w:tr w:rsidR="00D6406E" w:rsidRPr="00303A2A" w14:paraId="7E4B6F74" w14:textId="77777777" w:rsidTr="007106A5">
        <w:trPr>
          <w:tblHeader/>
          <w:jc w:val="center"/>
        </w:trPr>
        <w:tc>
          <w:tcPr>
            <w:tcW w:w="709" w:type="dxa"/>
            <w:vMerge/>
            <w:tcBorders>
              <w:bottom w:val="single" w:sz="4" w:space="0" w:color="auto"/>
            </w:tcBorders>
            <w:shd w:val="clear" w:color="auto" w:fill="B8CCE4" w:themeFill="accent1" w:themeFillTint="66"/>
          </w:tcPr>
          <w:p w14:paraId="400F0AA6" w14:textId="1465A459" w:rsidR="00D6406E" w:rsidRPr="00303A2A" w:rsidRDefault="00D6406E"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p>
        </w:tc>
        <w:tc>
          <w:tcPr>
            <w:tcW w:w="6067" w:type="dxa"/>
            <w:tcBorders>
              <w:top w:val="single" w:sz="4" w:space="0" w:color="auto"/>
              <w:bottom w:val="single" w:sz="4" w:space="0" w:color="auto"/>
            </w:tcBorders>
            <w:shd w:val="clear" w:color="auto" w:fill="B8CCE4" w:themeFill="accent1" w:themeFillTint="66"/>
          </w:tcPr>
          <w:p w14:paraId="1C184A17" w14:textId="77777777" w:rsidR="00D6406E" w:rsidRPr="00303A2A" w:rsidRDefault="00D6406E"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In terms of my perception of HFCV adoption in Malaysia, I believe that HFCV will……</w:t>
            </w:r>
          </w:p>
        </w:tc>
        <w:tc>
          <w:tcPr>
            <w:tcW w:w="1134" w:type="dxa"/>
            <w:gridSpan w:val="2"/>
            <w:tcBorders>
              <w:top w:val="single" w:sz="4" w:space="0" w:color="auto"/>
              <w:bottom w:val="single" w:sz="4" w:space="0" w:color="auto"/>
            </w:tcBorders>
            <w:shd w:val="clear" w:color="auto" w:fill="B8CCE4" w:themeFill="accent1" w:themeFillTint="66"/>
          </w:tcPr>
          <w:p w14:paraId="6ADF0847" w14:textId="77777777" w:rsidR="00D6406E" w:rsidRPr="00303A2A" w:rsidRDefault="00D6406E" w:rsidP="00D6406E">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rPr>
            </w:pPr>
            <w:proofErr w:type="spellStart"/>
            <w:r w:rsidRPr="00303A2A">
              <w:rPr>
                <w:rFonts w:ascii="Times New Roman" w:eastAsia="Times New Roman" w:hAnsi="Times New Roman" w:cs="Times New Roman"/>
                <w:b/>
                <w:position w:val="0"/>
                <w:sz w:val="20"/>
                <w:szCs w:val="20"/>
              </w:rPr>
              <w:t>Cheras</w:t>
            </w:r>
            <w:proofErr w:type="spellEnd"/>
          </w:p>
        </w:tc>
        <w:tc>
          <w:tcPr>
            <w:tcW w:w="1134" w:type="dxa"/>
            <w:tcBorders>
              <w:top w:val="single" w:sz="4" w:space="0" w:color="auto"/>
              <w:bottom w:val="single" w:sz="4" w:space="0" w:color="auto"/>
            </w:tcBorders>
            <w:shd w:val="clear" w:color="auto" w:fill="B8CCE4" w:themeFill="accent1" w:themeFillTint="66"/>
          </w:tcPr>
          <w:p w14:paraId="094D8747" w14:textId="77777777" w:rsidR="00D6406E" w:rsidRPr="00303A2A" w:rsidRDefault="00D6406E" w:rsidP="00D6406E">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BTR</w:t>
            </w:r>
          </w:p>
        </w:tc>
      </w:tr>
      <w:tr w:rsidR="00303A2A" w:rsidRPr="00303A2A" w14:paraId="421D3AD3" w14:textId="77777777" w:rsidTr="00413E23">
        <w:trPr>
          <w:trHeight w:val="107"/>
          <w:jc w:val="center"/>
        </w:trPr>
        <w:tc>
          <w:tcPr>
            <w:tcW w:w="709" w:type="dxa"/>
            <w:tcBorders>
              <w:top w:val="single" w:sz="4" w:space="0" w:color="auto"/>
            </w:tcBorders>
          </w:tcPr>
          <w:p w14:paraId="2EFFABFA"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w:t>
            </w:r>
          </w:p>
        </w:tc>
        <w:tc>
          <w:tcPr>
            <w:tcW w:w="6067" w:type="dxa"/>
            <w:tcBorders>
              <w:top w:val="single" w:sz="4" w:space="0" w:color="auto"/>
            </w:tcBorders>
            <w:vAlign w:val="center"/>
          </w:tcPr>
          <w:p w14:paraId="217572F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suit the Malaysian lifestyle</w:t>
            </w:r>
          </w:p>
        </w:tc>
        <w:tc>
          <w:tcPr>
            <w:tcW w:w="1134" w:type="dxa"/>
            <w:gridSpan w:val="2"/>
            <w:tcBorders>
              <w:top w:val="single" w:sz="4" w:space="0" w:color="auto"/>
            </w:tcBorders>
          </w:tcPr>
          <w:p w14:paraId="31C7F261"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1.2</w:t>
            </w:r>
          </w:p>
        </w:tc>
        <w:tc>
          <w:tcPr>
            <w:tcW w:w="1134" w:type="dxa"/>
            <w:tcBorders>
              <w:top w:val="single" w:sz="4" w:space="0" w:color="auto"/>
            </w:tcBorders>
          </w:tcPr>
          <w:p w14:paraId="5EAA30C1"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80.0</w:t>
            </w:r>
          </w:p>
        </w:tc>
      </w:tr>
      <w:tr w:rsidR="00303A2A" w:rsidRPr="00303A2A" w14:paraId="6461E898" w14:textId="77777777" w:rsidTr="00413E23">
        <w:trPr>
          <w:trHeight w:val="90"/>
          <w:jc w:val="center"/>
        </w:trPr>
        <w:tc>
          <w:tcPr>
            <w:tcW w:w="709" w:type="dxa"/>
          </w:tcPr>
          <w:p w14:paraId="76667AE7"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w:t>
            </w:r>
          </w:p>
        </w:tc>
        <w:tc>
          <w:tcPr>
            <w:tcW w:w="6067" w:type="dxa"/>
            <w:vAlign w:val="center"/>
          </w:tcPr>
          <w:p w14:paraId="5485F058"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have good performance acceleration</w:t>
            </w:r>
          </w:p>
        </w:tc>
        <w:tc>
          <w:tcPr>
            <w:tcW w:w="1134" w:type="dxa"/>
            <w:gridSpan w:val="2"/>
          </w:tcPr>
          <w:p w14:paraId="316246B2"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2.4</w:t>
            </w:r>
          </w:p>
        </w:tc>
        <w:tc>
          <w:tcPr>
            <w:tcW w:w="1134" w:type="dxa"/>
          </w:tcPr>
          <w:p w14:paraId="223EF5A1"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42.2</w:t>
            </w:r>
          </w:p>
        </w:tc>
      </w:tr>
      <w:tr w:rsidR="00303A2A" w:rsidRPr="00303A2A" w14:paraId="33E3BAE7" w14:textId="77777777" w:rsidTr="00413E23">
        <w:trPr>
          <w:trHeight w:val="80"/>
          <w:jc w:val="center"/>
        </w:trPr>
        <w:tc>
          <w:tcPr>
            <w:tcW w:w="709" w:type="dxa"/>
          </w:tcPr>
          <w:p w14:paraId="1B24F786"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3.</w:t>
            </w:r>
          </w:p>
        </w:tc>
        <w:tc>
          <w:tcPr>
            <w:tcW w:w="6067" w:type="dxa"/>
            <w:vAlign w:val="center"/>
          </w:tcPr>
          <w:p w14:paraId="74387D29"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have low environmental impact</w:t>
            </w:r>
          </w:p>
        </w:tc>
        <w:tc>
          <w:tcPr>
            <w:tcW w:w="1134" w:type="dxa"/>
            <w:gridSpan w:val="2"/>
          </w:tcPr>
          <w:p w14:paraId="3626718D"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12.9</w:t>
            </w:r>
          </w:p>
        </w:tc>
        <w:tc>
          <w:tcPr>
            <w:tcW w:w="1134" w:type="dxa"/>
          </w:tcPr>
          <w:p w14:paraId="7BDEF82C"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20.0</w:t>
            </w:r>
          </w:p>
        </w:tc>
      </w:tr>
      <w:tr w:rsidR="00303A2A" w:rsidRPr="00303A2A" w14:paraId="0B8A5FCE" w14:textId="77777777" w:rsidTr="00413E23">
        <w:trPr>
          <w:trHeight w:val="90"/>
          <w:jc w:val="center"/>
        </w:trPr>
        <w:tc>
          <w:tcPr>
            <w:tcW w:w="709" w:type="dxa"/>
          </w:tcPr>
          <w:p w14:paraId="428600C4"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w:t>
            </w:r>
          </w:p>
        </w:tc>
        <w:tc>
          <w:tcPr>
            <w:tcW w:w="6067" w:type="dxa"/>
            <w:vAlign w:val="center"/>
          </w:tcPr>
          <w:p w14:paraId="29D838AB"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have fast refueling</w:t>
            </w:r>
          </w:p>
        </w:tc>
        <w:tc>
          <w:tcPr>
            <w:tcW w:w="1134" w:type="dxa"/>
            <w:gridSpan w:val="2"/>
          </w:tcPr>
          <w:p w14:paraId="6702CD50"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17.6</w:t>
            </w:r>
          </w:p>
        </w:tc>
        <w:tc>
          <w:tcPr>
            <w:tcW w:w="1134" w:type="dxa"/>
          </w:tcPr>
          <w:p w14:paraId="718B640E"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22.2</w:t>
            </w:r>
          </w:p>
        </w:tc>
      </w:tr>
      <w:tr w:rsidR="00303A2A" w:rsidRPr="00303A2A" w14:paraId="65CB46B8" w14:textId="77777777" w:rsidTr="00413E23">
        <w:trPr>
          <w:trHeight w:val="80"/>
          <w:jc w:val="center"/>
        </w:trPr>
        <w:tc>
          <w:tcPr>
            <w:tcW w:w="709" w:type="dxa"/>
          </w:tcPr>
          <w:p w14:paraId="568A18E8"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5.</w:t>
            </w:r>
          </w:p>
        </w:tc>
        <w:tc>
          <w:tcPr>
            <w:tcW w:w="6067" w:type="dxa"/>
            <w:vAlign w:val="center"/>
          </w:tcPr>
          <w:p w14:paraId="0AEA6988"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have quality engines</w:t>
            </w:r>
          </w:p>
        </w:tc>
        <w:tc>
          <w:tcPr>
            <w:tcW w:w="1134" w:type="dxa"/>
            <w:gridSpan w:val="2"/>
          </w:tcPr>
          <w:p w14:paraId="5DDF3370"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16.5</w:t>
            </w:r>
          </w:p>
        </w:tc>
        <w:tc>
          <w:tcPr>
            <w:tcW w:w="1134" w:type="dxa"/>
          </w:tcPr>
          <w:p w14:paraId="56C52FE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22.2</w:t>
            </w:r>
          </w:p>
        </w:tc>
      </w:tr>
      <w:tr w:rsidR="00303A2A" w:rsidRPr="00303A2A" w14:paraId="5BD8938E" w14:textId="77777777" w:rsidTr="00413E23">
        <w:trPr>
          <w:trHeight w:val="260"/>
          <w:jc w:val="center"/>
        </w:trPr>
        <w:tc>
          <w:tcPr>
            <w:tcW w:w="709" w:type="dxa"/>
          </w:tcPr>
          <w:p w14:paraId="4264FB94"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6.</w:t>
            </w:r>
          </w:p>
        </w:tc>
        <w:tc>
          <w:tcPr>
            <w:tcW w:w="6067" w:type="dxa"/>
            <w:vAlign w:val="center"/>
          </w:tcPr>
          <w:p w14:paraId="37142479"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have low oil dependence</w:t>
            </w:r>
          </w:p>
        </w:tc>
        <w:tc>
          <w:tcPr>
            <w:tcW w:w="1134" w:type="dxa"/>
            <w:gridSpan w:val="2"/>
          </w:tcPr>
          <w:p w14:paraId="1AC80948"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18.8</w:t>
            </w:r>
          </w:p>
        </w:tc>
        <w:tc>
          <w:tcPr>
            <w:tcW w:w="1134" w:type="dxa"/>
          </w:tcPr>
          <w:p w14:paraId="0718C209"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20.0</w:t>
            </w:r>
          </w:p>
        </w:tc>
      </w:tr>
      <w:tr w:rsidR="00303A2A" w:rsidRPr="00303A2A" w14:paraId="58E5A8D5" w14:textId="77777777" w:rsidTr="00413E23">
        <w:trPr>
          <w:trHeight w:val="260"/>
          <w:jc w:val="center"/>
        </w:trPr>
        <w:tc>
          <w:tcPr>
            <w:tcW w:w="709" w:type="dxa"/>
          </w:tcPr>
          <w:p w14:paraId="1EA1A8F2"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7.</w:t>
            </w:r>
          </w:p>
        </w:tc>
        <w:tc>
          <w:tcPr>
            <w:tcW w:w="6067" w:type="dxa"/>
            <w:vAlign w:val="center"/>
          </w:tcPr>
          <w:p w14:paraId="3ADB172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have good road handling</w:t>
            </w:r>
          </w:p>
        </w:tc>
        <w:tc>
          <w:tcPr>
            <w:tcW w:w="1134" w:type="dxa"/>
            <w:gridSpan w:val="2"/>
          </w:tcPr>
          <w:p w14:paraId="0213A802"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15.3</w:t>
            </w:r>
          </w:p>
        </w:tc>
        <w:tc>
          <w:tcPr>
            <w:tcW w:w="1134" w:type="dxa"/>
          </w:tcPr>
          <w:p w14:paraId="472105BB"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40.0</w:t>
            </w:r>
          </w:p>
        </w:tc>
      </w:tr>
      <w:tr w:rsidR="00303A2A" w:rsidRPr="00303A2A" w14:paraId="197D6A4B" w14:textId="77777777" w:rsidTr="00413E23">
        <w:trPr>
          <w:trHeight w:val="260"/>
          <w:jc w:val="center"/>
        </w:trPr>
        <w:tc>
          <w:tcPr>
            <w:tcW w:w="709" w:type="dxa"/>
          </w:tcPr>
          <w:p w14:paraId="7D8AD24F"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8.</w:t>
            </w:r>
          </w:p>
        </w:tc>
        <w:tc>
          <w:tcPr>
            <w:tcW w:w="6067" w:type="dxa"/>
            <w:vAlign w:val="center"/>
          </w:tcPr>
          <w:p w14:paraId="51B32638"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have good safety and reliability</w:t>
            </w:r>
          </w:p>
        </w:tc>
        <w:tc>
          <w:tcPr>
            <w:tcW w:w="1134" w:type="dxa"/>
            <w:gridSpan w:val="2"/>
          </w:tcPr>
          <w:p w14:paraId="60CE268E"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43.5</w:t>
            </w:r>
          </w:p>
        </w:tc>
        <w:tc>
          <w:tcPr>
            <w:tcW w:w="1134" w:type="dxa"/>
          </w:tcPr>
          <w:p w14:paraId="5FAA0B39"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40.0</w:t>
            </w:r>
          </w:p>
        </w:tc>
      </w:tr>
      <w:tr w:rsidR="00303A2A" w:rsidRPr="00303A2A" w14:paraId="22EDDD16" w14:textId="77777777" w:rsidTr="00413E23">
        <w:trPr>
          <w:trHeight w:val="252"/>
          <w:jc w:val="center"/>
        </w:trPr>
        <w:tc>
          <w:tcPr>
            <w:tcW w:w="709" w:type="dxa"/>
          </w:tcPr>
          <w:p w14:paraId="7B6377E3"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9.</w:t>
            </w:r>
          </w:p>
        </w:tc>
        <w:tc>
          <w:tcPr>
            <w:tcW w:w="6067" w:type="dxa"/>
            <w:vAlign w:val="center"/>
          </w:tcPr>
          <w:p w14:paraId="31FB4BF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have low running and operation costs</w:t>
            </w:r>
          </w:p>
        </w:tc>
        <w:tc>
          <w:tcPr>
            <w:tcW w:w="1134" w:type="dxa"/>
            <w:gridSpan w:val="2"/>
          </w:tcPr>
          <w:p w14:paraId="109DBFA9"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58.8</w:t>
            </w:r>
          </w:p>
        </w:tc>
        <w:tc>
          <w:tcPr>
            <w:tcW w:w="1134" w:type="dxa"/>
          </w:tcPr>
          <w:p w14:paraId="0ECE7F14"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22.2</w:t>
            </w:r>
          </w:p>
        </w:tc>
      </w:tr>
      <w:tr w:rsidR="00303A2A" w:rsidRPr="00303A2A" w14:paraId="18CBFABD" w14:textId="77777777" w:rsidTr="00413E23">
        <w:trPr>
          <w:trHeight w:val="260"/>
          <w:jc w:val="center"/>
        </w:trPr>
        <w:tc>
          <w:tcPr>
            <w:tcW w:w="709" w:type="dxa"/>
          </w:tcPr>
          <w:p w14:paraId="1A475F06"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10.</w:t>
            </w:r>
          </w:p>
        </w:tc>
        <w:tc>
          <w:tcPr>
            <w:tcW w:w="6067" w:type="dxa"/>
            <w:vAlign w:val="center"/>
          </w:tcPr>
          <w:p w14:paraId="3F152E57"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have low purchase prices</w:t>
            </w:r>
          </w:p>
        </w:tc>
        <w:tc>
          <w:tcPr>
            <w:tcW w:w="1134" w:type="dxa"/>
            <w:gridSpan w:val="2"/>
          </w:tcPr>
          <w:p w14:paraId="2A9F8C2F"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51.8</w:t>
            </w:r>
          </w:p>
        </w:tc>
        <w:tc>
          <w:tcPr>
            <w:tcW w:w="1134" w:type="dxa"/>
          </w:tcPr>
          <w:p w14:paraId="45D1B2FA"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28.9</w:t>
            </w:r>
          </w:p>
        </w:tc>
      </w:tr>
      <w:tr w:rsidR="00303A2A" w:rsidRPr="00303A2A" w14:paraId="2E8B625F" w14:textId="77777777" w:rsidTr="00413E23">
        <w:trPr>
          <w:trHeight w:val="170"/>
          <w:jc w:val="center"/>
        </w:trPr>
        <w:tc>
          <w:tcPr>
            <w:tcW w:w="709" w:type="dxa"/>
          </w:tcPr>
          <w:p w14:paraId="645ED6EF"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11.</w:t>
            </w:r>
          </w:p>
        </w:tc>
        <w:tc>
          <w:tcPr>
            <w:tcW w:w="6067" w:type="dxa"/>
            <w:vAlign w:val="center"/>
          </w:tcPr>
          <w:p w14:paraId="25688A7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 xml:space="preserve">have a limited fuel source </w:t>
            </w:r>
          </w:p>
        </w:tc>
        <w:tc>
          <w:tcPr>
            <w:tcW w:w="1134" w:type="dxa"/>
            <w:gridSpan w:val="2"/>
          </w:tcPr>
          <w:p w14:paraId="3694791B"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38.8</w:t>
            </w:r>
          </w:p>
        </w:tc>
        <w:tc>
          <w:tcPr>
            <w:tcW w:w="1134" w:type="dxa"/>
          </w:tcPr>
          <w:p w14:paraId="78F6C909"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33.3</w:t>
            </w:r>
          </w:p>
        </w:tc>
      </w:tr>
      <w:tr w:rsidR="00303A2A" w:rsidRPr="00303A2A" w14:paraId="7867B586" w14:textId="77777777" w:rsidTr="00413E23">
        <w:trPr>
          <w:trHeight w:val="197"/>
          <w:jc w:val="center"/>
        </w:trPr>
        <w:tc>
          <w:tcPr>
            <w:tcW w:w="709" w:type="dxa"/>
          </w:tcPr>
          <w:p w14:paraId="344992FB"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12.</w:t>
            </w:r>
          </w:p>
        </w:tc>
        <w:tc>
          <w:tcPr>
            <w:tcW w:w="6067" w:type="dxa"/>
            <w:vAlign w:val="center"/>
          </w:tcPr>
          <w:p w14:paraId="05987111"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have good interior design</w:t>
            </w:r>
          </w:p>
        </w:tc>
        <w:tc>
          <w:tcPr>
            <w:tcW w:w="1134" w:type="dxa"/>
            <w:gridSpan w:val="2"/>
          </w:tcPr>
          <w:p w14:paraId="44365066"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47.1</w:t>
            </w:r>
          </w:p>
        </w:tc>
        <w:tc>
          <w:tcPr>
            <w:tcW w:w="1134" w:type="dxa"/>
          </w:tcPr>
          <w:p w14:paraId="72B72DDF"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26.7</w:t>
            </w:r>
          </w:p>
        </w:tc>
      </w:tr>
      <w:tr w:rsidR="00303A2A" w:rsidRPr="00303A2A" w14:paraId="7988EDE7" w14:textId="77777777" w:rsidTr="00413E23">
        <w:trPr>
          <w:trHeight w:val="117"/>
          <w:jc w:val="center"/>
        </w:trPr>
        <w:tc>
          <w:tcPr>
            <w:tcW w:w="709" w:type="dxa"/>
          </w:tcPr>
          <w:p w14:paraId="3DABDD13"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13.</w:t>
            </w:r>
          </w:p>
        </w:tc>
        <w:tc>
          <w:tcPr>
            <w:tcW w:w="6067" w:type="dxa"/>
            <w:vAlign w:val="center"/>
          </w:tcPr>
          <w:p w14:paraId="054D0470"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have more efficient engines than conventional vehicles</w:t>
            </w:r>
          </w:p>
        </w:tc>
        <w:tc>
          <w:tcPr>
            <w:tcW w:w="1134" w:type="dxa"/>
            <w:gridSpan w:val="2"/>
          </w:tcPr>
          <w:p w14:paraId="76AFEAB1"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48.2</w:t>
            </w:r>
          </w:p>
        </w:tc>
        <w:tc>
          <w:tcPr>
            <w:tcW w:w="1134" w:type="dxa"/>
          </w:tcPr>
          <w:p w14:paraId="55CB765F"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26.7</w:t>
            </w:r>
          </w:p>
        </w:tc>
      </w:tr>
      <w:tr w:rsidR="00303A2A" w:rsidRPr="00303A2A" w14:paraId="1169CA60" w14:textId="77777777" w:rsidTr="00413E23">
        <w:trPr>
          <w:trHeight w:val="260"/>
          <w:jc w:val="center"/>
        </w:trPr>
        <w:tc>
          <w:tcPr>
            <w:tcW w:w="709" w:type="dxa"/>
          </w:tcPr>
          <w:p w14:paraId="151BBD7E"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14.</w:t>
            </w:r>
          </w:p>
        </w:tc>
        <w:tc>
          <w:tcPr>
            <w:tcW w:w="6067" w:type="dxa"/>
            <w:vAlign w:val="center"/>
          </w:tcPr>
          <w:p w14:paraId="644146F0"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 xml:space="preserve">have adequate support infrastructures </w:t>
            </w:r>
          </w:p>
        </w:tc>
        <w:tc>
          <w:tcPr>
            <w:tcW w:w="1134" w:type="dxa"/>
            <w:gridSpan w:val="2"/>
          </w:tcPr>
          <w:p w14:paraId="374B5FEC"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49.4</w:t>
            </w:r>
          </w:p>
        </w:tc>
        <w:tc>
          <w:tcPr>
            <w:tcW w:w="1134" w:type="dxa"/>
          </w:tcPr>
          <w:p w14:paraId="61ABA870"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44.4</w:t>
            </w:r>
          </w:p>
        </w:tc>
      </w:tr>
      <w:tr w:rsidR="00303A2A" w:rsidRPr="00303A2A" w14:paraId="75F3EB17" w14:textId="77777777" w:rsidTr="00413E23">
        <w:trPr>
          <w:trHeight w:val="278"/>
          <w:jc w:val="center"/>
        </w:trPr>
        <w:tc>
          <w:tcPr>
            <w:tcW w:w="709" w:type="dxa"/>
            <w:tcBorders>
              <w:bottom w:val="single" w:sz="4" w:space="0" w:color="auto"/>
            </w:tcBorders>
          </w:tcPr>
          <w:p w14:paraId="228577C1"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15.</w:t>
            </w:r>
          </w:p>
        </w:tc>
        <w:tc>
          <w:tcPr>
            <w:tcW w:w="6067" w:type="dxa"/>
            <w:tcBorders>
              <w:bottom w:val="single" w:sz="4" w:space="0" w:color="auto"/>
            </w:tcBorders>
            <w:vAlign w:val="center"/>
          </w:tcPr>
          <w:p w14:paraId="754FE766"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develop an image and sophisticated style of vehicle with hydrogen fuel cells</w:t>
            </w:r>
          </w:p>
        </w:tc>
        <w:tc>
          <w:tcPr>
            <w:tcW w:w="1134" w:type="dxa"/>
            <w:gridSpan w:val="2"/>
            <w:tcBorders>
              <w:bottom w:val="single" w:sz="4" w:space="0" w:color="auto"/>
            </w:tcBorders>
          </w:tcPr>
          <w:p w14:paraId="156D2E6A"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37.6</w:t>
            </w:r>
          </w:p>
        </w:tc>
        <w:tc>
          <w:tcPr>
            <w:tcW w:w="1134" w:type="dxa"/>
            <w:tcBorders>
              <w:bottom w:val="single" w:sz="4" w:space="0" w:color="auto"/>
            </w:tcBorders>
          </w:tcPr>
          <w:p w14:paraId="189A63D0"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46.7</w:t>
            </w:r>
          </w:p>
        </w:tc>
      </w:tr>
      <w:tr w:rsidR="00303A2A" w:rsidRPr="00303A2A" w14:paraId="21A0352D" w14:textId="77777777" w:rsidTr="00413E23">
        <w:trPr>
          <w:trHeight w:val="244"/>
          <w:jc w:val="center"/>
        </w:trPr>
        <w:tc>
          <w:tcPr>
            <w:tcW w:w="709" w:type="dxa"/>
            <w:tcBorders>
              <w:top w:val="single" w:sz="4" w:space="0" w:color="auto"/>
              <w:bottom w:val="single" w:sz="4" w:space="0" w:color="auto"/>
            </w:tcBorders>
          </w:tcPr>
          <w:p w14:paraId="298ECAF7"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p>
        </w:tc>
        <w:tc>
          <w:tcPr>
            <w:tcW w:w="6067" w:type="dxa"/>
            <w:tcBorders>
              <w:top w:val="single" w:sz="4" w:space="0" w:color="auto"/>
              <w:bottom w:val="single" w:sz="4" w:space="0" w:color="auto"/>
            </w:tcBorders>
          </w:tcPr>
          <w:p w14:paraId="660D3813" w14:textId="5F86077C" w:rsidR="00303A2A" w:rsidRPr="00303A2A" w:rsidRDefault="00D6406E"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Pr>
                <w:rFonts w:ascii="Times New Roman" w:eastAsia="Times New Roman" w:hAnsi="Times New Roman" w:cs="Times New Roman"/>
                <w:b/>
                <w:position w:val="0"/>
                <w:sz w:val="20"/>
                <w:szCs w:val="20"/>
              </w:rPr>
              <w:t>Total s</w:t>
            </w:r>
            <w:r w:rsidR="00303A2A" w:rsidRPr="00303A2A">
              <w:rPr>
                <w:rFonts w:ascii="Times New Roman" w:eastAsia="Times New Roman" w:hAnsi="Times New Roman" w:cs="Times New Roman"/>
                <w:b/>
                <w:position w:val="0"/>
                <w:sz w:val="20"/>
                <w:szCs w:val="20"/>
              </w:rPr>
              <w:t>core</w:t>
            </w:r>
          </w:p>
        </w:tc>
        <w:tc>
          <w:tcPr>
            <w:tcW w:w="1134" w:type="dxa"/>
            <w:gridSpan w:val="2"/>
            <w:tcBorders>
              <w:top w:val="single" w:sz="4" w:space="0" w:color="auto"/>
              <w:bottom w:val="single" w:sz="4" w:space="0" w:color="auto"/>
            </w:tcBorders>
          </w:tcPr>
          <w:p w14:paraId="242D22A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30.7</w:t>
            </w:r>
          </w:p>
        </w:tc>
        <w:tc>
          <w:tcPr>
            <w:tcW w:w="1134" w:type="dxa"/>
            <w:tcBorders>
              <w:top w:val="single" w:sz="4" w:space="0" w:color="auto"/>
              <w:bottom w:val="single" w:sz="4" w:space="0" w:color="auto"/>
            </w:tcBorders>
          </w:tcPr>
          <w:p w14:paraId="7296E370"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34.4</w:t>
            </w:r>
          </w:p>
        </w:tc>
      </w:tr>
    </w:tbl>
    <w:p w14:paraId="6900399A" w14:textId="77777777" w:rsidR="002E00E1" w:rsidRDefault="002E00E1" w:rsidP="00303A2A">
      <w:pPr>
        <w:keepNext/>
        <w:keepLines/>
        <w:suppressAutoHyphens w:val="0"/>
        <w:spacing w:before="40" w:after="0" w:line="240" w:lineRule="auto"/>
        <w:ind w:leftChars="0" w:left="0" w:firstLineChars="0" w:firstLine="0"/>
        <w:textDirection w:val="lrTb"/>
        <w:textAlignment w:val="auto"/>
        <w:outlineLvl w:val="1"/>
        <w:rPr>
          <w:rFonts w:ascii="Times New Roman" w:eastAsia="Times New Roman" w:hAnsi="Times New Roman" w:cs="Times New Roman"/>
          <w:i/>
          <w:iCs/>
          <w:position w:val="0"/>
          <w:sz w:val="24"/>
          <w:szCs w:val="24"/>
        </w:rPr>
      </w:pPr>
    </w:p>
    <w:p w14:paraId="1198E487" w14:textId="611CA0AC" w:rsidR="00303A2A" w:rsidRDefault="00303A2A" w:rsidP="00303A2A">
      <w:pPr>
        <w:keepNext/>
        <w:keepLines/>
        <w:suppressAutoHyphens w:val="0"/>
        <w:spacing w:before="40" w:after="0" w:line="240" w:lineRule="auto"/>
        <w:ind w:leftChars="0" w:left="0" w:firstLineChars="0" w:firstLine="0"/>
        <w:textDirection w:val="lrTb"/>
        <w:textAlignment w:val="auto"/>
        <w:outlineLvl w:val="1"/>
        <w:rPr>
          <w:rFonts w:ascii="Times New Roman" w:eastAsia="Times New Roman" w:hAnsi="Times New Roman" w:cs="Times New Roman"/>
          <w:i/>
          <w:iCs/>
          <w:position w:val="0"/>
          <w:sz w:val="24"/>
          <w:szCs w:val="24"/>
        </w:rPr>
      </w:pPr>
      <w:r w:rsidRPr="00303A2A">
        <w:rPr>
          <w:rFonts w:ascii="Times New Roman" w:eastAsia="Times New Roman" w:hAnsi="Times New Roman" w:cs="Times New Roman"/>
          <w:i/>
          <w:iCs/>
          <w:position w:val="0"/>
          <w:sz w:val="24"/>
          <w:szCs w:val="24"/>
        </w:rPr>
        <w:t xml:space="preserve">The </w:t>
      </w:r>
      <w:r w:rsidR="0036256B" w:rsidRPr="00303A2A">
        <w:rPr>
          <w:rFonts w:ascii="Times New Roman" w:eastAsia="Times New Roman" w:hAnsi="Times New Roman" w:cs="Times New Roman"/>
          <w:i/>
          <w:iCs/>
          <w:position w:val="0"/>
          <w:sz w:val="24"/>
          <w:szCs w:val="24"/>
        </w:rPr>
        <w:t xml:space="preserve">public perception </w:t>
      </w:r>
      <w:r w:rsidRPr="00303A2A">
        <w:rPr>
          <w:rFonts w:ascii="Times New Roman" w:eastAsia="Times New Roman" w:hAnsi="Times New Roman" w:cs="Times New Roman"/>
          <w:i/>
          <w:iCs/>
          <w:position w:val="0"/>
          <w:sz w:val="24"/>
          <w:szCs w:val="24"/>
        </w:rPr>
        <w:t xml:space="preserve">of HFCV </w:t>
      </w:r>
      <w:r w:rsidR="0036256B" w:rsidRPr="00303A2A">
        <w:rPr>
          <w:rFonts w:ascii="Times New Roman" w:eastAsia="Times New Roman" w:hAnsi="Times New Roman" w:cs="Times New Roman"/>
          <w:i/>
          <w:iCs/>
          <w:position w:val="0"/>
          <w:sz w:val="24"/>
          <w:szCs w:val="24"/>
        </w:rPr>
        <w:t>adoption</w:t>
      </w:r>
      <w:r w:rsidRPr="00303A2A">
        <w:rPr>
          <w:rFonts w:ascii="Times New Roman" w:eastAsia="Times New Roman" w:hAnsi="Times New Roman" w:cs="Times New Roman"/>
          <w:i/>
          <w:iCs/>
          <w:position w:val="0"/>
          <w:sz w:val="24"/>
          <w:szCs w:val="24"/>
        </w:rPr>
        <w:t xml:space="preserve"> in Malaysia</w:t>
      </w:r>
    </w:p>
    <w:p w14:paraId="18F8276F" w14:textId="77777777" w:rsidR="0036256B" w:rsidRPr="00303A2A" w:rsidRDefault="0036256B" w:rsidP="00303A2A">
      <w:pPr>
        <w:keepNext/>
        <w:keepLines/>
        <w:suppressAutoHyphens w:val="0"/>
        <w:spacing w:before="40" w:after="0" w:line="240" w:lineRule="auto"/>
        <w:ind w:leftChars="0" w:left="0" w:firstLineChars="0" w:firstLine="0"/>
        <w:textDirection w:val="lrTb"/>
        <w:textAlignment w:val="auto"/>
        <w:outlineLvl w:val="1"/>
        <w:rPr>
          <w:rFonts w:ascii="Times New Roman" w:eastAsia="Times New Roman" w:hAnsi="Times New Roman" w:cs="Times New Roman"/>
          <w:i/>
          <w:iCs/>
          <w:position w:val="0"/>
          <w:sz w:val="24"/>
          <w:szCs w:val="24"/>
        </w:rPr>
      </w:pPr>
    </w:p>
    <w:p w14:paraId="3183CE0F" w14:textId="6135FC38" w:rsid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303A2A">
        <w:rPr>
          <w:rFonts w:ascii="Times New Roman" w:eastAsia="Times New Roman" w:hAnsi="Times New Roman" w:cs="Times New Roman"/>
          <w:position w:val="0"/>
          <w:sz w:val="24"/>
          <w:szCs w:val="24"/>
        </w:rPr>
        <w:t xml:space="preserve">The findings for the public’s perceptions of HFCV adoption in Malaysia are shown in Table 4. The results indicate that the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Bandar </w:t>
      </w:r>
      <w:proofErr w:type="spellStart"/>
      <w:r w:rsidRPr="00303A2A">
        <w:rPr>
          <w:rFonts w:ascii="Times New Roman" w:eastAsia="Times New Roman" w:hAnsi="Times New Roman" w:cs="Times New Roman"/>
          <w:position w:val="0"/>
          <w:sz w:val="24"/>
          <w:szCs w:val="24"/>
        </w:rPr>
        <w:t>Tun</w:t>
      </w:r>
      <w:proofErr w:type="spellEnd"/>
      <w:r w:rsidRPr="00303A2A">
        <w:rPr>
          <w:rFonts w:ascii="Times New Roman" w:eastAsia="Times New Roman" w:hAnsi="Times New Roman" w:cs="Times New Roman"/>
          <w:position w:val="0"/>
          <w:sz w:val="24"/>
          <w:szCs w:val="24"/>
        </w:rPr>
        <w:t xml:space="preserve"> Razak have a fair perception of HFCV implementation with a mean score of 1.89 and 1.76, respectively, indicating that most of them slightly agree with the item statements. The results showed that 83.5% and 48.9% o</w:t>
      </w:r>
      <w:bookmarkStart w:id="7" w:name="_Hlk83828266"/>
      <w:r w:rsidRPr="00303A2A">
        <w:rPr>
          <w:rFonts w:ascii="Times New Roman" w:eastAsia="Times New Roman" w:hAnsi="Times New Roman" w:cs="Times New Roman"/>
          <w:position w:val="0"/>
          <w:sz w:val="24"/>
          <w:szCs w:val="24"/>
        </w:rPr>
        <w:t xml:space="preserve">f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Bandar </w:t>
      </w:r>
      <w:proofErr w:type="spellStart"/>
      <w:r w:rsidRPr="00303A2A">
        <w:rPr>
          <w:rFonts w:ascii="Times New Roman" w:eastAsia="Times New Roman" w:hAnsi="Times New Roman" w:cs="Times New Roman"/>
          <w:position w:val="0"/>
          <w:sz w:val="24"/>
          <w:szCs w:val="24"/>
        </w:rPr>
        <w:t>Tun</w:t>
      </w:r>
      <w:proofErr w:type="spellEnd"/>
      <w:r w:rsidRPr="00303A2A">
        <w:rPr>
          <w:rFonts w:ascii="Times New Roman" w:eastAsia="Times New Roman" w:hAnsi="Times New Roman" w:cs="Times New Roman"/>
          <w:position w:val="0"/>
          <w:sz w:val="24"/>
          <w:szCs w:val="24"/>
        </w:rPr>
        <w:t xml:space="preserve"> Razak respondents respectively believe that</w:t>
      </w:r>
      <w:bookmarkEnd w:id="7"/>
      <w:r w:rsidRPr="00303A2A">
        <w:rPr>
          <w:rFonts w:ascii="Times New Roman" w:eastAsia="Times New Roman" w:hAnsi="Times New Roman" w:cs="Times New Roman"/>
          <w:position w:val="0"/>
          <w:sz w:val="24"/>
          <w:szCs w:val="24"/>
        </w:rPr>
        <w:t xml:space="preserve"> HFCV can increase energy conservation and improve efficiency in Malaysia's automotive industry.  However, only 21.2% of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respondents and 28.9% of Bandar Tun Razak respondents believe that HFCV will enhance the competitiveness of the Malaysian automotive industry. Most of the public believe HFCV is only at the beginning stage in Malaysia, and alternative fuel resources, like an HFC to substitute fossil fuels, still have some uncertainties that must be addressed. Hydrogen energy is a great clean energy carrier and can provide relevant solutions to environmental problems such as climate change, toxic gas emissions, and energy security. However, the results indicated that only 38.8%  and 24.4% of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Bandar </w:t>
      </w:r>
      <w:proofErr w:type="spellStart"/>
      <w:r w:rsidRPr="00303A2A">
        <w:rPr>
          <w:rFonts w:ascii="Times New Roman" w:eastAsia="Times New Roman" w:hAnsi="Times New Roman" w:cs="Times New Roman"/>
          <w:position w:val="0"/>
          <w:sz w:val="24"/>
          <w:szCs w:val="24"/>
        </w:rPr>
        <w:t>Tun</w:t>
      </w:r>
      <w:proofErr w:type="spellEnd"/>
      <w:r w:rsidRPr="00303A2A">
        <w:rPr>
          <w:rFonts w:ascii="Times New Roman" w:eastAsia="Times New Roman" w:hAnsi="Times New Roman" w:cs="Times New Roman"/>
          <w:position w:val="0"/>
          <w:sz w:val="24"/>
          <w:szCs w:val="24"/>
        </w:rPr>
        <w:t xml:space="preserve"> Razak respondents respectively believe that HFCV will reduce negative environmental impacts and increase the quality of life. In other words, environmental concerns were considered to influence the adoption of HFCV and had a detrimental effect on market penetration. In this study, </w:t>
      </w:r>
      <w:bookmarkStart w:id="8" w:name="_Hlk83849263"/>
      <w:r w:rsidRPr="00303A2A">
        <w:rPr>
          <w:rFonts w:ascii="Times New Roman" w:eastAsia="Times New Roman" w:hAnsi="Times New Roman" w:cs="Times New Roman"/>
          <w:position w:val="0"/>
          <w:sz w:val="24"/>
          <w:szCs w:val="24"/>
        </w:rPr>
        <w:t xml:space="preserve">most </w:t>
      </w:r>
      <w:bookmarkStart w:id="9" w:name="_Hlk83849027"/>
      <w:r w:rsidRPr="00303A2A">
        <w:rPr>
          <w:rFonts w:ascii="Times New Roman" w:eastAsia="Times New Roman" w:hAnsi="Times New Roman" w:cs="Times New Roman"/>
          <w:position w:val="0"/>
          <w:sz w:val="24"/>
          <w:szCs w:val="24"/>
        </w:rPr>
        <w:t xml:space="preserve">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w:t>
      </w:r>
      <w:bookmarkEnd w:id="9"/>
      <w:r w:rsidRPr="00303A2A">
        <w:rPr>
          <w:rFonts w:ascii="Times New Roman" w:eastAsia="Times New Roman" w:hAnsi="Times New Roman" w:cs="Times New Roman"/>
          <w:position w:val="0"/>
          <w:sz w:val="24"/>
          <w:szCs w:val="24"/>
        </w:rPr>
        <w:t>state that HFCV will create new jobs and strengthen market forces, views not necessarily shared by respondents from Bandar Tun Razak</w:t>
      </w:r>
      <w:bookmarkEnd w:id="8"/>
      <w:r w:rsidRPr="00303A2A">
        <w:rPr>
          <w:rFonts w:ascii="Times New Roman" w:eastAsia="Times New Roman" w:hAnsi="Times New Roman" w:cs="Times New Roman"/>
          <w:position w:val="0"/>
          <w:sz w:val="24"/>
          <w:szCs w:val="24"/>
        </w:rPr>
        <w:t xml:space="preserve">. Most respondents from Bandar Tun Razak believe that HFCV will facilitate </w:t>
      </w:r>
      <w:r w:rsidRPr="00303A2A">
        <w:rPr>
          <w:rFonts w:ascii="Times New Roman" w:eastAsia="Times New Roman" w:hAnsi="Times New Roman" w:cs="Times New Roman"/>
          <w:position w:val="0"/>
          <w:sz w:val="24"/>
          <w:szCs w:val="24"/>
        </w:rPr>
        <w:lastRenderedPageBreak/>
        <w:t xml:space="preserve">research and interactions among stakeholders, ultimately leading to a sustainable transportation system using HFCV, a view not as strongly shared by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w:t>
      </w:r>
    </w:p>
    <w:p w14:paraId="0D0C4206" w14:textId="77777777" w:rsidR="00303A2A" w:rsidRP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2884E613" w14:textId="72D765ED" w:rsid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6256B">
        <w:rPr>
          <w:rFonts w:ascii="Times New Roman" w:eastAsia="Times New Roman" w:hAnsi="Times New Roman" w:cs="Times New Roman"/>
          <w:b/>
          <w:position w:val="0"/>
          <w:sz w:val="20"/>
          <w:szCs w:val="20"/>
        </w:rPr>
        <w:t>Table 4</w:t>
      </w:r>
      <w:r w:rsidR="0036256B" w:rsidRPr="0036256B">
        <w:rPr>
          <w:rFonts w:ascii="Times New Roman" w:eastAsia="Times New Roman" w:hAnsi="Times New Roman" w:cs="Times New Roman"/>
          <w:b/>
          <w:position w:val="0"/>
          <w:sz w:val="20"/>
          <w:szCs w:val="20"/>
        </w:rPr>
        <w:t>.</w:t>
      </w:r>
      <w:r w:rsidR="0036256B">
        <w:rPr>
          <w:rFonts w:ascii="Times New Roman" w:eastAsia="Times New Roman" w:hAnsi="Times New Roman" w:cs="Times New Roman"/>
          <w:bCs/>
          <w:position w:val="0"/>
          <w:sz w:val="20"/>
          <w:szCs w:val="20"/>
        </w:rPr>
        <w:t xml:space="preserve"> </w:t>
      </w:r>
      <w:r w:rsidRPr="00303A2A">
        <w:rPr>
          <w:rFonts w:ascii="Times New Roman" w:eastAsia="Times New Roman" w:hAnsi="Times New Roman" w:cs="Times New Roman"/>
          <w:bCs/>
          <w:position w:val="0"/>
          <w:sz w:val="20"/>
          <w:szCs w:val="20"/>
        </w:rPr>
        <w:t xml:space="preserve">The </w:t>
      </w:r>
      <w:r w:rsidR="0036256B" w:rsidRPr="00303A2A">
        <w:rPr>
          <w:rFonts w:ascii="Times New Roman" w:eastAsia="Times New Roman" w:hAnsi="Times New Roman" w:cs="Times New Roman"/>
          <w:bCs/>
          <w:position w:val="0"/>
          <w:sz w:val="20"/>
          <w:szCs w:val="20"/>
        </w:rPr>
        <w:t xml:space="preserve">public perception </w:t>
      </w:r>
      <w:r w:rsidRPr="00303A2A">
        <w:rPr>
          <w:rFonts w:ascii="Times New Roman" w:eastAsia="Times New Roman" w:hAnsi="Times New Roman" w:cs="Times New Roman"/>
          <w:bCs/>
          <w:position w:val="0"/>
          <w:sz w:val="20"/>
          <w:szCs w:val="20"/>
        </w:rPr>
        <w:t xml:space="preserve">of HFCV </w:t>
      </w:r>
      <w:r w:rsidR="0036256B" w:rsidRPr="00303A2A">
        <w:rPr>
          <w:rFonts w:ascii="Times New Roman" w:eastAsia="Times New Roman" w:hAnsi="Times New Roman" w:cs="Times New Roman"/>
          <w:bCs/>
          <w:position w:val="0"/>
          <w:sz w:val="20"/>
          <w:szCs w:val="20"/>
        </w:rPr>
        <w:t>adoption</w:t>
      </w:r>
      <w:r w:rsidRPr="00303A2A">
        <w:rPr>
          <w:rFonts w:ascii="Times New Roman" w:eastAsia="Times New Roman" w:hAnsi="Times New Roman" w:cs="Times New Roman"/>
          <w:bCs/>
          <w:position w:val="0"/>
          <w:sz w:val="20"/>
          <w:szCs w:val="20"/>
        </w:rPr>
        <w:t xml:space="preserve"> in Malaysia</w:t>
      </w:r>
    </w:p>
    <w:p w14:paraId="19E26FEF" w14:textId="77777777" w:rsidR="0036256B" w:rsidRPr="00303A2A" w:rsidRDefault="0036256B"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p>
    <w:tbl>
      <w:tblPr>
        <w:tblW w:w="9039" w:type="dxa"/>
        <w:jc w:val="center"/>
        <w:tblLayout w:type="fixed"/>
        <w:tblLook w:val="00A0" w:firstRow="1" w:lastRow="0" w:firstColumn="1" w:lastColumn="0" w:noHBand="0" w:noVBand="0"/>
      </w:tblPr>
      <w:tblGrid>
        <w:gridCol w:w="562"/>
        <w:gridCol w:w="6067"/>
        <w:gridCol w:w="1134"/>
        <w:gridCol w:w="1276"/>
      </w:tblGrid>
      <w:tr w:rsidR="00413E23" w:rsidRPr="00303A2A" w14:paraId="001AF5BB" w14:textId="77777777" w:rsidTr="007106A5">
        <w:trPr>
          <w:trHeight w:val="213"/>
          <w:tblHeader/>
          <w:jc w:val="center"/>
        </w:trPr>
        <w:tc>
          <w:tcPr>
            <w:tcW w:w="562" w:type="dxa"/>
            <w:vMerge w:val="restart"/>
            <w:tcBorders>
              <w:top w:val="single" w:sz="4" w:space="0" w:color="auto"/>
            </w:tcBorders>
            <w:shd w:val="clear" w:color="auto" w:fill="B8CCE4" w:themeFill="accent1" w:themeFillTint="66"/>
          </w:tcPr>
          <w:p w14:paraId="0D7B2B77" w14:textId="57B9037D" w:rsidR="00413E23" w:rsidRPr="00303A2A" w:rsidRDefault="00413E23" w:rsidP="00303A2A">
            <w:pPr>
              <w:spacing w:after="0" w:line="240" w:lineRule="auto"/>
              <w:ind w:left="0" w:hanging="2"/>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No</w:t>
            </w:r>
          </w:p>
        </w:tc>
        <w:tc>
          <w:tcPr>
            <w:tcW w:w="6067" w:type="dxa"/>
            <w:tcBorders>
              <w:top w:val="single" w:sz="4" w:space="0" w:color="auto"/>
              <w:bottom w:val="single" w:sz="4" w:space="0" w:color="auto"/>
            </w:tcBorders>
            <w:shd w:val="clear" w:color="auto" w:fill="B8CCE4" w:themeFill="accent1" w:themeFillTint="66"/>
          </w:tcPr>
          <w:p w14:paraId="493F2F6C" w14:textId="6EC8F47D" w:rsidR="00413E23" w:rsidRPr="00303A2A" w:rsidRDefault="00413E23"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 xml:space="preserve">Item </w:t>
            </w:r>
            <w:r>
              <w:rPr>
                <w:rFonts w:ascii="Times New Roman" w:eastAsia="Times New Roman" w:hAnsi="Times New Roman" w:cs="Times New Roman"/>
                <w:b/>
                <w:position w:val="0"/>
                <w:sz w:val="20"/>
                <w:szCs w:val="20"/>
              </w:rPr>
              <w:t>s</w:t>
            </w:r>
            <w:r w:rsidRPr="00303A2A">
              <w:rPr>
                <w:rFonts w:ascii="Times New Roman" w:eastAsia="Times New Roman" w:hAnsi="Times New Roman" w:cs="Times New Roman"/>
                <w:b/>
                <w:position w:val="0"/>
                <w:sz w:val="20"/>
                <w:szCs w:val="20"/>
              </w:rPr>
              <w:t>tatement</w:t>
            </w:r>
          </w:p>
        </w:tc>
        <w:tc>
          <w:tcPr>
            <w:tcW w:w="2410" w:type="dxa"/>
            <w:gridSpan w:val="2"/>
            <w:tcBorders>
              <w:top w:val="single" w:sz="4" w:space="0" w:color="auto"/>
              <w:bottom w:val="single" w:sz="4" w:space="0" w:color="auto"/>
            </w:tcBorders>
            <w:shd w:val="clear" w:color="auto" w:fill="B8CCE4" w:themeFill="accent1" w:themeFillTint="66"/>
          </w:tcPr>
          <w:p w14:paraId="180B2F1C" w14:textId="527646A3" w:rsidR="00413E23" w:rsidRPr="00303A2A" w:rsidRDefault="00413E23"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rPr>
            </w:pPr>
            <w:r>
              <w:rPr>
                <w:rFonts w:ascii="Times New Roman" w:eastAsia="Times New Roman" w:hAnsi="Times New Roman" w:cs="Times New Roman"/>
                <w:b/>
                <w:position w:val="0"/>
                <w:sz w:val="20"/>
                <w:szCs w:val="20"/>
              </w:rPr>
              <w:t>% of a</w:t>
            </w:r>
            <w:r w:rsidRPr="00303A2A">
              <w:rPr>
                <w:rFonts w:ascii="Times New Roman" w:eastAsia="Times New Roman" w:hAnsi="Times New Roman" w:cs="Times New Roman"/>
                <w:b/>
                <w:position w:val="0"/>
                <w:sz w:val="20"/>
                <w:szCs w:val="20"/>
              </w:rPr>
              <w:t>greement</w:t>
            </w:r>
          </w:p>
        </w:tc>
      </w:tr>
      <w:tr w:rsidR="00413E23" w:rsidRPr="00303A2A" w14:paraId="18FD4858" w14:textId="77777777" w:rsidTr="007106A5">
        <w:trPr>
          <w:trHeight w:val="426"/>
          <w:tblHeader/>
          <w:jc w:val="center"/>
        </w:trPr>
        <w:tc>
          <w:tcPr>
            <w:tcW w:w="562" w:type="dxa"/>
            <w:vMerge/>
            <w:tcBorders>
              <w:bottom w:val="single" w:sz="4" w:space="0" w:color="auto"/>
            </w:tcBorders>
            <w:shd w:val="clear" w:color="auto" w:fill="B8CCE4" w:themeFill="accent1" w:themeFillTint="66"/>
          </w:tcPr>
          <w:p w14:paraId="2551AF06" w14:textId="4BCECDC6" w:rsidR="00413E23" w:rsidRPr="00303A2A" w:rsidRDefault="00413E23"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p>
        </w:tc>
        <w:tc>
          <w:tcPr>
            <w:tcW w:w="6067" w:type="dxa"/>
            <w:tcBorders>
              <w:top w:val="single" w:sz="4" w:space="0" w:color="auto"/>
              <w:bottom w:val="single" w:sz="4" w:space="0" w:color="auto"/>
            </w:tcBorders>
            <w:shd w:val="clear" w:color="auto" w:fill="B8CCE4" w:themeFill="accent1" w:themeFillTint="66"/>
          </w:tcPr>
          <w:p w14:paraId="49B4337A" w14:textId="77777777" w:rsidR="00413E23" w:rsidRPr="00303A2A" w:rsidRDefault="00413E23"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In terms of my perception of HFCV adoption in Malaysia, I believe that HFCV will……</w:t>
            </w:r>
          </w:p>
        </w:tc>
        <w:tc>
          <w:tcPr>
            <w:tcW w:w="1134" w:type="dxa"/>
            <w:tcBorders>
              <w:top w:val="single" w:sz="4" w:space="0" w:color="auto"/>
              <w:bottom w:val="single" w:sz="4" w:space="0" w:color="auto"/>
            </w:tcBorders>
            <w:shd w:val="clear" w:color="auto" w:fill="B8CCE4" w:themeFill="accent1" w:themeFillTint="66"/>
          </w:tcPr>
          <w:p w14:paraId="21279D53" w14:textId="77777777" w:rsidR="00413E23" w:rsidRPr="00303A2A" w:rsidRDefault="00413E23"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rPr>
            </w:pPr>
            <w:proofErr w:type="spellStart"/>
            <w:r w:rsidRPr="00303A2A">
              <w:rPr>
                <w:rFonts w:ascii="Times New Roman" w:eastAsia="Times New Roman" w:hAnsi="Times New Roman" w:cs="Times New Roman"/>
                <w:b/>
                <w:position w:val="0"/>
                <w:sz w:val="20"/>
                <w:szCs w:val="20"/>
              </w:rPr>
              <w:t>Cheras</w:t>
            </w:r>
            <w:proofErr w:type="spellEnd"/>
          </w:p>
        </w:tc>
        <w:tc>
          <w:tcPr>
            <w:tcW w:w="1276" w:type="dxa"/>
            <w:tcBorders>
              <w:top w:val="single" w:sz="4" w:space="0" w:color="auto"/>
              <w:bottom w:val="single" w:sz="4" w:space="0" w:color="auto"/>
            </w:tcBorders>
            <w:shd w:val="clear" w:color="auto" w:fill="B8CCE4" w:themeFill="accent1" w:themeFillTint="66"/>
          </w:tcPr>
          <w:p w14:paraId="07CB3001" w14:textId="77777777" w:rsidR="00413E23" w:rsidRPr="00303A2A" w:rsidRDefault="00413E23"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BTR</w:t>
            </w:r>
          </w:p>
        </w:tc>
      </w:tr>
      <w:tr w:rsidR="00303A2A" w:rsidRPr="00303A2A" w14:paraId="2137FAEC" w14:textId="77777777" w:rsidTr="00413E23">
        <w:trPr>
          <w:trHeight w:val="426"/>
          <w:tblHeader/>
          <w:jc w:val="center"/>
        </w:trPr>
        <w:tc>
          <w:tcPr>
            <w:tcW w:w="562" w:type="dxa"/>
            <w:tcBorders>
              <w:top w:val="single" w:sz="4" w:space="0" w:color="auto"/>
            </w:tcBorders>
          </w:tcPr>
          <w:p w14:paraId="47CD115D"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w:t>
            </w:r>
          </w:p>
        </w:tc>
        <w:tc>
          <w:tcPr>
            <w:tcW w:w="6067" w:type="dxa"/>
            <w:tcBorders>
              <w:top w:val="single" w:sz="4" w:space="0" w:color="auto"/>
            </w:tcBorders>
          </w:tcPr>
          <w:p w14:paraId="211FFBDF"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Facilitate energy conservation and improve efficiency in the Malaysian automotive industry</w:t>
            </w:r>
          </w:p>
        </w:tc>
        <w:tc>
          <w:tcPr>
            <w:tcW w:w="1134" w:type="dxa"/>
            <w:tcBorders>
              <w:top w:val="single" w:sz="4" w:space="0" w:color="auto"/>
            </w:tcBorders>
          </w:tcPr>
          <w:p w14:paraId="630E60BE"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83.5</w:t>
            </w:r>
          </w:p>
        </w:tc>
        <w:tc>
          <w:tcPr>
            <w:tcW w:w="1276" w:type="dxa"/>
            <w:tcBorders>
              <w:top w:val="single" w:sz="4" w:space="0" w:color="auto"/>
            </w:tcBorders>
          </w:tcPr>
          <w:p w14:paraId="39A244D9"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48.9</w:t>
            </w:r>
          </w:p>
        </w:tc>
      </w:tr>
      <w:tr w:rsidR="00303A2A" w:rsidRPr="00303A2A" w14:paraId="0242B4E7" w14:textId="77777777" w:rsidTr="00413E23">
        <w:trPr>
          <w:trHeight w:val="213"/>
          <w:tblHeader/>
          <w:jc w:val="center"/>
        </w:trPr>
        <w:tc>
          <w:tcPr>
            <w:tcW w:w="562" w:type="dxa"/>
          </w:tcPr>
          <w:p w14:paraId="7BA1EB26"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w:t>
            </w:r>
          </w:p>
        </w:tc>
        <w:tc>
          <w:tcPr>
            <w:tcW w:w="6067" w:type="dxa"/>
          </w:tcPr>
          <w:p w14:paraId="0DC7129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bookmarkStart w:id="10" w:name="_Hlk83828319"/>
            <w:r w:rsidRPr="00303A2A">
              <w:rPr>
                <w:rFonts w:ascii="Times New Roman" w:eastAsia="Times New Roman" w:hAnsi="Times New Roman" w:cs="Times New Roman"/>
                <w:bCs/>
                <w:position w:val="0"/>
                <w:sz w:val="20"/>
                <w:szCs w:val="20"/>
              </w:rPr>
              <w:t>Enhance the competitiveness of the Malaysian automotive industry</w:t>
            </w:r>
            <w:bookmarkEnd w:id="10"/>
          </w:p>
        </w:tc>
        <w:tc>
          <w:tcPr>
            <w:tcW w:w="1134" w:type="dxa"/>
          </w:tcPr>
          <w:p w14:paraId="2920A8AF"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21.2</w:t>
            </w:r>
          </w:p>
        </w:tc>
        <w:tc>
          <w:tcPr>
            <w:tcW w:w="1276" w:type="dxa"/>
          </w:tcPr>
          <w:p w14:paraId="64F41125"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28.9</w:t>
            </w:r>
          </w:p>
        </w:tc>
      </w:tr>
      <w:tr w:rsidR="00303A2A" w:rsidRPr="00303A2A" w14:paraId="7457FCDE" w14:textId="77777777" w:rsidTr="00413E23">
        <w:trPr>
          <w:trHeight w:val="441"/>
          <w:tblHeader/>
          <w:jc w:val="center"/>
        </w:trPr>
        <w:tc>
          <w:tcPr>
            <w:tcW w:w="562" w:type="dxa"/>
          </w:tcPr>
          <w:p w14:paraId="5422AA14"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3.</w:t>
            </w:r>
          </w:p>
        </w:tc>
        <w:tc>
          <w:tcPr>
            <w:tcW w:w="6067" w:type="dxa"/>
          </w:tcPr>
          <w:p w14:paraId="50E3A8E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Reduce environmental impact and increase the quality of life through sustainable development and transportation</w:t>
            </w:r>
          </w:p>
        </w:tc>
        <w:tc>
          <w:tcPr>
            <w:tcW w:w="1134" w:type="dxa"/>
          </w:tcPr>
          <w:p w14:paraId="48D32BB0"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38.8</w:t>
            </w:r>
          </w:p>
        </w:tc>
        <w:tc>
          <w:tcPr>
            <w:tcW w:w="1276" w:type="dxa"/>
          </w:tcPr>
          <w:p w14:paraId="683FD840"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24.4</w:t>
            </w:r>
          </w:p>
        </w:tc>
      </w:tr>
      <w:tr w:rsidR="00303A2A" w:rsidRPr="00303A2A" w14:paraId="04E1ACE6" w14:textId="77777777" w:rsidTr="00413E23">
        <w:trPr>
          <w:trHeight w:val="441"/>
          <w:tblHeader/>
          <w:jc w:val="center"/>
        </w:trPr>
        <w:tc>
          <w:tcPr>
            <w:tcW w:w="562" w:type="dxa"/>
          </w:tcPr>
          <w:p w14:paraId="6E8CC6E2"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w:t>
            </w:r>
          </w:p>
        </w:tc>
        <w:tc>
          <w:tcPr>
            <w:tcW w:w="6067" w:type="dxa"/>
          </w:tcPr>
          <w:p w14:paraId="29B6BE38"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bookmarkStart w:id="11" w:name="_Hlk83848975"/>
            <w:r w:rsidRPr="00303A2A">
              <w:rPr>
                <w:rFonts w:ascii="Times New Roman" w:eastAsia="Times New Roman" w:hAnsi="Times New Roman" w:cs="Times New Roman"/>
                <w:bCs/>
                <w:position w:val="0"/>
                <w:sz w:val="20"/>
                <w:szCs w:val="20"/>
              </w:rPr>
              <w:t xml:space="preserve">Bring new job creation </w:t>
            </w:r>
            <w:bookmarkEnd w:id="11"/>
            <w:r w:rsidRPr="00303A2A">
              <w:rPr>
                <w:rFonts w:ascii="Times New Roman" w:eastAsia="Times New Roman" w:hAnsi="Times New Roman" w:cs="Times New Roman"/>
                <w:bCs/>
                <w:position w:val="0"/>
                <w:sz w:val="20"/>
                <w:szCs w:val="20"/>
              </w:rPr>
              <w:t>and contribute to a national competitive advantage</w:t>
            </w:r>
          </w:p>
        </w:tc>
        <w:tc>
          <w:tcPr>
            <w:tcW w:w="1134" w:type="dxa"/>
          </w:tcPr>
          <w:p w14:paraId="62AC3665"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28.2</w:t>
            </w:r>
          </w:p>
        </w:tc>
        <w:tc>
          <w:tcPr>
            <w:tcW w:w="1276" w:type="dxa"/>
          </w:tcPr>
          <w:p w14:paraId="03AFA88C"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24.4</w:t>
            </w:r>
          </w:p>
        </w:tc>
      </w:tr>
      <w:tr w:rsidR="00303A2A" w:rsidRPr="00303A2A" w14:paraId="4657FC7C" w14:textId="77777777" w:rsidTr="00413E23">
        <w:trPr>
          <w:trHeight w:val="426"/>
          <w:tblHeader/>
          <w:jc w:val="center"/>
        </w:trPr>
        <w:tc>
          <w:tcPr>
            <w:tcW w:w="562" w:type="dxa"/>
          </w:tcPr>
          <w:p w14:paraId="60B2A33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5.</w:t>
            </w:r>
          </w:p>
        </w:tc>
        <w:tc>
          <w:tcPr>
            <w:tcW w:w="6067" w:type="dxa"/>
          </w:tcPr>
          <w:p w14:paraId="402C162D"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Enable a market breakthrough of HFC technology, enabling market forces to drive a substantial public benefit</w:t>
            </w:r>
          </w:p>
        </w:tc>
        <w:tc>
          <w:tcPr>
            <w:tcW w:w="1134" w:type="dxa"/>
          </w:tcPr>
          <w:p w14:paraId="765B81BA"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34.1</w:t>
            </w:r>
          </w:p>
        </w:tc>
        <w:tc>
          <w:tcPr>
            <w:tcW w:w="1276" w:type="dxa"/>
          </w:tcPr>
          <w:p w14:paraId="2F8CC46B"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17.8</w:t>
            </w:r>
          </w:p>
        </w:tc>
      </w:tr>
      <w:tr w:rsidR="00303A2A" w:rsidRPr="00303A2A" w14:paraId="577B2A3E" w14:textId="77777777" w:rsidTr="00413E23">
        <w:trPr>
          <w:trHeight w:val="654"/>
          <w:tblHeader/>
          <w:jc w:val="center"/>
        </w:trPr>
        <w:tc>
          <w:tcPr>
            <w:tcW w:w="562" w:type="dxa"/>
          </w:tcPr>
          <w:p w14:paraId="387E030E"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6.</w:t>
            </w:r>
          </w:p>
        </w:tc>
        <w:tc>
          <w:tcPr>
            <w:tcW w:w="6067" w:type="dxa"/>
          </w:tcPr>
          <w:p w14:paraId="5547FA0A"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Facilitate research efforts and give confidence to the automotive industry, public and private investors, and stakeholders to embark on long term HFCV programs</w:t>
            </w:r>
          </w:p>
        </w:tc>
        <w:tc>
          <w:tcPr>
            <w:tcW w:w="1134" w:type="dxa"/>
          </w:tcPr>
          <w:p w14:paraId="45503630"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27.1</w:t>
            </w:r>
          </w:p>
        </w:tc>
        <w:tc>
          <w:tcPr>
            <w:tcW w:w="1276" w:type="dxa"/>
          </w:tcPr>
          <w:p w14:paraId="313BA023"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42.2</w:t>
            </w:r>
          </w:p>
        </w:tc>
      </w:tr>
      <w:tr w:rsidR="00303A2A" w:rsidRPr="00303A2A" w14:paraId="522FAD56" w14:textId="77777777" w:rsidTr="00413E23">
        <w:trPr>
          <w:trHeight w:val="288"/>
          <w:tblHeader/>
          <w:jc w:val="center"/>
        </w:trPr>
        <w:tc>
          <w:tcPr>
            <w:tcW w:w="562" w:type="dxa"/>
          </w:tcPr>
          <w:p w14:paraId="2B1069F6"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7.</w:t>
            </w:r>
          </w:p>
        </w:tc>
        <w:tc>
          <w:tcPr>
            <w:tcW w:w="6067" w:type="dxa"/>
          </w:tcPr>
          <w:p w14:paraId="2FBDC940"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 xml:space="preserve">Facilitate interaction between the vehicle industry in universities and research </w:t>
            </w:r>
            <w:proofErr w:type="spellStart"/>
            <w:r w:rsidRPr="00303A2A">
              <w:rPr>
                <w:rFonts w:ascii="Times New Roman" w:eastAsia="Times New Roman" w:hAnsi="Times New Roman" w:cs="Times New Roman"/>
                <w:bCs/>
                <w:position w:val="0"/>
                <w:sz w:val="20"/>
                <w:szCs w:val="20"/>
              </w:rPr>
              <w:t>centres</w:t>
            </w:r>
            <w:proofErr w:type="spellEnd"/>
            <w:r w:rsidRPr="00303A2A">
              <w:rPr>
                <w:rFonts w:ascii="Times New Roman" w:eastAsia="Times New Roman" w:hAnsi="Times New Roman" w:cs="Times New Roman"/>
                <w:bCs/>
                <w:position w:val="0"/>
                <w:sz w:val="20"/>
                <w:szCs w:val="20"/>
              </w:rPr>
              <w:t xml:space="preserve"> involved in fuel cell and hydrogen research</w:t>
            </w:r>
          </w:p>
        </w:tc>
        <w:tc>
          <w:tcPr>
            <w:tcW w:w="1134" w:type="dxa"/>
          </w:tcPr>
          <w:p w14:paraId="1EDE6FA6"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27.1</w:t>
            </w:r>
          </w:p>
        </w:tc>
        <w:tc>
          <w:tcPr>
            <w:tcW w:w="1276" w:type="dxa"/>
          </w:tcPr>
          <w:p w14:paraId="566DED26"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40.0</w:t>
            </w:r>
          </w:p>
        </w:tc>
      </w:tr>
      <w:tr w:rsidR="00303A2A" w:rsidRPr="00303A2A" w14:paraId="0BDCDEE9" w14:textId="77777777" w:rsidTr="00413E23">
        <w:trPr>
          <w:trHeight w:val="654"/>
          <w:tblHeader/>
          <w:jc w:val="center"/>
        </w:trPr>
        <w:tc>
          <w:tcPr>
            <w:tcW w:w="562" w:type="dxa"/>
            <w:tcBorders>
              <w:bottom w:val="single" w:sz="4" w:space="0" w:color="auto"/>
            </w:tcBorders>
          </w:tcPr>
          <w:p w14:paraId="0A19909D"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8.</w:t>
            </w:r>
          </w:p>
        </w:tc>
        <w:tc>
          <w:tcPr>
            <w:tcW w:w="6067" w:type="dxa"/>
            <w:tcBorders>
              <w:bottom w:val="single" w:sz="4" w:space="0" w:color="auto"/>
            </w:tcBorders>
          </w:tcPr>
          <w:p w14:paraId="11CD9EBF"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Focus on fuel cell and hydrogen industrial competitive targets for cost, performance, and durability and overcome a critical hydrogen technology bottleneck</w:t>
            </w:r>
          </w:p>
        </w:tc>
        <w:tc>
          <w:tcPr>
            <w:tcW w:w="1134" w:type="dxa"/>
            <w:tcBorders>
              <w:bottom w:val="single" w:sz="4" w:space="0" w:color="auto"/>
            </w:tcBorders>
          </w:tcPr>
          <w:p w14:paraId="184FB259"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36.5</w:t>
            </w:r>
          </w:p>
        </w:tc>
        <w:tc>
          <w:tcPr>
            <w:tcW w:w="1276" w:type="dxa"/>
            <w:tcBorders>
              <w:bottom w:val="single" w:sz="4" w:space="0" w:color="auto"/>
            </w:tcBorders>
          </w:tcPr>
          <w:p w14:paraId="4479B335"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03A2A">
              <w:rPr>
                <w:rFonts w:ascii="Times New Roman" w:eastAsia="Times New Roman" w:hAnsi="Times New Roman" w:cs="Times New Roman"/>
                <w:bCs/>
                <w:position w:val="0"/>
                <w:sz w:val="20"/>
                <w:szCs w:val="20"/>
              </w:rPr>
              <w:t>37.8</w:t>
            </w:r>
          </w:p>
        </w:tc>
      </w:tr>
      <w:tr w:rsidR="00303A2A" w:rsidRPr="00303A2A" w14:paraId="43B2C63A" w14:textId="77777777" w:rsidTr="00413E23">
        <w:trPr>
          <w:trHeight w:val="227"/>
          <w:tblHeader/>
          <w:jc w:val="center"/>
        </w:trPr>
        <w:tc>
          <w:tcPr>
            <w:tcW w:w="562" w:type="dxa"/>
            <w:tcBorders>
              <w:top w:val="single" w:sz="4" w:space="0" w:color="auto"/>
              <w:bottom w:val="single" w:sz="4" w:space="0" w:color="auto"/>
            </w:tcBorders>
          </w:tcPr>
          <w:p w14:paraId="33603E47"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rPr>
            </w:pPr>
          </w:p>
        </w:tc>
        <w:tc>
          <w:tcPr>
            <w:tcW w:w="6067" w:type="dxa"/>
            <w:tcBorders>
              <w:top w:val="single" w:sz="4" w:space="0" w:color="auto"/>
              <w:bottom w:val="single" w:sz="4" w:space="0" w:color="auto"/>
            </w:tcBorders>
          </w:tcPr>
          <w:p w14:paraId="0E41F506" w14:textId="4B10C531" w:rsidR="00303A2A" w:rsidRPr="00303A2A" w:rsidRDefault="00413E23"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Pr>
                <w:rFonts w:ascii="Times New Roman" w:eastAsia="Times New Roman" w:hAnsi="Times New Roman" w:cs="Times New Roman"/>
                <w:b/>
                <w:position w:val="0"/>
                <w:sz w:val="20"/>
                <w:szCs w:val="20"/>
              </w:rPr>
              <w:t>Total s</w:t>
            </w:r>
            <w:r w:rsidR="00303A2A" w:rsidRPr="00303A2A">
              <w:rPr>
                <w:rFonts w:ascii="Times New Roman" w:eastAsia="Times New Roman" w:hAnsi="Times New Roman" w:cs="Times New Roman"/>
                <w:b/>
                <w:position w:val="0"/>
                <w:sz w:val="20"/>
                <w:szCs w:val="20"/>
              </w:rPr>
              <w:t>core</w:t>
            </w:r>
          </w:p>
        </w:tc>
        <w:tc>
          <w:tcPr>
            <w:tcW w:w="1134" w:type="dxa"/>
            <w:tcBorders>
              <w:top w:val="single" w:sz="4" w:space="0" w:color="auto"/>
              <w:bottom w:val="single" w:sz="4" w:space="0" w:color="auto"/>
            </w:tcBorders>
          </w:tcPr>
          <w:p w14:paraId="1361A8BF"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20.2</w:t>
            </w:r>
          </w:p>
        </w:tc>
        <w:tc>
          <w:tcPr>
            <w:tcW w:w="1276" w:type="dxa"/>
            <w:tcBorders>
              <w:top w:val="single" w:sz="4" w:space="0" w:color="auto"/>
              <w:bottom w:val="single" w:sz="4" w:space="0" w:color="auto"/>
            </w:tcBorders>
          </w:tcPr>
          <w:p w14:paraId="24935864"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33.8</w:t>
            </w:r>
          </w:p>
        </w:tc>
      </w:tr>
    </w:tbl>
    <w:p w14:paraId="2F906649" w14:textId="77777777" w:rsidR="0006420D" w:rsidRPr="0006420D" w:rsidRDefault="0006420D" w:rsidP="00303A2A">
      <w:pPr>
        <w:keepNext/>
        <w:suppressAutoHyphens w:val="0"/>
        <w:spacing w:before="240" w:after="0" w:line="240" w:lineRule="auto"/>
        <w:ind w:leftChars="0" w:left="0" w:firstLineChars="0" w:firstLine="0"/>
        <w:textDirection w:val="lrTb"/>
        <w:textAlignment w:val="auto"/>
        <w:outlineLvl w:val="1"/>
        <w:rPr>
          <w:rFonts w:ascii="Times New Roman" w:eastAsia="Times New Roman" w:hAnsi="Times New Roman" w:cs="Times New Roman"/>
          <w:i/>
          <w:iCs/>
          <w:position w:val="0"/>
          <w:sz w:val="20"/>
          <w:szCs w:val="20"/>
        </w:rPr>
      </w:pPr>
    </w:p>
    <w:p w14:paraId="3C13904E" w14:textId="7AF54CCE" w:rsidR="0036256B" w:rsidRDefault="00303A2A" w:rsidP="0006420D">
      <w:pPr>
        <w:keepNext/>
        <w:suppressAutoHyphens w:val="0"/>
        <w:spacing w:after="0" w:line="240" w:lineRule="auto"/>
        <w:ind w:leftChars="0" w:left="0" w:firstLineChars="0" w:firstLine="0"/>
        <w:textDirection w:val="lrTb"/>
        <w:textAlignment w:val="auto"/>
        <w:outlineLvl w:val="1"/>
        <w:rPr>
          <w:rFonts w:ascii="Times New Roman" w:eastAsia="Times New Roman" w:hAnsi="Times New Roman" w:cs="Times New Roman"/>
          <w:i/>
          <w:iCs/>
          <w:position w:val="0"/>
          <w:sz w:val="24"/>
          <w:szCs w:val="24"/>
        </w:rPr>
      </w:pPr>
      <w:r w:rsidRPr="00303A2A">
        <w:rPr>
          <w:rFonts w:ascii="Times New Roman" w:eastAsia="Times New Roman" w:hAnsi="Times New Roman" w:cs="Times New Roman"/>
          <w:i/>
          <w:iCs/>
          <w:position w:val="0"/>
          <w:sz w:val="24"/>
          <w:szCs w:val="24"/>
        </w:rPr>
        <w:t xml:space="preserve">The </w:t>
      </w:r>
      <w:r w:rsidR="0036256B" w:rsidRPr="00303A2A">
        <w:rPr>
          <w:rFonts w:ascii="Times New Roman" w:eastAsia="Times New Roman" w:hAnsi="Times New Roman" w:cs="Times New Roman"/>
          <w:i/>
          <w:iCs/>
          <w:position w:val="0"/>
          <w:sz w:val="24"/>
          <w:szCs w:val="24"/>
        </w:rPr>
        <w:t xml:space="preserve">public perception of the </w:t>
      </w:r>
      <w:bookmarkStart w:id="12" w:name="_Hlk84023108"/>
      <w:r w:rsidR="0036256B" w:rsidRPr="00303A2A">
        <w:rPr>
          <w:rFonts w:ascii="Times New Roman" w:eastAsia="Times New Roman" w:hAnsi="Times New Roman" w:cs="Times New Roman"/>
          <w:i/>
          <w:iCs/>
          <w:position w:val="0"/>
          <w:sz w:val="24"/>
          <w:szCs w:val="24"/>
        </w:rPr>
        <w:t xml:space="preserve">economic benefits and challenges </w:t>
      </w:r>
      <w:bookmarkEnd w:id="12"/>
      <w:r w:rsidRPr="00303A2A">
        <w:rPr>
          <w:rFonts w:ascii="Times New Roman" w:eastAsia="Times New Roman" w:hAnsi="Times New Roman" w:cs="Times New Roman"/>
          <w:i/>
          <w:iCs/>
          <w:position w:val="0"/>
          <w:sz w:val="24"/>
          <w:szCs w:val="24"/>
        </w:rPr>
        <w:t xml:space="preserve">in HFCV </w:t>
      </w:r>
      <w:r w:rsidR="0036256B">
        <w:rPr>
          <w:rFonts w:ascii="Times New Roman" w:eastAsia="Times New Roman" w:hAnsi="Times New Roman" w:cs="Times New Roman"/>
          <w:i/>
          <w:iCs/>
          <w:position w:val="0"/>
          <w:sz w:val="24"/>
          <w:szCs w:val="24"/>
        </w:rPr>
        <w:t>a</w:t>
      </w:r>
      <w:r w:rsidRPr="00303A2A">
        <w:rPr>
          <w:rFonts w:ascii="Times New Roman" w:eastAsia="Times New Roman" w:hAnsi="Times New Roman" w:cs="Times New Roman"/>
          <w:i/>
          <w:iCs/>
          <w:position w:val="0"/>
          <w:sz w:val="24"/>
          <w:szCs w:val="24"/>
        </w:rPr>
        <w:t>doption in Malaysia</w:t>
      </w:r>
    </w:p>
    <w:p w14:paraId="2B141E80" w14:textId="77777777" w:rsidR="0036256B" w:rsidRPr="00303A2A" w:rsidRDefault="0036256B" w:rsidP="0036256B">
      <w:pPr>
        <w:keepNext/>
        <w:suppressAutoHyphens w:val="0"/>
        <w:spacing w:after="0" w:line="240" w:lineRule="auto"/>
        <w:ind w:leftChars="0" w:left="0" w:firstLineChars="0" w:firstLine="0"/>
        <w:textDirection w:val="lrTb"/>
        <w:textAlignment w:val="auto"/>
        <w:outlineLvl w:val="1"/>
        <w:rPr>
          <w:rFonts w:ascii="Times New Roman" w:eastAsia="Times New Roman" w:hAnsi="Times New Roman" w:cs="Times New Roman"/>
          <w:i/>
          <w:iCs/>
          <w:position w:val="0"/>
          <w:sz w:val="24"/>
          <w:szCs w:val="24"/>
        </w:rPr>
      </w:pPr>
    </w:p>
    <w:p w14:paraId="7F5B5339" w14:textId="5710541A" w:rsid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303A2A">
        <w:rPr>
          <w:rFonts w:ascii="Times New Roman" w:eastAsia="Times New Roman" w:hAnsi="Times New Roman" w:cs="Times New Roman"/>
          <w:position w:val="0"/>
          <w:sz w:val="24"/>
          <w:szCs w:val="24"/>
        </w:rPr>
        <w:t xml:space="preserve">The public perception of the economic benefits and challenges associated with HFCV adoption in Malaysia is shown in Table 5. The results indicate that most of the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Bandar </w:t>
      </w:r>
      <w:proofErr w:type="spellStart"/>
      <w:r w:rsidRPr="00303A2A">
        <w:rPr>
          <w:rFonts w:ascii="Times New Roman" w:eastAsia="Times New Roman" w:hAnsi="Times New Roman" w:cs="Times New Roman"/>
          <w:position w:val="0"/>
          <w:sz w:val="24"/>
          <w:szCs w:val="24"/>
        </w:rPr>
        <w:t>Tun</w:t>
      </w:r>
      <w:proofErr w:type="spellEnd"/>
      <w:r w:rsidRPr="00303A2A">
        <w:rPr>
          <w:rFonts w:ascii="Times New Roman" w:eastAsia="Times New Roman" w:hAnsi="Times New Roman" w:cs="Times New Roman"/>
          <w:position w:val="0"/>
          <w:sz w:val="24"/>
          <w:szCs w:val="24"/>
        </w:rPr>
        <w:t xml:space="preserve"> Razak slightly agree on the economic benefits and challenges of adopting HFCV, represented by a mean score of 1.75 and 1.68, respectively. In Malaysia, the energy industry contributes up to 20% of total GDP and is also a major oil-exporting country ASEAN-wide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{"citationItems":[{"id":"ITEM-1","itemData":{"DOI":"10.3390/en5082989","ISSN":"19961073","abstract":"Within ASEAN, Malaysia is a major oil-exporting country; however, it is expected to become a net oil-importing country in the near future. This issue brings concerns over Malaysia's energy security, particularly on the aspect of oil import dependency. This is because its transportation and industrial sectors are still heavily dependent on oil products. By simulating dynamic interplays between developments in Malaysia's oil sector and its economy sectors, this study explores the possible years of the transformation and the extent to which it will be dependent on oil import. Four scenarios related to enhanced oil recovery, exploration and production investment, subsidy elimination and technology advances are considered for the simulation. In isolation, the subsidy elimination scenario provides the best result. However, if all scenarios are considered simultaneously, an undesired effect emerges. The earliest that Malaysia is expected to become a net oil-importing country is 2012 and the latest is 2021. Malaysia's dependence on oil imports is expected to continue increasing. In all scenarios, the shares of oil import in the total supply rise to above 90% in 2030, with the highest share at 97%. © 2012 by the authors.","author":[{"dropping-particle":"","family":"Prambudia","given":"Yudha","non-dropping-particle":"","parse-names":false,"suffix":""},{"dropping-particle":"","family":"Nakano","given":"Masaru","non-dropping-particle":"","parse-names":false,"suffix":""}],"container-title":"Energies","id":"ITEM-1","issue":"8","issued":{"date-parts":[["2012"]]},"page":"2989-3018","title":"Exploring Malaysia's transformation to net oil importer and oil import dependence","type":"article-journal","volume":"5"},"uris":["http://www.mendeley.com/documents/?uuid=e7680c49-fa71-492a-af62-fe36ffb832d0"]}],"mendeley":{"formattedCitation":"(Prambudia &amp; Nakano, 2012)","plainTextFormattedCitation":"(Prambudia &amp; Nakano, 2012)","previouslyFormattedCitation":"(Prambudia &amp; Nakano, 2012)"},"properties":{"noteIndex":0},"schema":"https://github.com/citation-style-language/schema/raw/master/csl-citation.json"}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(Prambudia &amp; Nakano, 2012)</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However, Malaysia’s anticipated dependence on oil imports due to the gradual decline in producing oil, and industrial and transportation sectors are still deeply dependent on oil products.  In this study, 4.7% and 60% of respondents 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Bandar </w:t>
      </w:r>
      <w:proofErr w:type="spellStart"/>
      <w:r w:rsidRPr="00303A2A">
        <w:rPr>
          <w:rFonts w:ascii="Times New Roman" w:eastAsia="Times New Roman" w:hAnsi="Times New Roman" w:cs="Times New Roman"/>
          <w:position w:val="0"/>
          <w:sz w:val="24"/>
          <w:szCs w:val="24"/>
        </w:rPr>
        <w:t>Tun</w:t>
      </w:r>
      <w:proofErr w:type="spellEnd"/>
      <w:r w:rsidRPr="00303A2A">
        <w:rPr>
          <w:rFonts w:ascii="Times New Roman" w:eastAsia="Times New Roman" w:hAnsi="Times New Roman" w:cs="Times New Roman"/>
          <w:position w:val="0"/>
          <w:sz w:val="24"/>
          <w:szCs w:val="24"/>
        </w:rPr>
        <w:t xml:space="preserve"> Razak believe that using hydrogen can reduce dependence on foreign oil imports. Besides that, 9.4% and 46.7% of respondents </w:t>
      </w:r>
      <w:bookmarkStart w:id="13" w:name="_Hlk83939998"/>
      <w:r w:rsidRPr="00303A2A">
        <w:rPr>
          <w:rFonts w:ascii="Times New Roman" w:eastAsia="Times New Roman" w:hAnsi="Times New Roman" w:cs="Times New Roman"/>
          <w:position w:val="0"/>
          <w:sz w:val="24"/>
          <w:szCs w:val="24"/>
        </w:rPr>
        <w:t xml:space="preserve">from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Bandar </w:t>
      </w:r>
      <w:proofErr w:type="spellStart"/>
      <w:r w:rsidRPr="00303A2A">
        <w:rPr>
          <w:rFonts w:ascii="Times New Roman" w:eastAsia="Times New Roman" w:hAnsi="Times New Roman" w:cs="Times New Roman"/>
          <w:position w:val="0"/>
          <w:sz w:val="24"/>
          <w:szCs w:val="24"/>
        </w:rPr>
        <w:t>Tun</w:t>
      </w:r>
      <w:proofErr w:type="spellEnd"/>
      <w:r w:rsidRPr="00303A2A">
        <w:rPr>
          <w:rFonts w:ascii="Times New Roman" w:eastAsia="Times New Roman" w:hAnsi="Times New Roman" w:cs="Times New Roman"/>
          <w:position w:val="0"/>
          <w:sz w:val="24"/>
          <w:szCs w:val="24"/>
        </w:rPr>
        <w:t xml:space="preserve"> Razak </w:t>
      </w:r>
      <w:bookmarkEnd w:id="13"/>
      <w:r w:rsidRPr="00303A2A">
        <w:rPr>
          <w:rFonts w:ascii="Times New Roman" w:eastAsia="Times New Roman" w:hAnsi="Times New Roman" w:cs="Times New Roman"/>
          <w:position w:val="0"/>
          <w:sz w:val="24"/>
          <w:szCs w:val="24"/>
        </w:rPr>
        <w:t xml:space="preserve">believe that HFCV could provide competitive market opportunities, particularly in the vehicle manufacturing industries. Most </w:t>
      </w:r>
      <w:proofErr w:type="spellStart"/>
      <w:r w:rsidRPr="00303A2A">
        <w:rPr>
          <w:rFonts w:ascii="Times New Roman" w:eastAsia="Times New Roman" w:hAnsi="Times New Roman" w:cs="Times New Roman"/>
          <w:position w:val="0"/>
          <w:sz w:val="24"/>
          <w:szCs w:val="24"/>
        </w:rPr>
        <w:t>Cheras</w:t>
      </w:r>
      <w:proofErr w:type="spellEnd"/>
      <w:r w:rsidRPr="00303A2A">
        <w:rPr>
          <w:rFonts w:ascii="Times New Roman" w:eastAsia="Times New Roman" w:hAnsi="Times New Roman" w:cs="Times New Roman"/>
          <w:position w:val="0"/>
          <w:sz w:val="24"/>
          <w:szCs w:val="24"/>
        </w:rPr>
        <w:t xml:space="preserve"> and Bandar </w:t>
      </w:r>
      <w:proofErr w:type="spellStart"/>
      <w:r w:rsidRPr="00303A2A">
        <w:rPr>
          <w:rFonts w:ascii="Times New Roman" w:eastAsia="Times New Roman" w:hAnsi="Times New Roman" w:cs="Times New Roman"/>
          <w:position w:val="0"/>
          <w:sz w:val="24"/>
          <w:szCs w:val="24"/>
        </w:rPr>
        <w:t>Tun</w:t>
      </w:r>
      <w:proofErr w:type="spellEnd"/>
      <w:r w:rsidRPr="00303A2A">
        <w:rPr>
          <w:rFonts w:ascii="Times New Roman" w:eastAsia="Times New Roman" w:hAnsi="Times New Roman" w:cs="Times New Roman"/>
          <w:position w:val="0"/>
          <w:sz w:val="24"/>
          <w:szCs w:val="24"/>
        </w:rPr>
        <w:t xml:space="preserve"> Razak respondents strongly believe that the adaption of HFCV can develop energy security and </w:t>
      </w:r>
      <w:proofErr w:type="spellStart"/>
      <w:r w:rsidRPr="00303A2A">
        <w:rPr>
          <w:rFonts w:ascii="Times New Roman" w:eastAsia="Times New Roman" w:hAnsi="Times New Roman" w:cs="Times New Roman"/>
          <w:position w:val="0"/>
          <w:sz w:val="24"/>
          <w:szCs w:val="24"/>
        </w:rPr>
        <w:t>stabilise</w:t>
      </w:r>
      <w:proofErr w:type="spellEnd"/>
      <w:r w:rsidRPr="00303A2A">
        <w:rPr>
          <w:rFonts w:ascii="Times New Roman" w:eastAsia="Times New Roman" w:hAnsi="Times New Roman" w:cs="Times New Roman"/>
          <w:position w:val="0"/>
          <w:sz w:val="24"/>
          <w:szCs w:val="24"/>
        </w:rPr>
        <w:t xml:space="preserve"> the energy process. In addition, the acceptance of HFCV by the public is also influenced by safety concerns about hydrogen transport and storage. Even though hydrogen is a highly flammable fuel source, it is much safer than other fuels because it evaporates quickly. The success of HFCV depends on </w:t>
      </w:r>
      <w:proofErr w:type="spellStart"/>
      <w:r w:rsidRPr="00303A2A">
        <w:rPr>
          <w:rFonts w:ascii="Times New Roman" w:eastAsia="Times New Roman" w:hAnsi="Times New Roman" w:cs="Times New Roman"/>
          <w:position w:val="0"/>
          <w:sz w:val="24"/>
          <w:szCs w:val="24"/>
        </w:rPr>
        <w:t>recognising</w:t>
      </w:r>
      <w:proofErr w:type="spellEnd"/>
      <w:r w:rsidRPr="00303A2A">
        <w:rPr>
          <w:rFonts w:ascii="Times New Roman" w:eastAsia="Times New Roman" w:hAnsi="Times New Roman" w:cs="Times New Roman"/>
          <w:position w:val="0"/>
          <w:sz w:val="24"/>
          <w:szCs w:val="24"/>
        </w:rPr>
        <w:t xml:space="preserve"> and accepting its advantages by the public and accepting that it is indispensable and safe. This study indicated that most respondents agreed that public education is required regarding hydrogen sources, their benefits to the environment and safety, and why people should change from conventional vehicles to HFCV</w:t>
      </w:r>
      <w:r>
        <w:rPr>
          <w:rFonts w:ascii="Times New Roman" w:eastAsia="Times New Roman" w:hAnsi="Times New Roman" w:cs="Times New Roman"/>
          <w:position w:val="0"/>
          <w:sz w:val="24"/>
          <w:szCs w:val="24"/>
        </w:rPr>
        <w:t>.</w:t>
      </w:r>
    </w:p>
    <w:p w14:paraId="07C9D3E1" w14:textId="186FE65E" w:rsid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41532CA9" w14:textId="77777777" w:rsidR="0006420D" w:rsidRDefault="0006420D"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rPr>
      </w:pPr>
    </w:p>
    <w:p w14:paraId="6D94A4F2" w14:textId="561A12E1" w:rsidR="00303A2A" w:rsidRDefault="00303A2A"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r w:rsidRPr="0036256B">
        <w:rPr>
          <w:rFonts w:ascii="Times New Roman" w:eastAsia="Times New Roman" w:hAnsi="Times New Roman" w:cs="Times New Roman"/>
          <w:b/>
          <w:position w:val="0"/>
          <w:sz w:val="20"/>
          <w:szCs w:val="20"/>
        </w:rPr>
        <w:lastRenderedPageBreak/>
        <w:t>Table 5</w:t>
      </w:r>
      <w:r w:rsidR="0036256B" w:rsidRPr="0036256B">
        <w:rPr>
          <w:rFonts w:ascii="Times New Roman" w:eastAsia="Times New Roman" w:hAnsi="Times New Roman" w:cs="Times New Roman"/>
          <w:b/>
          <w:position w:val="0"/>
          <w:sz w:val="20"/>
          <w:szCs w:val="20"/>
        </w:rPr>
        <w:t>.</w:t>
      </w:r>
      <w:r w:rsidR="0036256B">
        <w:rPr>
          <w:rFonts w:ascii="Times New Roman" w:eastAsia="Times New Roman" w:hAnsi="Times New Roman" w:cs="Times New Roman"/>
          <w:bCs/>
          <w:position w:val="0"/>
          <w:sz w:val="20"/>
          <w:szCs w:val="20"/>
        </w:rPr>
        <w:t xml:space="preserve"> </w:t>
      </w:r>
      <w:r w:rsidRPr="00303A2A">
        <w:rPr>
          <w:rFonts w:ascii="Times New Roman" w:eastAsia="Times New Roman" w:hAnsi="Times New Roman" w:cs="Times New Roman"/>
          <w:bCs/>
          <w:position w:val="0"/>
          <w:sz w:val="20"/>
          <w:szCs w:val="20"/>
        </w:rPr>
        <w:t xml:space="preserve">The </w:t>
      </w:r>
      <w:r w:rsidR="0036256B" w:rsidRPr="00303A2A">
        <w:rPr>
          <w:rFonts w:ascii="Times New Roman" w:eastAsia="Times New Roman" w:hAnsi="Times New Roman" w:cs="Times New Roman"/>
          <w:bCs/>
          <w:position w:val="0"/>
          <w:sz w:val="20"/>
          <w:szCs w:val="20"/>
        </w:rPr>
        <w:t xml:space="preserve">public perception on the economic benefits and challenges </w:t>
      </w:r>
      <w:r w:rsidRPr="00303A2A">
        <w:rPr>
          <w:rFonts w:ascii="Times New Roman" w:eastAsia="Times New Roman" w:hAnsi="Times New Roman" w:cs="Times New Roman"/>
          <w:bCs/>
          <w:position w:val="0"/>
          <w:sz w:val="20"/>
          <w:szCs w:val="20"/>
        </w:rPr>
        <w:t xml:space="preserve">towards HFCV </w:t>
      </w:r>
      <w:r w:rsidR="0036256B">
        <w:rPr>
          <w:rFonts w:ascii="Times New Roman" w:eastAsia="Times New Roman" w:hAnsi="Times New Roman" w:cs="Times New Roman"/>
          <w:bCs/>
          <w:position w:val="0"/>
          <w:sz w:val="20"/>
          <w:szCs w:val="20"/>
        </w:rPr>
        <w:t>a</w:t>
      </w:r>
      <w:r w:rsidRPr="00303A2A">
        <w:rPr>
          <w:rFonts w:ascii="Times New Roman" w:eastAsia="Times New Roman" w:hAnsi="Times New Roman" w:cs="Times New Roman"/>
          <w:bCs/>
          <w:position w:val="0"/>
          <w:sz w:val="20"/>
          <w:szCs w:val="20"/>
        </w:rPr>
        <w:t>doption in Malaysia</w:t>
      </w:r>
    </w:p>
    <w:p w14:paraId="26840759" w14:textId="77777777" w:rsidR="0036256B" w:rsidRPr="00303A2A" w:rsidRDefault="0036256B" w:rsidP="00303A2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rPr>
      </w:pPr>
    </w:p>
    <w:tbl>
      <w:tblPr>
        <w:tblW w:w="9180" w:type="dxa"/>
        <w:tblLayout w:type="fixed"/>
        <w:tblLook w:val="00A0" w:firstRow="1" w:lastRow="0" w:firstColumn="1" w:lastColumn="0" w:noHBand="0" w:noVBand="0"/>
      </w:tblPr>
      <w:tblGrid>
        <w:gridCol w:w="675"/>
        <w:gridCol w:w="6379"/>
        <w:gridCol w:w="1134"/>
        <w:gridCol w:w="992"/>
      </w:tblGrid>
      <w:tr w:rsidR="00413E23" w:rsidRPr="00303A2A" w14:paraId="6E1EAC53" w14:textId="77777777" w:rsidTr="007106A5">
        <w:trPr>
          <w:trHeight w:val="220"/>
          <w:tblHeader/>
        </w:trPr>
        <w:tc>
          <w:tcPr>
            <w:tcW w:w="675" w:type="dxa"/>
            <w:vMerge w:val="restart"/>
            <w:tcBorders>
              <w:top w:val="single" w:sz="4" w:space="0" w:color="auto"/>
            </w:tcBorders>
            <w:shd w:val="clear" w:color="auto" w:fill="B8CCE4" w:themeFill="accent1" w:themeFillTint="66"/>
          </w:tcPr>
          <w:p w14:paraId="7A88BFD6" w14:textId="488E0C45" w:rsidR="00413E23" w:rsidRPr="00303A2A" w:rsidRDefault="00413E23" w:rsidP="00303A2A">
            <w:pPr>
              <w:spacing w:after="0" w:line="240" w:lineRule="auto"/>
              <w:ind w:left="0" w:hanging="2"/>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No.</w:t>
            </w:r>
          </w:p>
        </w:tc>
        <w:tc>
          <w:tcPr>
            <w:tcW w:w="6379" w:type="dxa"/>
            <w:tcBorders>
              <w:top w:val="single" w:sz="4" w:space="0" w:color="auto"/>
              <w:bottom w:val="single" w:sz="4" w:space="0" w:color="auto"/>
            </w:tcBorders>
            <w:shd w:val="clear" w:color="auto" w:fill="B8CCE4" w:themeFill="accent1" w:themeFillTint="66"/>
          </w:tcPr>
          <w:p w14:paraId="6B34728B" w14:textId="0039B163" w:rsidR="00413E23" w:rsidRPr="00303A2A" w:rsidRDefault="00922B2C"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rPr>
            </w:pPr>
            <w:r>
              <w:rPr>
                <w:rFonts w:ascii="Times New Roman" w:eastAsia="Times New Roman" w:hAnsi="Times New Roman" w:cs="Times New Roman"/>
                <w:b/>
                <w:position w:val="0"/>
                <w:sz w:val="20"/>
                <w:szCs w:val="20"/>
              </w:rPr>
              <w:t>Item s</w:t>
            </w:r>
            <w:r w:rsidR="00413E23" w:rsidRPr="00303A2A">
              <w:rPr>
                <w:rFonts w:ascii="Times New Roman" w:eastAsia="Times New Roman" w:hAnsi="Times New Roman" w:cs="Times New Roman"/>
                <w:b/>
                <w:position w:val="0"/>
                <w:sz w:val="20"/>
                <w:szCs w:val="20"/>
              </w:rPr>
              <w:t>tatement</w:t>
            </w:r>
          </w:p>
        </w:tc>
        <w:tc>
          <w:tcPr>
            <w:tcW w:w="2126" w:type="dxa"/>
            <w:gridSpan w:val="2"/>
            <w:tcBorders>
              <w:top w:val="single" w:sz="4" w:space="0" w:color="auto"/>
              <w:bottom w:val="single" w:sz="4" w:space="0" w:color="auto"/>
            </w:tcBorders>
            <w:shd w:val="clear" w:color="auto" w:fill="B8CCE4" w:themeFill="accent1" w:themeFillTint="66"/>
          </w:tcPr>
          <w:p w14:paraId="561B3DCC" w14:textId="19EFD20C" w:rsidR="00413E23" w:rsidRPr="00303A2A" w:rsidRDefault="00922B2C"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rPr>
            </w:pPr>
            <w:r>
              <w:rPr>
                <w:rFonts w:ascii="Times New Roman" w:eastAsia="Times New Roman" w:hAnsi="Times New Roman" w:cs="Times New Roman"/>
                <w:b/>
                <w:position w:val="0"/>
                <w:sz w:val="20"/>
                <w:szCs w:val="20"/>
              </w:rPr>
              <w:t>% of a</w:t>
            </w:r>
            <w:r w:rsidR="00413E23" w:rsidRPr="00303A2A">
              <w:rPr>
                <w:rFonts w:ascii="Times New Roman" w:eastAsia="Times New Roman" w:hAnsi="Times New Roman" w:cs="Times New Roman"/>
                <w:b/>
                <w:position w:val="0"/>
                <w:sz w:val="20"/>
                <w:szCs w:val="20"/>
              </w:rPr>
              <w:t>greement</w:t>
            </w:r>
          </w:p>
        </w:tc>
      </w:tr>
      <w:tr w:rsidR="00413E23" w:rsidRPr="00303A2A" w14:paraId="7872792E" w14:textId="77777777" w:rsidTr="007106A5">
        <w:trPr>
          <w:trHeight w:val="456"/>
          <w:tblHeader/>
        </w:trPr>
        <w:tc>
          <w:tcPr>
            <w:tcW w:w="675" w:type="dxa"/>
            <w:vMerge/>
            <w:tcBorders>
              <w:bottom w:val="single" w:sz="4" w:space="0" w:color="auto"/>
            </w:tcBorders>
            <w:shd w:val="clear" w:color="auto" w:fill="B8CCE4" w:themeFill="accent1" w:themeFillTint="66"/>
          </w:tcPr>
          <w:p w14:paraId="29C5D79A" w14:textId="1FDEFC9E" w:rsidR="00413E23" w:rsidRPr="00303A2A" w:rsidRDefault="00413E23"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p>
        </w:tc>
        <w:tc>
          <w:tcPr>
            <w:tcW w:w="6379" w:type="dxa"/>
            <w:tcBorders>
              <w:top w:val="single" w:sz="4" w:space="0" w:color="auto"/>
              <w:bottom w:val="single" w:sz="4" w:space="0" w:color="auto"/>
            </w:tcBorders>
            <w:shd w:val="clear" w:color="auto" w:fill="B8CCE4" w:themeFill="accent1" w:themeFillTint="66"/>
          </w:tcPr>
          <w:p w14:paraId="25ECF4B5" w14:textId="77777777" w:rsidR="00413E23" w:rsidRPr="00303A2A" w:rsidRDefault="00413E23"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 xml:space="preserve">I believe in the following economic benefits and challenges associated with the adoption of HFCV </w:t>
            </w:r>
          </w:p>
        </w:tc>
        <w:tc>
          <w:tcPr>
            <w:tcW w:w="1134" w:type="dxa"/>
            <w:tcBorders>
              <w:top w:val="single" w:sz="4" w:space="0" w:color="auto"/>
              <w:bottom w:val="single" w:sz="4" w:space="0" w:color="auto"/>
            </w:tcBorders>
            <w:shd w:val="clear" w:color="auto" w:fill="B8CCE4" w:themeFill="accent1" w:themeFillTint="66"/>
          </w:tcPr>
          <w:p w14:paraId="0E747B5B" w14:textId="2D8438F0" w:rsidR="00413E23" w:rsidRPr="00303A2A" w:rsidRDefault="00413E23"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rPr>
            </w:pPr>
            <w:proofErr w:type="spellStart"/>
            <w:r w:rsidRPr="00303A2A">
              <w:rPr>
                <w:rFonts w:ascii="Times New Roman" w:eastAsia="Times New Roman" w:hAnsi="Times New Roman" w:cs="Times New Roman"/>
                <w:b/>
                <w:position w:val="0"/>
                <w:sz w:val="20"/>
                <w:szCs w:val="20"/>
              </w:rPr>
              <w:t>Cheras</w:t>
            </w:r>
            <w:proofErr w:type="spellEnd"/>
          </w:p>
        </w:tc>
        <w:tc>
          <w:tcPr>
            <w:tcW w:w="992" w:type="dxa"/>
            <w:tcBorders>
              <w:top w:val="single" w:sz="4" w:space="0" w:color="auto"/>
              <w:bottom w:val="single" w:sz="4" w:space="0" w:color="auto"/>
            </w:tcBorders>
            <w:shd w:val="clear" w:color="auto" w:fill="B8CCE4" w:themeFill="accent1" w:themeFillTint="66"/>
          </w:tcPr>
          <w:p w14:paraId="25ACFCFF" w14:textId="77777777" w:rsidR="00413E23" w:rsidRPr="00303A2A" w:rsidRDefault="00413E23"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BTR</w:t>
            </w:r>
          </w:p>
        </w:tc>
      </w:tr>
      <w:tr w:rsidR="00303A2A" w:rsidRPr="00303A2A" w14:paraId="2E73A138" w14:textId="77777777" w:rsidTr="00EE3671">
        <w:trPr>
          <w:trHeight w:val="272"/>
        </w:trPr>
        <w:tc>
          <w:tcPr>
            <w:tcW w:w="675" w:type="dxa"/>
            <w:tcBorders>
              <w:top w:val="single" w:sz="4" w:space="0" w:color="auto"/>
            </w:tcBorders>
          </w:tcPr>
          <w:p w14:paraId="5A9FE2E7"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1.</w:t>
            </w:r>
          </w:p>
        </w:tc>
        <w:tc>
          <w:tcPr>
            <w:tcW w:w="6379" w:type="dxa"/>
            <w:tcBorders>
              <w:top w:val="single" w:sz="4" w:space="0" w:color="auto"/>
            </w:tcBorders>
          </w:tcPr>
          <w:p w14:paraId="42D0A83C"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Reduce dependence on foreign oil imports since hydrogen can be derived from domestic sources</w:t>
            </w:r>
          </w:p>
        </w:tc>
        <w:tc>
          <w:tcPr>
            <w:tcW w:w="1134" w:type="dxa"/>
            <w:tcBorders>
              <w:top w:val="single" w:sz="4" w:space="0" w:color="auto"/>
            </w:tcBorders>
          </w:tcPr>
          <w:p w14:paraId="59D2EA59"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4.7</w:t>
            </w:r>
          </w:p>
        </w:tc>
        <w:tc>
          <w:tcPr>
            <w:tcW w:w="992" w:type="dxa"/>
            <w:tcBorders>
              <w:top w:val="single" w:sz="4" w:space="0" w:color="auto"/>
            </w:tcBorders>
          </w:tcPr>
          <w:p w14:paraId="0B754F66"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60.0</w:t>
            </w:r>
          </w:p>
        </w:tc>
      </w:tr>
      <w:tr w:rsidR="00303A2A" w:rsidRPr="00303A2A" w14:paraId="25816AC8" w14:textId="77777777" w:rsidTr="00EE3671">
        <w:trPr>
          <w:trHeight w:val="272"/>
        </w:trPr>
        <w:tc>
          <w:tcPr>
            <w:tcW w:w="675" w:type="dxa"/>
          </w:tcPr>
          <w:p w14:paraId="24FCBEC8"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2.</w:t>
            </w:r>
          </w:p>
        </w:tc>
        <w:tc>
          <w:tcPr>
            <w:tcW w:w="6379" w:type="dxa"/>
          </w:tcPr>
          <w:p w14:paraId="0F2FC58B"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To be a developed country and competitive through high impact technology in vehicle manufacturing</w:t>
            </w:r>
          </w:p>
        </w:tc>
        <w:tc>
          <w:tcPr>
            <w:tcW w:w="1134" w:type="dxa"/>
          </w:tcPr>
          <w:p w14:paraId="36BA1287"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9.4</w:t>
            </w:r>
          </w:p>
        </w:tc>
        <w:tc>
          <w:tcPr>
            <w:tcW w:w="992" w:type="dxa"/>
          </w:tcPr>
          <w:p w14:paraId="1B65A541"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46.7</w:t>
            </w:r>
          </w:p>
        </w:tc>
      </w:tr>
      <w:tr w:rsidR="00303A2A" w:rsidRPr="00303A2A" w14:paraId="596B6356" w14:textId="77777777" w:rsidTr="00EE3671">
        <w:trPr>
          <w:trHeight w:val="225"/>
        </w:trPr>
        <w:tc>
          <w:tcPr>
            <w:tcW w:w="675" w:type="dxa"/>
          </w:tcPr>
          <w:p w14:paraId="70EA4F06"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3.</w:t>
            </w:r>
          </w:p>
        </w:tc>
        <w:tc>
          <w:tcPr>
            <w:tcW w:w="6379" w:type="dxa"/>
          </w:tcPr>
          <w:p w14:paraId="67E6873F"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Provide reliable info to the public on hydrogen fuel safety and its benefits</w:t>
            </w:r>
          </w:p>
        </w:tc>
        <w:tc>
          <w:tcPr>
            <w:tcW w:w="1134" w:type="dxa"/>
          </w:tcPr>
          <w:p w14:paraId="11DF75A6"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27.1</w:t>
            </w:r>
          </w:p>
        </w:tc>
        <w:tc>
          <w:tcPr>
            <w:tcW w:w="992" w:type="dxa"/>
          </w:tcPr>
          <w:p w14:paraId="44B11B26"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37.8</w:t>
            </w:r>
          </w:p>
        </w:tc>
      </w:tr>
      <w:tr w:rsidR="00303A2A" w:rsidRPr="00303A2A" w14:paraId="4BCC5CE8" w14:textId="77777777" w:rsidTr="00EE3671">
        <w:trPr>
          <w:trHeight w:val="255"/>
        </w:trPr>
        <w:tc>
          <w:tcPr>
            <w:tcW w:w="675" w:type="dxa"/>
          </w:tcPr>
          <w:p w14:paraId="07CEAE9D"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4.</w:t>
            </w:r>
          </w:p>
        </w:tc>
        <w:tc>
          <w:tcPr>
            <w:tcW w:w="6379" w:type="dxa"/>
          </w:tcPr>
          <w:p w14:paraId="1F0D84BE"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 xml:space="preserve">The level of understanding of Malaysians about HFCV is still low, and they need to be educated through the continuous dissemination of information. </w:t>
            </w:r>
          </w:p>
        </w:tc>
        <w:tc>
          <w:tcPr>
            <w:tcW w:w="1134" w:type="dxa"/>
          </w:tcPr>
          <w:p w14:paraId="64AA4057"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38.8</w:t>
            </w:r>
          </w:p>
        </w:tc>
        <w:tc>
          <w:tcPr>
            <w:tcW w:w="992" w:type="dxa"/>
          </w:tcPr>
          <w:p w14:paraId="72734935"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24.4</w:t>
            </w:r>
          </w:p>
        </w:tc>
      </w:tr>
      <w:tr w:rsidR="00303A2A" w:rsidRPr="00303A2A" w14:paraId="62C0EEBE" w14:textId="77777777" w:rsidTr="00EE3671">
        <w:trPr>
          <w:trHeight w:val="220"/>
        </w:trPr>
        <w:tc>
          <w:tcPr>
            <w:tcW w:w="675" w:type="dxa"/>
          </w:tcPr>
          <w:p w14:paraId="7A15046C"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5.</w:t>
            </w:r>
          </w:p>
        </w:tc>
        <w:tc>
          <w:tcPr>
            <w:tcW w:w="6379" w:type="dxa"/>
          </w:tcPr>
          <w:p w14:paraId="1357A2C4"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The current infrastructure for producing and getting hydrogen to consumers cannot yet support the widespread adoption of fuel cell vehicles</w:t>
            </w:r>
          </w:p>
        </w:tc>
        <w:tc>
          <w:tcPr>
            <w:tcW w:w="1134" w:type="dxa"/>
          </w:tcPr>
          <w:p w14:paraId="240BF2AD"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38.8</w:t>
            </w:r>
          </w:p>
        </w:tc>
        <w:tc>
          <w:tcPr>
            <w:tcW w:w="992" w:type="dxa"/>
          </w:tcPr>
          <w:p w14:paraId="79699689"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15.6</w:t>
            </w:r>
          </w:p>
        </w:tc>
      </w:tr>
      <w:tr w:rsidR="00303A2A" w:rsidRPr="00303A2A" w14:paraId="2D7B2AE6" w14:textId="77777777" w:rsidTr="00EE3671">
        <w:trPr>
          <w:trHeight w:val="255"/>
        </w:trPr>
        <w:tc>
          <w:tcPr>
            <w:tcW w:w="675" w:type="dxa"/>
          </w:tcPr>
          <w:p w14:paraId="1E93DB4C"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6.</w:t>
            </w:r>
          </w:p>
        </w:tc>
        <w:tc>
          <w:tcPr>
            <w:tcW w:w="6379" w:type="dxa"/>
          </w:tcPr>
          <w:p w14:paraId="2950B825"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 xml:space="preserve">Consumers must embrace fuel cell vehicles before their benefits can be </w:t>
            </w:r>
            <w:proofErr w:type="spellStart"/>
            <w:r w:rsidRPr="00303A2A">
              <w:rPr>
                <w:rFonts w:ascii="Times New Roman" w:eastAsia="Times New Roman" w:hAnsi="Times New Roman" w:cs="Times New Roman"/>
                <w:position w:val="0"/>
                <w:sz w:val="20"/>
                <w:szCs w:val="20"/>
              </w:rPr>
              <w:t>realised</w:t>
            </w:r>
            <w:proofErr w:type="spellEnd"/>
            <w:r w:rsidRPr="00303A2A">
              <w:rPr>
                <w:rFonts w:ascii="Times New Roman" w:eastAsia="Times New Roman" w:hAnsi="Times New Roman" w:cs="Times New Roman"/>
                <w:position w:val="0"/>
                <w:sz w:val="20"/>
                <w:szCs w:val="20"/>
              </w:rPr>
              <w:t>, and consumers may have concerns about the dependability and safety of HFCV</w:t>
            </w:r>
          </w:p>
        </w:tc>
        <w:tc>
          <w:tcPr>
            <w:tcW w:w="1134" w:type="dxa"/>
          </w:tcPr>
          <w:p w14:paraId="18B52C80"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32.9</w:t>
            </w:r>
          </w:p>
        </w:tc>
        <w:tc>
          <w:tcPr>
            <w:tcW w:w="992" w:type="dxa"/>
          </w:tcPr>
          <w:p w14:paraId="7978E1CB"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33.3</w:t>
            </w:r>
          </w:p>
        </w:tc>
      </w:tr>
      <w:tr w:rsidR="00303A2A" w:rsidRPr="00303A2A" w14:paraId="53A3D4C7" w14:textId="77777777" w:rsidTr="00EE3671">
        <w:trPr>
          <w:trHeight w:val="255"/>
        </w:trPr>
        <w:tc>
          <w:tcPr>
            <w:tcW w:w="675" w:type="dxa"/>
          </w:tcPr>
          <w:p w14:paraId="692980A9"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7.</w:t>
            </w:r>
          </w:p>
        </w:tc>
        <w:tc>
          <w:tcPr>
            <w:tcW w:w="6379" w:type="dxa"/>
          </w:tcPr>
          <w:p w14:paraId="7839BBB1"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 xml:space="preserve">The adoption of hydrogen as a flexible energy carrier can contribute positively to energy security and </w:t>
            </w:r>
            <w:proofErr w:type="spellStart"/>
            <w:r w:rsidRPr="00303A2A">
              <w:rPr>
                <w:rFonts w:ascii="Times New Roman" w:eastAsia="Times New Roman" w:hAnsi="Times New Roman" w:cs="Times New Roman"/>
                <w:position w:val="0"/>
                <w:sz w:val="20"/>
                <w:szCs w:val="20"/>
              </w:rPr>
              <w:t>stabilise</w:t>
            </w:r>
            <w:proofErr w:type="spellEnd"/>
            <w:r w:rsidRPr="00303A2A">
              <w:rPr>
                <w:rFonts w:ascii="Times New Roman" w:eastAsia="Times New Roman" w:hAnsi="Times New Roman" w:cs="Times New Roman"/>
                <w:position w:val="0"/>
                <w:sz w:val="20"/>
                <w:szCs w:val="20"/>
              </w:rPr>
              <w:t xml:space="preserve"> the energy process as it can be produced from any primary energy sources</w:t>
            </w:r>
          </w:p>
        </w:tc>
        <w:tc>
          <w:tcPr>
            <w:tcW w:w="1134" w:type="dxa"/>
          </w:tcPr>
          <w:p w14:paraId="59E26F82"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48.2</w:t>
            </w:r>
          </w:p>
        </w:tc>
        <w:tc>
          <w:tcPr>
            <w:tcW w:w="992" w:type="dxa"/>
          </w:tcPr>
          <w:p w14:paraId="5EDCB1F4"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33.3</w:t>
            </w:r>
          </w:p>
        </w:tc>
      </w:tr>
      <w:tr w:rsidR="00303A2A" w:rsidRPr="00303A2A" w14:paraId="0B75564C" w14:textId="77777777" w:rsidTr="00EE3671">
        <w:trPr>
          <w:trHeight w:val="255"/>
        </w:trPr>
        <w:tc>
          <w:tcPr>
            <w:tcW w:w="675" w:type="dxa"/>
            <w:tcBorders>
              <w:bottom w:val="single" w:sz="4" w:space="0" w:color="auto"/>
            </w:tcBorders>
          </w:tcPr>
          <w:p w14:paraId="4F26A8CA"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8.</w:t>
            </w:r>
          </w:p>
        </w:tc>
        <w:tc>
          <w:tcPr>
            <w:tcW w:w="6379" w:type="dxa"/>
            <w:tcBorders>
              <w:bottom w:val="single" w:sz="4" w:space="0" w:color="auto"/>
            </w:tcBorders>
          </w:tcPr>
          <w:p w14:paraId="192626B3"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To inform effectively and efficiently the general public about the advantages to the environment and to address any concerns which they might have about hydrogen safety</w:t>
            </w:r>
          </w:p>
        </w:tc>
        <w:tc>
          <w:tcPr>
            <w:tcW w:w="1134" w:type="dxa"/>
            <w:tcBorders>
              <w:bottom w:val="single" w:sz="4" w:space="0" w:color="auto"/>
            </w:tcBorders>
          </w:tcPr>
          <w:p w14:paraId="67A76848"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56.5</w:t>
            </w:r>
          </w:p>
        </w:tc>
        <w:tc>
          <w:tcPr>
            <w:tcW w:w="992" w:type="dxa"/>
            <w:tcBorders>
              <w:bottom w:val="single" w:sz="4" w:space="0" w:color="auto"/>
            </w:tcBorders>
          </w:tcPr>
          <w:p w14:paraId="1C588865"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rPr>
            </w:pPr>
            <w:r w:rsidRPr="00303A2A">
              <w:rPr>
                <w:rFonts w:ascii="Times New Roman" w:eastAsia="Times New Roman" w:hAnsi="Times New Roman" w:cs="Times New Roman"/>
                <w:position w:val="0"/>
                <w:sz w:val="20"/>
                <w:szCs w:val="20"/>
              </w:rPr>
              <w:t>60.0</w:t>
            </w:r>
          </w:p>
        </w:tc>
      </w:tr>
      <w:tr w:rsidR="00303A2A" w:rsidRPr="00303A2A" w14:paraId="4F683EB0" w14:textId="77777777" w:rsidTr="00EE3671">
        <w:trPr>
          <w:trHeight w:val="239"/>
        </w:trPr>
        <w:tc>
          <w:tcPr>
            <w:tcW w:w="675" w:type="dxa"/>
            <w:tcBorders>
              <w:top w:val="single" w:sz="4" w:space="0" w:color="auto"/>
              <w:bottom w:val="single" w:sz="4" w:space="0" w:color="auto"/>
            </w:tcBorders>
          </w:tcPr>
          <w:p w14:paraId="2F7C5FA7" w14:textId="77777777" w:rsidR="00303A2A" w:rsidRPr="00303A2A" w:rsidRDefault="00303A2A"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p>
        </w:tc>
        <w:tc>
          <w:tcPr>
            <w:tcW w:w="6379" w:type="dxa"/>
            <w:tcBorders>
              <w:top w:val="single" w:sz="4" w:space="0" w:color="auto"/>
              <w:bottom w:val="single" w:sz="4" w:space="0" w:color="auto"/>
            </w:tcBorders>
          </w:tcPr>
          <w:p w14:paraId="516E4C6E" w14:textId="33164D2B" w:rsidR="00303A2A" w:rsidRPr="00303A2A" w:rsidRDefault="00922B2C" w:rsidP="00303A2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rPr>
            </w:pPr>
            <w:r>
              <w:rPr>
                <w:rFonts w:ascii="Times New Roman" w:eastAsia="Times New Roman" w:hAnsi="Times New Roman" w:cs="Times New Roman"/>
                <w:b/>
                <w:position w:val="0"/>
                <w:sz w:val="20"/>
                <w:szCs w:val="20"/>
              </w:rPr>
              <w:t>Total s</w:t>
            </w:r>
            <w:r w:rsidR="00303A2A" w:rsidRPr="00303A2A">
              <w:rPr>
                <w:rFonts w:ascii="Times New Roman" w:eastAsia="Times New Roman" w:hAnsi="Times New Roman" w:cs="Times New Roman"/>
                <w:b/>
                <w:position w:val="0"/>
                <w:sz w:val="20"/>
                <w:szCs w:val="20"/>
              </w:rPr>
              <w:t>core</w:t>
            </w:r>
          </w:p>
        </w:tc>
        <w:tc>
          <w:tcPr>
            <w:tcW w:w="1134" w:type="dxa"/>
            <w:tcBorders>
              <w:top w:val="single" w:sz="4" w:space="0" w:color="auto"/>
              <w:bottom w:val="single" w:sz="4" w:space="0" w:color="auto"/>
            </w:tcBorders>
          </w:tcPr>
          <w:p w14:paraId="0F76EBBC"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32.1</w:t>
            </w:r>
          </w:p>
        </w:tc>
        <w:tc>
          <w:tcPr>
            <w:tcW w:w="992" w:type="dxa"/>
            <w:tcBorders>
              <w:top w:val="single" w:sz="4" w:space="0" w:color="auto"/>
              <w:bottom w:val="single" w:sz="4" w:space="0" w:color="auto"/>
            </w:tcBorders>
          </w:tcPr>
          <w:p w14:paraId="603E419E" w14:textId="77777777" w:rsidR="00303A2A" w:rsidRPr="00303A2A" w:rsidRDefault="00303A2A" w:rsidP="00413E2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rPr>
            </w:pPr>
            <w:r w:rsidRPr="00303A2A">
              <w:rPr>
                <w:rFonts w:ascii="Times New Roman" w:eastAsia="Times New Roman" w:hAnsi="Times New Roman" w:cs="Times New Roman"/>
                <w:b/>
                <w:position w:val="0"/>
                <w:sz w:val="20"/>
                <w:szCs w:val="20"/>
              </w:rPr>
              <w:t>38.9</w:t>
            </w:r>
          </w:p>
        </w:tc>
      </w:tr>
    </w:tbl>
    <w:p w14:paraId="6D39BC2D" w14:textId="321AA24C" w:rsidR="00303A2A" w:rsidRDefault="00303A2A" w:rsidP="00303A2A">
      <w:pPr>
        <w:widowControl w:val="0"/>
        <w:suppressAutoHyphens w:val="0"/>
        <w:autoSpaceDE w:val="0"/>
        <w:autoSpaceDN w:val="0"/>
        <w:spacing w:after="0" w:line="240" w:lineRule="auto"/>
        <w:ind w:leftChars="0" w:left="0" w:firstLineChars="0" w:firstLine="0"/>
        <w:jc w:val="both"/>
        <w:textDirection w:val="lrTb"/>
        <w:textAlignment w:val="auto"/>
        <w:rPr>
          <w:rFonts w:ascii="Times New Roman" w:eastAsia="Times New Roman" w:hAnsi="Times New Roman" w:cs="Times New Roman"/>
          <w:b/>
          <w:position w:val="0"/>
          <w:sz w:val="24"/>
          <w:szCs w:val="24"/>
        </w:rPr>
      </w:pPr>
    </w:p>
    <w:p w14:paraId="42D10398" w14:textId="77777777" w:rsidR="0036256B" w:rsidRPr="00303A2A" w:rsidRDefault="0036256B" w:rsidP="00303A2A">
      <w:pPr>
        <w:widowControl w:val="0"/>
        <w:suppressAutoHyphens w:val="0"/>
        <w:autoSpaceDE w:val="0"/>
        <w:autoSpaceDN w:val="0"/>
        <w:spacing w:after="0" w:line="240" w:lineRule="auto"/>
        <w:ind w:leftChars="0" w:left="0" w:firstLineChars="0" w:firstLine="0"/>
        <w:jc w:val="both"/>
        <w:textDirection w:val="lrTb"/>
        <w:textAlignment w:val="auto"/>
        <w:rPr>
          <w:rFonts w:ascii="Times New Roman" w:eastAsia="Times New Roman" w:hAnsi="Times New Roman" w:cs="Times New Roman"/>
          <w:b/>
          <w:position w:val="0"/>
          <w:sz w:val="24"/>
          <w:szCs w:val="24"/>
        </w:rPr>
      </w:pPr>
    </w:p>
    <w:p w14:paraId="02BEB26A" w14:textId="6783AAB8" w:rsidR="0057592A" w:rsidRDefault="003E5F8B" w:rsidP="00303A2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 </w:t>
      </w:r>
    </w:p>
    <w:p w14:paraId="41394024" w14:textId="77777777" w:rsidR="0036256B" w:rsidRPr="00303A2A" w:rsidRDefault="0036256B" w:rsidP="00303A2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0E9A02F2" w14:textId="77777777" w:rsidR="00303A2A" w:rsidRPr="00303A2A" w:rsidRDefault="00303A2A" w:rsidP="00303A2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303A2A">
        <w:rPr>
          <w:rFonts w:ascii="Times New Roman" w:eastAsia="Times New Roman" w:hAnsi="Times New Roman" w:cs="Times New Roman"/>
          <w:position w:val="0"/>
          <w:sz w:val="24"/>
          <w:szCs w:val="24"/>
        </w:rPr>
        <w:t xml:space="preserve">This study addresses the public perception of adopting HFCV in Kuala Lumpur, Malaysia. Currently, Malaysia faces fuel depletion, high carbon emissions, and energy security issues due to its greater dependence on fossil fuels as the primary energy source in the transportation sector. The transportation system cannot be ignored in the context of socio-economic development and needs more sustainable and environmentally friendly options for alternative energy sources. Therefore, HFCV is expected to strengthen energy security and zero tailpipe emission by reducing fossil fuel dependence and supporting sustainable transport systems. Several developed nations have already moved towards a green hydrogen economy by slowly converting from conventional vehicles to HFCV. Notably, some developing countries, including Malaysia, are also looking to technological innovation to substitute non-renewable fuels (natural gas, oil, and coal) with hydrogen in their transportation systems. Even though hydrogen energy has potential for emission-free transport systems, safety concerns are still a constraint because it is a highly flammable fuel source and the high costs of investing in hydrogen fuel cell technology. In Malaysia, the policy of energy more consider R&amp;D option and need a holistic approach to the successful evolution from a conventional energy economy to a sustainable energy system. This study focuses more on the understanding and perception of HFCV among the public by looking at the economic and environmental benefits, which are vital for the successful introduction of HFCV. In other words, the findings look more at the demand-side action with a focus on public perceptions concerning the adoption of HFCV. The results are consistent with other studies that considered the influence of consumer behavior on the purchase intention of HFCV </w:t>
      </w:r>
      <w:r w:rsidRPr="00303A2A">
        <w:rPr>
          <w:rFonts w:ascii="Times New Roman" w:eastAsia="Times New Roman" w:hAnsi="Times New Roman" w:cs="Times New Roman"/>
          <w:position w:val="0"/>
          <w:sz w:val="24"/>
          <w:szCs w:val="24"/>
        </w:rPr>
        <w:fldChar w:fldCharType="begin" w:fldLock="1"/>
      </w:r>
      <w:r w:rsidRPr="00303A2A">
        <w:rPr>
          <w:rFonts w:ascii="Times New Roman" w:eastAsia="Times New Roman" w:hAnsi="Times New Roman" w:cs="Times New Roman"/>
          <w:position w:val="0"/>
          <w:sz w:val="24"/>
          <w:szCs w:val="24"/>
        </w:rPr>
        <w:instrText>ADDIN CSL_CITATION {"citationItems":[{"id":"ITEM-1","itemData":{"DOI":"10.1016/j.ijhydene.2015.11.146","ISSN":"03603199","abstract":"Hydrogen fuel cell vehicles (FCVs) are expected to have a significant impact in meeting both energy security and environmental concerns globally. Public and private support is however essential for successful transition to a sustainable energy system. Several studies have looked into the issues and considered the purchase behaviour of related Alternative Fuel Vehicles (AFCs) and more research momentum is seen towards hydrogen FCV. The article aims to critically review and identifies gaps of acceptance, preferences and attitudes of hydrogen FCV and examine whether attitudes, subjective norms (SNs) and perceived behaviour control (PBC) have significant associations with customer purchase intention (PI) and purchase behaviour of hydrogen FCV in Malaysia. This is a timely study to address useful policies for decarbonizing the transportation sector.","author":[{"dropping-particle":"","family":"Al-Amin","given":"Abul Quasem","non-dropping-particle":"","parse-names":false,"suffix":""},{"dropping-particle":"","family":"Ambrose","given":"Angelina F.","non-dropping-particle":"","parse-names":false,"suffix":""},{"dropping-particle":"","family":"Masud","given":"Muhammad Mehedi","non-dropping-particle":"","parse-names":false,"suffix":""},{"dropping-particle":"","family":"Azam","given":"Mohammad Nurul","non-dropping-particle":"","parse-names":false,"suffix":""}],"container-title":"International Journal of Hydrogen Energy","id":"ITEM-1","issue":"4","issued":{"date-parts":[["2016"]]},"page":"2117-2127","publisher":"Elsevier Ltd","title":"People purchase intention towards hydrogen fuel cell vehicles: An experiential enquiry in Malaysia","type":"article-journal","volume":"41"},"uris":["http://www.mendeley.com/documents/?uuid=86adec04-9e5a-4430-9dd3-c783efca08c1"]},{"id":"ITEM-2","itemData":{"abstract":"Energy from hydrogen is an appropriate technological choice in the context of sustainable development. The opportunities offered by the use of energy from hydrogen also represent a significant challenge for mobile technologies and daily life. Nevertheless, despite a significant amount of research and information regarding the benefits of hydrogen energy, it creates considerable controversy in many countries. Globally, there is a lack of understanding about the production process of hydrogen energy and the benefits it provides, which leads to concerns regarding the consistency of its use. In this study, an original questionnaire was used as a research tool to determine the opinions of inhabitants of countries in which hydrogen energy is underutilized and where the infrastructure for hydrogen energy is underdeveloped. Respondents presented their attitude to ecology, and indicated their knowledge regarding the operation of hydrogen energy and the use of hydrogen fuel. The results indicate that society is not convinced that the safety levels for energy derived from hydrogen are adequate. It can be concluded that knowledge about hydrogen as an energy source, and the production safety and storage methods of hydrogen, is very low. Negative attitudes to hydrogen energy can be an important barrier in the development of this energy in many countries.","author":[{"dropping-particle":"","family":"Ingaldi","given":"Manueka","non-dropping-particle":"","parse-names":false,"suffix":""},{"dropping-particle":"","family":"Klimecka-Ttar","given":"Dorota","non-dropping-particle":"","parse-names":false,"suffix":""}],"container-title":"Energies","id":"ITEM-2","issued":{"date-parts":[["2020"]]},"page":"6495","title":"People’s Attitude to Energy from Hydrogen—From the Point of View of Modern Energy Technologies and Social Responsibility","type":"article-journal","volume":"13"},"uris":["http://www.mendeley.com/documents/?uuid=f5713e34-7423-45a3-9eb5-9065e04cb4bb"]}],"mendeley":{"formattedCitation":"(Al-Amin et al., 2016; Ingaldi &amp; Klimecka-Ttar, 2020)","plainTextFormattedCitation":"(Al-Amin et al., 2016; Ingaldi &amp; Klimecka-Ttar, 2020)","previouslyFormattedCitation":"(Al-Amin et al., 2016; Ingaldi &amp; Klimecka-Ttar, 2020)"},"properties":{"noteIndex":0},"schema":"https://github.com/citation-style-language/schema/raw/master/csl-citation.json"}</w:instrText>
      </w:r>
      <w:r w:rsidRPr="00303A2A">
        <w:rPr>
          <w:rFonts w:ascii="Times New Roman" w:eastAsia="Times New Roman" w:hAnsi="Times New Roman" w:cs="Times New Roman"/>
          <w:position w:val="0"/>
          <w:sz w:val="24"/>
          <w:szCs w:val="24"/>
        </w:rPr>
        <w:fldChar w:fldCharType="separate"/>
      </w:r>
      <w:r w:rsidRPr="00303A2A">
        <w:rPr>
          <w:rFonts w:ascii="Times New Roman" w:eastAsia="Times New Roman" w:hAnsi="Times New Roman" w:cs="Times New Roman"/>
          <w:noProof/>
          <w:position w:val="0"/>
          <w:sz w:val="24"/>
          <w:szCs w:val="24"/>
        </w:rPr>
        <w:t>(Al-Amin et al., 2016; Ingaldi &amp; Klimecka-Ttar, 2020)</w:t>
      </w:r>
      <w:r w:rsidRPr="00303A2A">
        <w:rPr>
          <w:rFonts w:ascii="Times New Roman" w:eastAsia="Times New Roman" w:hAnsi="Times New Roman" w:cs="Times New Roman"/>
          <w:position w:val="0"/>
          <w:sz w:val="24"/>
          <w:szCs w:val="24"/>
        </w:rPr>
        <w:fldChar w:fldCharType="end"/>
      </w:r>
      <w:r w:rsidRPr="00303A2A">
        <w:rPr>
          <w:rFonts w:ascii="Times New Roman" w:eastAsia="Times New Roman" w:hAnsi="Times New Roman" w:cs="Times New Roman"/>
          <w:position w:val="0"/>
          <w:sz w:val="24"/>
          <w:szCs w:val="24"/>
        </w:rPr>
        <w:t xml:space="preserve">. </w:t>
      </w:r>
    </w:p>
    <w:p w14:paraId="456FB776" w14:textId="4E99B513" w:rsidR="00303A2A" w:rsidRDefault="00303A2A" w:rsidP="00303A2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rPr>
      </w:pPr>
      <w:bookmarkStart w:id="14" w:name="_Hlk84082661"/>
      <w:r w:rsidRPr="00303A2A">
        <w:rPr>
          <w:rFonts w:ascii="Times New Roman" w:eastAsia="Times New Roman" w:hAnsi="Times New Roman" w:cs="Times New Roman"/>
          <w:position w:val="0"/>
          <w:sz w:val="24"/>
          <w:szCs w:val="24"/>
        </w:rPr>
        <w:t xml:space="preserve">The overall results of this study found that demand-side action for HFCV among the public is influenced by supply-side aspects, including support infrastructure, characteristics of HFCV, </w:t>
      </w:r>
      <w:r w:rsidRPr="00303A2A">
        <w:rPr>
          <w:rFonts w:ascii="Times New Roman" w:eastAsia="Times New Roman" w:hAnsi="Times New Roman" w:cs="Times New Roman"/>
          <w:position w:val="0"/>
          <w:sz w:val="24"/>
          <w:szCs w:val="24"/>
        </w:rPr>
        <w:lastRenderedPageBreak/>
        <w:t>operation costs, safety concerns, competitive markets,</w:t>
      </w:r>
      <w:r w:rsidRPr="00303A2A">
        <w:rPr>
          <w:rFonts w:ascii="Times New Roman" w:eastAsia="Times New Roman" w:hAnsi="Times New Roman" w:cs="Times New Roman"/>
          <w:position w:val="0"/>
          <w:sz w:val="24"/>
          <w:szCs w:val="24"/>
          <w:lang w:val="en-GB"/>
        </w:rPr>
        <w:t xml:space="preserve"> </w:t>
      </w:r>
      <w:r w:rsidRPr="00303A2A">
        <w:rPr>
          <w:rFonts w:ascii="Times New Roman" w:eastAsia="Times New Roman" w:hAnsi="Times New Roman" w:cs="Times New Roman"/>
          <w:position w:val="0"/>
          <w:sz w:val="24"/>
          <w:szCs w:val="24"/>
        </w:rPr>
        <w:t xml:space="preserve">and the social equilibrium of the innovation. Consequently, market demand and new technology adoption of HFCV will be successfully created with the adoption by the public that leads to the consumer's intention to purchase. The study also found that most respondents do not have much knowledge or awareness of the environmental benefits of using HFCV. The evidence from this study suggests that stakeholders should educate the public regarding the benefits of HFCV and create awareness through local advertising on television and radio - this is considered an essential step in the adoption of new technologies such as HFCV. The findings of this study also suggest that long-term planning and relevant policies by the Malaysian government are needed as it seeks new energy options and balances growing energy demands while at the same time developing a </w:t>
      </w:r>
      <w:proofErr w:type="spellStart"/>
      <w:r w:rsidRPr="00303A2A">
        <w:rPr>
          <w:rFonts w:ascii="Times New Roman" w:eastAsia="Times New Roman" w:hAnsi="Times New Roman" w:cs="Times New Roman"/>
          <w:position w:val="0"/>
          <w:sz w:val="24"/>
          <w:szCs w:val="24"/>
        </w:rPr>
        <w:t>decarbonised</w:t>
      </w:r>
      <w:proofErr w:type="spellEnd"/>
      <w:r w:rsidRPr="00303A2A">
        <w:rPr>
          <w:rFonts w:ascii="Times New Roman" w:eastAsia="Times New Roman" w:hAnsi="Times New Roman" w:cs="Times New Roman"/>
          <w:position w:val="0"/>
          <w:sz w:val="24"/>
          <w:szCs w:val="24"/>
        </w:rPr>
        <w:t xml:space="preserve"> economy through the introduction of HFCV. The opportunity to test drive the vehicles and use hydrogen fuel cells in local public transport will build confidence and acceptance of the new technology in local communities. Although this study focused on the Malaysian scenario, the findings can be </w:t>
      </w:r>
      <w:proofErr w:type="spellStart"/>
      <w:r w:rsidRPr="00303A2A">
        <w:rPr>
          <w:rFonts w:ascii="Times New Roman" w:eastAsia="Times New Roman" w:hAnsi="Times New Roman" w:cs="Times New Roman"/>
          <w:position w:val="0"/>
          <w:sz w:val="24"/>
          <w:szCs w:val="24"/>
        </w:rPr>
        <w:t>utilised</w:t>
      </w:r>
      <w:proofErr w:type="spellEnd"/>
      <w:r w:rsidRPr="00303A2A">
        <w:rPr>
          <w:rFonts w:ascii="Times New Roman" w:eastAsia="Times New Roman" w:hAnsi="Times New Roman" w:cs="Times New Roman"/>
          <w:position w:val="0"/>
          <w:sz w:val="24"/>
          <w:szCs w:val="24"/>
        </w:rPr>
        <w:t xml:space="preserve"> in other developing countries looking for sustainable energy security and reduced carbon emissions in the transportation sector by using HFCV.</w:t>
      </w:r>
      <w:bookmarkEnd w:id="14"/>
    </w:p>
    <w:p w14:paraId="0574E9D5" w14:textId="4C5E831D" w:rsidR="002C1CE4" w:rsidRDefault="002C1CE4" w:rsidP="002C1CE4">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60D8C7CD" w14:textId="77777777" w:rsidR="0036256B" w:rsidRDefault="0036256B" w:rsidP="002C1CE4">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0C4A8A37" w14:textId="7775DC42" w:rsidR="002C1CE4" w:rsidRDefault="002C1CE4" w:rsidP="002C1CE4">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bCs/>
          <w:position w:val="0"/>
          <w:sz w:val="24"/>
          <w:szCs w:val="24"/>
        </w:rPr>
      </w:pPr>
      <w:r w:rsidRPr="00E36BD4">
        <w:rPr>
          <w:rFonts w:ascii="Times New Roman" w:eastAsia="Times New Roman" w:hAnsi="Times New Roman" w:cs="Times New Roman"/>
          <w:b/>
          <w:bCs/>
          <w:position w:val="0"/>
          <w:sz w:val="24"/>
          <w:szCs w:val="24"/>
        </w:rPr>
        <w:t>Acknowledgment</w:t>
      </w:r>
    </w:p>
    <w:p w14:paraId="7F8FD98B" w14:textId="77777777" w:rsidR="0036256B" w:rsidRPr="002C1CE4" w:rsidRDefault="0036256B" w:rsidP="002C1CE4">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bCs/>
          <w:position w:val="0"/>
          <w:sz w:val="24"/>
          <w:szCs w:val="24"/>
        </w:rPr>
      </w:pPr>
    </w:p>
    <w:p w14:paraId="6919196A" w14:textId="69AC6769" w:rsidR="0057592A" w:rsidRDefault="0060131B" w:rsidP="0036256B">
      <w:pPr>
        <w:spacing w:after="0" w:line="240" w:lineRule="auto"/>
        <w:ind w:leftChars="0" w:left="0" w:firstLineChars="0" w:firstLine="0"/>
        <w:jc w:val="both"/>
        <w:rPr>
          <w:rFonts w:ascii="Times New Roman" w:eastAsia="Times New Roman" w:hAnsi="Times New Roman" w:cs="Times New Roman"/>
          <w:position w:val="0"/>
          <w:sz w:val="24"/>
          <w:szCs w:val="24"/>
        </w:rPr>
      </w:pPr>
      <w:r w:rsidRPr="0060131B">
        <w:rPr>
          <w:rFonts w:ascii="Times New Roman" w:eastAsia="Times New Roman" w:hAnsi="Times New Roman" w:cs="Times New Roman"/>
          <w:position w:val="0"/>
          <w:sz w:val="24"/>
          <w:szCs w:val="24"/>
        </w:rPr>
        <w:t xml:space="preserve">We would like to thank Ministry of Education (MOE) Malaysia for funding this research under the LRGS project </w:t>
      </w:r>
      <w:r w:rsidR="0036256B">
        <w:rPr>
          <w:rFonts w:ascii="Times New Roman" w:eastAsia="Times New Roman" w:hAnsi="Times New Roman" w:cs="Times New Roman"/>
          <w:position w:val="0"/>
          <w:sz w:val="24"/>
          <w:szCs w:val="24"/>
        </w:rPr>
        <w:t>“</w:t>
      </w:r>
      <w:r w:rsidRPr="0060131B">
        <w:rPr>
          <w:rFonts w:ascii="Times New Roman" w:eastAsia="Times New Roman" w:hAnsi="Times New Roman" w:cs="Times New Roman"/>
          <w:position w:val="0"/>
          <w:sz w:val="24"/>
          <w:szCs w:val="24"/>
        </w:rPr>
        <w:t>Zero Emission Fuel Cell Vehicle Powered by Hydrogen Energy: Economic, Social, and Environmental Impact of Introduction of Fuel Cell Vehicles.</w:t>
      </w:r>
      <w:r w:rsidR="0036256B">
        <w:rPr>
          <w:rFonts w:ascii="Times New Roman" w:eastAsia="Times New Roman" w:hAnsi="Times New Roman" w:cs="Times New Roman"/>
          <w:position w:val="0"/>
          <w:sz w:val="24"/>
          <w:szCs w:val="24"/>
        </w:rPr>
        <w:t>”</w:t>
      </w:r>
      <w:r w:rsidRPr="0060131B">
        <w:rPr>
          <w:rFonts w:ascii="Times New Roman" w:eastAsia="Times New Roman" w:hAnsi="Times New Roman" w:cs="Times New Roman"/>
          <w:position w:val="0"/>
          <w:sz w:val="24"/>
          <w:szCs w:val="24"/>
        </w:rPr>
        <w:t xml:space="preserve"> The authors would like to express their gratitude to UNITEN, UKM, and MOE Malaysia for their assistance in completing this paper.</w:t>
      </w:r>
    </w:p>
    <w:p w14:paraId="12C5B870" w14:textId="4C999637" w:rsidR="0060131B" w:rsidRDefault="0060131B" w:rsidP="00303A2A">
      <w:pPr>
        <w:spacing w:after="0" w:line="240" w:lineRule="auto"/>
        <w:ind w:leftChars="0" w:left="0" w:firstLineChars="0" w:firstLine="0"/>
        <w:rPr>
          <w:rFonts w:ascii="Times New Roman" w:eastAsia="Times New Roman" w:hAnsi="Times New Roman" w:cs="Times New Roman"/>
          <w:sz w:val="24"/>
          <w:szCs w:val="24"/>
        </w:rPr>
      </w:pPr>
    </w:p>
    <w:p w14:paraId="3B24AB66" w14:textId="77777777" w:rsidR="0036256B" w:rsidRDefault="0036256B" w:rsidP="00303A2A">
      <w:pPr>
        <w:spacing w:after="0" w:line="240" w:lineRule="auto"/>
        <w:ind w:leftChars="0" w:left="0" w:firstLineChars="0" w:firstLine="0"/>
        <w:rPr>
          <w:rFonts w:ascii="Times New Roman" w:eastAsia="Times New Roman" w:hAnsi="Times New Roman" w:cs="Times New Roman"/>
          <w:sz w:val="24"/>
          <w:szCs w:val="24"/>
        </w:rPr>
      </w:pPr>
    </w:p>
    <w:p w14:paraId="2A093F0D" w14:textId="1608257A" w:rsidR="00303A2A" w:rsidRDefault="003E5F8B" w:rsidP="00303A2A">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14:paraId="5192763C" w14:textId="77777777" w:rsidR="0036256B" w:rsidRPr="00303A2A" w:rsidRDefault="0036256B" w:rsidP="00303A2A">
      <w:pPr>
        <w:spacing w:after="0" w:line="240" w:lineRule="auto"/>
        <w:ind w:left="0" w:hanging="2"/>
        <w:rPr>
          <w:rFonts w:ascii="Times New Roman" w:eastAsia="Times New Roman" w:hAnsi="Times New Roman" w:cs="Times New Roman"/>
          <w:b/>
          <w:sz w:val="24"/>
          <w:szCs w:val="24"/>
        </w:rPr>
      </w:pPr>
    </w:p>
    <w:p w14:paraId="38381055" w14:textId="70DF9C30" w:rsidR="00303A2A" w:rsidRPr="00303A2A" w:rsidRDefault="00303A2A" w:rsidP="007106A5">
      <w:pPr>
        <w:widowControl w:val="0"/>
        <w:autoSpaceDE w:val="0"/>
        <w:autoSpaceDN w:val="0"/>
        <w:adjustRightInd w:val="0"/>
        <w:spacing w:after="0" w:line="240" w:lineRule="auto"/>
        <w:ind w:left="0" w:hanging="2"/>
        <w:jc w:val="both"/>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6D3BED">
        <w:rPr>
          <w:rFonts w:ascii="Times New Roman" w:hAnsi="Times New Roman" w:cs="Times New Roman"/>
          <w:noProof/>
          <w:sz w:val="24"/>
          <w:szCs w:val="24"/>
        </w:rPr>
        <w:t xml:space="preserve">Aaron Isenstadt, &amp; Lutsey, N. (2017). Developing hydrogen fueling infrastructure for fuel cell </w:t>
      </w:r>
      <w:r w:rsidR="007106A5" w:rsidRPr="006D3BED">
        <w:rPr>
          <w:rFonts w:ascii="Times New Roman" w:hAnsi="Times New Roman" w:cs="Times New Roman"/>
          <w:noProof/>
          <w:sz w:val="24"/>
          <w:szCs w:val="24"/>
        </w:rPr>
        <w:tab/>
      </w:r>
      <w:r w:rsidRPr="006D3BED">
        <w:rPr>
          <w:rFonts w:ascii="Times New Roman" w:hAnsi="Times New Roman" w:cs="Times New Roman"/>
          <w:noProof/>
          <w:sz w:val="24"/>
          <w:szCs w:val="24"/>
        </w:rPr>
        <w:t xml:space="preserve">vehicles: A status update. </w:t>
      </w:r>
      <w:r w:rsidR="006D3BED" w:rsidRPr="006D3BED">
        <w:rPr>
          <w:rFonts w:ascii="Times New Roman" w:hAnsi="Times New Roman" w:cs="Times New Roman"/>
          <w:i/>
          <w:iCs/>
          <w:noProof/>
          <w:sz w:val="24"/>
          <w:szCs w:val="24"/>
        </w:rPr>
        <w:t>icct-The International control on clean transportation</w:t>
      </w:r>
      <w:r w:rsidRPr="006D3BED">
        <w:rPr>
          <w:rFonts w:ascii="Times New Roman" w:hAnsi="Times New Roman" w:cs="Times New Roman"/>
          <w:noProof/>
          <w:sz w:val="24"/>
          <w:szCs w:val="24"/>
        </w:rPr>
        <w:t xml:space="preserve">. </w:t>
      </w:r>
      <w:r w:rsidR="007106A5" w:rsidRPr="006D3BED">
        <w:rPr>
          <w:rFonts w:ascii="Times New Roman" w:hAnsi="Times New Roman" w:cs="Times New Roman"/>
          <w:noProof/>
          <w:sz w:val="24"/>
          <w:szCs w:val="24"/>
        </w:rPr>
        <w:tab/>
      </w:r>
      <w:r w:rsidRPr="006D3BED">
        <w:rPr>
          <w:rFonts w:ascii="Times New Roman" w:hAnsi="Times New Roman" w:cs="Times New Roman"/>
          <w:noProof/>
          <w:sz w:val="24"/>
          <w:szCs w:val="24"/>
        </w:rPr>
        <w:t>https://www.theicct.org/publications/developing-hydrogen-fueling-infrastructure-fuel-</w:t>
      </w:r>
      <w:r w:rsidR="007106A5" w:rsidRPr="006D3BED">
        <w:rPr>
          <w:rFonts w:ascii="Times New Roman" w:hAnsi="Times New Roman" w:cs="Times New Roman"/>
          <w:noProof/>
          <w:sz w:val="24"/>
          <w:szCs w:val="24"/>
        </w:rPr>
        <w:tab/>
      </w:r>
      <w:r w:rsidRPr="006D3BED">
        <w:rPr>
          <w:rFonts w:ascii="Times New Roman" w:hAnsi="Times New Roman" w:cs="Times New Roman"/>
          <w:noProof/>
          <w:sz w:val="24"/>
          <w:szCs w:val="24"/>
        </w:rPr>
        <w:t>cell-vehicles-status-update</w:t>
      </w:r>
    </w:p>
    <w:p w14:paraId="59D761D9" w14:textId="3593B0FE" w:rsidR="00303A2A" w:rsidRPr="0006420D" w:rsidRDefault="00303A2A" w:rsidP="007106A5">
      <w:pPr>
        <w:widowControl w:val="0"/>
        <w:autoSpaceDE w:val="0"/>
        <w:autoSpaceDN w:val="0"/>
        <w:adjustRightInd w:val="0"/>
        <w:spacing w:after="0" w:line="240" w:lineRule="auto"/>
        <w:ind w:left="0" w:hanging="2"/>
        <w:jc w:val="both"/>
        <w:rPr>
          <w:rFonts w:ascii="Times New Roman" w:hAnsi="Times New Roman" w:cs="Times New Roman"/>
          <w:noProof/>
          <w:sz w:val="24"/>
          <w:szCs w:val="24"/>
          <w:lang w:val="nb-NO"/>
        </w:rPr>
      </w:pPr>
      <w:r w:rsidRPr="006D3BED">
        <w:rPr>
          <w:rFonts w:ascii="Times New Roman" w:hAnsi="Times New Roman" w:cs="Times New Roman"/>
          <w:noProof/>
          <w:sz w:val="24"/>
          <w:szCs w:val="24"/>
        </w:rPr>
        <w:t xml:space="preserve">Al-Amin, A. Q. (2017). Decarbonization through the introduction of hydrogen fuel cell vehicles </w:t>
      </w:r>
      <w:r w:rsidR="007106A5" w:rsidRPr="006D3BED">
        <w:rPr>
          <w:rFonts w:ascii="Times New Roman" w:hAnsi="Times New Roman" w:cs="Times New Roman"/>
          <w:noProof/>
          <w:sz w:val="24"/>
          <w:szCs w:val="24"/>
        </w:rPr>
        <w:tab/>
      </w:r>
      <w:r w:rsidRPr="006D3BED">
        <w:rPr>
          <w:rFonts w:ascii="Times New Roman" w:hAnsi="Times New Roman" w:cs="Times New Roman"/>
          <w:noProof/>
          <w:sz w:val="24"/>
          <w:szCs w:val="24"/>
        </w:rPr>
        <w:t xml:space="preserve">in Malaysia: Prospects and challenges. </w:t>
      </w:r>
      <w:r w:rsidRPr="0006420D">
        <w:rPr>
          <w:rFonts w:ascii="Times New Roman" w:hAnsi="Times New Roman" w:cs="Times New Roman"/>
          <w:i/>
          <w:iCs/>
          <w:noProof/>
          <w:sz w:val="24"/>
          <w:szCs w:val="24"/>
          <w:lang w:val="nb-NO"/>
        </w:rPr>
        <w:t>Jurnal Teknologi</w:t>
      </w:r>
      <w:r w:rsidRPr="0006420D">
        <w:rPr>
          <w:rFonts w:ascii="Times New Roman" w:hAnsi="Times New Roman" w:cs="Times New Roman"/>
          <w:noProof/>
          <w:sz w:val="24"/>
          <w:szCs w:val="24"/>
          <w:lang w:val="nb-NO"/>
        </w:rPr>
        <w:t xml:space="preserve">, 1–7. </w:t>
      </w:r>
      <w:r w:rsidR="007106A5" w:rsidRPr="0006420D">
        <w:rPr>
          <w:rFonts w:ascii="Times New Roman" w:hAnsi="Times New Roman" w:cs="Times New Roman"/>
          <w:noProof/>
          <w:sz w:val="24"/>
          <w:szCs w:val="24"/>
          <w:lang w:val="nb-NO"/>
        </w:rPr>
        <w:tab/>
      </w:r>
      <w:r w:rsidRPr="0006420D">
        <w:rPr>
          <w:rFonts w:ascii="Times New Roman" w:hAnsi="Times New Roman" w:cs="Times New Roman"/>
          <w:noProof/>
          <w:sz w:val="24"/>
          <w:szCs w:val="24"/>
          <w:lang w:val="nb-NO"/>
        </w:rPr>
        <w:t>http://file//localhost(null)%5Cnpapers3://publication/uuid/6197D1B2-59B2-40F2-B09E-</w:t>
      </w:r>
      <w:r w:rsidR="007106A5" w:rsidRPr="0006420D">
        <w:rPr>
          <w:rFonts w:ascii="Times New Roman" w:hAnsi="Times New Roman" w:cs="Times New Roman"/>
          <w:noProof/>
          <w:sz w:val="24"/>
          <w:szCs w:val="24"/>
          <w:lang w:val="nb-NO"/>
        </w:rPr>
        <w:tab/>
      </w:r>
      <w:r w:rsidRPr="0006420D">
        <w:rPr>
          <w:rFonts w:ascii="Times New Roman" w:hAnsi="Times New Roman" w:cs="Times New Roman"/>
          <w:noProof/>
          <w:sz w:val="24"/>
          <w:szCs w:val="24"/>
          <w:lang w:val="nb-NO"/>
        </w:rPr>
        <w:t>1D8B08FC4BA9</w:t>
      </w:r>
    </w:p>
    <w:p w14:paraId="36D1B1ED" w14:textId="71F7A1DA" w:rsidR="00303A2A" w:rsidRPr="00303A2A" w:rsidRDefault="00303A2A" w:rsidP="007106A5">
      <w:pPr>
        <w:widowControl w:val="0"/>
        <w:autoSpaceDE w:val="0"/>
        <w:autoSpaceDN w:val="0"/>
        <w:adjustRightInd w:val="0"/>
        <w:spacing w:after="0" w:line="240" w:lineRule="auto"/>
        <w:ind w:left="0" w:hanging="2"/>
        <w:jc w:val="both"/>
        <w:rPr>
          <w:rFonts w:ascii="Times New Roman" w:hAnsi="Times New Roman" w:cs="Times New Roman"/>
          <w:noProof/>
          <w:sz w:val="24"/>
          <w:szCs w:val="24"/>
        </w:rPr>
      </w:pPr>
      <w:r w:rsidRPr="00303A2A">
        <w:rPr>
          <w:rFonts w:ascii="Times New Roman" w:hAnsi="Times New Roman" w:cs="Times New Roman"/>
          <w:noProof/>
          <w:sz w:val="24"/>
          <w:szCs w:val="24"/>
        </w:rPr>
        <w:t xml:space="preserve">Al-Amin, A. Q., Ambrose, A. F., Masud, M. M., &amp; Azam, M. N. (2016). People purchase intention </w:t>
      </w:r>
      <w:r w:rsidR="007106A5">
        <w:rPr>
          <w:rFonts w:ascii="Times New Roman" w:hAnsi="Times New Roman" w:cs="Times New Roman"/>
          <w:noProof/>
          <w:sz w:val="24"/>
          <w:szCs w:val="24"/>
        </w:rPr>
        <w:tab/>
      </w:r>
      <w:r w:rsidRPr="00303A2A">
        <w:rPr>
          <w:rFonts w:ascii="Times New Roman" w:hAnsi="Times New Roman" w:cs="Times New Roman"/>
          <w:noProof/>
          <w:sz w:val="24"/>
          <w:szCs w:val="24"/>
        </w:rPr>
        <w:t xml:space="preserve">towards hydrogen fuel cell vehicles: An experiential enquiry in Malaysia. </w:t>
      </w:r>
      <w:r w:rsidRPr="00303A2A">
        <w:rPr>
          <w:rFonts w:ascii="Times New Roman" w:hAnsi="Times New Roman" w:cs="Times New Roman"/>
          <w:i/>
          <w:iCs/>
          <w:noProof/>
          <w:sz w:val="24"/>
          <w:szCs w:val="24"/>
        </w:rPr>
        <w:t xml:space="preserve">International </w:t>
      </w:r>
      <w:r w:rsidR="007106A5">
        <w:rPr>
          <w:rFonts w:ascii="Times New Roman" w:hAnsi="Times New Roman" w:cs="Times New Roman"/>
          <w:i/>
          <w:iCs/>
          <w:noProof/>
          <w:sz w:val="24"/>
          <w:szCs w:val="24"/>
        </w:rPr>
        <w:tab/>
      </w:r>
      <w:r w:rsidRPr="00303A2A">
        <w:rPr>
          <w:rFonts w:ascii="Times New Roman" w:hAnsi="Times New Roman" w:cs="Times New Roman"/>
          <w:i/>
          <w:iCs/>
          <w:noProof/>
          <w:sz w:val="24"/>
          <w:szCs w:val="24"/>
        </w:rPr>
        <w:t>Journal of Hydrogen Energy</w:t>
      </w:r>
      <w:r w:rsidRPr="00303A2A">
        <w:rPr>
          <w:rFonts w:ascii="Times New Roman" w:hAnsi="Times New Roman" w:cs="Times New Roman"/>
          <w:noProof/>
          <w:sz w:val="24"/>
          <w:szCs w:val="24"/>
        </w:rPr>
        <w:t xml:space="preserve">, </w:t>
      </w:r>
      <w:r w:rsidRPr="00303A2A">
        <w:rPr>
          <w:rFonts w:ascii="Times New Roman" w:hAnsi="Times New Roman" w:cs="Times New Roman"/>
          <w:i/>
          <w:iCs/>
          <w:noProof/>
          <w:sz w:val="24"/>
          <w:szCs w:val="24"/>
        </w:rPr>
        <w:t>41</w:t>
      </w:r>
      <w:r w:rsidRPr="00303A2A">
        <w:rPr>
          <w:rFonts w:ascii="Times New Roman" w:hAnsi="Times New Roman" w:cs="Times New Roman"/>
          <w:noProof/>
          <w:sz w:val="24"/>
          <w:szCs w:val="24"/>
        </w:rPr>
        <w:t xml:space="preserve">(4), 2117–2127. </w:t>
      </w:r>
      <w:r w:rsidR="007106A5">
        <w:rPr>
          <w:rFonts w:ascii="Times New Roman" w:hAnsi="Times New Roman" w:cs="Times New Roman"/>
          <w:noProof/>
          <w:sz w:val="24"/>
          <w:szCs w:val="24"/>
        </w:rPr>
        <w:tab/>
      </w:r>
      <w:r w:rsidRPr="00303A2A">
        <w:rPr>
          <w:rFonts w:ascii="Times New Roman" w:hAnsi="Times New Roman" w:cs="Times New Roman"/>
          <w:noProof/>
          <w:sz w:val="24"/>
          <w:szCs w:val="24"/>
        </w:rPr>
        <w:t>https://doi.org/10.1016/j.ijhydene.2015.11.146</w:t>
      </w:r>
    </w:p>
    <w:p w14:paraId="25A3A0C0" w14:textId="0590E358" w:rsidR="00303A2A" w:rsidRPr="00303A2A" w:rsidRDefault="00303A2A" w:rsidP="007106A5">
      <w:pPr>
        <w:widowControl w:val="0"/>
        <w:autoSpaceDE w:val="0"/>
        <w:autoSpaceDN w:val="0"/>
        <w:adjustRightInd w:val="0"/>
        <w:spacing w:after="0" w:line="240" w:lineRule="auto"/>
        <w:ind w:left="0" w:hanging="2"/>
        <w:jc w:val="both"/>
        <w:rPr>
          <w:rFonts w:ascii="Times New Roman" w:hAnsi="Times New Roman" w:cs="Times New Roman"/>
          <w:noProof/>
          <w:sz w:val="24"/>
          <w:szCs w:val="24"/>
        </w:rPr>
      </w:pPr>
      <w:r w:rsidRPr="00303A2A">
        <w:rPr>
          <w:rFonts w:ascii="Times New Roman" w:hAnsi="Times New Roman" w:cs="Times New Roman"/>
          <w:noProof/>
          <w:sz w:val="24"/>
          <w:szCs w:val="24"/>
        </w:rPr>
        <w:t xml:space="preserve">Al-Amin, A. Q., &amp; Doberstein, B. (2019). Introduction of hydrogen fuel cell vehicles: prospects </w:t>
      </w:r>
      <w:r w:rsidR="007106A5">
        <w:rPr>
          <w:rFonts w:ascii="Times New Roman" w:hAnsi="Times New Roman" w:cs="Times New Roman"/>
          <w:noProof/>
          <w:sz w:val="24"/>
          <w:szCs w:val="24"/>
        </w:rPr>
        <w:tab/>
      </w:r>
      <w:r w:rsidRPr="00303A2A">
        <w:rPr>
          <w:rFonts w:ascii="Times New Roman" w:hAnsi="Times New Roman" w:cs="Times New Roman"/>
          <w:noProof/>
          <w:sz w:val="24"/>
          <w:szCs w:val="24"/>
        </w:rPr>
        <w:t xml:space="preserve">and challenges for Malaysia’s transition to a low-carbon economy. </w:t>
      </w:r>
      <w:r w:rsidRPr="007106A5">
        <w:rPr>
          <w:rFonts w:ascii="Times New Roman" w:hAnsi="Times New Roman" w:cs="Times New Roman"/>
          <w:i/>
          <w:iCs/>
          <w:noProof/>
          <w:sz w:val="24"/>
          <w:szCs w:val="24"/>
        </w:rPr>
        <w:t>In Environmen</w:t>
      </w:r>
      <w:r w:rsidRPr="00303A2A">
        <w:rPr>
          <w:rFonts w:ascii="Times New Roman" w:hAnsi="Times New Roman" w:cs="Times New Roman"/>
          <w:i/>
          <w:iCs/>
          <w:noProof/>
          <w:sz w:val="24"/>
          <w:szCs w:val="24"/>
        </w:rPr>
        <w:t xml:space="preserve">tal </w:t>
      </w:r>
      <w:r w:rsidR="007106A5">
        <w:rPr>
          <w:rFonts w:ascii="Times New Roman" w:hAnsi="Times New Roman" w:cs="Times New Roman"/>
          <w:i/>
          <w:iCs/>
          <w:noProof/>
          <w:sz w:val="24"/>
          <w:szCs w:val="24"/>
        </w:rPr>
        <w:tab/>
      </w:r>
      <w:r w:rsidRPr="00303A2A">
        <w:rPr>
          <w:rFonts w:ascii="Times New Roman" w:hAnsi="Times New Roman" w:cs="Times New Roman"/>
          <w:i/>
          <w:iCs/>
          <w:noProof/>
          <w:sz w:val="24"/>
          <w:szCs w:val="24"/>
        </w:rPr>
        <w:t xml:space="preserve">Science and Pollution </w:t>
      </w:r>
      <w:r w:rsidRPr="007106A5">
        <w:rPr>
          <w:rFonts w:ascii="Times New Roman" w:hAnsi="Times New Roman" w:cs="Times New Roman"/>
          <w:i/>
          <w:iCs/>
          <w:noProof/>
          <w:sz w:val="24"/>
          <w:szCs w:val="24"/>
        </w:rPr>
        <w:t>Researc</w:t>
      </w:r>
      <w:r w:rsidR="007106A5" w:rsidRPr="007106A5">
        <w:rPr>
          <w:rFonts w:ascii="Times New Roman" w:hAnsi="Times New Roman" w:cs="Times New Roman"/>
          <w:i/>
          <w:iCs/>
          <w:noProof/>
          <w:sz w:val="24"/>
          <w:szCs w:val="24"/>
        </w:rPr>
        <w:t xml:space="preserve">h, </w:t>
      </w:r>
      <w:r w:rsidRPr="007106A5">
        <w:rPr>
          <w:rFonts w:ascii="Times New Roman" w:hAnsi="Times New Roman" w:cs="Times New Roman"/>
          <w:i/>
          <w:iCs/>
          <w:noProof/>
          <w:sz w:val="24"/>
          <w:szCs w:val="24"/>
        </w:rPr>
        <w:t>26</w:t>
      </w:r>
      <w:r w:rsidR="007106A5">
        <w:rPr>
          <w:rFonts w:ascii="Times New Roman" w:hAnsi="Times New Roman" w:cs="Times New Roman"/>
          <w:noProof/>
          <w:sz w:val="24"/>
          <w:szCs w:val="24"/>
        </w:rPr>
        <w:t>(</w:t>
      </w:r>
      <w:r w:rsidRPr="00303A2A">
        <w:rPr>
          <w:rFonts w:ascii="Times New Roman" w:hAnsi="Times New Roman" w:cs="Times New Roman"/>
          <w:noProof/>
          <w:sz w:val="24"/>
          <w:szCs w:val="24"/>
        </w:rPr>
        <w:t>30</w:t>
      </w:r>
      <w:r w:rsidR="007106A5">
        <w:rPr>
          <w:rFonts w:ascii="Times New Roman" w:hAnsi="Times New Roman" w:cs="Times New Roman"/>
          <w:noProof/>
          <w:sz w:val="24"/>
          <w:szCs w:val="24"/>
        </w:rPr>
        <w:t>)</w:t>
      </w:r>
      <w:r w:rsidRPr="00303A2A">
        <w:rPr>
          <w:rFonts w:ascii="Times New Roman" w:hAnsi="Times New Roman" w:cs="Times New Roman"/>
          <w:noProof/>
          <w:sz w:val="24"/>
          <w:szCs w:val="24"/>
        </w:rPr>
        <w:t>,</w:t>
      </w:r>
      <w:r w:rsidR="007106A5">
        <w:rPr>
          <w:rFonts w:ascii="Times New Roman" w:hAnsi="Times New Roman" w:cs="Times New Roman"/>
          <w:noProof/>
          <w:sz w:val="24"/>
          <w:szCs w:val="24"/>
        </w:rPr>
        <w:t xml:space="preserve"> </w:t>
      </w:r>
      <w:r w:rsidRPr="00303A2A">
        <w:rPr>
          <w:rFonts w:ascii="Times New Roman" w:hAnsi="Times New Roman" w:cs="Times New Roman"/>
          <w:noProof/>
          <w:sz w:val="24"/>
          <w:szCs w:val="24"/>
        </w:rPr>
        <w:t>31062–31076</w:t>
      </w:r>
      <w:r w:rsidR="007106A5">
        <w:rPr>
          <w:rFonts w:ascii="Times New Roman" w:hAnsi="Times New Roman" w:cs="Times New Roman"/>
          <w:noProof/>
          <w:sz w:val="24"/>
          <w:szCs w:val="24"/>
        </w:rPr>
        <w:t>.</w:t>
      </w:r>
      <w:r w:rsidR="007106A5">
        <w:rPr>
          <w:rFonts w:ascii="Times New Roman" w:hAnsi="Times New Roman" w:cs="Times New Roman"/>
          <w:noProof/>
          <w:sz w:val="24"/>
          <w:szCs w:val="24"/>
        </w:rPr>
        <w:tab/>
      </w:r>
      <w:r w:rsidRPr="00303A2A">
        <w:rPr>
          <w:rFonts w:ascii="Times New Roman" w:hAnsi="Times New Roman" w:cs="Times New Roman"/>
          <w:noProof/>
          <w:sz w:val="24"/>
          <w:szCs w:val="24"/>
        </w:rPr>
        <w:t>https://doi.org/10.1007/s11356-019-06128-4</w:t>
      </w:r>
    </w:p>
    <w:p w14:paraId="115A9C73" w14:textId="7E70FA81" w:rsidR="00303A2A" w:rsidRPr="00303A2A" w:rsidRDefault="00303A2A" w:rsidP="007106A5">
      <w:pPr>
        <w:widowControl w:val="0"/>
        <w:autoSpaceDE w:val="0"/>
        <w:autoSpaceDN w:val="0"/>
        <w:adjustRightInd w:val="0"/>
        <w:spacing w:after="0" w:line="240" w:lineRule="auto"/>
        <w:ind w:left="0" w:hanging="2"/>
        <w:jc w:val="both"/>
        <w:rPr>
          <w:rFonts w:ascii="Times New Roman" w:hAnsi="Times New Roman" w:cs="Times New Roman"/>
          <w:noProof/>
          <w:sz w:val="24"/>
          <w:szCs w:val="24"/>
        </w:rPr>
      </w:pPr>
      <w:r w:rsidRPr="00303A2A">
        <w:rPr>
          <w:rFonts w:ascii="Times New Roman" w:hAnsi="Times New Roman" w:cs="Times New Roman"/>
          <w:noProof/>
          <w:sz w:val="24"/>
          <w:szCs w:val="24"/>
        </w:rPr>
        <w:t xml:space="preserve">Ambrose, A. F., Al-Amin, A. Q., Rasiah, R., Saidur, R., &amp; Amin, N. (2017). Prospects for </w:t>
      </w:r>
      <w:r w:rsidR="007106A5">
        <w:rPr>
          <w:rFonts w:ascii="Times New Roman" w:hAnsi="Times New Roman" w:cs="Times New Roman"/>
          <w:noProof/>
          <w:sz w:val="24"/>
          <w:szCs w:val="24"/>
        </w:rPr>
        <w:tab/>
      </w:r>
      <w:r w:rsidRPr="00303A2A">
        <w:rPr>
          <w:rFonts w:ascii="Times New Roman" w:hAnsi="Times New Roman" w:cs="Times New Roman"/>
          <w:noProof/>
          <w:sz w:val="24"/>
          <w:szCs w:val="24"/>
        </w:rPr>
        <w:t xml:space="preserve">introducing hydrogen fuel cell vehicles in Malaysia. </w:t>
      </w:r>
      <w:r w:rsidRPr="00303A2A">
        <w:rPr>
          <w:rFonts w:ascii="Times New Roman" w:hAnsi="Times New Roman" w:cs="Times New Roman"/>
          <w:i/>
          <w:iCs/>
          <w:noProof/>
          <w:sz w:val="24"/>
          <w:szCs w:val="24"/>
        </w:rPr>
        <w:t xml:space="preserve">International Journal of Hydrogen </w:t>
      </w:r>
      <w:r w:rsidR="007106A5">
        <w:rPr>
          <w:rFonts w:ascii="Times New Roman" w:hAnsi="Times New Roman" w:cs="Times New Roman"/>
          <w:i/>
          <w:iCs/>
          <w:noProof/>
          <w:sz w:val="24"/>
          <w:szCs w:val="24"/>
        </w:rPr>
        <w:lastRenderedPageBreak/>
        <w:tab/>
      </w:r>
      <w:r w:rsidRPr="00303A2A">
        <w:rPr>
          <w:rFonts w:ascii="Times New Roman" w:hAnsi="Times New Roman" w:cs="Times New Roman"/>
          <w:i/>
          <w:iCs/>
          <w:noProof/>
          <w:sz w:val="24"/>
          <w:szCs w:val="24"/>
        </w:rPr>
        <w:t>Energy</w:t>
      </w:r>
      <w:r w:rsidRPr="00303A2A">
        <w:rPr>
          <w:rFonts w:ascii="Times New Roman" w:hAnsi="Times New Roman" w:cs="Times New Roman"/>
          <w:noProof/>
          <w:sz w:val="24"/>
          <w:szCs w:val="24"/>
        </w:rPr>
        <w:t xml:space="preserve">, </w:t>
      </w:r>
      <w:r w:rsidRPr="00303A2A">
        <w:rPr>
          <w:rFonts w:ascii="Times New Roman" w:hAnsi="Times New Roman" w:cs="Times New Roman"/>
          <w:i/>
          <w:iCs/>
          <w:noProof/>
          <w:sz w:val="24"/>
          <w:szCs w:val="24"/>
        </w:rPr>
        <w:t>42</w:t>
      </w:r>
      <w:r w:rsidRPr="00303A2A">
        <w:rPr>
          <w:rFonts w:ascii="Times New Roman" w:hAnsi="Times New Roman" w:cs="Times New Roman"/>
          <w:noProof/>
          <w:sz w:val="24"/>
          <w:szCs w:val="24"/>
        </w:rPr>
        <w:t>(14), 9125–9134. https://doi.org/10.1016/j.ijhydene.2016.05.122</w:t>
      </w:r>
    </w:p>
    <w:p w14:paraId="5C30B22E" w14:textId="76A326AD" w:rsidR="00303A2A" w:rsidRPr="006D3BED" w:rsidRDefault="00303A2A" w:rsidP="007106A5">
      <w:pPr>
        <w:widowControl w:val="0"/>
        <w:autoSpaceDE w:val="0"/>
        <w:autoSpaceDN w:val="0"/>
        <w:adjustRightInd w:val="0"/>
        <w:spacing w:after="0" w:line="240" w:lineRule="auto"/>
        <w:ind w:left="0" w:hanging="2"/>
        <w:jc w:val="both"/>
        <w:rPr>
          <w:rFonts w:ascii="Times New Roman" w:hAnsi="Times New Roman" w:cs="Times New Roman"/>
          <w:noProof/>
          <w:sz w:val="24"/>
          <w:szCs w:val="24"/>
        </w:rPr>
      </w:pPr>
      <w:r w:rsidRPr="006D3BED">
        <w:rPr>
          <w:rFonts w:ascii="Times New Roman" w:hAnsi="Times New Roman" w:cs="Times New Roman"/>
          <w:noProof/>
          <w:sz w:val="24"/>
          <w:szCs w:val="24"/>
        </w:rPr>
        <w:t xml:space="preserve">Ambrose, A. F., Amin, A. Q. Al, Rasiah, R., Saidur, R., &amp; Amin, N. (2016). Prospects for </w:t>
      </w:r>
      <w:r w:rsidR="007106A5" w:rsidRPr="006D3BED">
        <w:rPr>
          <w:rFonts w:ascii="Times New Roman" w:hAnsi="Times New Roman" w:cs="Times New Roman"/>
          <w:noProof/>
          <w:sz w:val="24"/>
          <w:szCs w:val="24"/>
        </w:rPr>
        <w:tab/>
      </w:r>
      <w:r w:rsidRPr="006D3BED">
        <w:rPr>
          <w:rFonts w:ascii="Times New Roman" w:hAnsi="Times New Roman" w:cs="Times New Roman"/>
          <w:noProof/>
          <w:sz w:val="24"/>
          <w:szCs w:val="24"/>
        </w:rPr>
        <w:t xml:space="preserve">introducing hydrogen fuel cell vehicles in Malaysia. </w:t>
      </w:r>
      <w:r w:rsidRPr="006D3BED">
        <w:rPr>
          <w:rFonts w:ascii="Times New Roman" w:hAnsi="Times New Roman" w:cs="Times New Roman"/>
          <w:i/>
          <w:iCs/>
          <w:noProof/>
          <w:sz w:val="24"/>
          <w:szCs w:val="24"/>
        </w:rPr>
        <w:t xml:space="preserve">International Journal of Hydrogen </w:t>
      </w:r>
      <w:r w:rsidR="007106A5" w:rsidRPr="006D3BED">
        <w:rPr>
          <w:rFonts w:ascii="Times New Roman" w:hAnsi="Times New Roman" w:cs="Times New Roman"/>
          <w:i/>
          <w:iCs/>
          <w:noProof/>
          <w:sz w:val="24"/>
          <w:szCs w:val="24"/>
        </w:rPr>
        <w:tab/>
      </w:r>
      <w:r w:rsidRPr="006D3BED">
        <w:rPr>
          <w:rFonts w:ascii="Times New Roman" w:hAnsi="Times New Roman" w:cs="Times New Roman"/>
          <w:i/>
          <w:iCs/>
          <w:noProof/>
          <w:sz w:val="24"/>
          <w:szCs w:val="24"/>
        </w:rPr>
        <w:t>Energy,</w:t>
      </w:r>
      <w:r w:rsidR="006D3BED" w:rsidRPr="006D3BED">
        <w:rPr>
          <w:rFonts w:ascii="Times New Roman" w:hAnsi="Times New Roman" w:cs="Times New Roman"/>
          <w:i/>
          <w:iCs/>
          <w:noProof/>
          <w:sz w:val="24"/>
          <w:szCs w:val="24"/>
        </w:rPr>
        <w:t xml:space="preserve"> 42</w:t>
      </w:r>
      <w:r w:rsidR="006D3BED" w:rsidRPr="006D3BED">
        <w:rPr>
          <w:rFonts w:ascii="Times New Roman" w:hAnsi="Times New Roman" w:cs="Times New Roman"/>
          <w:noProof/>
          <w:sz w:val="24"/>
          <w:szCs w:val="24"/>
        </w:rPr>
        <w:t>(16), 9125-9134</w:t>
      </w:r>
      <w:r w:rsidRPr="006D3BED">
        <w:rPr>
          <w:rFonts w:ascii="Times New Roman" w:hAnsi="Times New Roman" w:cs="Times New Roman"/>
          <w:noProof/>
          <w:sz w:val="24"/>
          <w:szCs w:val="24"/>
        </w:rPr>
        <w:t>.</w:t>
      </w:r>
    </w:p>
    <w:p w14:paraId="533076B6" w14:textId="73955C80" w:rsidR="00303A2A" w:rsidRPr="0006420D" w:rsidRDefault="00303A2A" w:rsidP="007106A5">
      <w:pPr>
        <w:widowControl w:val="0"/>
        <w:autoSpaceDE w:val="0"/>
        <w:autoSpaceDN w:val="0"/>
        <w:adjustRightInd w:val="0"/>
        <w:spacing w:after="0" w:line="240" w:lineRule="auto"/>
        <w:ind w:left="0" w:hanging="2"/>
        <w:jc w:val="both"/>
        <w:rPr>
          <w:rFonts w:ascii="Times New Roman" w:hAnsi="Times New Roman" w:cs="Times New Roman"/>
          <w:noProof/>
          <w:sz w:val="24"/>
          <w:szCs w:val="24"/>
          <w:lang w:val="nb-NO"/>
        </w:rPr>
      </w:pPr>
      <w:r w:rsidRPr="006D3BED">
        <w:rPr>
          <w:rFonts w:ascii="Times New Roman" w:hAnsi="Times New Roman" w:cs="Times New Roman"/>
          <w:noProof/>
          <w:sz w:val="24"/>
          <w:szCs w:val="24"/>
        </w:rPr>
        <w:t xml:space="preserve">Amer, M. W., Aljariri Alhesan, J. S., Ibrahim, S., Qussay, G., Marshall, M., &amp; Al-Ayed, O. S. </w:t>
      </w:r>
      <w:r w:rsidR="007106A5" w:rsidRPr="006D3BED">
        <w:rPr>
          <w:rFonts w:ascii="Times New Roman" w:hAnsi="Times New Roman" w:cs="Times New Roman"/>
          <w:noProof/>
          <w:sz w:val="24"/>
          <w:szCs w:val="24"/>
        </w:rPr>
        <w:tab/>
      </w:r>
      <w:r w:rsidRPr="006D3BED">
        <w:rPr>
          <w:rFonts w:ascii="Times New Roman" w:hAnsi="Times New Roman" w:cs="Times New Roman"/>
          <w:noProof/>
          <w:sz w:val="24"/>
          <w:szCs w:val="24"/>
        </w:rPr>
        <w:t xml:space="preserve">(2021). Potential use of corn leaf waste for biofuel production in Jordan (physio-chemical </w:t>
      </w:r>
      <w:r w:rsidR="007106A5" w:rsidRPr="006D3BED">
        <w:rPr>
          <w:rFonts w:ascii="Times New Roman" w:hAnsi="Times New Roman" w:cs="Times New Roman"/>
          <w:noProof/>
          <w:sz w:val="24"/>
          <w:szCs w:val="24"/>
        </w:rPr>
        <w:tab/>
      </w:r>
      <w:r w:rsidRPr="006D3BED">
        <w:rPr>
          <w:rFonts w:ascii="Times New Roman" w:hAnsi="Times New Roman" w:cs="Times New Roman"/>
          <w:noProof/>
          <w:sz w:val="24"/>
          <w:szCs w:val="24"/>
        </w:rPr>
        <w:t xml:space="preserve">study). </w:t>
      </w:r>
      <w:r w:rsidRPr="0006420D">
        <w:rPr>
          <w:rFonts w:ascii="Times New Roman" w:hAnsi="Times New Roman" w:cs="Times New Roman"/>
          <w:i/>
          <w:iCs/>
          <w:noProof/>
          <w:sz w:val="24"/>
          <w:szCs w:val="24"/>
          <w:lang w:val="nb-NO"/>
        </w:rPr>
        <w:t>Energy</w:t>
      </w:r>
      <w:r w:rsidRPr="0006420D">
        <w:rPr>
          <w:rFonts w:ascii="Times New Roman" w:hAnsi="Times New Roman" w:cs="Times New Roman"/>
          <w:noProof/>
          <w:sz w:val="24"/>
          <w:szCs w:val="24"/>
          <w:lang w:val="nb-NO"/>
        </w:rPr>
        <w:t xml:space="preserve">, </w:t>
      </w:r>
      <w:r w:rsidRPr="0006420D">
        <w:rPr>
          <w:rFonts w:ascii="Times New Roman" w:hAnsi="Times New Roman" w:cs="Times New Roman"/>
          <w:i/>
          <w:iCs/>
          <w:noProof/>
          <w:sz w:val="24"/>
          <w:szCs w:val="24"/>
          <w:lang w:val="nb-NO"/>
        </w:rPr>
        <w:t>214</w:t>
      </w:r>
      <w:r w:rsidRPr="0006420D">
        <w:rPr>
          <w:rFonts w:ascii="Times New Roman" w:hAnsi="Times New Roman" w:cs="Times New Roman"/>
          <w:noProof/>
          <w:sz w:val="24"/>
          <w:szCs w:val="24"/>
          <w:lang w:val="nb-NO"/>
        </w:rPr>
        <w:t>, 118863. https://doi.org/10.1016/j.energy.2020.118863</w:t>
      </w:r>
    </w:p>
    <w:p w14:paraId="05470275" w14:textId="6608DB45" w:rsidR="00303A2A" w:rsidRPr="00303A2A" w:rsidRDefault="00303A2A" w:rsidP="007106A5">
      <w:pPr>
        <w:widowControl w:val="0"/>
        <w:autoSpaceDE w:val="0"/>
        <w:autoSpaceDN w:val="0"/>
        <w:adjustRightInd w:val="0"/>
        <w:spacing w:after="0" w:line="240" w:lineRule="auto"/>
        <w:ind w:left="0" w:hanging="2"/>
        <w:jc w:val="both"/>
        <w:rPr>
          <w:rFonts w:ascii="Times New Roman" w:hAnsi="Times New Roman" w:cs="Times New Roman"/>
          <w:noProof/>
          <w:sz w:val="24"/>
          <w:szCs w:val="24"/>
        </w:rPr>
      </w:pPr>
      <w:r w:rsidRPr="0006420D">
        <w:rPr>
          <w:rFonts w:ascii="Times New Roman" w:hAnsi="Times New Roman" w:cs="Times New Roman"/>
          <w:noProof/>
          <w:sz w:val="24"/>
          <w:szCs w:val="24"/>
          <w:lang w:val="nb-NO"/>
        </w:rPr>
        <w:t xml:space="preserve">Eberle, U., Müller, B., &amp; Von Helmolt, R. (2012). </w:t>
      </w:r>
      <w:r w:rsidRPr="00303A2A">
        <w:rPr>
          <w:rFonts w:ascii="Times New Roman" w:hAnsi="Times New Roman" w:cs="Times New Roman"/>
          <w:noProof/>
          <w:sz w:val="24"/>
          <w:szCs w:val="24"/>
        </w:rPr>
        <w:t xml:space="preserve">Fuel cell electric vehicles and hydrogen </w:t>
      </w:r>
      <w:r w:rsidR="007106A5">
        <w:rPr>
          <w:rFonts w:ascii="Times New Roman" w:hAnsi="Times New Roman" w:cs="Times New Roman"/>
          <w:noProof/>
          <w:sz w:val="24"/>
          <w:szCs w:val="24"/>
        </w:rPr>
        <w:tab/>
      </w:r>
      <w:r w:rsidRPr="00303A2A">
        <w:rPr>
          <w:rFonts w:ascii="Times New Roman" w:hAnsi="Times New Roman" w:cs="Times New Roman"/>
          <w:noProof/>
          <w:sz w:val="24"/>
          <w:szCs w:val="24"/>
        </w:rPr>
        <w:t xml:space="preserve">infrastructure: Status 2012. </w:t>
      </w:r>
      <w:r w:rsidRPr="00303A2A">
        <w:rPr>
          <w:rFonts w:ascii="Times New Roman" w:hAnsi="Times New Roman" w:cs="Times New Roman"/>
          <w:i/>
          <w:iCs/>
          <w:noProof/>
          <w:sz w:val="24"/>
          <w:szCs w:val="24"/>
        </w:rPr>
        <w:t>Energy and Environmental Science</w:t>
      </w:r>
      <w:r w:rsidRPr="00303A2A">
        <w:rPr>
          <w:rFonts w:ascii="Times New Roman" w:hAnsi="Times New Roman" w:cs="Times New Roman"/>
          <w:noProof/>
          <w:sz w:val="24"/>
          <w:szCs w:val="24"/>
        </w:rPr>
        <w:t xml:space="preserve">, </w:t>
      </w:r>
      <w:r w:rsidRPr="00303A2A">
        <w:rPr>
          <w:rFonts w:ascii="Times New Roman" w:hAnsi="Times New Roman" w:cs="Times New Roman"/>
          <w:i/>
          <w:iCs/>
          <w:noProof/>
          <w:sz w:val="24"/>
          <w:szCs w:val="24"/>
        </w:rPr>
        <w:t>5</w:t>
      </w:r>
      <w:r w:rsidRPr="00303A2A">
        <w:rPr>
          <w:rFonts w:ascii="Times New Roman" w:hAnsi="Times New Roman" w:cs="Times New Roman"/>
          <w:noProof/>
          <w:sz w:val="24"/>
          <w:szCs w:val="24"/>
        </w:rPr>
        <w:t xml:space="preserve">(10), 8780–8798. </w:t>
      </w:r>
      <w:r w:rsidR="007106A5">
        <w:rPr>
          <w:rFonts w:ascii="Times New Roman" w:hAnsi="Times New Roman" w:cs="Times New Roman"/>
          <w:noProof/>
          <w:sz w:val="24"/>
          <w:szCs w:val="24"/>
        </w:rPr>
        <w:tab/>
      </w:r>
      <w:r w:rsidRPr="00303A2A">
        <w:rPr>
          <w:rFonts w:ascii="Times New Roman" w:hAnsi="Times New Roman" w:cs="Times New Roman"/>
          <w:noProof/>
          <w:sz w:val="24"/>
          <w:szCs w:val="24"/>
        </w:rPr>
        <w:t>https://doi.org/10.1039/c2ee22596d</w:t>
      </w:r>
    </w:p>
    <w:p w14:paraId="1035E9EB" w14:textId="73A067F0" w:rsidR="00303A2A" w:rsidRPr="00303A2A" w:rsidRDefault="00303A2A" w:rsidP="007106A5">
      <w:pPr>
        <w:widowControl w:val="0"/>
        <w:autoSpaceDE w:val="0"/>
        <w:autoSpaceDN w:val="0"/>
        <w:adjustRightInd w:val="0"/>
        <w:spacing w:after="0" w:line="240" w:lineRule="auto"/>
        <w:ind w:left="0" w:hanging="2"/>
        <w:jc w:val="both"/>
        <w:rPr>
          <w:rFonts w:ascii="Times New Roman" w:hAnsi="Times New Roman" w:cs="Times New Roman"/>
          <w:noProof/>
          <w:sz w:val="24"/>
          <w:szCs w:val="24"/>
        </w:rPr>
      </w:pPr>
      <w:r w:rsidRPr="00303A2A">
        <w:rPr>
          <w:rFonts w:ascii="Times New Roman" w:hAnsi="Times New Roman" w:cs="Times New Roman"/>
          <w:noProof/>
          <w:sz w:val="24"/>
          <w:szCs w:val="24"/>
        </w:rPr>
        <w:t xml:space="preserve">Enweremadu, C. ., &amp; M.M. Mbarawa. (2009). Technical aspects of production and analysis of </w:t>
      </w:r>
      <w:r w:rsidR="007106A5">
        <w:rPr>
          <w:rFonts w:ascii="Times New Roman" w:hAnsi="Times New Roman" w:cs="Times New Roman"/>
          <w:noProof/>
          <w:sz w:val="24"/>
          <w:szCs w:val="24"/>
        </w:rPr>
        <w:tab/>
      </w:r>
      <w:r w:rsidRPr="00303A2A">
        <w:rPr>
          <w:rFonts w:ascii="Times New Roman" w:hAnsi="Times New Roman" w:cs="Times New Roman"/>
          <w:noProof/>
          <w:sz w:val="24"/>
          <w:szCs w:val="24"/>
        </w:rPr>
        <w:t xml:space="preserve">biodiesal from used cooking oil- A review. </w:t>
      </w:r>
      <w:r w:rsidRPr="00303A2A">
        <w:rPr>
          <w:rFonts w:ascii="Times New Roman" w:hAnsi="Times New Roman" w:cs="Times New Roman"/>
          <w:i/>
          <w:iCs/>
          <w:noProof/>
          <w:sz w:val="24"/>
          <w:szCs w:val="24"/>
        </w:rPr>
        <w:t>Renewable and Sustainable Energy Reviews</w:t>
      </w:r>
      <w:r w:rsidRPr="00303A2A">
        <w:rPr>
          <w:rFonts w:ascii="Times New Roman" w:hAnsi="Times New Roman" w:cs="Times New Roman"/>
          <w:noProof/>
          <w:sz w:val="24"/>
          <w:szCs w:val="24"/>
        </w:rPr>
        <w:t xml:space="preserve">, </w:t>
      </w:r>
      <w:r w:rsidR="007106A5">
        <w:rPr>
          <w:rFonts w:ascii="Times New Roman" w:hAnsi="Times New Roman" w:cs="Times New Roman"/>
          <w:noProof/>
          <w:sz w:val="24"/>
          <w:szCs w:val="24"/>
        </w:rPr>
        <w:tab/>
      </w:r>
      <w:r w:rsidRPr="00303A2A">
        <w:rPr>
          <w:rFonts w:ascii="Times New Roman" w:hAnsi="Times New Roman" w:cs="Times New Roman"/>
          <w:i/>
          <w:iCs/>
          <w:noProof/>
          <w:sz w:val="24"/>
          <w:szCs w:val="24"/>
        </w:rPr>
        <w:t>13</w:t>
      </w:r>
      <w:r w:rsidRPr="00303A2A">
        <w:rPr>
          <w:rFonts w:ascii="Times New Roman" w:hAnsi="Times New Roman" w:cs="Times New Roman"/>
          <w:noProof/>
          <w:sz w:val="24"/>
          <w:szCs w:val="24"/>
        </w:rPr>
        <w:t>(9), 2205–2224.</w:t>
      </w:r>
    </w:p>
    <w:p w14:paraId="7F5BA4AC" w14:textId="6BC046AA" w:rsidR="00303A2A" w:rsidRPr="00303A2A" w:rsidRDefault="00303A2A" w:rsidP="007106A5">
      <w:pPr>
        <w:widowControl w:val="0"/>
        <w:autoSpaceDE w:val="0"/>
        <w:autoSpaceDN w:val="0"/>
        <w:adjustRightInd w:val="0"/>
        <w:spacing w:after="0" w:line="240" w:lineRule="auto"/>
        <w:ind w:left="0" w:hanging="2"/>
        <w:jc w:val="both"/>
        <w:rPr>
          <w:rFonts w:ascii="Times New Roman" w:hAnsi="Times New Roman" w:cs="Times New Roman"/>
          <w:noProof/>
          <w:sz w:val="24"/>
          <w:szCs w:val="24"/>
        </w:rPr>
      </w:pPr>
      <w:r w:rsidRPr="006D3BED">
        <w:rPr>
          <w:rFonts w:ascii="Times New Roman" w:hAnsi="Times New Roman" w:cs="Times New Roman"/>
          <w:noProof/>
          <w:sz w:val="24"/>
          <w:szCs w:val="24"/>
        </w:rPr>
        <w:t xml:space="preserve">EPA. (2019). Sources of Greenhouse Gas Emissions. United States Environmental Protection </w:t>
      </w:r>
      <w:r w:rsidR="007106A5" w:rsidRPr="006D3BED">
        <w:rPr>
          <w:rFonts w:ascii="Times New Roman" w:hAnsi="Times New Roman" w:cs="Times New Roman"/>
          <w:noProof/>
          <w:sz w:val="24"/>
          <w:szCs w:val="24"/>
        </w:rPr>
        <w:tab/>
      </w:r>
      <w:r w:rsidRPr="006D3BED">
        <w:rPr>
          <w:rFonts w:ascii="Times New Roman" w:hAnsi="Times New Roman" w:cs="Times New Roman"/>
          <w:noProof/>
          <w:sz w:val="24"/>
          <w:szCs w:val="24"/>
        </w:rPr>
        <w:t>Agency. https://www.epa.gov/ghgemissions/sources-greenhouse-gas-emissions</w:t>
      </w:r>
    </w:p>
    <w:p w14:paraId="79C9658C" w14:textId="10D0EFC6" w:rsidR="00303A2A" w:rsidRPr="00303A2A" w:rsidRDefault="00303A2A" w:rsidP="007106A5">
      <w:pPr>
        <w:widowControl w:val="0"/>
        <w:autoSpaceDE w:val="0"/>
        <w:autoSpaceDN w:val="0"/>
        <w:adjustRightInd w:val="0"/>
        <w:spacing w:after="0" w:line="240" w:lineRule="auto"/>
        <w:ind w:left="0" w:hanging="2"/>
        <w:jc w:val="both"/>
        <w:rPr>
          <w:rFonts w:ascii="Times New Roman" w:hAnsi="Times New Roman" w:cs="Times New Roman"/>
          <w:noProof/>
          <w:sz w:val="24"/>
          <w:szCs w:val="24"/>
        </w:rPr>
      </w:pPr>
      <w:r w:rsidRPr="0006420D">
        <w:rPr>
          <w:rFonts w:ascii="Times New Roman" w:hAnsi="Times New Roman" w:cs="Times New Roman"/>
          <w:noProof/>
          <w:sz w:val="24"/>
          <w:szCs w:val="24"/>
          <w:lang w:val="nb-NO"/>
        </w:rPr>
        <w:t xml:space="preserve">Havrysh, V., Kalinichenko, A., Mentel, G., Mentel, U., &amp; Vasbieva, D. G. (2020). </w:t>
      </w:r>
      <w:r w:rsidRPr="00303A2A">
        <w:rPr>
          <w:rFonts w:ascii="Times New Roman" w:hAnsi="Times New Roman" w:cs="Times New Roman"/>
          <w:noProof/>
          <w:sz w:val="24"/>
          <w:szCs w:val="24"/>
        </w:rPr>
        <w:t xml:space="preserve">Husk energy </w:t>
      </w:r>
      <w:r w:rsidR="007106A5">
        <w:rPr>
          <w:rFonts w:ascii="Times New Roman" w:hAnsi="Times New Roman" w:cs="Times New Roman"/>
          <w:noProof/>
          <w:sz w:val="24"/>
          <w:szCs w:val="24"/>
        </w:rPr>
        <w:tab/>
      </w:r>
      <w:r w:rsidRPr="00303A2A">
        <w:rPr>
          <w:rFonts w:ascii="Times New Roman" w:hAnsi="Times New Roman" w:cs="Times New Roman"/>
          <w:noProof/>
          <w:sz w:val="24"/>
          <w:szCs w:val="24"/>
        </w:rPr>
        <w:t xml:space="preserve">supply systems for sunflower oil mills. </w:t>
      </w:r>
      <w:r w:rsidRPr="00303A2A">
        <w:rPr>
          <w:rFonts w:ascii="Times New Roman" w:hAnsi="Times New Roman" w:cs="Times New Roman"/>
          <w:i/>
          <w:iCs/>
          <w:noProof/>
          <w:sz w:val="24"/>
          <w:szCs w:val="24"/>
        </w:rPr>
        <w:t>Energies</w:t>
      </w:r>
      <w:r w:rsidRPr="00303A2A">
        <w:rPr>
          <w:rFonts w:ascii="Times New Roman" w:hAnsi="Times New Roman" w:cs="Times New Roman"/>
          <w:noProof/>
          <w:sz w:val="24"/>
          <w:szCs w:val="24"/>
        </w:rPr>
        <w:t xml:space="preserve">, </w:t>
      </w:r>
      <w:r w:rsidRPr="00303A2A">
        <w:rPr>
          <w:rFonts w:ascii="Times New Roman" w:hAnsi="Times New Roman" w:cs="Times New Roman"/>
          <w:i/>
          <w:iCs/>
          <w:noProof/>
          <w:sz w:val="24"/>
          <w:szCs w:val="24"/>
        </w:rPr>
        <w:t>13</w:t>
      </w:r>
      <w:r w:rsidRPr="00303A2A">
        <w:rPr>
          <w:rFonts w:ascii="Times New Roman" w:hAnsi="Times New Roman" w:cs="Times New Roman"/>
          <w:noProof/>
          <w:sz w:val="24"/>
          <w:szCs w:val="24"/>
        </w:rPr>
        <w:t>(2)</w:t>
      </w:r>
      <w:r w:rsidR="007106A5">
        <w:rPr>
          <w:rFonts w:ascii="Times New Roman" w:hAnsi="Times New Roman" w:cs="Times New Roman"/>
          <w:noProof/>
          <w:sz w:val="24"/>
          <w:szCs w:val="24"/>
        </w:rPr>
        <w:t>,</w:t>
      </w:r>
      <w:r w:rsidR="007106A5">
        <w:rPr>
          <w:rFonts w:ascii="Times New Roman" w:hAnsi="Times New Roman" w:cs="Times New Roman"/>
          <w:noProof/>
          <w:sz w:val="24"/>
          <w:szCs w:val="24"/>
        </w:rPr>
        <w:tab/>
      </w:r>
      <w:r w:rsidRPr="00303A2A">
        <w:rPr>
          <w:rFonts w:ascii="Times New Roman" w:hAnsi="Times New Roman" w:cs="Times New Roman"/>
          <w:noProof/>
          <w:sz w:val="24"/>
          <w:szCs w:val="24"/>
        </w:rPr>
        <w:t>https://doi.org/10.3390/en13020361</w:t>
      </w:r>
    </w:p>
    <w:p w14:paraId="3E49B0DC" w14:textId="11B7BF85" w:rsidR="00303A2A" w:rsidRPr="006D3BED" w:rsidRDefault="00303A2A" w:rsidP="007106A5">
      <w:pPr>
        <w:widowControl w:val="0"/>
        <w:autoSpaceDE w:val="0"/>
        <w:autoSpaceDN w:val="0"/>
        <w:adjustRightInd w:val="0"/>
        <w:spacing w:after="0" w:line="240" w:lineRule="auto"/>
        <w:ind w:left="0" w:hanging="2"/>
        <w:jc w:val="both"/>
        <w:rPr>
          <w:rFonts w:ascii="Times New Roman" w:hAnsi="Times New Roman" w:cs="Times New Roman"/>
          <w:noProof/>
          <w:sz w:val="24"/>
          <w:szCs w:val="24"/>
        </w:rPr>
      </w:pPr>
      <w:r w:rsidRPr="006D3BED">
        <w:rPr>
          <w:rFonts w:ascii="Times New Roman" w:hAnsi="Times New Roman" w:cs="Times New Roman"/>
          <w:noProof/>
          <w:sz w:val="24"/>
          <w:szCs w:val="24"/>
        </w:rPr>
        <w:t xml:space="preserve">Huang, J., Khan, M. T., Perecin, D., Coelho, S. T., &amp; Zhang, M. (2020). Sugarcane for bioethanol </w:t>
      </w:r>
      <w:r w:rsidR="007106A5" w:rsidRPr="006D3BED">
        <w:rPr>
          <w:rFonts w:ascii="Times New Roman" w:hAnsi="Times New Roman" w:cs="Times New Roman"/>
          <w:noProof/>
          <w:sz w:val="24"/>
          <w:szCs w:val="24"/>
        </w:rPr>
        <w:tab/>
      </w:r>
      <w:r w:rsidRPr="006D3BED">
        <w:rPr>
          <w:rFonts w:ascii="Times New Roman" w:hAnsi="Times New Roman" w:cs="Times New Roman"/>
          <w:noProof/>
          <w:sz w:val="24"/>
          <w:szCs w:val="24"/>
        </w:rPr>
        <w:t xml:space="preserve">production: Potential of bagasse in Chinese perspective. </w:t>
      </w:r>
      <w:r w:rsidRPr="006D3BED">
        <w:rPr>
          <w:rFonts w:ascii="Times New Roman" w:hAnsi="Times New Roman" w:cs="Times New Roman"/>
          <w:i/>
          <w:iCs/>
          <w:noProof/>
          <w:sz w:val="24"/>
          <w:szCs w:val="24"/>
        </w:rPr>
        <w:t xml:space="preserve">Renewable and Sustainable </w:t>
      </w:r>
      <w:r w:rsidR="007106A5" w:rsidRPr="006D3BED">
        <w:rPr>
          <w:rFonts w:ascii="Times New Roman" w:hAnsi="Times New Roman" w:cs="Times New Roman"/>
          <w:i/>
          <w:iCs/>
          <w:noProof/>
          <w:sz w:val="24"/>
          <w:szCs w:val="24"/>
        </w:rPr>
        <w:tab/>
      </w:r>
      <w:r w:rsidRPr="006D3BED">
        <w:rPr>
          <w:rFonts w:ascii="Times New Roman" w:hAnsi="Times New Roman" w:cs="Times New Roman"/>
          <w:i/>
          <w:iCs/>
          <w:noProof/>
          <w:sz w:val="24"/>
          <w:szCs w:val="24"/>
        </w:rPr>
        <w:t>Energy Reviews</w:t>
      </w:r>
      <w:r w:rsidRPr="006D3BED">
        <w:rPr>
          <w:rFonts w:ascii="Times New Roman" w:hAnsi="Times New Roman" w:cs="Times New Roman"/>
          <w:noProof/>
          <w:sz w:val="24"/>
          <w:szCs w:val="24"/>
        </w:rPr>
        <w:t xml:space="preserve">, </w:t>
      </w:r>
      <w:r w:rsidRPr="006D3BED">
        <w:rPr>
          <w:rFonts w:ascii="Times New Roman" w:hAnsi="Times New Roman" w:cs="Times New Roman"/>
          <w:i/>
          <w:iCs/>
          <w:noProof/>
          <w:sz w:val="24"/>
          <w:szCs w:val="24"/>
        </w:rPr>
        <w:t>13</w:t>
      </w:r>
      <w:r w:rsidR="006D3BED" w:rsidRPr="006D3BED">
        <w:rPr>
          <w:rFonts w:ascii="Times New Roman" w:hAnsi="Times New Roman" w:cs="Times New Roman"/>
          <w:i/>
          <w:iCs/>
          <w:noProof/>
          <w:sz w:val="24"/>
          <w:szCs w:val="24"/>
        </w:rPr>
        <w:t>3</w:t>
      </w:r>
      <w:r w:rsidRPr="006D3BED">
        <w:rPr>
          <w:rFonts w:ascii="Times New Roman" w:hAnsi="Times New Roman" w:cs="Times New Roman"/>
          <w:noProof/>
          <w:sz w:val="24"/>
          <w:szCs w:val="24"/>
        </w:rPr>
        <w:t>, 110296. https://doi.org/10.1016/j.rser.2020.110296</w:t>
      </w:r>
    </w:p>
    <w:p w14:paraId="2C12AB49" w14:textId="612AE64B" w:rsidR="00303A2A" w:rsidRPr="00303A2A" w:rsidRDefault="00303A2A" w:rsidP="007106A5">
      <w:pPr>
        <w:widowControl w:val="0"/>
        <w:autoSpaceDE w:val="0"/>
        <w:autoSpaceDN w:val="0"/>
        <w:adjustRightInd w:val="0"/>
        <w:spacing w:after="0" w:line="240" w:lineRule="auto"/>
        <w:ind w:left="0" w:hanging="2"/>
        <w:jc w:val="both"/>
        <w:rPr>
          <w:rFonts w:ascii="Times New Roman" w:hAnsi="Times New Roman" w:cs="Times New Roman"/>
          <w:noProof/>
          <w:sz w:val="24"/>
          <w:szCs w:val="24"/>
        </w:rPr>
      </w:pPr>
      <w:r w:rsidRPr="006D3BED">
        <w:rPr>
          <w:rFonts w:ascii="Times New Roman" w:hAnsi="Times New Roman" w:cs="Times New Roman"/>
          <w:noProof/>
          <w:sz w:val="24"/>
          <w:szCs w:val="24"/>
        </w:rPr>
        <w:t xml:space="preserve">IEA. (2015). </w:t>
      </w:r>
      <w:r w:rsidRPr="006D3BED">
        <w:rPr>
          <w:rFonts w:ascii="Times New Roman" w:hAnsi="Times New Roman" w:cs="Times New Roman"/>
          <w:i/>
          <w:iCs/>
          <w:noProof/>
          <w:sz w:val="24"/>
          <w:szCs w:val="24"/>
        </w:rPr>
        <w:t>Technology Roadmap Hydrogen and Fuel Cells</w:t>
      </w:r>
      <w:r w:rsidRPr="006D3BED">
        <w:rPr>
          <w:rFonts w:ascii="Times New Roman" w:hAnsi="Times New Roman" w:cs="Times New Roman"/>
          <w:noProof/>
          <w:sz w:val="24"/>
          <w:szCs w:val="24"/>
        </w:rPr>
        <w:t xml:space="preserve">. In International Energy Agency. </w:t>
      </w:r>
      <w:r w:rsidR="007106A5" w:rsidRPr="006D3BED">
        <w:rPr>
          <w:rFonts w:ascii="Times New Roman" w:hAnsi="Times New Roman" w:cs="Times New Roman"/>
          <w:noProof/>
          <w:sz w:val="24"/>
          <w:szCs w:val="24"/>
        </w:rPr>
        <w:tab/>
      </w:r>
      <w:r w:rsidRPr="006D3BED">
        <w:rPr>
          <w:rFonts w:ascii="Times New Roman" w:hAnsi="Times New Roman" w:cs="Times New Roman"/>
          <w:noProof/>
          <w:sz w:val="24"/>
          <w:szCs w:val="24"/>
        </w:rPr>
        <w:t>file:///C:/Users/Asus/Google</w:t>
      </w:r>
      <w:r w:rsidR="006D3BED">
        <w:rPr>
          <w:rFonts w:ascii="Times New Roman" w:hAnsi="Times New Roman" w:cs="Times New Roman"/>
          <w:noProof/>
          <w:sz w:val="24"/>
          <w:szCs w:val="24"/>
        </w:rPr>
        <w:t xml:space="preserve"> </w:t>
      </w:r>
      <w:r w:rsidRPr="006D3BED">
        <w:rPr>
          <w:rFonts w:ascii="Times New Roman" w:hAnsi="Times New Roman" w:cs="Times New Roman"/>
          <w:noProof/>
          <w:sz w:val="24"/>
          <w:szCs w:val="24"/>
        </w:rPr>
        <w:t xml:space="preserve">Drive/MY JOURNAL PAPER/Hydrogen Fuel Cell </w:t>
      </w:r>
      <w:r w:rsidR="007106A5" w:rsidRPr="006D3BED">
        <w:rPr>
          <w:rFonts w:ascii="Times New Roman" w:hAnsi="Times New Roman" w:cs="Times New Roman"/>
          <w:noProof/>
          <w:sz w:val="24"/>
          <w:szCs w:val="24"/>
        </w:rPr>
        <w:tab/>
      </w:r>
      <w:r w:rsidRPr="006D3BED">
        <w:rPr>
          <w:rFonts w:ascii="Times New Roman" w:hAnsi="Times New Roman" w:cs="Times New Roman"/>
          <w:noProof/>
          <w:sz w:val="24"/>
          <w:szCs w:val="24"/>
        </w:rPr>
        <w:t>Vehicles/LR/Technology_Roadmap_for_Hydrogen_Fuel_Cel.pdf</w:t>
      </w:r>
    </w:p>
    <w:p w14:paraId="6341CE4F" w14:textId="64C96F46" w:rsidR="00303A2A" w:rsidRPr="0006420D" w:rsidRDefault="00303A2A" w:rsidP="007106A5">
      <w:pPr>
        <w:widowControl w:val="0"/>
        <w:autoSpaceDE w:val="0"/>
        <w:autoSpaceDN w:val="0"/>
        <w:adjustRightInd w:val="0"/>
        <w:spacing w:after="0" w:line="240" w:lineRule="auto"/>
        <w:ind w:left="0" w:hanging="2"/>
        <w:jc w:val="both"/>
        <w:rPr>
          <w:rFonts w:ascii="Times New Roman" w:hAnsi="Times New Roman" w:cs="Times New Roman"/>
          <w:noProof/>
          <w:sz w:val="24"/>
          <w:szCs w:val="24"/>
          <w:lang w:val="nb-NO"/>
        </w:rPr>
      </w:pPr>
      <w:r w:rsidRPr="0006420D">
        <w:rPr>
          <w:rFonts w:ascii="Times New Roman" w:hAnsi="Times New Roman" w:cs="Times New Roman"/>
          <w:noProof/>
          <w:sz w:val="24"/>
          <w:szCs w:val="24"/>
          <w:lang w:val="nb-NO"/>
        </w:rPr>
        <w:t xml:space="preserve">Ingaldi, M., &amp; Klimecka-Ttar, D. (2020). </w:t>
      </w:r>
      <w:r w:rsidRPr="00CD4C3E">
        <w:rPr>
          <w:rFonts w:ascii="Times New Roman" w:hAnsi="Times New Roman" w:cs="Times New Roman"/>
          <w:noProof/>
          <w:sz w:val="24"/>
          <w:szCs w:val="24"/>
        </w:rPr>
        <w:t xml:space="preserve">People’s Attitude to Energy from Hydrogen—From the </w:t>
      </w:r>
      <w:r w:rsidR="007106A5" w:rsidRPr="00CD4C3E">
        <w:rPr>
          <w:rFonts w:ascii="Times New Roman" w:hAnsi="Times New Roman" w:cs="Times New Roman"/>
          <w:noProof/>
          <w:sz w:val="24"/>
          <w:szCs w:val="24"/>
        </w:rPr>
        <w:tab/>
      </w:r>
      <w:r w:rsidRPr="00CD4C3E">
        <w:rPr>
          <w:rFonts w:ascii="Times New Roman" w:hAnsi="Times New Roman" w:cs="Times New Roman"/>
          <w:noProof/>
          <w:sz w:val="24"/>
          <w:szCs w:val="24"/>
        </w:rPr>
        <w:t xml:space="preserve">Point of View of Modern Energy Technologies and Social Responsibility. </w:t>
      </w:r>
      <w:r w:rsidRPr="0006420D">
        <w:rPr>
          <w:rFonts w:ascii="Times New Roman" w:hAnsi="Times New Roman" w:cs="Times New Roman"/>
          <w:i/>
          <w:iCs/>
          <w:noProof/>
          <w:sz w:val="24"/>
          <w:szCs w:val="24"/>
          <w:lang w:val="nb-NO"/>
        </w:rPr>
        <w:t>Energies</w:t>
      </w:r>
      <w:r w:rsidRPr="0006420D">
        <w:rPr>
          <w:rFonts w:ascii="Times New Roman" w:hAnsi="Times New Roman" w:cs="Times New Roman"/>
          <w:noProof/>
          <w:sz w:val="24"/>
          <w:szCs w:val="24"/>
          <w:lang w:val="nb-NO"/>
        </w:rPr>
        <w:t xml:space="preserve">, </w:t>
      </w:r>
      <w:r w:rsidR="009644A7" w:rsidRPr="0006420D">
        <w:rPr>
          <w:rFonts w:ascii="Times New Roman" w:hAnsi="Times New Roman" w:cs="Times New Roman"/>
          <w:noProof/>
          <w:sz w:val="24"/>
          <w:szCs w:val="24"/>
          <w:lang w:val="nb-NO"/>
        </w:rPr>
        <w:tab/>
      </w:r>
      <w:r w:rsidRPr="0006420D">
        <w:rPr>
          <w:rFonts w:ascii="Times New Roman" w:hAnsi="Times New Roman" w:cs="Times New Roman"/>
          <w:i/>
          <w:iCs/>
          <w:noProof/>
          <w:sz w:val="24"/>
          <w:szCs w:val="24"/>
          <w:lang w:val="nb-NO"/>
        </w:rPr>
        <w:t>13</w:t>
      </w:r>
      <w:r w:rsidR="009644A7" w:rsidRPr="0006420D">
        <w:rPr>
          <w:rFonts w:ascii="Times New Roman" w:hAnsi="Times New Roman" w:cs="Times New Roman"/>
          <w:noProof/>
          <w:sz w:val="24"/>
          <w:szCs w:val="24"/>
          <w:lang w:val="nb-NO"/>
        </w:rPr>
        <w:t>(24)</w:t>
      </w:r>
      <w:r w:rsidRPr="0006420D">
        <w:rPr>
          <w:rFonts w:ascii="Times New Roman" w:hAnsi="Times New Roman" w:cs="Times New Roman"/>
          <w:noProof/>
          <w:sz w:val="24"/>
          <w:szCs w:val="24"/>
          <w:lang w:val="nb-NO"/>
        </w:rPr>
        <w:t>, 6495.</w:t>
      </w:r>
    </w:p>
    <w:p w14:paraId="6E948EC7" w14:textId="453846B7" w:rsidR="00303A2A" w:rsidRPr="00303A2A" w:rsidRDefault="00303A2A" w:rsidP="007106A5">
      <w:pPr>
        <w:widowControl w:val="0"/>
        <w:autoSpaceDE w:val="0"/>
        <w:autoSpaceDN w:val="0"/>
        <w:adjustRightInd w:val="0"/>
        <w:spacing w:after="0" w:line="240" w:lineRule="auto"/>
        <w:ind w:left="0" w:hanging="2"/>
        <w:jc w:val="both"/>
        <w:rPr>
          <w:rFonts w:ascii="Times New Roman" w:hAnsi="Times New Roman" w:cs="Times New Roman"/>
          <w:noProof/>
          <w:sz w:val="24"/>
          <w:szCs w:val="24"/>
        </w:rPr>
      </w:pPr>
      <w:r w:rsidRPr="0006420D">
        <w:rPr>
          <w:rFonts w:ascii="Times New Roman" w:hAnsi="Times New Roman" w:cs="Times New Roman"/>
          <w:noProof/>
          <w:sz w:val="24"/>
          <w:szCs w:val="24"/>
          <w:lang w:val="nb-NO"/>
        </w:rPr>
        <w:t xml:space="preserve">Kaparaju, P., Serrano, M., Thomsen, A. B., Kongjan, P., &amp; Angelidaki, I. (2009). </w:t>
      </w:r>
      <w:r w:rsidRPr="00303A2A">
        <w:rPr>
          <w:rFonts w:ascii="Times New Roman" w:hAnsi="Times New Roman" w:cs="Times New Roman"/>
          <w:noProof/>
          <w:sz w:val="24"/>
          <w:szCs w:val="24"/>
        </w:rPr>
        <w:t xml:space="preserve">Bioethanol, </w:t>
      </w:r>
      <w:r w:rsidR="007106A5">
        <w:rPr>
          <w:rFonts w:ascii="Times New Roman" w:hAnsi="Times New Roman" w:cs="Times New Roman"/>
          <w:noProof/>
          <w:sz w:val="24"/>
          <w:szCs w:val="24"/>
        </w:rPr>
        <w:tab/>
      </w:r>
      <w:r w:rsidRPr="00303A2A">
        <w:rPr>
          <w:rFonts w:ascii="Times New Roman" w:hAnsi="Times New Roman" w:cs="Times New Roman"/>
          <w:noProof/>
          <w:sz w:val="24"/>
          <w:szCs w:val="24"/>
        </w:rPr>
        <w:t xml:space="preserve">biohydrogen and biogas production from wheat straw in a biorefinery concept. </w:t>
      </w:r>
      <w:r w:rsidRPr="00303A2A">
        <w:rPr>
          <w:rFonts w:ascii="Times New Roman" w:hAnsi="Times New Roman" w:cs="Times New Roman"/>
          <w:i/>
          <w:iCs/>
          <w:noProof/>
          <w:sz w:val="24"/>
          <w:szCs w:val="24"/>
        </w:rPr>
        <w:t xml:space="preserve">Bioresource </w:t>
      </w:r>
      <w:r w:rsidR="007106A5">
        <w:rPr>
          <w:rFonts w:ascii="Times New Roman" w:hAnsi="Times New Roman" w:cs="Times New Roman"/>
          <w:i/>
          <w:iCs/>
          <w:noProof/>
          <w:sz w:val="24"/>
          <w:szCs w:val="24"/>
        </w:rPr>
        <w:tab/>
      </w:r>
      <w:r w:rsidRPr="00303A2A">
        <w:rPr>
          <w:rFonts w:ascii="Times New Roman" w:hAnsi="Times New Roman" w:cs="Times New Roman"/>
          <w:i/>
          <w:iCs/>
          <w:noProof/>
          <w:sz w:val="24"/>
          <w:szCs w:val="24"/>
        </w:rPr>
        <w:t>Technology</w:t>
      </w:r>
      <w:r w:rsidRPr="00303A2A">
        <w:rPr>
          <w:rFonts w:ascii="Times New Roman" w:hAnsi="Times New Roman" w:cs="Times New Roman"/>
          <w:noProof/>
          <w:sz w:val="24"/>
          <w:szCs w:val="24"/>
        </w:rPr>
        <w:t xml:space="preserve">, </w:t>
      </w:r>
      <w:r w:rsidRPr="00303A2A">
        <w:rPr>
          <w:rFonts w:ascii="Times New Roman" w:hAnsi="Times New Roman" w:cs="Times New Roman"/>
          <w:i/>
          <w:iCs/>
          <w:noProof/>
          <w:sz w:val="24"/>
          <w:szCs w:val="24"/>
        </w:rPr>
        <w:t>100</w:t>
      </w:r>
      <w:r w:rsidRPr="00303A2A">
        <w:rPr>
          <w:rFonts w:ascii="Times New Roman" w:hAnsi="Times New Roman" w:cs="Times New Roman"/>
          <w:noProof/>
          <w:sz w:val="24"/>
          <w:szCs w:val="24"/>
        </w:rPr>
        <w:t>(9), 2562–2568. https://doi.org/10.1016/j.biortech.2008.11.011</w:t>
      </w:r>
    </w:p>
    <w:p w14:paraId="54365F94" w14:textId="0F216050" w:rsidR="00303A2A" w:rsidRPr="00303A2A" w:rsidRDefault="00303A2A" w:rsidP="007106A5">
      <w:pPr>
        <w:widowControl w:val="0"/>
        <w:autoSpaceDE w:val="0"/>
        <w:autoSpaceDN w:val="0"/>
        <w:adjustRightInd w:val="0"/>
        <w:spacing w:after="0" w:line="240" w:lineRule="auto"/>
        <w:ind w:left="0" w:hanging="2"/>
        <w:jc w:val="both"/>
        <w:rPr>
          <w:rFonts w:ascii="Times New Roman" w:hAnsi="Times New Roman" w:cs="Times New Roman"/>
          <w:noProof/>
          <w:sz w:val="24"/>
          <w:szCs w:val="24"/>
        </w:rPr>
      </w:pPr>
      <w:r w:rsidRPr="00303A2A">
        <w:rPr>
          <w:rFonts w:ascii="Times New Roman" w:hAnsi="Times New Roman" w:cs="Times New Roman"/>
          <w:noProof/>
          <w:sz w:val="24"/>
          <w:szCs w:val="24"/>
        </w:rPr>
        <w:t xml:space="preserve">Kurnia, J. C., Jangam, S. V., Akhtar, S., Sasmito, A. P., &amp; Mujumdar, A. S. (2016). Advances in </w:t>
      </w:r>
      <w:r w:rsidR="007106A5">
        <w:rPr>
          <w:rFonts w:ascii="Times New Roman" w:hAnsi="Times New Roman" w:cs="Times New Roman"/>
          <w:noProof/>
          <w:sz w:val="24"/>
          <w:szCs w:val="24"/>
        </w:rPr>
        <w:tab/>
      </w:r>
      <w:r w:rsidRPr="00303A2A">
        <w:rPr>
          <w:rFonts w:ascii="Times New Roman" w:hAnsi="Times New Roman" w:cs="Times New Roman"/>
          <w:noProof/>
          <w:sz w:val="24"/>
          <w:szCs w:val="24"/>
        </w:rPr>
        <w:t xml:space="preserve">biofuel production from oil palm and palm oil processing wastes: A review. </w:t>
      </w:r>
      <w:r w:rsidRPr="00303A2A">
        <w:rPr>
          <w:rFonts w:ascii="Times New Roman" w:hAnsi="Times New Roman" w:cs="Times New Roman"/>
          <w:i/>
          <w:iCs/>
          <w:noProof/>
          <w:sz w:val="24"/>
          <w:szCs w:val="24"/>
        </w:rPr>
        <w:t xml:space="preserve">Biofuel </w:t>
      </w:r>
      <w:r w:rsidR="007106A5">
        <w:rPr>
          <w:rFonts w:ascii="Times New Roman" w:hAnsi="Times New Roman" w:cs="Times New Roman"/>
          <w:i/>
          <w:iCs/>
          <w:noProof/>
          <w:sz w:val="24"/>
          <w:szCs w:val="24"/>
        </w:rPr>
        <w:tab/>
      </w:r>
      <w:r w:rsidRPr="00303A2A">
        <w:rPr>
          <w:rFonts w:ascii="Times New Roman" w:hAnsi="Times New Roman" w:cs="Times New Roman"/>
          <w:i/>
          <w:iCs/>
          <w:noProof/>
          <w:sz w:val="24"/>
          <w:szCs w:val="24"/>
        </w:rPr>
        <w:t>Research Journal</w:t>
      </w:r>
      <w:r w:rsidRPr="00303A2A">
        <w:rPr>
          <w:rFonts w:ascii="Times New Roman" w:hAnsi="Times New Roman" w:cs="Times New Roman"/>
          <w:noProof/>
          <w:sz w:val="24"/>
          <w:szCs w:val="24"/>
        </w:rPr>
        <w:t xml:space="preserve">, </w:t>
      </w:r>
      <w:r w:rsidRPr="00303A2A">
        <w:rPr>
          <w:rFonts w:ascii="Times New Roman" w:hAnsi="Times New Roman" w:cs="Times New Roman"/>
          <w:i/>
          <w:iCs/>
          <w:noProof/>
          <w:sz w:val="24"/>
          <w:szCs w:val="24"/>
        </w:rPr>
        <w:t>3</w:t>
      </w:r>
      <w:r w:rsidRPr="00303A2A">
        <w:rPr>
          <w:rFonts w:ascii="Times New Roman" w:hAnsi="Times New Roman" w:cs="Times New Roman"/>
          <w:noProof/>
          <w:sz w:val="24"/>
          <w:szCs w:val="24"/>
        </w:rPr>
        <w:t>(1), 332–346. https://doi.org/10.18331/BRJ2016.3.1.3</w:t>
      </w:r>
    </w:p>
    <w:p w14:paraId="44FD9133" w14:textId="14040D55" w:rsidR="00303A2A" w:rsidRPr="00303A2A" w:rsidRDefault="00303A2A" w:rsidP="007106A5">
      <w:pPr>
        <w:widowControl w:val="0"/>
        <w:autoSpaceDE w:val="0"/>
        <w:autoSpaceDN w:val="0"/>
        <w:adjustRightInd w:val="0"/>
        <w:spacing w:after="0" w:line="240" w:lineRule="auto"/>
        <w:ind w:left="0" w:hanging="2"/>
        <w:jc w:val="both"/>
        <w:rPr>
          <w:rFonts w:ascii="Times New Roman" w:hAnsi="Times New Roman" w:cs="Times New Roman"/>
          <w:noProof/>
          <w:sz w:val="24"/>
          <w:szCs w:val="24"/>
        </w:rPr>
      </w:pPr>
      <w:r w:rsidRPr="00CD4C3E">
        <w:rPr>
          <w:rFonts w:ascii="Times New Roman" w:hAnsi="Times New Roman" w:cs="Times New Roman"/>
          <w:noProof/>
          <w:sz w:val="24"/>
          <w:szCs w:val="24"/>
        </w:rPr>
        <w:t xml:space="preserve">Mahlia, T. M. I., Ismail, N., Hossain, N., Silitonga, A. S., &amp; Shamsuddin, A. H. (2019). Palm oil </w:t>
      </w:r>
      <w:r w:rsidR="007106A5" w:rsidRPr="00CD4C3E">
        <w:rPr>
          <w:rFonts w:ascii="Times New Roman" w:hAnsi="Times New Roman" w:cs="Times New Roman"/>
          <w:noProof/>
          <w:sz w:val="24"/>
          <w:szCs w:val="24"/>
        </w:rPr>
        <w:tab/>
      </w:r>
      <w:r w:rsidRPr="00CD4C3E">
        <w:rPr>
          <w:rFonts w:ascii="Times New Roman" w:hAnsi="Times New Roman" w:cs="Times New Roman"/>
          <w:noProof/>
          <w:sz w:val="24"/>
          <w:szCs w:val="24"/>
        </w:rPr>
        <w:t xml:space="preserve">and its wastes as bioenergy sources: a comprehensive review. </w:t>
      </w:r>
      <w:r w:rsidRPr="00CD4C3E">
        <w:rPr>
          <w:rFonts w:ascii="Times New Roman" w:hAnsi="Times New Roman" w:cs="Times New Roman"/>
          <w:i/>
          <w:iCs/>
          <w:noProof/>
          <w:sz w:val="24"/>
          <w:szCs w:val="24"/>
        </w:rPr>
        <w:t xml:space="preserve">Environmental Science and </w:t>
      </w:r>
      <w:r w:rsidR="007106A5" w:rsidRPr="00CD4C3E">
        <w:rPr>
          <w:rFonts w:ascii="Times New Roman" w:hAnsi="Times New Roman" w:cs="Times New Roman"/>
          <w:i/>
          <w:iCs/>
          <w:noProof/>
          <w:sz w:val="24"/>
          <w:szCs w:val="24"/>
        </w:rPr>
        <w:tab/>
      </w:r>
      <w:r w:rsidRPr="00CD4C3E">
        <w:rPr>
          <w:rFonts w:ascii="Times New Roman" w:hAnsi="Times New Roman" w:cs="Times New Roman"/>
          <w:i/>
          <w:iCs/>
          <w:noProof/>
          <w:sz w:val="24"/>
          <w:szCs w:val="24"/>
        </w:rPr>
        <w:t>Pollution Research</w:t>
      </w:r>
      <w:r w:rsidR="00CD4C3E" w:rsidRPr="00CD4C3E">
        <w:rPr>
          <w:rFonts w:ascii="Times New Roman" w:hAnsi="Times New Roman" w:cs="Times New Roman"/>
          <w:noProof/>
          <w:sz w:val="24"/>
          <w:szCs w:val="24"/>
        </w:rPr>
        <w:t>,</w:t>
      </w:r>
      <w:r w:rsidR="00CD4C3E" w:rsidRPr="00CD4C3E">
        <w:rPr>
          <w:rFonts w:ascii="Times New Roman" w:hAnsi="Times New Roman" w:cs="Times New Roman"/>
          <w:i/>
          <w:iCs/>
          <w:noProof/>
          <w:sz w:val="24"/>
          <w:szCs w:val="24"/>
        </w:rPr>
        <w:t xml:space="preserve"> 26,</w:t>
      </w:r>
      <w:r w:rsidR="00CD4C3E" w:rsidRPr="00CD4C3E">
        <w:rPr>
          <w:rFonts w:ascii="Times New Roman" w:hAnsi="Times New Roman" w:cs="Times New Roman"/>
          <w:noProof/>
          <w:sz w:val="24"/>
          <w:szCs w:val="24"/>
        </w:rPr>
        <w:t xml:space="preserve"> 14849-14866. </w:t>
      </w:r>
      <w:r w:rsidRPr="00CD4C3E">
        <w:rPr>
          <w:rFonts w:ascii="Times New Roman" w:hAnsi="Times New Roman" w:cs="Times New Roman"/>
          <w:noProof/>
          <w:sz w:val="24"/>
          <w:szCs w:val="24"/>
        </w:rPr>
        <w:t>https://doi.org/10.1007/s11356-019-04563-x</w:t>
      </w:r>
    </w:p>
    <w:p w14:paraId="4EB82299" w14:textId="36EDBAAF" w:rsidR="00303A2A" w:rsidRPr="00303A2A" w:rsidRDefault="00303A2A" w:rsidP="007106A5">
      <w:pPr>
        <w:widowControl w:val="0"/>
        <w:autoSpaceDE w:val="0"/>
        <w:autoSpaceDN w:val="0"/>
        <w:adjustRightInd w:val="0"/>
        <w:spacing w:after="0" w:line="240" w:lineRule="auto"/>
        <w:ind w:left="0" w:hanging="2"/>
        <w:jc w:val="both"/>
        <w:rPr>
          <w:rFonts w:ascii="Times New Roman" w:hAnsi="Times New Roman" w:cs="Times New Roman"/>
          <w:noProof/>
          <w:sz w:val="24"/>
          <w:szCs w:val="24"/>
        </w:rPr>
      </w:pPr>
      <w:r w:rsidRPr="00303A2A">
        <w:rPr>
          <w:rFonts w:ascii="Times New Roman" w:hAnsi="Times New Roman" w:cs="Times New Roman"/>
          <w:noProof/>
          <w:sz w:val="24"/>
          <w:szCs w:val="24"/>
        </w:rPr>
        <w:t xml:space="preserve">Mohan, C. (2017). Sugarcane biotechnology: Challenges and prospects. </w:t>
      </w:r>
      <w:r w:rsidRPr="00303A2A">
        <w:rPr>
          <w:rFonts w:ascii="Times New Roman" w:hAnsi="Times New Roman" w:cs="Times New Roman"/>
          <w:i/>
          <w:iCs/>
          <w:noProof/>
          <w:sz w:val="24"/>
          <w:szCs w:val="24"/>
        </w:rPr>
        <w:t xml:space="preserve">Sugarcane </w:t>
      </w:r>
      <w:r w:rsidR="007106A5">
        <w:rPr>
          <w:rFonts w:ascii="Times New Roman" w:hAnsi="Times New Roman" w:cs="Times New Roman"/>
          <w:i/>
          <w:iCs/>
          <w:noProof/>
          <w:sz w:val="24"/>
          <w:szCs w:val="24"/>
        </w:rPr>
        <w:tab/>
      </w:r>
      <w:r w:rsidRPr="00303A2A">
        <w:rPr>
          <w:rFonts w:ascii="Times New Roman" w:hAnsi="Times New Roman" w:cs="Times New Roman"/>
          <w:i/>
          <w:iCs/>
          <w:noProof/>
          <w:sz w:val="24"/>
          <w:szCs w:val="24"/>
        </w:rPr>
        <w:t>Biotechnology: Challenges and Prospects</w:t>
      </w:r>
      <w:r w:rsidRPr="00303A2A">
        <w:rPr>
          <w:rFonts w:ascii="Times New Roman" w:hAnsi="Times New Roman" w:cs="Times New Roman"/>
          <w:noProof/>
          <w:sz w:val="24"/>
          <w:szCs w:val="24"/>
        </w:rPr>
        <w:t>, 1–176. https://doi.org/10.1007/978-3-319-</w:t>
      </w:r>
      <w:r w:rsidR="007106A5">
        <w:rPr>
          <w:rFonts w:ascii="Times New Roman" w:hAnsi="Times New Roman" w:cs="Times New Roman"/>
          <w:noProof/>
          <w:sz w:val="24"/>
          <w:szCs w:val="24"/>
        </w:rPr>
        <w:tab/>
      </w:r>
      <w:r w:rsidRPr="00303A2A">
        <w:rPr>
          <w:rFonts w:ascii="Times New Roman" w:hAnsi="Times New Roman" w:cs="Times New Roman"/>
          <w:noProof/>
          <w:sz w:val="24"/>
          <w:szCs w:val="24"/>
        </w:rPr>
        <w:t>58946-6</w:t>
      </w:r>
    </w:p>
    <w:p w14:paraId="091435F5" w14:textId="2CD7B3AA" w:rsidR="00303A2A" w:rsidRPr="00303A2A" w:rsidRDefault="00303A2A" w:rsidP="007106A5">
      <w:pPr>
        <w:widowControl w:val="0"/>
        <w:autoSpaceDE w:val="0"/>
        <w:autoSpaceDN w:val="0"/>
        <w:adjustRightInd w:val="0"/>
        <w:spacing w:after="0" w:line="240" w:lineRule="auto"/>
        <w:ind w:left="0" w:hanging="2"/>
        <w:jc w:val="both"/>
        <w:rPr>
          <w:rFonts w:ascii="Times New Roman" w:hAnsi="Times New Roman" w:cs="Times New Roman"/>
          <w:noProof/>
          <w:sz w:val="24"/>
          <w:szCs w:val="24"/>
        </w:rPr>
      </w:pPr>
      <w:r w:rsidRPr="00303A2A">
        <w:rPr>
          <w:rFonts w:ascii="Times New Roman" w:hAnsi="Times New Roman" w:cs="Times New Roman"/>
          <w:noProof/>
          <w:sz w:val="24"/>
          <w:szCs w:val="24"/>
        </w:rPr>
        <w:t xml:space="preserve">Pakpahan, R. Y., &amp; Purwanto. (2021). Profitability and Efficiency Analysis on automotive and </w:t>
      </w:r>
      <w:r w:rsidR="007106A5">
        <w:rPr>
          <w:rFonts w:ascii="Times New Roman" w:hAnsi="Times New Roman" w:cs="Times New Roman"/>
          <w:noProof/>
          <w:sz w:val="24"/>
          <w:szCs w:val="24"/>
        </w:rPr>
        <w:tab/>
      </w:r>
      <w:r w:rsidRPr="00303A2A">
        <w:rPr>
          <w:rFonts w:ascii="Times New Roman" w:hAnsi="Times New Roman" w:cs="Times New Roman"/>
          <w:noProof/>
          <w:sz w:val="24"/>
          <w:szCs w:val="24"/>
        </w:rPr>
        <w:t xml:space="preserve">component industry in Inddonesia. </w:t>
      </w:r>
      <w:r w:rsidRPr="00303A2A">
        <w:rPr>
          <w:rFonts w:ascii="Times New Roman" w:hAnsi="Times New Roman" w:cs="Times New Roman"/>
          <w:i/>
          <w:iCs/>
          <w:noProof/>
          <w:sz w:val="24"/>
          <w:szCs w:val="24"/>
        </w:rPr>
        <w:t xml:space="preserve">Malaysian Journal of Consumer and Family </w:t>
      </w:r>
      <w:r w:rsidR="007106A5">
        <w:rPr>
          <w:rFonts w:ascii="Times New Roman" w:hAnsi="Times New Roman" w:cs="Times New Roman"/>
          <w:i/>
          <w:iCs/>
          <w:noProof/>
          <w:sz w:val="24"/>
          <w:szCs w:val="24"/>
        </w:rPr>
        <w:tab/>
      </w:r>
      <w:r w:rsidRPr="00303A2A">
        <w:rPr>
          <w:rFonts w:ascii="Times New Roman" w:hAnsi="Times New Roman" w:cs="Times New Roman"/>
          <w:i/>
          <w:iCs/>
          <w:noProof/>
          <w:sz w:val="24"/>
          <w:szCs w:val="24"/>
        </w:rPr>
        <w:t>Economics</w:t>
      </w:r>
      <w:r w:rsidRPr="00303A2A">
        <w:rPr>
          <w:rFonts w:ascii="Times New Roman" w:hAnsi="Times New Roman" w:cs="Times New Roman"/>
          <w:noProof/>
          <w:sz w:val="24"/>
          <w:szCs w:val="24"/>
        </w:rPr>
        <w:t xml:space="preserve">, </w:t>
      </w:r>
      <w:r w:rsidRPr="00303A2A">
        <w:rPr>
          <w:rFonts w:ascii="Times New Roman" w:hAnsi="Times New Roman" w:cs="Times New Roman"/>
          <w:i/>
          <w:iCs/>
          <w:noProof/>
          <w:sz w:val="24"/>
          <w:szCs w:val="24"/>
        </w:rPr>
        <w:t>27</w:t>
      </w:r>
      <w:r w:rsidRPr="00303A2A">
        <w:rPr>
          <w:rFonts w:ascii="Times New Roman" w:hAnsi="Times New Roman" w:cs="Times New Roman"/>
          <w:noProof/>
          <w:sz w:val="24"/>
          <w:szCs w:val="24"/>
        </w:rPr>
        <w:t>(S1), 25–53.</w:t>
      </w:r>
    </w:p>
    <w:p w14:paraId="67669A78" w14:textId="765E6AE1" w:rsidR="00303A2A" w:rsidRPr="00303A2A" w:rsidRDefault="00303A2A" w:rsidP="007106A5">
      <w:pPr>
        <w:widowControl w:val="0"/>
        <w:autoSpaceDE w:val="0"/>
        <w:autoSpaceDN w:val="0"/>
        <w:adjustRightInd w:val="0"/>
        <w:spacing w:after="0" w:line="240" w:lineRule="auto"/>
        <w:ind w:left="0" w:hanging="2"/>
        <w:jc w:val="both"/>
        <w:rPr>
          <w:rFonts w:ascii="Times New Roman" w:hAnsi="Times New Roman" w:cs="Times New Roman"/>
          <w:noProof/>
          <w:sz w:val="24"/>
          <w:szCs w:val="24"/>
        </w:rPr>
      </w:pPr>
      <w:r w:rsidRPr="00CD4C3E">
        <w:rPr>
          <w:rFonts w:ascii="Times New Roman" w:hAnsi="Times New Roman" w:cs="Times New Roman"/>
          <w:noProof/>
          <w:sz w:val="24"/>
          <w:szCs w:val="24"/>
        </w:rPr>
        <w:t xml:space="preserve">Perea-Moreno, M. A., Manzano-Agugliaro, F., &amp; Perea-Moreno, A. J. (2018). Sustainable energy </w:t>
      </w:r>
      <w:r w:rsidR="007106A5" w:rsidRPr="00CD4C3E">
        <w:rPr>
          <w:rFonts w:ascii="Times New Roman" w:hAnsi="Times New Roman" w:cs="Times New Roman"/>
          <w:noProof/>
          <w:sz w:val="24"/>
          <w:szCs w:val="24"/>
        </w:rPr>
        <w:tab/>
      </w:r>
      <w:r w:rsidRPr="00CD4C3E">
        <w:rPr>
          <w:rFonts w:ascii="Times New Roman" w:hAnsi="Times New Roman" w:cs="Times New Roman"/>
          <w:noProof/>
          <w:sz w:val="24"/>
          <w:szCs w:val="24"/>
        </w:rPr>
        <w:t xml:space="preserve">based on sunflower seed husk boiler for residential buildings. </w:t>
      </w:r>
      <w:r w:rsidRPr="00CD4C3E">
        <w:rPr>
          <w:rFonts w:ascii="Times New Roman" w:hAnsi="Times New Roman" w:cs="Times New Roman"/>
          <w:i/>
          <w:iCs/>
          <w:noProof/>
          <w:sz w:val="24"/>
          <w:szCs w:val="24"/>
        </w:rPr>
        <w:t>Sustainability</w:t>
      </w:r>
      <w:r w:rsidRPr="00CD4C3E">
        <w:rPr>
          <w:rFonts w:ascii="Times New Roman" w:hAnsi="Times New Roman" w:cs="Times New Roman"/>
          <w:noProof/>
          <w:sz w:val="24"/>
          <w:szCs w:val="24"/>
        </w:rPr>
        <w:t xml:space="preserve">, </w:t>
      </w:r>
      <w:r w:rsidRPr="00CD4C3E">
        <w:rPr>
          <w:rFonts w:ascii="Times New Roman" w:hAnsi="Times New Roman" w:cs="Times New Roman"/>
          <w:i/>
          <w:iCs/>
          <w:noProof/>
          <w:sz w:val="24"/>
          <w:szCs w:val="24"/>
        </w:rPr>
        <w:t>10</w:t>
      </w:r>
      <w:r w:rsidRPr="00CD4C3E">
        <w:rPr>
          <w:rFonts w:ascii="Times New Roman" w:hAnsi="Times New Roman" w:cs="Times New Roman"/>
          <w:noProof/>
          <w:sz w:val="24"/>
          <w:szCs w:val="24"/>
        </w:rPr>
        <w:t>(10)</w:t>
      </w:r>
      <w:r w:rsidR="00CD4C3E" w:rsidRPr="00CD4C3E">
        <w:rPr>
          <w:rFonts w:ascii="Times New Roman" w:hAnsi="Times New Roman" w:cs="Times New Roman"/>
          <w:noProof/>
          <w:sz w:val="24"/>
          <w:szCs w:val="24"/>
        </w:rPr>
        <w:t>,</w:t>
      </w:r>
      <w:r w:rsidR="00CD4C3E" w:rsidRPr="00CD4C3E">
        <w:rPr>
          <w:rFonts w:ascii="Times New Roman" w:hAnsi="Times New Roman" w:cs="Times New Roman"/>
          <w:noProof/>
          <w:sz w:val="24"/>
          <w:szCs w:val="24"/>
        </w:rPr>
        <w:tab/>
        <w:t>3407</w:t>
      </w:r>
      <w:r w:rsidRPr="00CD4C3E">
        <w:rPr>
          <w:rFonts w:ascii="Times New Roman" w:hAnsi="Times New Roman" w:cs="Times New Roman"/>
          <w:noProof/>
          <w:sz w:val="24"/>
          <w:szCs w:val="24"/>
        </w:rPr>
        <w:t>. https://doi.org/10.3390/su10103407</w:t>
      </w:r>
    </w:p>
    <w:p w14:paraId="6640DCB6" w14:textId="0A99C6EA" w:rsidR="00303A2A" w:rsidRPr="0006420D" w:rsidRDefault="00303A2A" w:rsidP="007106A5">
      <w:pPr>
        <w:widowControl w:val="0"/>
        <w:autoSpaceDE w:val="0"/>
        <w:autoSpaceDN w:val="0"/>
        <w:adjustRightInd w:val="0"/>
        <w:spacing w:after="0" w:line="240" w:lineRule="auto"/>
        <w:ind w:left="0" w:hanging="2"/>
        <w:jc w:val="both"/>
        <w:rPr>
          <w:rFonts w:ascii="Times New Roman" w:hAnsi="Times New Roman" w:cs="Times New Roman"/>
          <w:noProof/>
          <w:sz w:val="24"/>
          <w:szCs w:val="24"/>
          <w:lang w:val="nb-NO"/>
        </w:rPr>
      </w:pPr>
      <w:r w:rsidRPr="00303A2A">
        <w:rPr>
          <w:rFonts w:ascii="Times New Roman" w:hAnsi="Times New Roman" w:cs="Times New Roman"/>
          <w:noProof/>
          <w:sz w:val="24"/>
          <w:szCs w:val="24"/>
        </w:rPr>
        <w:t xml:space="preserve">Prambudia, Y., &amp; Nakano, M. (2012). Exploring Malaysia’s transformation to net oil importer and </w:t>
      </w:r>
      <w:r w:rsidR="007106A5">
        <w:rPr>
          <w:rFonts w:ascii="Times New Roman" w:hAnsi="Times New Roman" w:cs="Times New Roman"/>
          <w:noProof/>
          <w:sz w:val="24"/>
          <w:szCs w:val="24"/>
        </w:rPr>
        <w:lastRenderedPageBreak/>
        <w:tab/>
      </w:r>
      <w:r w:rsidRPr="00303A2A">
        <w:rPr>
          <w:rFonts w:ascii="Times New Roman" w:hAnsi="Times New Roman" w:cs="Times New Roman"/>
          <w:noProof/>
          <w:sz w:val="24"/>
          <w:szCs w:val="24"/>
        </w:rPr>
        <w:t xml:space="preserve">oil import dependence. </w:t>
      </w:r>
      <w:r w:rsidRPr="0006420D">
        <w:rPr>
          <w:rFonts w:ascii="Times New Roman" w:hAnsi="Times New Roman" w:cs="Times New Roman"/>
          <w:i/>
          <w:iCs/>
          <w:noProof/>
          <w:sz w:val="24"/>
          <w:szCs w:val="24"/>
          <w:lang w:val="nb-NO"/>
        </w:rPr>
        <w:t>Energies</w:t>
      </w:r>
      <w:r w:rsidRPr="0006420D">
        <w:rPr>
          <w:rFonts w:ascii="Times New Roman" w:hAnsi="Times New Roman" w:cs="Times New Roman"/>
          <w:noProof/>
          <w:sz w:val="24"/>
          <w:szCs w:val="24"/>
          <w:lang w:val="nb-NO"/>
        </w:rPr>
        <w:t xml:space="preserve">, </w:t>
      </w:r>
      <w:r w:rsidRPr="0006420D">
        <w:rPr>
          <w:rFonts w:ascii="Times New Roman" w:hAnsi="Times New Roman" w:cs="Times New Roman"/>
          <w:i/>
          <w:iCs/>
          <w:noProof/>
          <w:sz w:val="24"/>
          <w:szCs w:val="24"/>
          <w:lang w:val="nb-NO"/>
        </w:rPr>
        <w:t>5</w:t>
      </w:r>
      <w:r w:rsidRPr="0006420D">
        <w:rPr>
          <w:rFonts w:ascii="Times New Roman" w:hAnsi="Times New Roman" w:cs="Times New Roman"/>
          <w:noProof/>
          <w:sz w:val="24"/>
          <w:szCs w:val="24"/>
          <w:lang w:val="nb-NO"/>
        </w:rPr>
        <w:t>(8), 2989–3018. https://doi.org/10.3390/en5082989</w:t>
      </w:r>
    </w:p>
    <w:p w14:paraId="61601A44" w14:textId="3B0A2C55" w:rsidR="00303A2A" w:rsidRPr="00303A2A" w:rsidRDefault="00303A2A" w:rsidP="007106A5">
      <w:pPr>
        <w:widowControl w:val="0"/>
        <w:autoSpaceDE w:val="0"/>
        <w:autoSpaceDN w:val="0"/>
        <w:adjustRightInd w:val="0"/>
        <w:spacing w:after="0" w:line="240" w:lineRule="auto"/>
        <w:ind w:left="0" w:hanging="2"/>
        <w:jc w:val="both"/>
        <w:rPr>
          <w:rFonts w:ascii="Times New Roman" w:hAnsi="Times New Roman" w:cs="Times New Roman"/>
          <w:noProof/>
          <w:sz w:val="24"/>
          <w:szCs w:val="24"/>
        </w:rPr>
      </w:pPr>
      <w:r w:rsidRPr="0006420D">
        <w:rPr>
          <w:rFonts w:ascii="Times New Roman" w:hAnsi="Times New Roman" w:cs="Times New Roman"/>
          <w:noProof/>
          <w:sz w:val="24"/>
          <w:szCs w:val="24"/>
          <w:lang w:val="nb-NO"/>
        </w:rPr>
        <w:t xml:space="preserve">Srivastava, N., Shrivastav, A. K., Srivastava, M., &amp; Mishra, P. K. (2020). </w:t>
      </w:r>
      <w:r w:rsidRPr="00CD4C3E">
        <w:rPr>
          <w:rFonts w:ascii="Times New Roman" w:hAnsi="Times New Roman" w:cs="Times New Roman"/>
          <w:noProof/>
          <w:sz w:val="24"/>
          <w:szCs w:val="24"/>
        </w:rPr>
        <w:t xml:space="preserve">Biofuels production </w:t>
      </w:r>
      <w:r w:rsidR="007106A5" w:rsidRPr="00CD4C3E">
        <w:rPr>
          <w:rFonts w:ascii="Times New Roman" w:hAnsi="Times New Roman" w:cs="Times New Roman"/>
          <w:noProof/>
          <w:sz w:val="24"/>
          <w:szCs w:val="24"/>
        </w:rPr>
        <w:tab/>
      </w:r>
      <w:r w:rsidRPr="00CD4C3E">
        <w:rPr>
          <w:rFonts w:ascii="Times New Roman" w:hAnsi="Times New Roman" w:cs="Times New Roman"/>
          <w:noProof/>
          <w:sz w:val="24"/>
          <w:szCs w:val="24"/>
        </w:rPr>
        <w:t xml:space="preserve">using wheat straw. In </w:t>
      </w:r>
      <w:r w:rsidRPr="00CD4C3E">
        <w:rPr>
          <w:rFonts w:ascii="Times New Roman" w:hAnsi="Times New Roman" w:cs="Times New Roman"/>
          <w:i/>
          <w:iCs/>
          <w:noProof/>
          <w:sz w:val="24"/>
          <w:szCs w:val="24"/>
        </w:rPr>
        <w:t>Recent Developments in Bioenergy Research</w:t>
      </w:r>
      <w:r w:rsidR="00CD4C3E" w:rsidRPr="00CD4C3E">
        <w:rPr>
          <w:rFonts w:ascii="Times New Roman" w:hAnsi="Times New Roman" w:cs="Times New Roman"/>
          <w:noProof/>
          <w:sz w:val="24"/>
          <w:szCs w:val="24"/>
        </w:rPr>
        <w:t>, 433-441.</w:t>
      </w:r>
      <w:r w:rsidRPr="00CD4C3E">
        <w:rPr>
          <w:rFonts w:ascii="Times New Roman" w:hAnsi="Times New Roman" w:cs="Times New Roman"/>
          <w:noProof/>
          <w:sz w:val="24"/>
          <w:szCs w:val="24"/>
        </w:rPr>
        <w:t xml:space="preserve"> </w:t>
      </w:r>
      <w:r w:rsidR="007106A5" w:rsidRPr="00CD4C3E">
        <w:rPr>
          <w:rFonts w:ascii="Times New Roman" w:hAnsi="Times New Roman" w:cs="Times New Roman"/>
          <w:noProof/>
          <w:sz w:val="24"/>
          <w:szCs w:val="24"/>
        </w:rPr>
        <w:tab/>
      </w:r>
      <w:r w:rsidRPr="00CD4C3E">
        <w:rPr>
          <w:rFonts w:ascii="Times New Roman" w:hAnsi="Times New Roman" w:cs="Times New Roman"/>
          <w:noProof/>
          <w:sz w:val="24"/>
          <w:szCs w:val="24"/>
        </w:rPr>
        <w:t>https://doi.org/10.1016/b978-0-12-819597-0.00029-5</w:t>
      </w:r>
    </w:p>
    <w:p w14:paraId="3EDC8EFA" w14:textId="0C9AFF01" w:rsidR="00303A2A" w:rsidRPr="00303A2A" w:rsidRDefault="00303A2A" w:rsidP="007106A5">
      <w:pPr>
        <w:widowControl w:val="0"/>
        <w:autoSpaceDE w:val="0"/>
        <w:autoSpaceDN w:val="0"/>
        <w:adjustRightInd w:val="0"/>
        <w:spacing w:after="0" w:line="240" w:lineRule="auto"/>
        <w:ind w:left="0" w:hanging="2"/>
        <w:jc w:val="both"/>
        <w:rPr>
          <w:rFonts w:ascii="Times New Roman" w:hAnsi="Times New Roman" w:cs="Times New Roman"/>
          <w:noProof/>
          <w:sz w:val="24"/>
          <w:szCs w:val="24"/>
        </w:rPr>
      </w:pPr>
      <w:r w:rsidRPr="00303A2A">
        <w:rPr>
          <w:rFonts w:ascii="Times New Roman" w:hAnsi="Times New Roman" w:cs="Times New Roman"/>
          <w:noProof/>
          <w:sz w:val="24"/>
          <w:szCs w:val="24"/>
        </w:rPr>
        <w:t xml:space="preserve">Weightman, R. M., Cottrill, B. R., Wiltshire, J. J. J., Kindred, D. R., &amp; Sylvester-Bradley, R. </w:t>
      </w:r>
      <w:r w:rsidR="009840FA">
        <w:rPr>
          <w:rFonts w:ascii="Times New Roman" w:hAnsi="Times New Roman" w:cs="Times New Roman"/>
          <w:noProof/>
          <w:sz w:val="24"/>
          <w:szCs w:val="24"/>
        </w:rPr>
        <w:tab/>
      </w:r>
      <w:r w:rsidRPr="00303A2A">
        <w:rPr>
          <w:rFonts w:ascii="Times New Roman" w:hAnsi="Times New Roman" w:cs="Times New Roman"/>
          <w:noProof/>
          <w:sz w:val="24"/>
          <w:szCs w:val="24"/>
        </w:rPr>
        <w:t xml:space="preserve">(2011). Opportunities for avoidance of land-use change through substitution of soya bean </w:t>
      </w:r>
      <w:r w:rsidR="009840FA">
        <w:rPr>
          <w:rFonts w:ascii="Times New Roman" w:hAnsi="Times New Roman" w:cs="Times New Roman"/>
          <w:noProof/>
          <w:sz w:val="24"/>
          <w:szCs w:val="24"/>
        </w:rPr>
        <w:tab/>
      </w:r>
      <w:r w:rsidRPr="00303A2A">
        <w:rPr>
          <w:rFonts w:ascii="Times New Roman" w:hAnsi="Times New Roman" w:cs="Times New Roman"/>
          <w:noProof/>
          <w:sz w:val="24"/>
          <w:szCs w:val="24"/>
        </w:rPr>
        <w:t xml:space="preserve">meal and cereals in European livestock diets with bioethanol coproducts. </w:t>
      </w:r>
      <w:r w:rsidRPr="00303A2A">
        <w:rPr>
          <w:rFonts w:ascii="Times New Roman" w:hAnsi="Times New Roman" w:cs="Times New Roman"/>
          <w:i/>
          <w:iCs/>
          <w:noProof/>
          <w:sz w:val="24"/>
          <w:szCs w:val="24"/>
        </w:rPr>
        <w:t>GCB Bioenergy</w:t>
      </w:r>
      <w:r w:rsidRPr="00303A2A">
        <w:rPr>
          <w:rFonts w:ascii="Times New Roman" w:hAnsi="Times New Roman" w:cs="Times New Roman"/>
          <w:noProof/>
          <w:sz w:val="24"/>
          <w:szCs w:val="24"/>
        </w:rPr>
        <w:t xml:space="preserve">, </w:t>
      </w:r>
      <w:r w:rsidR="009840FA">
        <w:rPr>
          <w:rFonts w:ascii="Times New Roman" w:hAnsi="Times New Roman" w:cs="Times New Roman"/>
          <w:noProof/>
          <w:sz w:val="24"/>
          <w:szCs w:val="24"/>
        </w:rPr>
        <w:tab/>
      </w:r>
      <w:r w:rsidRPr="00303A2A">
        <w:rPr>
          <w:rFonts w:ascii="Times New Roman" w:hAnsi="Times New Roman" w:cs="Times New Roman"/>
          <w:i/>
          <w:iCs/>
          <w:noProof/>
          <w:sz w:val="24"/>
          <w:szCs w:val="24"/>
        </w:rPr>
        <w:t>3</w:t>
      </w:r>
      <w:r w:rsidRPr="00303A2A">
        <w:rPr>
          <w:rFonts w:ascii="Times New Roman" w:hAnsi="Times New Roman" w:cs="Times New Roman"/>
          <w:noProof/>
          <w:sz w:val="24"/>
          <w:szCs w:val="24"/>
        </w:rPr>
        <w:t>(2), 158–170. https://doi.org/10.1111/j.1757-1707.2010.01066.x</w:t>
      </w:r>
    </w:p>
    <w:p w14:paraId="2E65D25B" w14:textId="59B05E04" w:rsidR="00303A2A" w:rsidRPr="00303A2A" w:rsidRDefault="00303A2A" w:rsidP="007106A5">
      <w:pPr>
        <w:widowControl w:val="0"/>
        <w:autoSpaceDE w:val="0"/>
        <w:autoSpaceDN w:val="0"/>
        <w:adjustRightInd w:val="0"/>
        <w:spacing w:after="0" w:line="240" w:lineRule="auto"/>
        <w:ind w:left="0" w:hanging="2"/>
        <w:jc w:val="both"/>
        <w:rPr>
          <w:rFonts w:ascii="Times New Roman" w:hAnsi="Times New Roman" w:cs="Times New Roman"/>
          <w:noProof/>
          <w:sz w:val="24"/>
        </w:rPr>
      </w:pPr>
      <w:r w:rsidRPr="00CD4C3E">
        <w:rPr>
          <w:rFonts w:ascii="Times New Roman" w:hAnsi="Times New Roman" w:cs="Times New Roman"/>
          <w:noProof/>
          <w:sz w:val="24"/>
          <w:szCs w:val="24"/>
        </w:rPr>
        <w:t xml:space="preserve">Zainal, N. R., &amp; Mohamad, S. (2013). Sustainable mobility through public transport initiatives: </w:t>
      </w:r>
      <w:r w:rsidR="009840FA" w:rsidRPr="00CD4C3E">
        <w:rPr>
          <w:rFonts w:ascii="Times New Roman" w:hAnsi="Times New Roman" w:cs="Times New Roman"/>
          <w:noProof/>
          <w:sz w:val="24"/>
          <w:szCs w:val="24"/>
        </w:rPr>
        <w:tab/>
      </w:r>
      <w:r w:rsidRPr="00CD4C3E">
        <w:rPr>
          <w:rFonts w:ascii="Times New Roman" w:hAnsi="Times New Roman" w:cs="Times New Roman"/>
          <w:noProof/>
          <w:sz w:val="24"/>
          <w:szCs w:val="24"/>
        </w:rPr>
        <w:t xml:space="preserve">The case of Johor Bahru Consumers. </w:t>
      </w:r>
      <w:r w:rsidRPr="00CD4C3E">
        <w:rPr>
          <w:rFonts w:ascii="Times New Roman" w:hAnsi="Times New Roman" w:cs="Times New Roman"/>
          <w:i/>
          <w:iCs/>
          <w:noProof/>
          <w:sz w:val="24"/>
          <w:szCs w:val="24"/>
        </w:rPr>
        <w:t xml:space="preserve">Malaysian Journal of Consumer and Family </w:t>
      </w:r>
      <w:r w:rsidR="009840FA" w:rsidRPr="00CD4C3E">
        <w:rPr>
          <w:rFonts w:ascii="Times New Roman" w:hAnsi="Times New Roman" w:cs="Times New Roman"/>
          <w:i/>
          <w:iCs/>
          <w:noProof/>
          <w:sz w:val="24"/>
          <w:szCs w:val="24"/>
        </w:rPr>
        <w:tab/>
      </w:r>
      <w:r w:rsidRPr="00CD4C3E">
        <w:rPr>
          <w:rFonts w:ascii="Times New Roman" w:hAnsi="Times New Roman" w:cs="Times New Roman"/>
          <w:i/>
          <w:iCs/>
          <w:noProof/>
          <w:sz w:val="24"/>
          <w:szCs w:val="24"/>
        </w:rPr>
        <w:t>Economics</w:t>
      </w:r>
      <w:r w:rsidRPr="00CD4C3E">
        <w:rPr>
          <w:rFonts w:ascii="Times New Roman" w:hAnsi="Times New Roman" w:cs="Times New Roman"/>
          <w:noProof/>
          <w:sz w:val="24"/>
          <w:szCs w:val="24"/>
        </w:rPr>
        <w:t xml:space="preserve">, </w:t>
      </w:r>
      <w:r w:rsidRPr="00CD4C3E">
        <w:rPr>
          <w:rFonts w:ascii="Times New Roman" w:hAnsi="Times New Roman" w:cs="Times New Roman"/>
          <w:i/>
          <w:iCs/>
          <w:noProof/>
          <w:sz w:val="24"/>
          <w:szCs w:val="24"/>
        </w:rPr>
        <w:t>16</w:t>
      </w:r>
      <w:r w:rsidR="00CD4C3E" w:rsidRPr="00CD4C3E">
        <w:rPr>
          <w:rFonts w:ascii="Times New Roman" w:hAnsi="Times New Roman" w:cs="Times New Roman"/>
          <w:noProof/>
          <w:sz w:val="24"/>
          <w:szCs w:val="24"/>
        </w:rPr>
        <w:t>(1)</w:t>
      </w:r>
      <w:r w:rsidRPr="00CD4C3E">
        <w:rPr>
          <w:rFonts w:ascii="Times New Roman" w:hAnsi="Times New Roman" w:cs="Times New Roman"/>
          <w:noProof/>
          <w:sz w:val="24"/>
          <w:szCs w:val="24"/>
        </w:rPr>
        <w:t>, 67–77.</w:t>
      </w:r>
    </w:p>
    <w:p w14:paraId="30D8C4B2" w14:textId="2EE530F4" w:rsidR="0057592A" w:rsidRDefault="00303A2A" w:rsidP="0006420D">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sectPr w:rsidR="0057592A" w:rsidSect="002638D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79"/>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8859" w14:textId="77777777" w:rsidR="00504C6B" w:rsidRDefault="00504C6B">
      <w:pPr>
        <w:spacing w:after="0" w:line="240" w:lineRule="auto"/>
        <w:ind w:left="0" w:hanging="2"/>
      </w:pPr>
      <w:r>
        <w:separator/>
      </w:r>
    </w:p>
  </w:endnote>
  <w:endnote w:type="continuationSeparator" w:id="0">
    <w:p w14:paraId="44EBD88C" w14:textId="77777777" w:rsidR="00504C6B" w:rsidRDefault="00504C6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21248" w14:textId="77777777" w:rsidR="00905B69" w:rsidRDefault="00905B69">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152C4" w14:textId="77777777" w:rsidR="00905B69" w:rsidRDefault="00905B69">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895A7" w14:textId="77777777" w:rsidR="00905B69" w:rsidRDefault="00905B69">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7AB1B" w14:textId="77777777" w:rsidR="00504C6B" w:rsidRDefault="00504C6B">
      <w:pPr>
        <w:spacing w:after="0" w:line="240" w:lineRule="auto"/>
        <w:ind w:left="0" w:hanging="2"/>
      </w:pPr>
      <w:r>
        <w:separator/>
      </w:r>
    </w:p>
  </w:footnote>
  <w:footnote w:type="continuationSeparator" w:id="0">
    <w:p w14:paraId="3F884008" w14:textId="77777777" w:rsidR="00504C6B" w:rsidRDefault="00504C6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D0A75" w14:textId="77777777" w:rsidR="00905B69" w:rsidRDefault="00905B69">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1952310441"/>
      <w:docPartObj>
        <w:docPartGallery w:val="Page Numbers (Top of Page)"/>
        <w:docPartUnique/>
      </w:docPartObj>
    </w:sdtPr>
    <w:sdtEndPr>
      <w:rPr>
        <w:noProof/>
      </w:rPr>
    </w:sdtEndPr>
    <w:sdtContent>
      <w:p w14:paraId="21995EAC" w14:textId="5B5BD00A" w:rsidR="002638D8" w:rsidRPr="002638D8" w:rsidRDefault="002638D8" w:rsidP="002638D8">
        <w:pPr>
          <w:tabs>
            <w:tab w:val="left" w:pos="720"/>
            <w:tab w:val="center" w:pos="4680"/>
            <w:tab w:val="right" w:pos="9360"/>
          </w:tabs>
          <w:spacing w:after="0" w:line="240" w:lineRule="auto"/>
          <w:ind w:leftChars="0" w:left="2" w:hanging="2"/>
          <w:rPr>
            <w:rFonts w:ascii="Times New Roman" w:hAnsi="Times New Roman" w:cs="Times New Roman"/>
            <w:position w:val="0"/>
            <w:sz w:val="18"/>
            <w:szCs w:val="18"/>
          </w:rPr>
        </w:pPr>
        <w:proofErr w:type="spellStart"/>
        <w:r w:rsidRPr="002638D8">
          <w:rPr>
            <w:rFonts w:ascii="Times New Roman" w:hAnsi="Times New Roman" w:cs="Times New Roman"/>
            <w:sz w:val="18"/>
            <w:szCs w:val="18"/>
          </w:rPr>
          <w:t>Geografia</w:t>
        </w:r>
        <w:proofErr w:type="spellEnd"/>
        <w:r w:rsidRPr="002638D8">
          <w:rPr>
            <w:rFonts w:ascii="Times New Roman" w:hAnsi="Times New Roman" w:cs="Times New Roman"/>
            <w:sz w:val="18"/>
            <w:szCs w:val="18"/>
          </w:rPr>
          <w:t>-Malaysian Journal of Society and Space</w:t>
        </w:r>
        <w:r w:rsidRPr="002638D8">
          <w:rPr>
            <w:rFonts w:ascii="Times New Roman" w:hAnsi="Times New Roman" w:cs="Times New Roman"/>
            <w:b/>
            <w:sz w:val="18"/>
            <w:szCs w:val="18"/>
          </w:rPr>
          <w:t xml:space="preserve"> </w:t>
        </w:r>
        <w:r w:rsidRPr="002638D8">
          <w:rPr>
            <w:rFonts w:ascii="Times New Roman" w:hAnsi="Times New Roman" w:cs="Times New Roman"/>
            <w:sz w:val="18"/>
            <w:szCs w:val="18"/>
          </w:rPr>
          <w:t>19 issue</w:t>
        </w:r>
        <w:r w:rsidRPr="002638D8">
          <w:rPr>
            <w:rFonts w:ascii="Times New Roman" w:hAnsi="Times New Roman" w:cs="Times New Roman"/>
            <w:b/>
            <w:sz w:val="18"/>
            <w:szCs w:val="18"/>
          </w:rPr>
          <w:t xml:space="preserve"> </w:t>
        </w:r>
        <w:r w:rsidRPr="002638D8">
          <w:rPr>
            <w:rFonts w:ascii="Times New Roman" w:hAnsi="Times New Roman" w:cs="Times New Roman"/>
            <w:sz w:val="18"/>
            <w:szCs w:val="18"/>
          </w:rPr>
          <w:t>1</w:t>
        </w:r>
        <w:r w:rsidRPr="002638D8">
          <w:rPr>
            <w:rFonts w:ascii="Times New Roman" w:hAnsi="Times New Roman" w:cs="Times New Roman"/>
            <w:b/>
            <w:sz w:val="18"/>
            <w:szCs w:val="18"/>
          </w:rPr>
          <w:t xml:space="preserve"> </w:t>
        </w:r>
        <w:r w:rsidRPr="002638D8">
          <w:rPr>
            <w:rFonts w:ascii="Times New Roman" w:hAnsi="Times New Roman" w:cs="Times New Roman"/>
            <w:sz w:val="18"/>
            <w:szCs w:val="18"/>
          </w:rPr>
          <w:t>(</w:t>
        </w:r>
        <w:r w:rsidR="00EF4EA2">
          <w:rPr>
            <w:rFonts w:ascii="Times New Roman" w:hAnsi="Times New Roman" w:cs="Times New Roman"/>
            <w:sz w:val="18"/>
            <w:szCs w:val="18"/>
          </w:rPr>
          <w:t>179-189</w:t>
        </w:r>
        <w:r w:rsidRPr="002638D8">
          <w:rPr>
            <w:rFonts w:ascii="Times New Roman" w:hAnsi="Times New Roman" w:cs="Times New Roman"/>
            <w:sz w:val="18"/>
            <w:szCs w:val="18"/>
          </w:rPr>
          <w:t>)</w:t>
        </w:r>
      </w:p>
      <w:p w14:paraId="13BC333C" w14:textId="432086C9" w:rsidR="002638D8" w:rsidRPr="002638D8" w:rsidRDefault="002638D8" w:rsidP="002638D8">
        <w:pPr>
          <w:pStyle w:val="Header"/>
          <w:tabs>
            <w:tab w:val="left" w:pos="8931"/>
          </w:tabs>
          <w:spacing w:after="0" w:line="240" w:lineRule="auto"/>
          <w:ind w:left="0" w:hanging="2"/>
          <w:rPr>
            <w:rFonts w:ascii="Times New Roman" w:hAnsi="Times New Roman" w:cs="Times New Roman"/>
            <w:sz w:val="18"/>
            <w:szCs w:val="18"/>
          </w:rPr>
        </w:pPr>
        <w:r w:rsidRPr="002638D8">
          <w:rPr>
            <w:rFonts w:ascii="Times New Roman" w:hAnsi="Times New Roman" w:cs="Times New Roman"/>
            <w:sz w:val="18"/>
            <w:szCs w:val="18"/>
          </w:rPr>
          <w:t xml:space="preserve">© 2023, e-ISSN 2682-7727  </w:t>
        </w:r>
        <w:bookmarkStart w:id="15" w:name="_GoBack"/>
        <w:r w:rsidR="00EF4EA2" w:rsidRPr="00EF4EA2">
          <w:rPr>
            <w:rFonts w:ascii="Times New Roman" w:hAnsi="Times New Roman" w:cs="Times New Roman"/>
            <w:sz w:val="18"/>
            <w:szCs w:val="18"/>
          </w:rPr>
          <w:fldChar w:fldCharType="begin"/>
        </w:r>
        <w:r w:rsidR="00EF4EA2" w:rsidRPr="00EF4EA2">
          <w:rPr>
            <w:rFonts w:ascii="Times New Roman" w:hAnsi="Times New Roman" w:cs="Times New Roman"/>
            <w:sz w:val="18"/>
            <w:szCs w:val="18"/>
          </w:rPr>
          <w:instrText xml:space="preserve"> HYPERLINK "https://doi.org/10.17576/geo-2023-1901-13" </w:instrText>
        </w:r>
        <w:r w:rsidR="00EF4EA2" w:rsidRPr="00EF4EA2">
          <w:rPr>
            <w:rFonts w:ascii="Times New Roman" w:hAnsi="Times New Roman" w:cs="Times New Roman"/>
            <w:sz w:val="18"/>
            <w:szCs w:val="18"/>
          </w:rPr>
        </w:r>
        <w:r w:rsidR="00EF4EA2" w:rsidRPr="00EF4EA2">
          <w:rPr>
            <w:rFonts w:ascii="Times New Roman" w:hAnsi="Times New Roman" w:cs="Times New Roman"/>
            <w:sz w:val="18"/>
            <w:szCs w:val="18"/>
          </w:rPr>
          <w:fldChar w:fldCharType="separate"/>
        </w:r>
        <w:r w:rsidRPr="00EF4EA2">
          <w:rPr>
            <w:rStyle w:val="Hyperlink"/>
            <w:rFonts w:ascii="Times New Roman" w:hAnsi="Times New Roman" w:cs="Times New Roman"/>
            <w:color w:val="auto"/>
            <w:sz w:val="18"/>
            <w:szCs w:val="18"/>
            <w:u w:val="none"/>
          </w:rPr>
          <w:t>https://doi.org/10.17576/geo-2023-1901-13</w:t>
        </w:r>
        <w:r w:rsidR="00EF4EA2" w:rsidRPr="00EF4EA2">
          <w:rPr>
            <w:rFonts w:ascii="Times New Roman" w:hAnsi="Times New Roman" w:cs="Times New Roman"/>
            <w:sz w:val="18"/>
            <w:szCs w:val="18"/>
          </w:rPr>
          <w:fldChar w:fldCharType="end"/>
        </w:r>
        <w:bookmarkEnd w:id="15"/>
        <w:r>
          <w:rPr>
            <w:rFonts w:ascii="Times New Roman" w:hAnsi="Times New Roman" w:cs="Times New Roman"/>
            <w:sz w:val="18"/>
            <w:szCs w:val="18"/>
          </w:rPr>
          <w:tab/>
        </w:r>
        <w:r w:rsidRPr="002638D8">
          <w:rPr>
            <w:rFonts w:ascii="Times New Roman" w:hAnsi="Times New Roman" w:cs="Times New Roman"/>
            <w:sz w:val="18"/>
            <w:szCs w:val="18"/>
          </w:rPr>
          <w:fldChar w:fldCharType="begin"/>
        </w:r>
        <w:r w:rsidRPr="002638D8">
          <w:rPr>
            <w:rFonts w:ascii="Times New Roman" w:hAnsi="Times New Roman" w:cs="Times New Roman"/>
            <w:sz w:val="18"/>
            <w:szCs w:val="18"/>
          </w:rPr>
          <w:instrText xml:space="preserve"> PAGE   \* MERGEFORMAT </w:instrText>
        </w:r>
        <w:r w:rsidRPr="002638D8">
          <w:rPr>
            <w:rFonts w:ascii="Times New Roman" w:hAnsi="Times New Roman" w:cs="Times New Roman"/>
            <w:sz w:val="18"/>
            <w:szCs w:val="18"/>
          </w:rPr>
          <w:fldChar w:fldCharType="separate"/>
        </w:r>
        <w:r w:rsidR="00EF4EA2">
          <w:rPr>
            <w:rFonts w:ascii="Times New Roman" w:hAnsi="Times New Roman" w:cs="Times New Roman"/>
            <w:noProof/>
            <w:sz w:val="18"/>
            <w:szCs w:val="18"/>
          </w:rPr>
          <w:t>189</w:t>
        </w:r>
        <w:r w:rsidRPr="002638D8">
          <w:rPr>
            <w:rFonts w:ascii="Times New Roman" w:hAnsi="Times New Roman" w:cs="Times New Roman"/>
            <w:noProof/>
            <w:sz w:val="18"/>
            <w:szCs w:val="18"/>
          </w:rPr>
          <w:fldChar w:fldCharType="end"/>
        </w:r>
      </w:p>
    </w:sdtContent>
  </w:sdt>
  <w:p w14:paraId="0075A8C9" w14:textId="7A4066FF" w:rsidR="0057592A" w:rsidRPr="002638D8" w:rsidRDefault="0057592A" w:rsidP="002638D8">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2EE14" w14:textId="77777777" w:rsidR="00905B69" w:rsidRDefault="00905B69">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B5E4C"/>
    <w:multiLevelType w:val="hybridMultilevel"/>
    <w:tmpl w:val="860A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UwMjE3MjAxsDA3NDFT0lEKTi0uzszPAykwrQUALx8PjiwAAAA="/>
  </w:docVars>
  <w:rsids>
    <w:rsidRoot w:val="0057592A"/>
    <w:rsid w:val="0006420D"/>
    <w:rsid w:val="0019771A"/>
    <w:rsid w:val="001A52CA"/>
    <w:rsid w:val="001E4B68"/>
    <w:rsid w:val="002034C5"/>
    <w:rsid w:val="00211AAB"/>
    <w:rsid w:val="0025474F"/>
    <w:rsid w:val="002638D8"/>
    <w:rsid w:val="00291A99"/>
    <w:rsid w:val="002C1CE4"/>
    <w:rsid w:val="002E00E1"/>
    <w:rsid w:val="00303A2A"/>
    <w:rsid w:val="00320380"/>
    <w:rsid w:val="0036256B"/>
    <w:rsid w:val="003E5F8B"/>
    <w:rsid w:val="00413E23"/>
    <w:rsid w:val="00472C8E"/>
    <w:rsid w:val="00472DC3"/>
    <w:rsid w:val="00501C7F"/>
    <w:rsid w:val="00504C6B"/>
    <w:rsid w:val="0057592A"/>
    <w:rsid w:val="0060131B"/>
    <w:rsid w:val="006B1759"/>
    <w:rsid w:val="006B22A2"/>
    <w:rsid w:val="006D3BED"/>
    <w:rsid w:val="007106A5"/>
    <w:rsid w:val="00782932"/>
    <w:rsid w:val="00905B69"/>
    <w:rsid w:val="00922B2C"/>
    <w:rsid w:val="009644A7"/>
    <w:rsid w:val="009840FA"/>
    <w:rsid w:val="009C7F8C"/>
    <w:rsid w:val="00AF332C"/>
    <w:rsid w:val="00B4473A"/>
    <w:rsid w:val="00B733DC"/>
    <w:rsid w:val="00C32E30"/>
    <w:rsid w:val="00CD4C3E"/>
    <w:rsid w:val="00D06E23"/>
    <w:rsid w:val="00D26DE1"/>
    <w:rsid w:val="00D41022"/>
    <w:rsid w:val="00D6406E"/>
    <w:rsid w:val="00D73B0F"/>
    <w:rsid w:val="00DB0ECB"/>
    <w:rsid w:val="00DD0EE7"/>
    <w:rsid w:val="00E07494"/>
    <w:rsid w:val="00E36BD4"/>
    <w:rsid w:val="00E6621D"/>
    <w:rsid w:val="00E77595"/>
    <w:rsid w:val="00EE3FAC"/>
    <w:rsid w:val="00EF4EA2"/>
    <w:rsid w:val="00F42DBA"/>
    <w:rsid w:val="00FF633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4C179"/>
  <w15:docId w15:val="{FB8B1636-72A2-4B5C-99B2-02956487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500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Which type of vehicles is more suitable for HFCV adaption?</a:t>
            </a:r>
          </a:p>
        </c:rich>
      </c:tx>
      <c:layout>
        <c:manualLayout>
          <c:xMode val="edge"/>
          <c:yMode val="edge"/>
          <c:x val="0.14397905759162305"/>
          <c:y val="1.968503937007874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848038335598929"/>
          <c:y val="0.19626133948085386"/>
          <c:w val="0.84623483546641365"/>
          <c:h val="0.56989251373561511"/>
        </c:manualLayout>
      </c:layout>
      <c:barChart>
        <c:barDir val="col"/>
        <c:grouping val="clustered"/>
        <c:varyColors val="0"/>
        <c:ser>
          <c:idx val="0"/>
          <c:order val="0"/>
          <c:tx>
            <c:strRef>
              <c:f>Sheet1!$B$1</c:f>
              <c:strCache>
                <c:ptCount val="1"/>
                <c:pt idx="0">
                  <c:v>Cheras </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Car/Bus</c:v>
                </c:pt>
                <c:pt idx="1">
                  <c:v>Lorry/Heavy Vechicles</c:v>
                </c:pt>
              </c:strCache>
            </c:strRef>
          </c:cat>
          <c:val>
            <c:numRef>
              <c:f>Sheet1!$B$2:$B$3</c:f>
              <c:numCache>
                <c:formatCode>0%</c:formatCode>
                <c:ptCount val="2"/>
                <c:pt idx="0">
                  <c:v>1</c:v>
                </c:pt>
                <c:pt idx="1">
                  <c:v>0.8</c:v>
                </c:pt>
              </c:numCache>
            </c:numRef>
          </c:val>
          <c:extLst>
            <c:ext xmlns:c16="http://schemas.microsoft.com/office/drawing/2014/chart" uri="{C3380CC4-5D6E-409C-BE32-E72D297353CC}">
              <c16:uniqueId val="{00000000-D02D-4127-9C94-E8FAD40AFAA7}"/>
            </c:ext>
          </c:extLst>
        </c:ser>
        <c:ser>
          <c:idx val="1"/>
          <c:order val="1"/>
          <c:tx>
            <c:strRef>
              <c:f>Sheet1!$C$1</c:f>
              <c:strCache>
                <c:ptCount val="1"/>
                <c:pt idx="0">
                  <c:v>Bandar Tun Razak</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Car/Bus</c:v>
                </c:pt>
                <c:pt idx="1">
                  <c:v>Lorry/Heavy Vechicles</c:v>
                </c:pt>
              </c:strCache>
            </c:strRef>
          </c:cat>
          <c:val>
            <c:numRef>
              <c:f>Sheet1!$C$2:$C$3</c:f>
              <c:numCache>
                <c:formatCode>0.00%</c:formatCode>
                <c:ptCount val="2"/>
                <c:pt idx="0" formatCode="0%">
                  <c:v>1</c:v>
                </c:pt>
                <c:pt idx="1">
                  <c:v>0.622</c:v>
                </c:pt>
              </c:numCache>
            </c:numRef>
          </c:val>
          <c:extLst>
            <c:ext xmlns:c16="http://schemas.microsoft.com/office/drawing/2014/chart" uri="{C3380CC4-5D6E-409C-BE32-E72D297353CC}">
              <c16:uniqueId val="{00000001-D02D-4127-9C94-E8FAD40AFAA7}"/>
            </c:ext>
          </c:extLst>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Car/Bus</c:v>
                </c:pt>
                <c:pt idx="1">
                  <c:v>Lorry/Heavy Vechicles</c:v>
                </c:pt>
              </c:strCache>
            </c:strRef>
          </c:cat>
          <c:val>
            <c:numRef>
              <c:f>Sheet1!$D$2:$D$3</c:f>
            </c:numRef>
          </c:val>
          <c:extLst>
            <c:ext xmlns:c16="http://schemas.microsoft.com/office/drawing/2014/chart" uri="{C3380CC4-5D6E-409C-BE32-E72D297353CC}">
              <c16:uniqueId val="{00000002-D02D-4127-9C94-E8FAD40AFAA7}"/>
            </c:ext>
          </c:extLst>
        </c:ser>
        <c:dLbls>
          <c:showLegendKey val="0"/>
          <c:showVal val="1"/>
          <c:showCatName val="0"/>
          <c:showSerName val="0"/>
          <c:showPercent val="0"/>
          <c:showBubbleSize val="0"/>
        </c:dLbls>
        <c:gapWidth val="219"/>
        <c:overlap val="-27"/>
        <c:axId val="1205061040"/>
        <c:axId val="1"/>
      </c:barChart>
      <c:catAx>
        <c:axId val="1205061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05061040"/>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MY" sz="1000">
                <a:latin typeface="Times New Roman" panose="02020603050405020304" pitchFamily="18" charset="0"/>
                <a:cs typeface="Times New Roman" panose="02020603050405020304" pitchFamily="18" charset="0"/>
              </a:rPr>
              <a:t>Japanese car brand that has adopted HFCV in Malaysia </a:t>
            </a:r>
          </a:p>
        </c:rich>
      </c:tx>
      <c:layout>
        <c:manualLayout>
          <c:xMode val="edge"/>
          <c:yMode val="edge"/>
          <c:x val="0.24991803295015647"/>
          <c:y val="1.8965555322414996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228019004362999"/>
          <c:y val="0.15947316540183609"/>
          <c:w val="0.85152745394696261"/>
          <c:h val="0.60981928435173416"/>
        </c:manualLayout>
      </c:layout>
      <c:barChart>
        <c:barDir val="col"/>
        <c:grouping val="clustered"/>
        <c:varyColors val="0"/>
        <c:ser>
          <c:idx val="0"/>
          <c:order val="0"/>
          <c:tx>
            <c:strRef>
              <c:f>Sheet1!$B$1</c:f>
              <c:strCache>
                <c:ptCount val="1"/>
                <c:pt idx="0">
                  <c:v>Cheras</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Toyata</c:v>
                </c:pt>
                <c:pt idx="1">
                  <c:v>Honda</c:v>
                </c:pt>
                <c:pt idx="2">
                  <c:v>Nissan</c:v>
                </c:pt>
                <c:pt idx="3">
                  <c:v>Mitsubishi</c:v>
                </c:pt>
              </c:strCache>
            </c:strRef>
          </c:cat>
          <c:val>
            <c:numRef>
              <c:f>Sheet1!$B$2:$B$5</c:f>
              <c:numCache>
                <c:formatCode>0%</c:formatCode>
                <c:ptCount val="4"/>
                <c:pt idx="0" formatCode="0.00%">
                  <c:v>0.97599999999999998</c:v>
                </c:pt>
                <c:pt idx="1">
                  <c:v>0.90600000000000003</c:v>
                </c:pt>
                <c:pt idx="2" formatCode="0.00%">
                  <c:v>0.25900000000000001</c:v>
                </c:pt>
                <c:pt idx="3" formatCode="0.00%">
                  <c:v>0.11799999999999999</c:v>
                </c:pt>
              </c:numCache>
            </c:numRef>
          </c:val>
          <c:extLst>
            <c:ext xmlns:c16="http://schemas.microsoft.com/office/drawing/2014/chart" uri="{C3380CC4-5D6E-409C-BE32-E72D297353CC}">
              <c16:uniqueId val="{00000000-9AF4-4492-82E4-B9B228F68887}"/>
            </c:ext>
          </c:extLst>
        </c:ser>
        <c:ser>
          <c:idx val="1"/>
          <c:order val="1"/>
          <c:tx>
            <c:strRef>
              <c:f>Sheet1!$C$1</c:f>
              <c:strCache>
                <c:ptCount val="1"/>
                <c:pt idx="0">
                  <c:v>Bandar Tun Razak </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Toyata</c:v>
                </c:pt>
                <c:pt idx="1">
                  <c:v>Honda</c:v>
                </c:pt>
                <c:pt idx="2">
                  <c:v>Nissan</c:v>
                </c:pt>
                <c:pt idx="3">
                  <c:v>Mitsubishi</c:v>
                </c:pt>
              </c:strCache>
            </c:strRef>
          </c:cat>
          <c:val>
            <c:numRef>
              <c:f>Sheet1!$C$2:$C$5</c:f>
              <c:numCache>
                <c:formatCode>0.00%</c:formatCode>
                <c:ptCount val="4"/>
                <c:pt idx="0">
                  <c:v>0.82199999999999995</c:v>
                </c:pt>
                <c:pt idx="1">
                  <c:v>0.73299999999999998</c:v>
                </c:pt>
                <c:pt idx="2">
                  <c:v>0.622</c:v>
                </c:pt>
                <c:pt idx="3">
                  <c:v>0.53300000000000003</c:v>
                </c:pt>
              </c:numCache>
            </c:numRef>
          </c:val>
          <c:extLst>
            <c:ext xmlns:c16="http://schemas.microsoft.com/office/drawing/2014/chart" uri="{C3380CC4-5D6E-409C-BE32-E72D297353CC}">
              <c16:uniqueId val="{00000001-9AF4-4492-82E4-B9B228F68887}"/>
            </c:ext>
          </c:extLst>
        </c:ser>
        <c:dLbls>
          <c:showLegendKey val="0"/>
          <c:showVal val="1"/>
          <c:showCatName val="0"/>
          <c:showSerName val="0"/>
          <c:showPercent val="0"/>
          <c:showBubbleSize val="0"/>
        </c:dLbls>
        <c:gapWidth val="219"/>
        <c:overlap val="-27"/>
        <c:axId val="1205854320"/>
        <c:axId val="1"/>
      </c:barChart>
      <c:catAx>
        <c:axId val="120585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05854320"/>
        <c:crosses val="autoZero"/>
        <c:crossBetween val="between"/>
      </c:valAx>
      <c:spPr>
        <a:noFill/>
        <a:ln>
          <a:noFill/>
        </a:ln>
        <a:effectLst/>
      </c:spPr>
    </c:plotArea>
    <c:legend>
      <c:legendPos val="b"/>
      <c:layout>
        <c:manualLayout>
          <c:xMode val="edge"/>
          <c:yMode val="edge"/>
          <c:x val="0.30461818957266462"/>
          <c:y val="0.88089698135648853"/>
          <c:w val="0.3856292896002555"/>
          <c:h val="6.396747069512238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AMUW2mVAx/zV5va1gAJKp5+sOG+pdp8k67xfC38exX+E4w1DevpSXIl/tfqrAKyaePt3v1CVCUeZb9X2Fxe1L1m5+GBThP2SlfKJKlwrs1B26HIk0SveT5ptcKQqmDWz9iavI611U5ua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514823-17E9-4C29-B198-B7C5E515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12366</Words>
  <Characters>70487</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2023-02-23T06:45:00Z</dcterms:created>
  <dcterms:modified xsi:type="dcterms:W3CDTF">2023-02-23T06:47:00Z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Document_1">
    <vt:lpwstr>True</vt:lpwstr>
  </property>
  <property fmtid="{D5CDD505-2E9C-101B-9397-08002B2CF9AE}" pid="4" name="Mendeley Unique User Id_1">
    <vt:lpwstr>59630710-60dc-38b4-b265-f10ff3043988</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http://www.zotero.org/styles/industrial-marketing-management</vt:lpwstr>
  </property>
  <property fmtid="{D5CDD505-2E9C-101B-9397-08002B2CF9AE}" pid="19" name="Mendeley Recent Style Name 6_1">
    <vt:lpwstr>Industrial Marketing Management</vt:lpwstr>
  </property>
  <property fmtid="{D5CDD505-2E9C-101B-9397-08002B2CF9AE}" pid="20" name="Mendeley Recent Style Id 7_1">
    <vt:lpwstr>http://www.zotero.org/styles/journal-of-cleaner-production</vt:lpwstr>
  </property>
  <property fmtid="{D5CDD505-2E9C-101B-9397-08002B2CF9AE}" pid="21" name="Mendeley Recent Style Name 7_1">
    <vt:lpwstr>Journal of Cleaner Production</vt:lpwstr>
  </property>
  <property fmtid="{D5CDD505-2E9C-101B-9397-08002B2CF9AE}" pid="22" name="Mendeley Recent Style Id 8_1">
    <vt:lpwstr>http://www.zotero.org/styles/resources-conservation-and-recycling</vt:lpwstr>
  </property>
  <property fmtid="{D5CDD505-2E9C-101B-9397-08002B2CF9AE}" pid="23" name="Mendeley Recent Style Name 8_1">
    <vt:lpwstr>Resources, Conservation &amp; Recycling</vt:lpwstr>
  </property>
  <property fmtid="{D5CDD505-2E9C-101B-9397-08002B2CF9AE}" pid="24" name="Mendeley Recent Style Id 9_1">
    <vt:lpwstr>http://www.zotero.org/styles/waste-management</vt:lpwstr>
  </property>
  <property fmtid="{D5CDD505-2E9C-101B-9397-08002B2CF9AE}" pid="25" name="Mendeley Recent Style Name 9_1">
    <vt:lpwstr>Waste Management</vt:lpwstr>
  </property>
  <property fmtid="{D5CDD505-2E9C-101B-9397-08002B2CF9AE}" pid="26" name="GrammarlyDocumentId">
    <vt:lpwstr>5ecb4e3e3c223e29ae9fea201e6ff10ad458f54891ea511aeb95215ca130fd81</vt:lpwstr>
  </property>
</Properties>
</file>