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1CA" w:rsidRPr="00E56607" w:rsidRDefault="005E51CA" w:rsidP="005E51CA">
      <w:pPr>
        <w:spacing w:after="0" w:line="240" w:lineRule="auto"/>
        <w:ind w:leftChars="0" w:left="0" w:firstLineChars="0" w:firstLine="0"/>
        <w:jc w:val="center"/>
        <w:rPr>
          <w:rFonts w:ascii="Times New Roman" w:eastAsia="Times New Roman" w:hAnsi="Times New Roman" w:cs="Times New Roman"/>
          <w:b/>
          <w:sz w:val="28"/>
          <w:szCs w:val="28"/>
        </w:rPr>
      </w:pPr>
      <w:r w:rsidRPr="00E56607">
        <w:rPr>
          <w:rFonts w:ascii="Times New Roman" w:eastAsia="Times New Roman" w:hAnsi="Times New Roman" w:cs="Times New Roman"/>
          <w:b/>
          <w:sz w:val="28"/>
          <w:szCs w:val="28"/>
        </w:rPr>
        <w:t>Aplikasi tingkah laku kewangan: Kajian kes pengeluaran pra-persaraan skim pencen sewaktu pandemik crisis COVID-19</w:t>
      </w:r>
    </w:p>
    <w:p w:rsidR="005E51CA" w:rsidRDefault="005E51CA"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rsidR="00303078" w:rsidRPr="00492A61" w:rsidRDefault="00256020"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r w:rsidRPr="00492A61">
        <w:rPr>
          <w:rFonts w:ascii="Times New Roman" w:eastAsia="Times New Roman" w:hAnsi="Times New Roman" w:cs="Times New Roman"/>
        </w:rPr>
        <w:t>Khoong Tai Wai</w:t>
      </w:r>
      <w:r w:rsidRPr="00492A61">
        <w:rPr>
          <w:rFonts w:ascii="Times New Roman" w:eastAsia="Times New Roman" w:hAnsi="Times New Roman" w:cs="Times New Roman"/>
          <w:vertAlign w:val="superscript"/>
        </w:rPr>
        <w:t>1</w:t>
      </w:r>
      <w:r w:rsidRPr="00492A61">
        <w:rPr>
          <w:rFonts w:ascii="Times New Roman" w:eastAsia="Times New Roman" w:hAnsi="Times New Roman" w:cs="Times New Roman"/>
        </w:rPr>
        <w:t>, Phuah Kit Teng</w:t>
      </w:r>
      <w:r w:rsidRPr="00492A61">
        <w:rPr>
          <w:rFonts w:ascii="Times New Roman" w:eastAsia="Times New Roman" w:hAnsi="Times New Roman" w:cs="Times New Roman"/>
          <w:vertAlign w:val="superscript"/>
        </w:rPr>
        <w:t>1</w:t>
      </w:r>
      <w:r w:rsidRPr="00492A61">
        <w:rPr>
          <w:rFonts w:ascii="Times New Roman" w:eastAsia="Times New Roman" w:hAnsi="Times New Roman" w:cs="Times New Roman"/>
        </w:rPr>
        <w:t>, Ow Mun Waei</w:t>
      </w:r>
      <w:r w:rsidRPr="00492A61">
        <w:rPr>
          <w:rFonts w:ascii="Times New Roman" w:eastAsia="Times New Roman" w:hAnsi="Times New Roman" w:cs="Times New Roman"/>
          <w:vertAlign w:val="superscript"/>
        </w:rPr>
        <w:t>1</w:t>
      </w:r>
      <w:r w:rsidRPr="00492A61">
        <w:rPr>
          <w:rFonts w:ascii="Times New Roman" w:eastAsia="Times New Roman" w:hAnsi="Times New Roman" w:cs="Times New Roman"/>
        </w:rPr>
        <w:t>, Lin K</w:t>
      </w:r>
      <w:r w:rsidR="00545616" w:rsidRPr="00492A61">
        <w:rPr>
          <w:rFonts w:ascii="Times New Roman" w:eastAsia="Times New Roman" w:hAnsi="Times New Roman" w:cs="Times New Roman"/>
        </w:rPr>
        <w:t>ok Leong</w:t>
      </w:r>
      <w:r w:rsidR="0099148D" w:rsidRPr="00492A61">
        <w:rPr>
          <w:rFonts w:ascii="Times New Roman" w:eastAsia="Times New Roman" w:hAnsi="Times New Roman" w:cs="Times New Roman"/>
          <w:vertAlign w:val="superscript"/>
        </w:rPr>
        <w:t>2</w:t>
      </w:r>
    </w:p>
    <w:p w:rsidR="00244019" w:rsidRPr="00492A61" w:rsidRDefault="00244019"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rsidR="00244019" w:rsidRPr="00492A61" w:rsidRDefault="00256020"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r w:rsidRPr="00492A61">
        <w:rPr>
          <w:rFonts w:ascii="Times New Roman" w:eastAsia="Times New Roman" w:hAnsi="Times New Roman" w:cs="Times New Roman"/>
          <w:vertAlign w:val="superscript"/>
        </w:rPr>
        <w:t>1</w:t>
      </w:r>
      <w:r w:rsidR="0099148D" w:rsidRPr="00492A61">
        <w:rPr>
          <w:rFonts w:ascii="Times New Roman" w:eastAsia="Times New Roman" w:hAnsi="Times New Roman" w:cs="Times New Roman"/>
          <w:vertAlign w:val="superscript"/>
        </w:rPr>
        <w:t xml:space="preserve"> </w:t>
      </w:r>
      <w:r w:rsidR="000579A9" w:rsidRPr="00492A61">
        <w:rPr>
          <w:rFonts w:ascii="Times New Roman" w:eastAsia="Times New Roman" w:hAnsi="Times New Roman" w:cs="Times New Roman"/>
        </w:rPr>
        <w:t xml:space="preserve">Faculty of Accountacy, Finance and Business, </w:t>
      </w:r>
      <w:r w:rsidRPr="00492A61">
        <w:rPr>
          <w:rFonts w:ascii="Times New Roman" w:eastAsia="Times New Roman" w:hAnsi="Times New Roman" w:cs="Times New Roman"/>
        </w:rPr>
        <w:t>Tunku Abdul Rahman University of Management and Technology, Main Campus, Jalan Genting Kelang, 53300 Kuala Lumpur, Malaysia</w:t>
      </w:r>
      <w:r w:rsidR="0099148D" w:rsidRPr="00492A61">
        <w:rPr>
          <w:rFonts w:ascii="Times New Roman" w:eastAsia="Times New Roman" w:hAnsi="Times New Roman" w:cs="Times New Roman"/>
        </w:rPr>
        <w:t>.</w:t>
      </w:r>
    </w:p>
    <w:p w:rsidR="0099148D" w:rsidRPr="00492A61" w:rsidRDefault="0099148D"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r w:rsidRPr="00492A61">
        <w:rPr>
          <w:rFonts w:ascii="Times New Roman" w:eastAsia="Times New Roman" w:hAnsi="Times New Roman" w:cs="Times New Roman"/>
          <w:vertAlign w:val="superscript"/>
        </w:rPr>
        <w:t xml:space="preserve">2 </w:t>
      </w:r>
      <w:r w:rsidRPr="00492A61">
        <w:rPr>
          <w:rFonts w:ascii="Times New Roman" w:eastAsia="Times New Roman" w:hAnsi="Times New Roman" w:cs="Times New Roman"/>
        </w:rPr>
        <w:t>Axen Alpha Advisory Sdn. Bhd.</w:t>
      </w:r>
      <w:r w:rsidR="000459D8" w:rsidRPr="00492A61">
        <w:rPr>
          <w:rFonts w:ascii="Times New Roman" w:eastAsia="Times New Roman" w:hAnsi="Times New Roman" w:cs="Times New Roman"/>
        </w:rPr>
        <w:t xml:space="preserve">, </w:t>
      </w:r>
      <w:r w:rsidR="000579A9" w:rsidRPr="00492A61">
        <w:rPr>
          <w:rFonts w:ascii="Times New Roman" w:eastAsia="Times New Roman" w:hAnsi="Times New Roman" w:cs="Times New Roman"/>
        </w:rPr>
        <w:t xml:space="preserve">3 </w:t>
      </w:r>
      <w:r w:rsidR="000459D8" w:rsidRPr="00492A61">
        <w:rPr>
          <w:rFonts w:ascii="Times New Roman" w:eastAsia="Times New Roman" w:hAnsi="Times New Roman" w:cs="Times New Roman"/>
        </w:rPr>
        <w:t xml:space="preserve">Two Square, No.2 Jalan 19/1, </w:t>
      </w:r>
      <w:r w:rsidRPr="00492A61">
        <w:rPr>
          <w:rFonts w:ascii="Times New Roman" w:eastAsia="Times New Roman" w:hAnsi="Times New Roman" w:cs="Times New Roman"/>
        </w:rPr>
        <w:t>Petaling Jaya, Selangor, Malaysia.</w:t>
      </w:r>
    </w:p>
    <w:p w:rsidR="00244019" w:rsidRPr="00492A61" w:rsidRDefault="00244019"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rsidR="00244019" w:rsidRPr="00492A61" w:rsidRDefault="00244019"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r w:rsidRPr="00492A61">
        <w:rPr>
          <w:rFonts w:ascii="Times New Roman" w:eastAsia="Times New Roman" w:hAnsi="Times New Roman" w:cs="Times New Roman"/>
        </w:rPr>
        <w:t xml:space="preserve">Correspondence: </w:t>
      </w:r>
      <w:r w:rsidR="00256020" w:rsidRPr="00492A61">
        <w:rPr>
          <w:rFonts w:ascii="Times New Roman" w:eastAsia="Times New Roman" w:hAnsi="Times New Roman" w:cs="Times New Roman"/>
        </w:rPr>
        <w:t>Khoong Tai Wai</w:t>
      </w:r>
      <w:r w:rsidRPr="00492A61">
        <w:rPr>
          <w:rFonts w:ascii="Times New Roman" w:eastAsia="Times New Roman" w:hAnsi="Times New Roman" w:cs="Times New Roman"/>
        </w:rPr>
        <w:t xml:space="preserve"> (email: </w:t>
      </w:r>
      <w:r w:rsidR="00256020" w:rsidRPr="00492A61">
        <w:rPr>
          <w:rFonts w:ascii="Times New Roman" w:eastAsia="Times New Roman" w:hAnsi="Times New Roman" w:cs="Times New Roman"/>
        </w:rPr>
        <w:t>khoongtw</w:t>
      </w:r>
      <w:r w:rsidRPr="00492A61">
        <w:rPr>
          <w:rFonts w:ascii="Times New Roman" w:eastAsia="Times New Roman" w:hAnsi="Times New Roman" w:cs="Times New Roman"/>
        </w:rPr>
        <w:t>@</w:t>
      </w:r>
      <w:r w:rsidR="00256020" w:rsidRPr="00492A61">
        <w:rPr>
          <w:rFonts w:ascii="Times New Roman" w:eastAsia="Times New Roman" w:hAnsi="Times New Roman" w:cs="Times New Roman"/>
        </w:rPr>
        <w:t>tarc</w:t>
      </w:r>
      <w:r w:rsidRPr="00492A61">
        <w:rPr>
          <w:rFonts w:ascii="Times New Roman" w:eastAsia="Times New Roman" w:hAnsi="Times New Roman" w:cs="Times New Roman"/>
        </w:rPr>
        <w:t>.com</w:t>
      </w:r>
      <w:r w:rsidR="00256020" w:rsidRPr="00492A61">
        <w:rPr>
          <w:rFonts w:ascii="Times New Roman" w:eastAsia="Times New Roman" w:hAnsi="Times New Roman" w:cs="Times New Roman"/>
        </w:rPr>
        <w:t>.my</w:t>
      </w:r>
      <w:r w:rsidRPr="00492A61">
        <w:rPr>
          <w:rFonts w:ascii="Times New Roman" w:eastAsia="Times New Roman" w:hAnsi="Times New Roman" w:cs="Times New Roman"/>
        </w:rPr>
        <w:t>)</w:t>
      </w:r>
    </w:p>
    <w:p w:rsidR="00303078" w:rsidRPr="00492A61" w:rsidRDefault="00303078"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rsidR="00303078" w:rsidRDefault="005E51CA"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r>
        <w:rPr>
          <w:rFonts w:ascii="Times New Roman" w:eastAsia="Times New Roman" w:hAnsi="Times New Roman"/>
          <w:lang w:val="en-GB"/>
        </w:rPr>
        <w:t xml:space="preserve">Received: </w:t>
      </w:r>
      <w:r w:rsidR="00890A0D">
        <w:rPr>
          <w:rFonts w:ascii="Times New Roman" w:eastAsia="Times New Roman" w:hAnsi="Times New Roman"/>
        </w:rPr>
        <w:t>24</w:t>
      </w:r>
      <w:r>
        <w:rPr>
          <w:rFonts w:ascii="Times New Roman" w:eastAsia="Times New Roman" w:hAnsi="Times New Roman"/>
        </w:rPr>
        <w:t xml:space="preserve"> January 2023</w:t>
      </w:r>
      <w:r>
        <w:rPr>
          <w:rFonts w:ascii="Times New Roman" w:eastAsia="Times New Roman" w:hAnsi="Times New Roman"/>
          <w:lang w:val="en-GB"/>
        </w:rPr>
        <w:t xml:space="preserve">; Accepted: </w:t>
      </w:r>
      <w:r w:rsidR="00890A0D">
        <w:rPr>
          <w:rFonts w:ascii="Times New Roman" w:eastAsia="Times New Roman" w:hAnsi="Times New Roman"/>
        </w:rPr>
        <w:t>25</w:t>
      </w:r>
      <w:r>
        <w:rPr>
          <w:rFonts w:ascii="Times New Roman" w:eastAsia="Times New Roman" w:hAnsi="Times New Roman"/>
        </w:rPr>
        <w:t xml:space="preserve"> May 2023</w:t>
      </w:r>
      <w:r>
        <w:rPr>
          <w:rFonts w:ascii="Times New Roman" w:eastAsia="Times New Roman" w:hAnsi="Times New Roman"/>
          <w:lang w:val="en-GB"/>
        </w:rPr>
        <w:t xml:space="preserve">; Published: </w:t>
      </w:r>
      <w:r>
        <w:rPr>
          <w:rFonts w:ascii="Times New Roman" w:eastAsia="Times New Roman" w:hAnsi="Times New Roman"/>
        </w:rPr>
        <w:t>31 May 2023</w:t>
      </w:r>
    </w:p>
    <w:p w:rsidR="00303078" w:rsidRDefault="0016729F"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rsidR="005E51CA" w:rsidRDefault="005E51CA"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rsidR="00303078" w:rsidRDefault="0016729F"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w:t>
      </w:r>
      <w:r w:rsidR="00D80923">
        <w:rPr>
          <w:rFonts w:ascii="Times New Roman" w:eastAsia="Times New Roman" w:hAnsi="Times New Roman" w:cs="Times New Roman"/>
          <w:b/>
          <w:color w:val="000000"/>
          <w:sz w:val="24"/>
          <w:szCs w:val="24"/>
        </w:rPr>
        <w:t>k</w:t>
      </w:r>
    </w:p>
    <w:p w:rsidR="00303078" w:rsidRDefault="0016729F"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303078" w:rsidRDefault="00D665E1"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Tingkah laku kewangan individu membuat keputusan b</w:t>
      </w:r>
      <w:r w:rsidR="00866088">
        <w:rPr>
          <w:rFonts w:ascii="Times New Roman" w:eastAsia="Times New Roman" w:hAnsi="Times New Roman" w:cs="Times New Roman"/>
          <w:color w:val="000000"/>
          <w:sz w:val="24"/>
          <w:szCs w:val="24"/>
        </w:rPr>
        <w:t xml:space="preserve">ergantung kepada </w:t>
      </w:r>
      <w:r w:rsidR="006B6491">
        <w:rPr>
          <w:rFonts w:ascii="Times New Roman" w:eastAsia="Times New Roman" w:hAnsi="Times New Roman" w:cs="Times New Roman"/>
          <w:color w:val="000000"/>
          <w:sz w:val="24"/>
          <w:szCs w:val="24"/>
        </w:rPr>
        <w:t>pelbagai fakto</w:t>
      </w:r>
      <w:r w:rsidR="00097F32">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kerana </w:t>
      </w:r>
      <w:r w:rsidR="00D80923" w:rsidRPr="00D80923">
        <w:rPr>
          <w:rFonts w:ascii="Times New Roman" w:eastAsia="Times New Roman" w:hAnsi="Times New Roman" w:cs="Times New Roman"/>
          <w:color w:val="000000"/>
          <w:sz w:val="24"/>
          <w:szCs w:val="24"/>
        </w:rPr>
        <w:t xml:space="preserve">keputusan </w:t>
      </w:r>
      <w:r w:rsidR="00D12D40">
        <w:rPr>
          <w:rFonts w:ascii="Times New Roman" w:eastAsia="Times New Roman" w:hAnsi="Times New Roman" w:cs="Times New Roman"/>
          <w:color w:val="000000"/>
          <w:sz w:val="24"/>
          <w:szCs w:val="24"/>
        </w:rPr>
        <w:t xml:space="preserve">kewangan </w:t>
      </w:r>
      <w:r w:rsidR="00D80923" w:rsidRPr="00D80923">
        <w:rPr>
          <w:rFonts w:ascii="Times New Roman" w:eastAsia="Times New Roman" w:hAnsi="Times New Roman" w:cs="Times New Roman"/>
          <w:color w:val="000000"/>
          <w:sz w:val="24"/>
          <w:szCs w:val="24"/>
        </w:rPr>
        <w:t xml:space="preserve">merupakan proses yang kompleks. Walau bagaimanapun, </w:t>
      </w:r>
      <w:r w:rsidR="003408CC">
        <w:rPr>
          <w:rFonts w:ascii="Times New Roman" w:eastAsia="Times New Roman" w:hAnsi="Times New Roman" w:cs="Times New Roman"/>
          <w:color w:val="000000"/>
          <w:sz w:val="24"/>
          <w:szCs w:val="24"/>
        </w:rPr>
        <w:t>majoriti</w:t>
      </w:r>
      <w:r w:rsidR="00D80923" w:rsidRPr="00D80923">
        <w:rPr>
          <w:rFonts w:ascii="Times New Roman" w:eastAsia="Times New Roman" w:hAnsi="Times New Roman" w:cs="Times New Roman"/>
          <w:color w:val="000000"/>
          <w:sz w:val="24"/>
          <w:szCs w:val="24"/>
        </w:rPr>
        <w:t xml:space="preserve"> tingkah laku kewangan individual </w:t>
      </w:r>
      <w:r w:rsidR="003408CC">
        <w:rPr>
          <w:rFonts w:ascii="Times New Roman" w:eastAsia="Times New Roman" w:hAnsi="Times New Roman" w:cs="Times New Roman"/>
          <w:color w:val="000000"/>
          <w:sz w:val="24"/>
          <w:szCs w:val="24"/>
        </w:rPr>
        <w:t>didorong</w:t>
      </w:r>
      <w:r w:rsidR="00D80923" w:rsidRPr="00D80923">
        <w:rPr>
          <w:rFonts w:ascii="Times New Roman" w:eastAsia="Times New Roman" w:hAnsi="Times New Roman" w:cs="Times New Roman"/>
          <w:color w:val="000000"/>
          <w:sz w:val="24"/>
          <w:szCs w:val="24"/>
        </w:rPr>
        <w:t xml:space="preserve"> </w:t>
      </w:r>
      <w:r w:rsidR="003408CC">
        <w:rPr>
          <w:rFonts w:ascii="Times New Roman" w:eastAsia="Times New Roman" w:hAnsi="Times New Roman" w:cs="Times New Roman"/>
          <w:color w:val="000000"/>
          <w:sz w:val="24"/>
          <w:szCs w:val="24"/>
        </w:rPr>
        <w:t>oleh</w:t>
      </w:r>
      <w:r w:rsidR="00D80923" w:rsidRPr="00D80923">
        <w:rPr>
          <w:rFonts w:ascii="Times New Roman" w:eastAsia="Times New Roman" w:hAnsi="Times New Roman" w:cs="Times New Roman"/>
          <w:color w:val="000000"/>
          <w:sz w:val="24"/>
          <w:szCs w:val="24"/>
        </w:rPr>
        <w:t xml:space="preserve"> objektif kewangan individu. </w:t>
      </w:r>
      <w:r w:rsidR="003408CC">
        <w:rPr>
          <w:rFonts w:ascii="Times New Roman" w:eastAsia="Times New Roman" w:hAnsi="Times New Roman" w:cs="Times New Roman"/>
          <w:color w:val="000000"/>
          <w:sz w:val="24"/>
          <w:szCs w:val="24"/>
        </w:rPr>
        <w:t xml:space="preserve">Tambahan pula, apabila wujud eleman ketidakpastian, tingkah laku kewangan menjadi lebih </w:t>
      </w:r>
      <w:r w:rsidR="00D80923" w:rsidRPr="00D80923">
        <w:rPr>
          <w:rFonts w:ascii="Times New Roman" w:eastAsia="Times New Roman" w:hAnsi="Times New Roman" w:cs="Times New Roman"/>
          <w:color w:val="000000"/>
          <w:sz w:val="24"/>
          <w:szCs w:val="24"/>
        </w:rPr>
        <w:t>kompleks</w:t>
      </w:r>
      <w:r w:rsidR="009D0217">
        <w:rPr>
          <w:rFonts w:ascii="Times New Roman" w:eastAsia="Times New Roman" w:hAnsi="Times New Roman" w:cs="Times New Roman"/>
          <w:color w:val="000000"/>
          <w:sz w:val="24"/>
          <w:szCs w:val="24"/>
        </w:rPr>
        <w:t xml:space="preserve"> </w:t>
      </w:r>
      <w:r w:rsidR="003408CC">
        <w:rPr>
          <w:rFonts w:ascii="Times New Roman" w:eastAsia="Times New Roman" w:hAnsi="Times New Roman" w:cs="Times New Roman"/>
          <w:color w:val="000000"/>
          <w:sz w:val="24"/>
          <w:szCs w:val="24"/>
        </w:rPr>
        <w:t>da</w:t>
      </w:r>
      <w:r w:rsidR="00D80923" w:rsidRPr="00D80923">
        <w:rPr>
          <w:rFonts w:ascii="Times New Roman" w:eastAsia="Times New Roman" w:hAnsi="Times New Roman" w:cs="Times New Roman"/>
          <w:color w:val="000000"/>
          <w:sz w:val="24"/>
          <w:szCs w:val="24"/>
        </w:rPr>
        <w:t xml:space="preserve">n keliru sewaktu </w:t>
      </w:r>
      <w:r w:rsidR="003408CC">
        <w:rPr>
          <w:rFonts w:ascii="Times New Roman" w:eastAsia="Times New Roman" w:hAnsi="Times New Roman" w:cs="Times New Roman"/>
          <w:color w:val="000000"/>
          <w:sz w:val="24"/>
          <w:szCs w:val="24"/>
        </w:rPr>
        <w:t xml:space="preserve">kewujudan </w:t>
      </w:r>
      <w:r w:rsidR="00D80923" w:rsidRPr="00D80923">
        <w:rPr>
          <w:rFonts w:ascii="Times New Roman" w:eastAsia="Times New Roman" w:hAnsi="Times New Roman" w:cs="Times New Roman"/>
          <w:color w:val="000000"/>
          <w:sz w:val="24"/>
          <w:szCs w:val="24"/>
        </w:rPr>
        <w:t xml:space="preserve">krisis. Oleh itu, aplikasi teori tingkah laku kewangan </w:t>
      </w:r>
      <w:r w:rsidR="00F114CF">
        <w:rPr>
          <w:rFonts w:ascii="Times New Roman" w:eastAsia="Times New Roman" w:hAnsi="Times New Roman" w:cs="Times New Roman"/>
          <w:color w:val="000000"/>
          <w:sz w:val="24"/>
          <w:szCs w:val="24"/>
        </w:rPr>
        <w:t xml:space="preserve">dalam konteks </w:t>
      </w:r>
      <w:r w:rsidR="00D80923" w:rsidRPr="00D80923">
        <w:rPr>
          <w:rFonts w:ascii="Times New Roman" w:eastAsia="Times New Roman" w:hAnsi="Times New Roman" w:cs="Times New Roman"/>
          <w:color w:val="000000"/>
          <w:sz w:val="24"/>
          <w:szCs w:val="24"/>
        </w:rPr>
        <w:t xml:space="preserve">perancangan kewangan sewaktu </w:t>
      </w:r>
      <w:r w:rsidR="00E54F6D">
        <w:rPr>
          <w:rFonts w:ascii="Times New Roman" w:eastAsia="Times New Roman" w:hAnsi="Times New Roman" w:cs="Times New Roman"/>
          <w:color w:val="000000"/>
          <w:sz w:val="24"/>
          <w:szCs w:val="24"/>
        </w:rPr>
        <w:t xml:space="preserve">pandemik </w:t>
      </w:r>
      <w:r w:rsidR="00D80923" w:rsidRPr="00D80923">
        <w:rPr>
          <w:rFonts w:ascii="Times New Roman" w:eastAsia="Times New Roman" w:hAnsi="Times New Roman" w:cs="Times New Roman"/>
          <w:color w:val="000000"/>
          <w:sz w:val="24"/>
          <w:szCs w:val="24"/>
        </w:rPr>
        <w:t>krisis COVID-19 adalah penting</w:t>
      </w:r>
      <w:r w:rsidR="00F114CF">
        <w:rPr>
          <w:rFonts w:ascii="Times New Roman" w:eastAsia="Times New Roman" w:hAnsi="Times New Roman" w:cs="Times New Roman"/>
          <w:color w:val="000000"/>
          <w:sz w:val="24"/>
          <w:szCs w:val="24"/>
        </w:rPr>
        <w:t xml:space="preserve"> untuk difahami</w:t>
      </w:r>
      <w:r w:rsidR="00D80923" w:rsidRPr="00D80923">
        <w:rPr>
          <w:rFonts w:ascii="Times New Roman" w:eastAsia="Times New Roman" w:hAnsi="Times New Roman" w:cs="Times New Roman"/>
          <w:color w:val="000000"/>
          <w:sz w:val="24"/>
          <w:szCs w:val="24"/>
        </w:rPr>
        <w:t xml:space="preserve">. Kajian ini dilaksanakan kerana kurang kajian dalam tingkah laku kewangan dari </w:t>
      </w:r>
      <w:r w:rsidR="00013BF2">
        <w:rPr>
          <w:rFonts w:ascii="Times New Roman" w:eastAsia="Times New Roman" w:hAnsi="Times New Roman" w:cs="Times New Roman"/>
          <w:color w:val="000000"/>
          <w:sz w:val="24"/>
          <w:szCs w:val="24"/>
        </w:rPr>
        <w:t>p</w:t>
      </w:r>
      <w:r w:rsidR="00013BF2" w:rsidRPr="00013BF2">
        <w:rPr>
          <w:rFonts w:ascii="Times New Roman" w:eastAsia="Times New Roman" w:hAnsi="Times New Roman" w:cs="Times New Roman"/>
          <w:color w:val="000000"/>
          <w:sz w:val="24"/>
          <w:szCs w:val="24"/>
        </w:rPr>
        <w:t>erspektif</w:t>
      </w:r>
      <w:r w:rsidR="00013BF2" w:rsidRPr="00013BF2" w:rsidDel="00013BF2">
        <w:rPr>
          <w:rFonts w:ascii="Times New Roman" w:eastAsia="Times New Roman" w:hAnsi="Times New Roman" w:cs="Times New Roman"/>
          <w:color w:val="000000"/>
          <w:sz w:val="24"/>
          <w:szCs w:val="24"/>
        </w:rPr>
        <w:t xml:space="preserve"> </w:t>
      </w:r>
      <w:r w:rsidR="00D80923" w:rsidRPr="00D80923">
        <w:rPr>
          <w:rFonts w:ascii="Times New Roman" w:eastAsia="Times New Roman" w:hAnsi="Times New Roman" w:cs="Times New Roman"/>
          <w:color w:val="000000"/>
          <w:sz w:val="24"/>
          <w:szCs w:val="24"/>
        </w:rPr>
        <w:t>perancangan kewangan</w:t>
      </w:r>
      <w:r w:rsidR="003408CC">
        <w:rPr>
          <w:rFonts w:ascii="Times New Roman" w:eastAsia="Times New Roman" w:hAnsi="Times New Roman" w:cs="Times New Roman"/>
          <w:color w:val="000000"/>
          <w:sz w:val="24"/>
          <w:szCs w:val="24"/>
        </w:rPr>
        <w:t xml:space="preserve">, dan </w:t>
      </w:r>
      <w:r w:rsidR="00D80923" w:rsidRPr="00D80923">
        <w:rPr>
          <w:rFonts w:ascii="Times New Roman" w:eastAsia="Times New Roman" w:hAnsi="Times New Roman" w:cs="Times New Roman"/>
          <w:color w:val="000000"/>
          <w:sz w:val="24"/>
          <w:szCs w:val="24"/>
        </w:rPr>
        <w:t xml:space="preserve">fokus </w:t>
      </w:r>
      <w:r>
        <w:rPr>
          <w:rFonts w:ascii="Times New Roman" w:eastAsia="Times New Roman" w:hAnsi="Times New Roman" w:cs="Times New Roman"/>
          <w:color w:val="000000"/>
          <w:sz w:val="24"/>
          <w:szCs w:val="24"/>
        </w:rPr>
        <w:t xml:space="preserve">kepada </w:t>
      </w:r>
      <w:r w:rsidR="00F114CF">
        <w:rPr>
          <w:rFonts w:ascii="Times New Roman" w:eastAsia="Times New Roman" w:hAnsi="Times New Roman" w:cs="Times New Roman"/>
          <w:color w:val="000000"/>
          <w:sz w:val="24"/>
          <w:szCs w:val="24"/>
        </w:rPr>
        <w:t>ahli-</w:t>
      </w:r>
      <w:r w:rsidR="00D80923" w:rsidRPr="00D80923">
        <w:rPr>
          <w:rFonts w:ascii="Times New Roman" w:eastAsia="Times New Roman" w:hAnsi="Times New Roman" w:cs="Times New Roman"/>
          <w:color w:val="000000"/>
          <w:sz w:val="24"/>
          <w:szCs w:val="24"/>
        </w:rPr>
        <w:t xml:space="preserve">ahli skim Kumpulan Wang Skim Persaraan (KWSP) sewaktu </w:t>
      </w:r>
      <w:r w:rsidR="00E54F6D">
        <w:rPr>
          <w:rFonts w:ascii="Times New Roman" w:eastAsia="Times New Roman" w:hAnsi="Times New Roman" w:cs="Times New Roman"/>
          <w:color w:val="000000"/>
          <w:sz w:val="24"/>
          <w:szCs w:val="24"/>
        </w:rPr>
        <w:t xml:space="preserve">pandemik </w:t>
      </w:r>
      <w:r w:rsidR="00D80923" w:rsidRPr="00D80923">
        <w:rPr>
          <w:rFonts w:ascii="Times New Roman" w:eastAsia="Times New Roman" w:hAnsi="Times New Roman" w:cs="Times New Roman"/>
          <w:color w:val="000000"/>
          <w:sz w:val="24"/>
          <w:szCs w:val="24"/>
        </w:rPr>
        <w:t>krisis COVID-19.</w:t>
      </w:r>
      <w:r w:rsidR="00D80923">
        <w:rPr>
          <w:rFonts w:ascii="Times New Roman" w:eastAsia="Times New Roman" w:hAnsi="Times New Roman" w:cs="Times New Roman"/>
          <w:color w:val="000000"/>
          <w:sz w:val="24"/>
          <w:szCs w:val="24"/>
        </w:rPr>
        <w:t xml:space="preserve"> Kajian in</w:t>
      </w:r>
      <w:r w:rsidR="00866088">
        <w:rPr>
          <w:rFonts w:ascii="Times New Roman" w:eastAsia="Times New Roman" w:hAnsi="Times New Roman" w:cs="Times New Roman"/>
          <w:color w:val="000000"/>
          <w:sz w:val="24"/>
          <w:szCs w:val="24"/>
        </w:rPr>
        <w:t>i</w:t>
      </w:r>
      <w:r w:rsidR="00D80923">
        <w:rPr>
          <w:rFonts w:ascii="Times New Roman" w:eastAsia="Times New Roman" w:hAnsi="Times New Roman" w:cs="Times New Roman"/>
          <w:color w:val="000000"/>
          <w:sz w:val="24"/>
          <w:szCs w:val="24"/>
        </w:rPr>
        <w:t xml:space="preserve"> menggunaka</w:t>
      </w:r>
      <w:r w:rsidR="00D31552">
        <w:rPr>
          <w:rFonts w:ascii="Times New Roman" w:eastAsia="Times New Roman" w:hAnsi="Times New Roman" w:cs="Times New Roman"/>
          <w:color w:val="000000"/>
          <w:sz w:val="24"/>
          <w:szCs w:val="24"/>
        </w:rPr>
        <w:t>n</w:t>
      </w:r>
      <w:r w:rsidR="00D80923">
        <w:rPr>
          <w:rFonts w:ascii="Times New Roman" w:eastAsia="Times New Roman" w:hAnsi="Times New Roman" w:cs="Times New Roman"/>
          <w:color w:val="000000"/>
          <w:sz w:val="24"/>
          <w:szCs w:val="24"/>
        </w:rPr>
        <w:t xml:space="preserve"> sumber</w:t>
      </w:r>
      <w:r w:rsidR="00D02853">
        <w:rPr>
          <w:rFonts w:ascii="Times New Roman" w:eastAsia="Times New Roman" w:hAnsi="Times New Roman" w:cs="Times New Roman"/>
          <w:color w:val="000000"/>
          <w:sz w:val="24"/>
          <w:szCs w:val="24"/>
        </w:rPr>
        <w:t xml:space="preserve"> data sekunder</w:t>
      </w:r>
      <w:r w:rsidR="00D80923">
        <w:rPr>
          <w:rFonts w:ascii="Times New Roman" w:eastAsia="Times New Roman" w:hAnsi="Times New Roman" w:cs="Times New Roman"/>
          <w:color w:val="000000"/>
          <w:sz w:val="24"/>
          <w:szCs w:val="24"/>
        </w:rPr>
        <w:t xml:space="preserve"> kedua seperti kajian lepas, </w:t>
      </w:r>
      <w:r w:rsidR="00D31552">
        <w:rPr>
          <w:rFonts w:ascii="Times New Roman" w:eastAsia="Times New Roman" w:hAnsi="Times New Roman" w:cs="Times New Roman"/>
          <w:color w:val="000000"/>
          <w:sz w:val="24"/>
          <w:szCs w:val="24"/>
        </w:rPr>
        <w:t xml:space="preserve">data statistik, surat khabar dan laman web yang rasmi. </w:t>
      </w:r>
      <w:r w:rsidR="00D80923" w:rsidRPr="00D80923">
        <w:rPr>
          <w:rFonts w:ascii="Times New Roman" w:eastAsia="Times New Roman" w:hAnsi="Times New Roman" w:cs="Times New Roman"/>
          <w:color w:val="000000"/>
          <w:sz w:val="24"/>
          <w:szCs w:val="24"/>
        </w:rPr>
        <w:t xml:space="preserve"> Perbincangan</w:t>
      </w:r>
      <w:r w:rsidR="00D80923">
        <w:rPr>
          <w:rFonts w:ascii="Times New Roman" w:eastAsia="Times New Roman" w:hAnsi="Times New Roman" w:cs="Times New Roman"/>
          <w:color w:val="000000"/>
          <w:sz w:val="24"/>
          <w:szCs w:val="24"/>
        </w:rPr>
        <w:t xml:space="preserve"> </w:t>
      </w:r>
      <w:r w:rsidR="00D80923" w:rsidRPr="00D80923">
        <w:rPr>
          <w:rFonts w:ascii="Times New Roman" w:eastAsia="Times New Roman" w:hAnsi="Times New Roman" w:cs="Times New Roman"/>
          <w:color w:val="000000"/>
          <w:sz w:val="24"/>
          <w:szCs w:val="24"/>
        </w:rPr>
        <w:t xml:space="preserve">kajian ini terdiri daripada </w:t>
      </w:r>
      <w:r w:rsidR="00932C86">
        <w:rPr>
          <w:rFonts w:ascii="Times New Roman" w:eastAsia="Times New Roman" w:hAnsi="Times New Roman" w:cs="Times New Roman"/>
          <w:color w:val="000000"/>
          <w:sz w:val="24"/>
          <w:szCs w:val="24"/>
        </w:rPr>
        <w:t>dua</w:t>
      </w:r>
      <w:r w:rsidR="00D80923" w:rsidRPr="00D80923">
        <w:rPr>
          <w:rFonts w:ascii="Times New Roman" w:eastAsia="Times New Roman" w:hAnsi="Times New Roman" w:cs="Times New Roman"/>
          <w:color w:val="000000"/>
          <w:sz w:val="24"/>
          <w:szCs w:val="24"/>
        </w:rPr>
        <w:t xml:space="preserve"> bahagian. Pertama, </w:t>
      </w:r>
      <w:r w:rsidR="005737B6">
        <w:rPr>
          <w:rFonts w:ascii="Times New Roman" w:eastAsia="Times New Roman" w:hAnsi="Times New Roman" w:cs="Times New Roman"/>
          <w:color w:val="000000"/>
          <w:sz w:val="24"/>
          <w:szCs w:val="24"/>
        </w:rPr>
        <w:t>perbincanga</w:t>
      </w:r>
      <w:r w:rsidR="00A918D7">
        <w:rPr>
          <w:rFonts w:ascii="Times New Roman" w:eastAsia="Times New Roman" w:hAnsi="Times New Roman" w:cs="Times New Roman"/>
          <w:color w:val="000000"/>
          <w:sz w:val="24"/>
          <w:szCs w:val="24"/>
        </w:rPr>
        <w:t>n</w:t>
      </w:r>
      <w:r w:rsidR="00D80923" w:rsidRPr="00D80923">
        <w:rPr>
          <w:rFonts w:ascii="Times New Roman" w:eastAsia="Times New Roman" w:hAnsi="Times New Roman" w:cs="Times New Roman"/>
          <w:color w:val="000000"/>
          <w:sz w:val="24"/>
          <w:szCs w:val="24"/>
        </w:rPr>
        <w:t xml:space="preserve"> kerangka </w:t>
      </w:r>
      <w:r w:rsidR="00A918D7">
        <w:rPr>
          <w:rFonts w:ascii="Times New Roman" w:eastAsia="Times New Roman" w:hAnsi="Times New Roman" w:cs="Times New Roman"/>
          <w:color w:val="000000"/>
          <w:sz w:val="24"/>
          <w:szCs w:val="24"/>
        </w:rPr>
        <w:t xml:space="preserve">keselamatan sosial </w:t>
      </w:r>
      <w:r w:rsidR="00D80923" w:rsidRPr="00D80923">
        <w:rPr>
          <w:rFonts w:ascii="Times New Roman" w:eastAsia="Times New Roman" w:hAnsi="Times New Roman" w:cs="Times New Roman"/>
          <w:color w:val="000000"/>
          <w:sz w:val="24"/>
          <w:szCs w:val="24"/>
        </w:rPr>
        <w:t>d</w:t>
      </w:r>
      <w:r w:rsidR="005737B6">
        <w:rPr>
          <w:rFonts w:ascii="Times New Roman" w:eastAsia="Times New Roman" w:hAnsi="Times New Roman" w:cs="Times New Roman"/>
          <w:color w:val="000000"/>
          <w:sz w:val="24"/>
          <w:szCs w:val="24"/>
        </w:rPr>
        <w:t xml:space="preserve">an signifikasi </w:t>
      </w:r>
      <w:r w:rsidR="005737B6" w:rsidRPr="00087940">
        <w:rPr>
          <w:rFonts w:ascii="Times New Roman" w:eastAsia="Times New Roman" w:hAnsi="Times New Roman" w:cs="Times New Roman"/>
          <w:color w:val="000000"/>
          <w:sz w:val="24"/>
          <w:szCs w:val="24"/>
        </w:rPr>
        <w:t>d</w:t>
      </w:r>
      <w:r w:rsidR="00D80923" w:rsidRPr="00087940">
        <w:rPr>
          <w:rFonts w:ascii="Times New Roman" w:eastAsia="Times New Roman" w:hAnsi="Times New Roman" w:cs="Times New Roman"/>
          <w:color w:val="000000"/>
          <w:sz w:val="24"/>
          <w:szCs w:val="24"/>
        </w:rPr>
        <w:t xml:space="preserve">alam </w:t>
      </w:r>
      <w:r w:rsidR="003270D0" w:rsidRPr="00087940">
        <w:rPr>
          <w:rFonts w:ascii="Times New Roman" w:eastAsia="Times New Roman" w:hAnsi="Times New Roman" w:cs="Times New Roman"/>
          <w:color w:val="000000"/>
          <w:sz w:val="24"/>
          <w:szCs w:val="24"/>
        </w:rPr>
        <w:t xml:space="preserve">isu penuaan penduduk dalam </w:t>
      </w:r>
      <w:r w:rsidR="005737B6" w:rsidRPr="00087940">
        <w:rPr>
          <w:rFonts w:ascii="Times New Roman" w:eastAsia="Times New Roman" w:hAnsi="Times New Roman" w:cs="Times New Roman"/>
          <w:color w:val="000000"/>
          <w:sz w:val="24"/>
          <w:szCs w:val="24"/>
        </w:rPr>
        <w:t>k</w:t>
      </w:r>
      <w:r w:rsidR="00D80923" w:rsidRPr="00087940">
        <w:rPr>
          <w:rFonts w:ascii="Times New Roman" w:eastAsia="Times New Roman" w:hAnsi="Times New Roman" w:cs="Times New Roman"/>
          <w:color w:val="000000"/>
          <w:sz w:val="24"/>
          <w:szCs w:val="24"/>
        </w:rPr>
        <w:t>onteks perancangan kewangan.</w:t>
      </w:r>
      <w:r w:rsidR="00D80923" w:rsidRPr="00D80923">
        <w:rPr>
          <w:rFonts w:ascii="Times New Roman" w:eastAsia="Times New Roman" w:hAnsi="Times New Roman" w:cs="Times New Roman"/>
          <w:color w:val="000000"/>
          <w:sz w:val="24"/>
          <w:szCs w:val="24"/>
        </w:rPr>
        <w:t xml:space="preserve"> </w:t>
      </w:r>
      <w:r w:rsidR="00D22792" w:rsidRPr="00D80923">
        <w:rPr>
          <w:rFonts w:ascii="Times New Roman" w:eastAsia="Times New Roman" w:hAnsi="Times New Roman" w:cs="Times New Roman"/>
          <w:color w:val="000000"/>
          <w:sz w:val="24"/>
          <w:szCs w:val="24"/>
        </w:rPr>
        <w:t xml:space="preserve">Kedua, </w:t>
      </w:r>
      <w:r w:rsidR="00D22792">
        <w:rPr>
          <w:rFonts w:ascii="Times New Roman" w:eastAsia="Times New Roman" w:hAnsi="Times New Roman" w:cs="Times New Roman"/>
          <w:color w:val="000000"/>
          <w:sz w:val="24"/>
          <w:szCs w:val="24"/>
        </w:rPr>
        <w:t>menentukan</w:t>
      </w:r>
      <w:r w:rsidR="00D22792" w:rsidRPr="00D80923">
        <w:rPr>
          <w:rFonts w:ascii="Times New Roman" w:eastAsia="Times New Roman" w:hAnsi="Times New Roman" w:cs="Times New Roman"/>
          <w:color w:val="000000"/>
          <w:sz w:val="24"/>
          <w:szCs w:val="24"/>
        </w:rPr>
        <w:t xml:space="preserve"> pengeluaran pra-persaraan individu yang berbentuk perancangan kewangan sewaktu </w:t>
      </w:r>
      <w:r w:rsidR="00D22792">
        <w:rPr>
          <w:rFonts w:ascii="Times New Roman" w:eastAsia="Times New Roman" w:hAnsi="Times New Roman" w:cs="Times New Roman"/>
          <w:color w:val="000000"/>
          <w:sz w:val="24"/>
          <w:szCs w:val="24"/>
        </w:rPr>
        <w:t xml:space="preserve">pendemik </w:t>
      </w:r>
      <w:r w:rsidR="00D22792" w:rsidRPr="00D80923">
        <w:rPr>
          <w:rFonts w:ascii="Times New Roman" w:eastAsia="Times New Roman" w:hAnsi="Times New Roman" w:cs="Times New Roman"/>
          <w:color w:val="000000"/>
          <w:sz w:val="24"/>
          <w:szCs w:val="24"/>
        </w:rPr>
        <w:t>krisis COVID-19</w:t>
      </w:r>
      <w:r w:rsidR="00D22792">
        <w:rPr>
          <w:rFonts w:ascii="Times New Roman" w:eastAsia="Times New Roman" w:hAnsi="Times New Roman" w:cs="Times New Roman"/>
          <w:color w:val="000000"/>
          <w:sz w:val="24"/>
          <w:szCs w:val="24"/>
        </w:rPr>
        <w:t xml:space="preserve"> dan tingkah laku kewangan, di mana ianya mampu </w:t>
      </w:r>
      <w:r w:rsidR="00D22792" w:rsidRPr="00D80923">
        <w:rPr>
          <w:rFonts w:ascii="Times New Roman" w:eastAsia="Times New Roman" w:hAnsi="Times New Roman" w:cs="Times New Roman"/>
          <w:color w:val="000000"/>
          <w:sz w:val="24"/>
          <w:szCs w:val="24"/>
        </w:rPr>
        <w:t>meringankan beban hidup</w:t>
      </w:r>
      <w:r w:rsidR="00D22792">
        <w:rPr>
          <w:rFonts w:ascii="Times New Roman" w:eastAsia="Times New Roman" w:hAnsi="Times New Roman" w:cs="Times New Roman"/>
          <w:color w:val="000000"/>
          <w:sz w:val="24"/>
          <w:szCs w:val="24"/>
        </w:rPr>
        <w:t xml:space="preserve"> harian</w:t>
      </w:r>
      <w:r w:rsidR="00D22792" w:rsidRPr="00D80923">
        <w:rPr>
          <w:rFonts w:ascii="Times New Roman" w:eastAsia="Times New Roman" w:hAnsi="Times New Roman" w:cs="Times New Roman"/>
          <w:color w:val="000000"/>
          <w:sz w:val="24"/>
          <w:szCs w:val="24"/>
        </w:rPr>
        <w:t>.</w:t>
      </w:r>
      <w:r w:rsidR="00D22792">
        <w:rPr>
          <w:rFonts w:ascii="Times New Roman" w:eastAsia="Times New Roman" w:hAnsi="Times New Roman" w:cs="Times New Roman"/>
          <w:color w:val="000000"/>
          <w:sz w:val="24"/>
          <w:szCs w:val="24"/>
        </w:rPr>
        <w:t xml:space="preserve"> </w:t>
      </w:r>
      <w:r w:rsidR="00D80923" w:rsidRPr="00D80923">
        <w:rPr>
          <w:rFonts w:ascii="Times New Roman" w:eastAsia="Times New Roman" w:hAnsi="Times New Roman" w:cs="Times New Roman"/>
          <w:color w:val="000000"/>
          <w:sz w:val="24"/>
          <w:szCs w:val="24"/>
        </w:rPr>
        <w:t xml:space="preserve">Kajian mendapati teori-teori tingkah laku kewangan </w:t>
      </w:r>
      <w:r>
        <w:rPr>
          <w:rFonts w:ascii="Times New Roman" w:eastAsia="Times New Roman" w:hAnsi="Times New Roman" w:cs="Times New Roman"/>
          <w:color w:val="000000"/>
          <w:sz w:val="24"/>
          <w:szCs w:val="24"/>
        </w:rPr>
        <w:t xml:space="preserve">menunjukkan </w:t>
      </w:r>
      <w:r w:rsidR="00727CD9">
        <w:rPr>
          <w:rFonts w:ascii="Times New Roman" w:eastAsia="Times New Roman" w:hAnsi="Times New Roman" w:cs="Times New Roman"/>
          <w:color w:val="000000"/>
          <w:sz w:val="24"/>
          <w:szCs w:val="24"/>
        </w:rPr>
        <w:t>signifikasi</w:t>
      </w:r>
      <w:r w:rsidR="00D80923" w:rsidRPr="00D80923">
        <w:rPr>
          <w:rFonts w:ascii="Times New Roman" w:eastAsia="Times New Roman" w:hAnsi="Times New Roman" w:cs="Times New Roman"/>
          <w:color w:val="000000"/>
          <w:sz w:val="24"/>
          <w:szCs w:val="24"/>
        </w:rPr>
        <w:t xml:space="preserve"> </w:t>
      </w:r>
      <w:r w:rsidR="00F114CF">
        <w:rPr>
          <w:rFonts w:ascii="Times New Roman" w:eastAsia="Times New Roman" w:hAnsi="Times New Roman" w:cs="Times New Roman"/>
          <w:color w:val="000000"/>
          <w:sz w:val="24"/>
          <w:szCs w:val="24"/>
        </w:rPr>
        <w:t xml:space="preserve">kebolehgunaan </w:t>
      </w:r>
      <w:r w:rsidR="00D80923" w:rsidRPr="00D80923">
        <w:rPr>
          <w:rFonts w:ascii="Times New Roman" w:eastAsia="Times New Roman" w:hAnsi="Times New Roman" w:cs="Times New Roman"/>
          <w:color w:val="000000"/>
          <w:sz w:val="24"/>
          <w:szCs w:val="24"/>
        </w:rPr>
        <w:t xml:space="preserve">dalam </w:t>
      </w:r>
      <w:r w:rsidR="00FB7003">
        <w:rPr>
          <w:rFonts w:ascii="Times New Roman" w:eastAsia="Times New Roman" w:hAnsi="Times New Roman" w:cs="Times New Roman"/>
          <w:color w:val="000000"/>
          <w:sz w:val="24"/>
          <w:szCs w:val="24"/>
        </w:rPr>
        <w:t xml:space="preserve">tingkah laku </w:t>
      </w:r>
      <w:r w:rsidR="00D80923" w:rsidRPr="00D80923">
        <w:rPr>
          <w:rFonts w:ascii="Times New Roman" w:eastAsia="Times New Roman" w:hAnsi="Times New Roman" w:cs="Times New Roman"/>
          <w:color w:val="000000"/>
          <w:sz w:val="24"/>
          <w:szCs w:val="24"/>
        </w:rPr>
        <w:t xml:space="preserve">perancangan kewangan sewaktu </w:t>
      </w:r>
      <w:r w:rsidR="00E54F6D">
        <w:rPr>
          <w:rFonts w:ascii="Times New Roman" w:eastAsia="Times New Roman" w:hAnsi="Times New Roman" w:cs="Times New Roman"/>
          <w:color w:val="000000"/>
          <w:sz w:val="24"/>
          <w:szCs w:val="24"/>
        </w:rPr>
        <w:t xml:space="preserve">pandemik </w:t>
      </w:r>
      <w:r w:rsidR="00D80923" w:rsidRPr="00D80923">
        <w:rPr>
          <w:rFonts w:ascii="Times New Roman" w:eastAsia="Times New Roman" w:hAnsi="Times New Roman" w:cs="Times New Roman"/>
          <w:color w:val="000000"/>
          <w:sz w:val="24"/>
          <w:szCs w:val="24"/>
        </w:rPr>
        <w:t xml:space="preserve">krisis COVID-19. Dengan pemahaman ini, pihak kerajaan pusat dan institusi-institusi kewangan dapat </w:t>
      </w:r>
      <w:r w:rsidR="00FB7003">
        <w:rPr>
          <w:rFonts w:ascii="Times New Roman" w:eastAsia="Times New Roman" w:hAnsi="Times New Roman" w:cs="Times New Roman"/>
          <w:color w:val="000000"/>
          <w:sz w:val="24"/>
          <w:szCs w:val="24"/>
        </w:rPr>
        <w:t>mengkenalpasti</w:t>
      </w:r>
      <w:r w:rsidR="00D80923" w:rsidRPr="00D80923">
        <w:rPr>
          <w:rFonts w:ascii="Times New Roman" w:eastAsia="Times New Roman" w:hAnsi="Times New Roman" w:cs="Times New Roman"/>
          <w:color w:val="000000"/>
          <w:sz w:val="24"/>
          <w:szCs w:val="24"/>
        </w:rPr>
        <w:t xml:space="preserve"> </w:t>
      </w:r>
      <w:r w:rsidR="00F114CF">
        <w:rPr>
          <w:rFonts w:ascii="Times New Roman" w:eastAsia="Times New Roman" w:hAnsi="Times New Roman" w:cs="Times New Roman"/>
          <w:color w:val="000000"/>
          <w:sz w:val="24"/>
          <w:szCs w:val="24"/>
        </w:rPr>
        <w:t>i</w:t>
      </w:r>
      <w:r w:rsidR="00D80923" w:rsidRPr="00D80923">
        <w:rPr>
          <w:rFonts w:ascii="Times New Roman" w:eastAsia="Times New Roman" w:hAnsi="Times New Roman" w:cs="Times New Roman"/>
          <w:color w:val="000000"/>
          <w:sz w:val="24"/>
          <w:szCs w:val="24"/>
        </w:rPr>
        <w:t>ndividu</w:t>
      </w:r>
      <w:r w:rsidR="00F114CF">
        <w:rPr>
          <w:rFonts w:ascii="Times New Roman" w:eastAsia="Times New Roman" w:hAnsi="Times New Roman" w:cs="Times New Roman"/>
          <w:color w:val="000000"/>
          <w:sz w:val="24"/>
          <w:szCs w:val="24"/>
        </w:rPr>
        <w:t xml:space="preserve"> dari segi tingkah laku kewangan</w:t>
      </w:r>
      <w:r w:rsidR="00D80923" w:rsidRPr="00D80923">
        <w:rPr>
          <w:rFonts w:ascii="Times New Roman" w:eastAsia="Times New Roman" w:hAnsi="Times New Roman" w:cs="Times New Roman"/>
          <w:color w:val="000000"/>
          <w:sz w:val="24"/>
          <w:szCs w:val="24"/>
        </w:rPr>
        <w:t xml:space="preserve">, dan </w:t>
      </w:r>
      <w:r w:rsidR="00F114CF">
        <w:rPr>
          <w:rFonts w:ascii="Times New Roman" w:eastAsia="Times New Roman" w:hAnsi="Times New Roman" w:cs="Times New Roman"/>
          <w:color w:val="000000"/>
          <w:sz w:val="24"/>
          <w:szCs w:val="24"/>
        </w:rPr>
        <w:t xml:space="preserve">seterusnya </w:t>
      </w:r>
      <w:r w:rsidR="00D80923" w:rsidRPr="00D80923">
        <w:rPr>
          <w:rFonts w:ascii="Times New Roman" w:eastAsia="Times New Roman" w:hAnsi="Times New Roman" w:cs="Times New Roman"/>
          <w:color w:val="000000"/>
          <w:sz w:val="24"/>
          <w:szCs w:val="24"/>
        </w:rPr>
        <w:t>me</w:t>
      </w:r>
      <w:r w:rsidR="00F114CF">
        <w:rPr>
          <w:rFonts w:ascii="Times New Roman" w:eastAsia="Times New Roman" w:hAnsi="Times New Roman" w:cs="Times New Roman"/>
          <w:color w:val="000000"/>
          <w:sz w:val="24"/>
          <w:szCs w:val="24"/>
        </w:rPr>
        <w:t>nwujudkan</w:t>
      </w:r>
      <w:r w:rsidR="00D80923" w:rsidRPr="00D809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teknik</w:t>
      </w:r>
      <w:r w:rsidR="00D80923" w:rsidRPr="00D80923">
        <w:rPr>
          <w:rFonts w:ascii="Times New Roman" w:eastAsia="Times New Roman" w:hAnsi="Times New Roman" w:cs="Times New Roman"/>
          <w:color w:val="000000"/>
          <w:sz w:val="24"/>
          <w:szCs w:val="24"/>
        </w:rPr>
        <w:t xml:space="preserve"> pemasaran</w:t>
      </w:r>
      <w:r>
        <w:rPr>
          <w:rFonts w:ascii="Times New Roman" w:eastAsia="Times New Roman" w:hAnsi="Times New Roman" w:cs="Times New Roman"/>
          <w:color w:val="000000"/>
          <w:sz w:val="24"/>
          <w:szCs w:val="24"/>
        </w:rPr>
        <w:t xml:space="preserve"> runcit</w:t>
      </w:r>
      <w:r w:rsidR="00D80923" w:rsidRPr="00D80923">
        <w:rPr>
          <w:rFonts w:ascii="Times New Roman" w:eastAsia="Times New Roman" w:hAnsi="Times New Roman" w:cs="Times New Roman"/>
          <w:color w:val="000000"/>
          <w:sz w:val="24"/>
          <w:szCs w:val="24"/>
        </w:rPr>
        <w:t xml:space="preserve"> yang </w:t>
      </w:r>
      <w:r w:rsidR="00FB2460">
        <w:rPr>
          <w:rFonts w:ascii="Times New Roman" w:eastAsia="Times New Roman" w:hAnsi="Times New Roman" w:cs="Times New Roman"/>
          <w:color w:val="000000"/>
          <w:sz w:val="24"/>
          <w:szCs w:val="24"/>
        </w:rPr>
        <w:t>mantap.</w:t>
      </w:r>
    </w:p>
    <w:p w:rsidR="00303078" w:rsidRDefault="0016729F"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244019" w:rsidRDefault="0016729F" w:rsidP="009F0E7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K</w:t>
      </w:r>
      <w:r w:rsidR="00D31552">
        <w:rPr>
          <w:rFonts w:ascii="Times New Roman" w:eastAsia="Times New Roman" w:hAnsi="Times New Roman" w:cs="Times New Roman"/>
          <w:b/>
          <w:color w:val="000000"/>
          <w:sz w:val="24"/>
          <w:szCs w:val="24"/>
        </w:rPr>
        <w:t>ata kunci</w:t>
      </w:r>
      <w:r>
        <w:rPr>
          <w:rFonts w:ascii="Times New Roman" w:eastAsia="Times New Roman" w:hAnsi="Times New Roman" w:cs="Times New Roman"/>
          <w:b/>
          <w:color w:val="000000"/>
          <w:sz w:val="24"/>
          <w:szCs w:val="24"/>
        </w:rPr>
        <w:t>:</w:t>
      </w:r>
      <w:r w:rsidR="00D31552" w:rsidRPr="00D31552">
        <w:rPr>
          <w:rFonts w:ascii="Times New Roman" w:eastAsia="Times New Roman" w:hAnsi="Times New Roman" w:cs="Times New Roman"/>
          <w:color w:val="000000"/>
          <w:sz w:val="24"/>
          <w:szCs w:val="24"/>
        </w:rPr>
        <w:t xml:space="preserve"> </w:t>
      </w:r>
      <w:r w:rsidR="009F0E76">
        <w:rPr>
          <w:rFonts w:ascii="Times New Roman" w:eastAsia="Times New Roman" w:hAnsi="Times New Roman" w:cs="Times New Roman"/>
          <w:color w:val="000000"/>
          <w:sz w:val="24"/>
          <w:szCs w:val="24"/>
        </w:rPr>
        <w:t xml:space="preserve">COVID-19, </w:t>
      </w:r>
      <w:r w:rsidR="009F0E76" w:rsidRPr="00D31552">
        <w:rPr>
          <w:rFonts w:ascii="Times New Roman" w:eastAsia="Times New Roman" w:hAnsi="Times New Roman" w:cs="Times New Roman"/>
          <w:color w:val="000000"/>
          <w:sz w:val="24"/>
          <w:szCs w:val="24"/>
        </w:rPr>
        <w:t xml:space="preserve">pengeluaran pra-persaraan, perancangan kewangan, </w:t>
      </w:r>
      <w:r w:rsidR="009F0E76">
        <w:rPr>
          <w:rFonts w:ascii="Times New Roman" w:eastAsia="Times New Roman" w:hAnsi="Times New Roman" w:cs="Times New Roman"/>
          <w:color w:val="000000"/>
          <w:sz w:val="24"/>
          <w:szCs w:val="24"/>
        </w:rPr>
        <w:t xml:space="preserve">populasi warga tua, skim persaraan KWSP, </w:t>
      </w:r>
      <w:r w:rsidR="009F0E76" w:rsidRPr="00D31552">
        <w:rPr>
          <w:rFonts w:ascii="Times New Roman" w:eastAsia="Times New Roman" w:hAnsi="Times New Roman" w:cs="Times New Roman"/>
          <w:color w:val="000000"/>
          <w:sz w:val="24"/>
          <w:szCs w:val="24"/>
        </w:rPr>
        <w:t>tingkah laku kewangan</w:t>
      </w:r>
    </w:p>
    <w:p w:rsidR="00C438DC" w:rsidRDefault="00C438DC" w:rsidP="009F0E7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C438DC" w:rsidRDefault="00C438DC" w:rsidP="009F0E7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rsidR="00790D20" w:rsidRDefault="00512604" w:rsidP="00790D20">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sz w:val="28"/>
          <w:szCs w:val="28"/>
        </w:rPr>
      </w:pPr>
      <w:r w:rsidRPr="00492A61">
        <w:rPr>
          <w:rFonts w:ascii="Times New Roman" w:eastAsia="Times New Roman" w:hAnsi="Times New Roman" w:cs="Times New Roman"/>
          <w:b/>
          <w:sz w:val="28"/>
          <w:szCs w:val="28"/>
        </w:rPr>
        <w:t xml:space="preserve">Financial </w:t>
      </w:r>
      <w:r w:rsidR="00790D20" w:rsidRPr="00492A61">
        <w:rPr>
          <w:rFonts w:ascii="Times New Roman" w:eastAsia="Times New Roman" w:hAnsi="Times New Roman" w:cs="Times New Roman"/>
          <w:b/>
          <w:sz w:val="28"/>
          <w:szCs w:val="28"/>
        </w:rPr>
        <w:t>behaviour application</w:t>
      </w:r>
      <w:r w:rsidRPr="00492A61">
        <w:rPr>
          <w:rFonts w:ascii="Times New Roman" w:eastAsia="Times New Roman" w:hAnsi="Times New Roman" w:cs="Times New Roman"/>
          <w:b/>
          <w:sz w:val="28"/>
          <w:szCs w:val="28"/>
        </w:rPr>
        <w:t xml:space="preserve">: A </w:t>
      </w:r>
      <w:r w:rsidR="00790D20" w:rsidRPr="00492A61">
        <w:rPr>
          <w:rFonts w:ascii="Times New Roman" w:eastAsia="Times New Roman" w:hAnsi="Times New Roman" w:cs="Times New Roman"/>
          <w:b/>
          <w:sz w:val="28"/>
          <w:szCs w:val="28"/>
        </w:rPr>
        <w:t>study of pre-withdrawal pension scheme during pandemic covid-19 crisis</w:t>
      </w:r>
    </w:p>
    <w:p w:rsidR="00790D20" w:rsidRDefault="00790D20" w:rsidP="00C438DC">
      <w:pPr>
        <w:pBdr>
          <w:top w:val="nil"/>
          <w:left w:val="nil"/>
          <w:bottom w:val="nil"/>
          <w:right w:val="nil"/>
          <w:between w:val="nil"/>
        </w:pBdr>
        <w:spacing w:after="0" w:line="240" w:lineRule="auto"/>
        <w:ind w:leftChars="0" w:left="2" w:hanging="2"/>
        <w:rPr>
          <w:rFonts w:ascii="Times New Roman" w:eastAsia="Times New Roman" w:hAnsi="Times New Roman" w:cs="Times New Roman"/>
          <w:b/>
          <w:sz w:val="24"/>
          <w:szCs w:val="28"/>
        </w:rPr>
      </w:pPr>
    </w:p>
    <w:p w:rsidR="00790D20" w:rsidRPr="00790D20" w:rsidRDefault="00790D20" w:rsidP="00B47723">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b/>
          <w:sz w:val="24"/>
          <w:szCs w:val="28"/>
        </w:rPr>
      </w:pPr>
    </w:p>
    <w:p w:rsidR="00D80923" w:rsidRDefault="00D80923"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rsidR="00D80923" w:rsidRDefault="00D80923"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D80923" w:rsidRDefault="00D12D40"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financial behaviour of </w:t>
      </w:r>
      <w:r w:rsidR="00492A61">
        <w:rPr>
          <w:rFonts w:ascii="Times New Roman" w:eastAsia="Times New Roman" w:hAnsi="Times New Roman" w:cs="Times New Roman"/>
          <w:color w:val="000000"/>
          <w:sz w:val="24"/>
          <w:szCs w:val="24"/>
        </w:rPr>
        <w:t>individual’s</w:t>
      </w:r>
      <w:r>
        <w:rPr>
          <w:rFonts w:ascii="Times New Roman" w:eastAsia="Times New Roman" w:hAnsi="Times New Roman" w:cs="Times New Roman"/>
          <w:color w:val="000000"/>
          <w:sz w:val="24"/>
          <w:szCs w:val="24"/>
        </w:rPr>
        <w:t xml:space="preserve"> decisions making depends on various factors because financial decisions are a complex process.</w:t>
      </w:r>
      <w:r w:rsidR="00866088" w:rsidRPr="00866088">
        <w:rPr>
          <w:rFonts w:ascii="Times New Roman" w:eastAsia="Times New Roman" w:hAnsi="Times New Roman" w:cs="Times New Roman"/>
          <w:color w:val="000000"/>
          <w:sz w:val="24"/>
          <w:szCs w:val="24"/>
        </w:rPr>
        <w:t xml:space="preserve"> However, the majority of behavioural financial </w:t>
      </w:r>
      <w:r w:rsidR="00866088" w:rsidRPr="00866088">
        <w:rPr>
          <w:rFonts w:ascii="Times New Roman" w:eastAsia="Times New Roman" w:hAnsi="Times New Roman" w:cs="Times New Roman"/>
          <w:color w:val="000000"/>
          <w:sz w:val="24"/>
          <w:szCs w:val="24"/>
        </w:rPr>
        <w:lastRenderedPageBreak/>
        <w:t xml:space="preserve">decision-making is driven by personal financial goals. Furthermore, when an uncertainty element occurs, financial behaviour decision-making becomes more complex and doubtful when a crisis occurs. Thus, the application of behavioural finance theories is thus critical </w:t>
      </w:r>
      <w:r w:rsidR="003D1689">
        <w:rPr>
          <w:rFonts w:ascii="Times New Roman" w:eastAsia="Times New Roman" w:hAnsi="Times New Roman" w:cs="Times New Roman"/>
          <w:color w:val="000000"/>
          <w:sz w:val="24"/>
          <w:szCs w:val="24"/>
        </w:rPr>
        <w:t xml:space="preserve">to considerate important, especially </w:t>
      </w:r>
      <w:r w:rsidR="00866088" w:rsidRPr="00866088">
        <w:rPr>
          <w:rFonts w:ascii="Times New Roman" w:eastAsia="Times New Roman" w:hAnsi="Times New Roman" w:cs="Times New Roman"/>
          <w:color w:val="000000"/>
          <w:sz w:val="24"/>
          <w:szCs w:val="24"/>
        </w:rPr>
        <w:t>during COVID-19 crisis.  This study was carried out in response to a lack of behavioural discussion in financial planning perspective and focus behaviour of Employee Provident Fund (EPF) members during COVID-19.  This article relies on secondary sources such as previous studies, statistical data, newspapers, and official websites. This study consists of t</w:t>
      </w:r>
      <w:r w:rsidR="003270D0">
        <w:rPr>
          <w:rFonts w:ascii="Times New Roman" w:eastAsia="Times New Roman" w:hAnsi="Times New Roman" w:cs="Times New Roman"/>
          <w:color w:val="000000"/>
          <w:sz w:val="24"/>
          <w:szCs w:val="24"/>
        </w:rPr>
        <w:t>wo</w:t>
      </w:r>
      <w:r w:rsidR="00866088" w:rsidRPr="00866088">
        <w:rPr>
          <w:rFonts w:ascii="Times New Roman" w:eastAsia="Times New Roman" w:hAnsi="Times New Roman" w:cs="Times New Roman"/>
          <w:color w:val="000000"/>
          <w:sz w:val="24"/>
          <w:szCs w:val="24"/>
        </w:rPr>
        <w:t xml:space="preserve"> sections</w:t>
      </w:r>
      <w:r w:rsidR="003270D0">
        <w:rPr>
          <w:rFonts w:ascii="Times New Roman" w:eastAsia="Times New Roman" w:hAnsi="Times New Roman" w:cs="Times New Roman"/>
          <w:color w:val="000000"/>
          <w:sz w:val="24"/>
          <w:szCs w:val="24"/>
        </w:rPr>
        <w:t xml:space="preserve">. Firstly, </w:t>
      </w:r>
      <w:r w:rsidR="00866088" w:rsidRPr="00866088">
        <w:rPr>
          <w:rFonts w:ascii="Times New Roman" w:eastAsia="Times New Roman" w:hAnsi="Times New Roman" w:cs="Times New Roman"/>
          <w:color w:val="000000"/>
          <w:sz w:val="24"/>
          <w:szCs w:val="24"/>
        </w:rPr>
        <w:t>the World Bank's Five-Pillar Pension Framework and issues with an ageing population in Malaysia</w:t>
      </w:r>
      <w:r w:rsidR="003270D0">
        <w:rPr>
          <w:rFonts w:ascii="Times New Roman" w:eastAsia="Times New Roman" w:hAnsi="Times New Roman" w:cs="Times New Roman"/>
          <w:color w:val="000000"/>
          <w:sz w:val="24"/>
          <w:szCs w:val="24"/>
        </w:rPr>
        <w:t xml:space="preserve">. Second, </w:t>
      </w:r>
      <w:r w:rsidR="00866088" w:rsidRPr="00866088">
        <w:rPr>
          <w:rFonts w:ascii="Times New Roman" w:eastAsia="Times New Roman" w:hAnsi="Times New Roman" w:cs="Times New Roman"/>
          <w:color w:val="000000"/>
          <w:sz w:val="24"/>
          <w:szCs w:val="24"/>
        </w:rPr>
        <w:t xml:space="preserve">COVID-19 pandemic crisis </w:t>
      </w:r>
      <w:r w:rsidR="003D1689">
        <w:rPr>
          <w:rFonts w:ascii="Times New Roman" w:eastAsia="Times New Roman" w:hAnsi="Times New Roman" w:cs="Times New Roman"/>
          <w:color w:val="000000"/>
          <w:sz w:val="24"/>
          <w:szCs w:val="24"/>
        </w:rPr>
        <w:t>effect</w:t>
      </w:r>
      <w:r w:rsidR="00244019">
        <w:rPr>
          <w:rFonts w:ascii="Times New Roman" w:eastAsia="Times New Roman" w:hAnsi="Times New Roman" w:cs="Times New Roman"/>
          <w:color w:val="000000"/>
          <w:sz w:val="24"/>
          <w:szCs w:val="24"/>
        </w:rPr>
        <w:t xml:space="preserve"> </w:t>
      </w:r>
      <w:r w:rsidR="00866088" w:rsidRPr="00866088">
        <w:rPr>
          <w:rFonts w:ascii="Times New Roman" w:eastAsia="Times New Roman" w:hAnsi="Times New Roman" w:cs="Times New Roman"/>
          <w:color w:val="000000"/>
          <w:sz w:val="24"/>
          <w:szCs w:val="24"/>
        </w:rPr>
        <w:t>on withdrawals from Employee Retirement Fund (EPF). First, to discuss the pension framework and its significance in the context of financial planning. Second, to identify the individual pre-retirement withdrawal</w:t>
      </w:r>
      <w:r w:rsidR="003D1689">
        <w:rPr>
          <w:rFonts w:ascii="Times New Roman" w:eastAsia="Times New Roman" w:hAnsi="Times New Roman" w:cs="Times New Roman"/>
          <w:color w:val="000000"/>
          <w:sz w:val="24"/>
          <w:szCs w:val="24"/>
        </w:rPr>
        <w:t xml:space="preserve">, in which </w:t>
      </w:r>
      <w:r w:rsidR="00866088" w:rsidRPr="00866088">
        <w:rPr>
          <w:rFonts w:ascii="Times New Roman" w:eastAsia="Times New Roman" w:hAnsi="Times New Roman" w:cs="Times New Roman"/>
          <w:color w:val="000000"/>
          <w:sz w:val="24"/>
          <w:szCs w:val="24"/>
        </w:rPr>
        <w:t xml:space="preserve">financial planning </w:t>
      </w:r>
      <w:r w:rsidR="003D1689">
        <w:rPr>
          <w:rFonts w:ascii="Times New Roman" w:eastAsia="Times New Roman" w:hAnsi="Times New Roman" w:cs="Times New Roman"/>
          <w:color w:val="000000"/>
          <w:sz w:val="24"/>
          <w:szCs w:val="24"/>
        </w:rPr>
        <w:t xml:space="preserve">related </w:t>
      </w:r>
      <w:r w:rsidR="00866088" w:rsidRPr="00866088">
        <w:rPr>
          <w:rFonts w:ascii="Times New Roman" w:eastAsia="Times New Roman" w:hAnsi="Times New Roman" w:cs="Times New Roman"/>
          <w:color w:val="000000"/>
          <w:sz w:val="24"/>
          <w:szCs w:val="24"/>
        </w:rPr>
        <w:t>during the crisis pandemic COVID-19</w:t>
      </w:r>
      <w:r w:rsidR="003D1689">
        <w:rPr>
          <w:rFonts w:ascii="Times New Roman" w:eastAsia="Times New Roman" w:hAnsi="Times New Roman" w:cs="Times New Roman"/>
          <w:color w:val="000000"/>
          <w:sz w:val="24"/>
          <w:szCs w:val="24"/>
        </w:rPr>
        <w:t xml:space="preserve"> </w:t>
      </w:r>
      <w:r w:rsidR="00D22792">
        <w:rPr>
          <w:rFonts w:ascii="Times New Roman" w:eastAsia="Times New Roman" w:hAnsi="Times New Roman" w:cs="Times New Roman"/>
          <w:color w:val="000000"/>
          <w:sz w:val="24"/>
          <w:szCs w:val="24"/>
        </w:rPr>
        <w:t>and financial behaviour, whereby able to</w:t>
      </w:r>
      <w:r w:rsidR="00866088" w:rsidRPr="00866088">
        <w:rPr>
          <w:rFonts w:ascii="Times New Roman" w:eastAsia="Times New Roman" w:hAnsi="Times New Roman" w:cs="Times New Roman"/>
          <w:color w:val="000000"/>
          <w:sz w:val="24"/>
          <w:szCs w:val="24"/>
        </w:rPr>
        <w:t xml:space="preserve"> reduce the daily financial burden. Overall, the </w:t>
      </w:r>
      <w:r w:rsidR="003D1689">
        <w:rPr>
          <w:rFonts w:ascii="Times New Roman" w:eastAsia="Times New Roman" w:hAnsi="Times New Roman" w:cs="Times New Roman"/>
          <w:color w:val="000000"/>
          <w:sz w:val="24"/>
          <w:szCs w:val="24"/>
        </w:rPr>
        <w:t>discussion</w:t>
      </w:r>
      <w:r w:rsidR="00866088" w:rsidRPr="00866088">
        <w:rPr>
          <w:rFonts w:ascii="Times New Roman" w:eastAsia="Times New Roman" w:hAnsi="Times New Roman" w:cs="Times New Roman"/>
          <w:color w:val="000000"/>
          <w:sz w:val="24"/>
          <w:szCs w:val="24"/>
        </w:rPr>
        <w:t xml:space="preserve"> verified the applicability and significance of financial behaviour theories during the COVID-19 pandemic crisis. With this information, authorities and financial institutions are able to identify individual financial behaviour and therefore develop a more thorough marketing </w:t>
      </w:r>
      <w:r w:rsidR="00E7132D" w:rsidRPr="00866088">
        <w:rPr>
          <w:rFonts w:ascii="Times New Roman" w:eastAsia="Times New Roman" w:hAnsi="Times New Roman" w:cs="Times New Roman"/>
          <w:color w:val="000000"/>
          <w:sz w:val="24"/>
          <w:szCs w:val="24"/>
        </w:rPr>
        <w:t>strategy.</w:t>
      </w:r>
      <w:r w:rsidR="00D80923">
        <w:rPr>
          <w:rFonts w:ascii="Times New Roman" w:eastAsia="Times New Roman" w:hAnsi="Times New Roman" w:cs="Times New Roman"/>
          <w:color w:val="000000"/>
          <w:sz w:val="24"/>
          <w:szCs w:val="24"/>
        </w:rPr>
        <w:t xml:space="preserve"> </w:t>
      </w:r>
    </w:p>
    <w:p w:rsidR="00D80923" w:rsidRDefault="00D80923"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D80923" w:rsidRDefault="00D80923"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Keywords: </w:t>
      </w:r>
      <w:r w:rsidR="00412928">
        <w:rPr>
          <w:rFonts w:ascii="Times New Roman" w:eastAsia="Times New Roman" w:hAnsi="Times New Roman" w:cs="Times New Roman"/>
          <w:color w:val="000000"/>
          <w:sz w:val="24"/>
          <w:szCs w:val="24"/>
        </w:rPr>
        <w:t>COVID-19, pre-retirement withdrawal, financial planning, behavioural finance, EPF pension scheme, aging population</w:t>
      </w:r>
    </w:p>
    <w:p w:rsidR="00303078" w:rsidRDefault="00303078"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492A61" w:rsidRDefault="00492A61"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303078" w:rsidRDefault="00D3155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Pengenalan</w:t>
      </w:r>
      <w:r w:rsidR="0016729F">
        <w:rPr>
          <w:rFonts w:ascii="Times New Roman" w:eastAsia="Times New Roman" w:hAnsi="Times New Roman" w:cs="Times New Roman"/>
          <w:b/>
          <w:color w:val="000000"/>
          <w:sz w:val="24"/>
          <w:szCs w:val="24"/>
        </w:rPr>
        <w:t xml:space="preserve"> </w:t>
      </w:r>
    </w:p>
    <w:p w:rsidR="00B5791A" w:rsidRDefault="00B5791A"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303078" w:rsidRDefault="004E4194" w:rsidP="00C51986">
      <w:pPr>
        <w:spacing w:after="0" w:line="240" w:lineRule="auto"/>
        <w:ind w:leftChars="0" w:left="2" w:hanging="2"/>
        <w:jc w:val="both"/>
        <w:rPr>
          <w:rFonts w:ascii="Times New Roman" w:eastAsia="Times New Roman" w:hAnsi="Times New Roman" w:cs="Times New Roman"/>
          <w:sz w:val="24"/>
          <w:szCs w:val="24"/>
          <w:lang w:val="fi-FI"/>
        </w:rPr>
      </w:pPr>
      <w:r w:rsidRPr="004E4194">
        <w:rPr>
          <w:rFonts w:ascii="Times New Roman" w:eastAsia="Times New Roman" w:hAnsi="Times New Roman" w:cs="Times New Roman"/>
          <w:sz w:val="24"/>
          <w:szCs w:val="24"/>
        </w:rPr>
        <w:t xml:space="preserve">Bagi seseorang individu, tingkah laku membuat keputusan kewangan </w:t>
      </w:r>
      <w:r w:rsidR="00CF7167">
        <w:rPr>
          <w:rFonts w:ascii="Times New Roman" w:eastAsia="Times New Roman" w:hAnsi="Times New Roman" w:cs="Times New Roman"/>
          <w:sz w:val="24"/>
          <w:szCs w:val="24"/>
        </w:rPr>
        <w:t>merupakan</w:t>
      </w:r>
      <w:r w:rsidR="00CF7167" w:rsidRPr="00D014D4">
        <w:rPr>
          <w:rFonts w:ascii="Times New Roman" w:eastAsia="Times New Roman" w:hAnsi="Times New Roman" w:cs="Times New Roman"/>
          <w:sz w:val="24"/>
          <w:szCs w:val="24"/>
        </w:rPr>
        <w:t xml:space="preserve"> </w:t>
      </w:r>
      <w:r w:rsidRPr="00D014D4">
        <w:rPr>
          <w:rFonts w:ascii="Times New Roman" w:eastAsia="Times New Roman" w:hAnsi="Times New Roman" w:cs="Times New Roman"/>
          <w:sz w:val="24"/>
          <w:szCs w:val="24"/>
        </w:rPr>
        <w:t xml:space="preserve">sesuatu </w:t>
      </w:r>
      <w:r w:rsidR="003D1689">
        <w:rPr>
          <w:rFonts w:ascii="Times New Roman" w:eastAsia="Times New Roman" w:hAnsi="Times New Roman" w:cs="Times New Roman"/>
          <w:sz w:val="24"/>
          <w:szCs w:val="24"/>
        </w:rPr>
        <w:t xml:space="preserve">aktiviti mental </w:t>
      </w:r>
      <w:r w:rsidRPr="00D014D4">
        <w:rPr>
          <w:rFonts w:ascii="Times New Roman" w:eastAsia="Times New Roman" w:hAnsi="Times New Roman" w:cs="Times New Roman"/>
          <w:sz w:val="24"/>
          <w:szCs w:val="24"/>
        </w:rPr>
        <w:t>yang kompleks</w:t>
      </w:r>
      <w:r w:rsidR="00FB2460">
        <w:rPr>
          <w:rFonts w:ascii="Times New Roman" w:eastAsia="Times New Roman" w:hAnsi="Times New Roman" w:cs="Times New Roman"/>
          <w:sz w:val="24"/>
          <w:szCs w:val="24"/>
        </w:rPr>
        <w:t xml:space="preserve"> kerana </w:t>
      </w:r>
      <w:r w:rsidR="003D1689">
        <w:rPr>
          <w:rFonts w:ascii="Times New Roman" w:eastAsia="Times New Roman" w:hAnsi="Times New Roman" w:cs="Times New Roman"/>
          <w:sz w:val="24"/>
          <w:szCs w:val="24"/>
        </w:rPr>
        <w:t>memerlukan</w:t>
      </w:r>
      <w:r w:rsidRPr="00D014D4">
        <w:rPr>
          <w:rFonts w:ascii="Times New Roman" w:eastAsia="Times New Roman" w:hAnsi="Times New Roman" w:cs="Times New Roman"/>
          <w:sz w:val="24"/>
          <w:szCs w:val="24"/>
        </w:rPr>
        <w:t xml:space="preserve"> analisis </w:t>
      </w:r>
      <w:r w:rsidR="003D1689">
        <w:rPr>
          <w:rFonts w:ascii="Times New Roman" w:eastAsia="Times New Roman" w:hAnsi="Times New Roman" w:cs="Times New Roman"/>
          <w:sz w:val="24"/>
          <w:szCs w:val="24"/>
        </w:rPr>
        <w:t>f</w:t>
      </w:r>
      <w:r w:rsidRPr="00D014D4">
        <w:rPr>
          <w:rFonts w:ascii="Times New Roman" w:eastAsia="Times New Roman" w:hAnsi="Times New Roman" w:cs="Times New Roman"/>
          <w:sz w:val="24"/>
          <w:szCs w:val="24"/>
        </w:rPr>
        <w:t xml:space="preserve">aktor </w:t>
      </w:r>
      <w:r w:rsidR="003D1689">
        <w:rPr>
          <w:rFonts w:ascii="Times New Roman" w:eastAsia="Times New Roman" w:hAnsi="Times New Roman" w:cs="Times New Roman"/>
          <w:sz w:val="24"/>
          <w:szCs w:val="24"/>
        </w:rPr>
        <w:t xml:space="preserve">dari pelbagai aspek </w:t>
      </w:r>
      <w:r w:rsidRPr="00D014D4">
        <w:rPr>
          <w:rFonts w:ascii="Times New Roman" w:eastAsia="Times New Roman" w:hAnsi="Times New Roman" w:cs="Times New Roman"/>
          <w:sz w:val="24"/>
          <w:szCs w:val="24"/>
        </w:rPr>
        <w:t>(Khoong, 2016</w:t>
      </w:r>
      <w:r w:rsidR="00FC4511" w:rsidRPr="00D014D4">
        <w:rPr>
          <w:rFonts w:ascii="Times New Roman" w:eastAsia="Times New Roman" w:hAnsi="Times New Roman" w:cs="Times New Roman"/>
          <w:sz w:val="24"/>
          <w:szCs w:val="24"/>
        </w:rPr>
        <w:t>; Ahmad &amp; Tahir, 2019</w:t>
      </w:r>
      <w:r w:rsidR="004B04C1" w:rsidRPr="00D014D4">
        <w:rPr>
          <w:rFonts w:ascii="Times New Roman" w:eastAsia="Times New Roman" w:hAnsi="Times New Roman" w:cs="Times New Roman"/>
          <w:sz w:val="24"/>
          <w:szCs w:val="24"/>
        </w:rPr>
        <w:t>; Kamran et al., 2020</w:t>
      </w:r>
      <w:r w:rsidRPr="00D014D4">
        <w:rPr>
          <w:rFonts w:ascii="Times New Roman" w:eastAsia="Times New Roman" w:hAnsi="Times New Roman" w:cs="Times New Roman"/>
          <w:sz w:val="24"/>
          <w:szCs w:val="24"/>
        </w:rPr>
        <w:t xml:space="preserve">). </w:t>
      </w:r>
      <w:r w:rsidR="00D665E1">
        <w:rPr>
          <w:rFonts w:ascii="Times New Roman" w:eastAsia="Times New Roman" w:hAnsi="Times New Roman" w:cs="Times New Roman"/>
          <w:sz w:val="24"/>
          <w:szCs w:val="24"/>
        </w:rPr>
        <w:t>Walau bagaimanapun</w:t>
      </w:r>
      <w:r w:rsidRPr="00D014D4">
        <w:rPr>
          <w:rFonts w:ascii="Times New Roman" w:eastAsia="Times New Roman" w:hAnsi="Times New Roman" w:cs="Times New Roman"/>
          <w:sz w:val="24"/>
          <w:szCs w:val="24"/>
        </w:rPr>
        <w:t xml:space="preserve">, </w:t>
      </w:r>
      <w:r w:rsidR="00D665E1">
        <w:rPr>
          <w:rFonts w:ascii="Times New Roman" w:eastAsia="Times New Roman" w:hAnsi="Times New Roman" w:cs="Times New Roman"/>
          <w:sz w:val="24"/>
          <w:szCs w:val="24"/>
        </w:rPr>
        <w:t xml:space="preserve">faktor terpenting </w:t>
      </w:r>
      <w:r w:rsidRPr="00D014D4">
        <w:rPr>
          <w:rFonts w:ascii="Times New Roman" w:eastAsia="Times New Roman" w:hAnsi="Times New Roman" w:cs="Times New Roman"/>
          <w:sz w:val="24"/>
          <w:szCs w:val="24"/>
        </w:rPr>
        <w:t xml:space="preserve">tingkah laku kewangan berkait rapat </w:t>
      </w:r>
      <w:r w:rsidR="00D665E1">
        <w:rPr>
          <w:rFonts w:ascii="Times New Roman" w:eastAsia="Times New Roman" w:hAnsi="Times New Roman" w:cs="Times New Roman"/>
          <w:sz w:val="24"/>
          <w:szCs w:val="24"/>
        </w:rPr>
        <w:t xml:space="preserve">ialah untuk </w:t>
      </w:r>
      <w:r w:rsidR="00F11838">
        <w:rPr>
          <w:rFonts w:ascii="Times New Roman" w:eastAsia="Times New Roman" w:hAnsi="Times New Roman" w:cs="Times New Roman"/>
          <w:sz w:val="24"/>
          <w:szCs w:val="24"/>
        </w:rPr>
        <w:t xml:space="preserve">mencapai </w:t>
      </w:r>
      <w:r w:rsidRPr="00D014D4">
        <w:rPr>
          <w:rFonts w:ascii="Times New Roman" w:eastAsia="Times New Roman" w:hAnsi="Times New Roman" w:cs="Times New Roman"/>
          <w:sz w:val="24"/>
          <w:szCs w:val="24"/>
        </w:rPr>
        <w:t>objektif kewangan</w:t>
      </w:r>
      <w:r w:rsidR="00D665E1">
        <w:rPr>
          <w:rFonts w:ascii="Times New Roman" w:eastAsia="Times New Roman" w:hAnsi="Times New Roman" w:cs="Times New Roman"/>
          <w:sz w:val="24"/>
          <w:szCs w:val="24"/>
        </w:rPr>
        <w:t xml:space="preserve"> individu</w:t>
      </w:r>
      <w:r w:rsidRPr="00D014D4">
        <w:rPr>
          <w:rFonts w:ascii="Times New Roman" w:eastAsia="Times New Roman" w:hAnsi="Times New Roman" w:cs="Times New Roman"/>
          <w:sz w:val="24"/>
          <w:szCs w:val="24"/>
        </w:rPr>
        <w:t xml:space="preserve">. Teori-teori kewangan klasik menegaskan </w:t>
      </w:r>
      <w:r w:rsidR="004577D6">
        <w:rPr>
          <w:rFonts w:ascii="Times New Roman" w:eastAsia="Times New Roman" w:hAnsi="Times New Roman" w:cs="Times New Roman"/>
          <w:sz w:val="24"/>
          <w:szCs w:val="24"/>
        </w:rPr>
        <w:t xml:space="preserve">tindakan </w:t>
      </w:r>
      <w:r w:rsidRPr="00D014D4">
        <w:rPr>
          <w:rFonts w:ascii="Times New Roman" w:eastAsia="Times New Roman" w:hAnsi="Times New Roman" w:cs="Times New Roman"/>
          <w:sz w:val="24"/>
          <w:szCs w:val="24"/>
        </w:rPr>
        <w:t xml:space="preserve">individu </w:t>
      </w:r>
      <w:r w:rsidR="00857EDE">
        <w:rPr>
          <w:rFonts w:ascii="Times New Roman" w:eastAsia="Times New Roman" w:hAnsi="Times New Roman" w:cs="Times New Roman"/>
          <w:sz w:val="24"/>
          <w:szCs w:val="24"/>
        </w:rPr>
        <w:t>adalah</w:t>
      </w:r>
      <w:r w:rsidRPr="00D014D4">
        <w:rPr>
          <w:rFonts w:ascii="Times New Roman" w:eastAsia="Times New Roman" w:hAnsi="Times New Roman" w:cs="Times New Roman"/>
          <w:sz w:val="24"/>
          <w:szCs w:val="24"/>
        </w:rPr>
        <w:t xml:space="preserve"> rational</w:t>
      </w:r>
      <w:r w:rsidR="00857EDE">
        <w:rPr>
          <w:rFonts w:ascii="Times New Roman" w:eastAsia="Times New Roman" w:hAnsi="Times New Roman" w:cs="Times New Roman"/>
          <w:sz w:val="24"/>
          <w:szCs w:val="24"/>
        </w:rPr>
        <w:t xml:space="preserve"> </w:t>
      </w:r>
      <w:r w:rsidR="000450B7">
        <w:rPr>
          <w:rFonts w:ascii="Times New Roman" w:eastAsia="Times New Roman" w:hAnsi="Times New Roman" w:cs="Times New Roman"/>
          <w:sz w:val="24"/>
          <w:szCs w:val="24"/>
        </w:rPr>
        <w:t>ialah</w:t>
      </w:r>
      <w:r w:rsidR="000450B7" w:rsidRPr="00D014D4">
        <w:rPr>
          <w:rFonts w:ascii="Times New Roman" w:eastAsia="Times New Roman" w:hAnsi="Times New Roman" w:cs="Times New Roman"/>
          <w:sz w:val="24"/>
          <w:szCs w:val="24"/>
        </w:rPr>
        <w:t xml:space="preserve"> </w:t>
      </w:r>
      <w:r w:rsidRPr="00D014D4">
        <w:rPr>
          <w:rFonts w:ascii="Times New Roman" w:eastAsia="Times New Roman" w:hAnsi="Times New Roman" w:cs="Times New Roman"/>
          <w:sz w:val="24"/>
          <w:szCs w:val="24"/>
        </w:rPr>
        <w:t>memaximumkan keuntungan apabila berhadapan dengan aspek kewangan</w:t>
      </w:r>
      <w:r w:rsidR="00FB2460">
        <w:rPr>
          <w:rFonts w:ascii="Times New Roman" w:eastAsia="Times New Roman" w:hAnsi="Times New Roman" w:cs="Times New Roman"/>
          <w:sz w:val="24"/>
          <w:szCs w:val="24"/>
        </w:rPr>
        <w:t xml:space="preserve"> (</w:t>
      </w:r>
      <w:r w:rsidR="00FB2460">
        <w:rPr>
          <w:rFonts w:ascii="Times New Roman" w:eastAsia="Times New Roman" w:hAnsi="Times New Roman" w:cs="Times New Roman"/>
          <w:color w:val="000000"/>
          <w:sz w:val="24"/>
          <w:szCs w:val="24"/>
        </w:rPr>
        <w:t xml:space="preserve">Wang &amp; Young, 1998; </w:t>
      </w:r>
      <w:r w:rsidR="00FB2460" w:rsidRPr="005A0BAB">
        <w:rPr>
          <w:rFonts w:ascii="Times New Roman" w:eastAsia="Times New Roman" w:hAnsi="Times New Roman" w:cs="Times New Roman"/>
          <w:color w:val="000000"/>
          <w:sz w:val="24"/>
          <w:szCs w:val="24"/>
        </w:rPr>
        <w:t>Khoong, 2015;</w:t>
      </w:r>
      <w:r w:rsidR="00FB2460">
        <w:rPr>
          <w:rFonts w:ascii="Times New Roman" w:eastAsia="Times New Roman" w:hAnsi="Times New Roman" w:cs="Times New Roman"/>
          <w:color w:val="000000"/>
          <w:sz w:val="24"/>
          <w:szCs w:val="24"/>
        </w:rPr>
        <w:t xml:space="preserve"> Ameur &amp; Tkiouat, 2016)</w:t>
      </w:r>
      <w:r w:rsidRPr="00D014D4">
        <w:rPr>
          <w:rFonts w:ascii="Times New Roman" w:eastAsia="Times New Roman" w:hAnsi="Times New Roman" w:cs="Times New Roman"/>
          <w:sz w:val="24"/>
          <w:szCs w:val="24"/>
        </w:rPr>
        <w:t>. Namun demikian, banyak kajian mendapati individu juga bertindak sebaliknya dalam aspek kewangan (</w:t>
      </w:r>
      <w:r w:rsidR="000A0E62" w:rsidRPr="00D014D4">
        <w:rPr>
          <w:rFonts w:ascii="Times New Roman" w:eastAsia="Times New Roman" w:hAnsi="Times New Roman" w:cs="Times New Roman"/>
          <w:sz w:val="24"/>
          <w:szCs w:val="24"/>
        </w:rPr>
        <w:t>Mbaluka et al., 2012; Claudia &amp; Thiago, 2014;</w:t>
      </w:r>
      <w:r w:rsidR="00271E20" w:rsidRPr="00D014D4">
        <w:rPr>
          <w:rFonts w:ascii="Times New Roman" w:eastAsia="Times New Roman" w:hAnsi="Times New Roman" w:cs="Times New Roman"/>
          <w:sz w:val="24"/>
          <w:szCs w:val="24"/>
        </w:rPr>
        <w:t xml:space="preserve"> Seth &amp; Chowdary, 2017;</w:t>
      </w:r>
      <w:r w:rsidR="000A0E62" w:rsidRPr="00D014D4">
        <w:rPr>
          <w:rFonts w:ascii="Times New Roman" w:eastAsia="Times New Roman" w:hAnsi="Times New Roman" w:cs="Times New Roman"/>
          <w:sz w:val="24"/>
          <w:szCs w:val="24"/>
        </w:rPr>
        <w:t xml:space="preserve"> </w:t>
      </w:r>
      <w:r w:rsidR="001A7617" w:rsidRPr="00D014D4">
        <w:rPr>
          <w:rFonts w:ascii="Times New Roman" w:eastAsia="Times New Roman" w:hAnsi="Times New Roman" w:cs="Times New Roman"/>
          <w:sz w:val="24"/>
          <w:szCs w:val="24"/>
        </w:rPr>
        <w:t xml:space="preserve">Alves &amp; Teresa, 2020; </w:t>
      </w:r>
      <w:r w:rsidR="000A0E62" w:rsidRPr="00D014D4">
        <w:rPr>
          <w:rFonts w:ascii="Times New Roman" w:eastAsia="Times New Roman" w:hAnsi="Times New Roman" w:cs="Times New Roman"/>
          <w:sz w:val="24"/>
          <w:szCs w:val="24"/>
        </w:rPr>
        <w:t>Erdogan, 2020</w:t>
      </w:r>
      <w:r w:rsidR="00D32FCB" w:rsidRPr="00D014D4">
        <w:rPr>
          <w:rFonts w:ascii="Times New Roman" w:eastAsia="Times New Roman" w:hAnsi="Times New Roman" w:cs="Times New Roman"/>
          <w:sz w:val="24"/>
          <w:szCs w:val="24"/>
        </w:rPr>
        <w:t>; Zafar &amp; Siddiqui, 2020</w:t>
      </w:r>
      <w:r w:rsidRPr="00D014D4">
        <w:rPr>
          <w:rFonts w:ascii="Times New Roman" w:eastAsia="Times New Roman" w:hAnsi="Times New Roman" w:cs="Times New Roman"/>
          <w:sz w:val="24"/>
          <w:szCs w:val="24"/>
        </w:rPr>
        <w:t>).</w:t>
      </w:r>
      <w:r w:rsidR="00D32FCB" w:rsidRPr="00D014D4">
        <w:rPr>
          <w:rFonts w:ascii="Times New Roman" w:eastAsia="Times New Roman" w:hAnsi="Times New Roman" w:cs="Times New Roman"/>
          <w:sz w:val="24"/>
          <w:szCs w:val="24"/>
        </w:rPr>
        <w:t xml:space="preserve"> </w:t>
      </w:r>
      <w:r w:rsidR="00FB2460" w:rsidRPr="00087940">
        <w:rPr>
          <w:rFonts w:ascii="Times New Roman" w:eastAsia="Times New Roman" w:hAnsi="Times New Roman" w:cs="Times New Roman"/>
          <w:sz w:val="24"/>
          <w:szCs w:val="24"/>
          <w:lang w:val="fi-FI"/>
        </w:rPr>
        <w:t>Situasi ini menjadi lebih</w:t>
      </w:r>
      <w:r w:rsidR="00681140" w:rsidRPr="00087940">
        <w:rPr>
          <w:rFonts w:ascii="Times New Roman" w:eastAsia="Times New Roman" w:hAnsi="Times New Roman" w:cs="Times New Roman"/>
          <w:sz w:val="24"/>
          <w:szCs w:val="24"/>
          <w:lang w:val="fi-FI"/>
        </w:rPr>
        <w:t xml:space="preserve"> </w:t>
      </w:r>
      <w:r w:rsidRPr="00087940">
        <w:rPr>
          <w:rFonts w:ascii="Times New Roman" w:eastAsia="Times New Roman" w:hAnsi="Times New Roman" w:cs="Times New Roman"/>
          <w:sz w:val="24"/>
          <w:szCs w:val="24"/>
          <w:lang w:val="fi-FI"/>
        </w:rPr>
        <w:t>ketara apabila wujudnya elemen ketidakpastian dan individu menjadi keliru sewaktu krisis (</w:t>
      </w:r>
      <w:r w:rsidR="001A6D41" w:rsidRPr="00087940">
        <w:rPr>
          <w:rFonts w:ascii="Times New Roman" w:eastAsia="Times New Roman" w:hAnsi="Times New Roman" w:cs="Times New Roman"/>
          <w:sz w:val="24"/>
          <w:szCs w:val="24"/>
          <w:lang w:val="fi-FI"/>
        </w:rPr>
        <w:t>Putri</w:t>
      </w:r>
      <w:r w:rsidR="000A0E62" w:rsidRPr="00087940">
        <w:rPr>
          <w:rFonts w:ascii="Times New Roman" w:eastAsia="Times New Roman" w:hAnsi="Times New Roman" w:cs="Times New Roman"/>
          <w:sz w:val="24"/>
          <w:szCs w:val="24"/>
          <w:lang w:val="fi-FI"/>
        </w:rPr>
        <w:t xml:space="preserve"> et al., 2020; </w:t>
      </w:r>
      <w:r w:rsidR="003069F4" w:rsidRPr="00087940">
        <w:rPr>
          <w:rFonts w:ascii="Times New Roman" w:eastAsia="Times New Roman" w:hAnsi="Times New Roman" w:cs="Times New Roman"/>
          <w:sz w:val="24"/>
          <w:szCs w:val="24"/>
          <w:lang w:val="fi-FI"/>
        </w:rPr>
        <w:t>Silinskas et al., 2021</w:t>
      </w:r>
      <w:r w:rsidRPr="00087940">
        <w:rPr>
          <w:rFonts w:ascii="Times New Roman" w:eastAsia="Times New Roman" w:hAnsi="Times New Roman" w:cs="Times New Roman"/>
          <w:sz w:val="24"/>
          <w:szCs w:val="24"/>
          <w:lang w:val="fi-FI"/>
        </w:rPr>
        <w:t xml:space="preserve">). </w:t>
      </w:r>
      <w:r w:rsidR="00D665E1" w:rsidRPr="00087940">
        <w:rPr>
          <w:rFonts w:ascii="Times New Roman" w:eastAsia="Times New Roman" w:hAnsi="Times New Roman" w:cs="Times New Roman"/>
          <w:sz w:val="24"/>
          <w:szCs w:val="24"/>
        </w:rPr>
        <w:t xml:space="preserve">Di dalam situasi </w:t>
      </w:r>
      <w:r w:rsidR="000450B7" w:rsidRPr="00087940">
        <w:rPr>
          <w:rFonts w:ascii="Times New Roman" w:eastAsia="Times New Roman" w:hAnsi="Times New Roman" w:cs="Times New Roman"/>
          <w:sz w:val="24"/>
          <w:szCs w:val="24"/>
        </w:rPr>
        <w:t>krisis</w:t>
      </w:r>
      <w:r w:rsidR="00D665E1" w:rsidRPr="00087940">
        <w:rPr>
          <w:rFonts w:ascii="Times New Roman" w:eastAsia="Times New Roman" w:hAnsi="Times New Roman" w:cs="Times New Roman"/>
          <w:sz w:val="24"/>
          <w:szCs w:val="24"/>
        </w:rPr>
        <w:t>,</w:t>
      </w:r>
      <w:r w:rsidRPr="00087940">
        <w:rPr>
          <w:rFonts w:ascii="Times New Roman" w:eastAsia="Times New Roman" w:hAnsi="Times New Roman" w:cs="Times New Roman"/>
          <w:sz w:val="24"/>
          <w:szCs w:val="24"/>
        </w:rPr>
        <w:t xml:space="preserve"> individu menjadi kurang rational </w:t>
      </w:r>
      <w:r w:rsidR="00D665E1" w:rsidRPr="00087940">
        <w:rPr>
          <w:rFonts w:ascii="Times New Roman" w:eastAsia="Times New Roman" w:hAnsi="Times New Roman" w:cs="Times New Roman"/>
          <w:sz w:val="24"/>
          <w:szCs w:val="24"/>
        </w:rPr>
        <w:t>dalam membuat keputusan</w:t>
      </w:r>
      <w:r w:rsidR="000450B7" w:rsidRPr="00087940">
        <w:rPr>
          <w:rFonts w:ascii="Times New Roman" w:eastAsia="Times New Roman" w:hAnsi="Times New Roman" w:cs="Times New Roman"/>
          <w:sz w:val="24"/>
          <w:szCs w:val="24"/>
        </w:rPr>
        <w:t xml:space="preserve"> kewangan</w:t>
      </w:r>
      <w:r w:rsidR="00D665E1" w:rsidRPr="00087940">
        <w:rPr>
          <w:rFonts w:ascii="Times New Roman" w:eastAsia="Times New Roman" w:hAnsi="Times New Roman" w:cs="Times New Roman"/>
          <w:sz w:val="24"/>
          <w:szCs w:val="24"/>
        </w:rPr>
        <w:t>. Seterusnya, ini menyebabkan p</w:t>
      </w:r>
      <w:r w:rsidRPr="00087940">
        <w:rPr>
          <w:rFonts w:ascii="Times New Roman" w:eastAsia="Times New Roman" w:hAnsi="Times New Roman" w:cs="Times New Roman"/>
          <w:sz w:val="24"/>
          <w:szCs w:val="24"/>
        </w:rPr>
        <w:t xml:space="preserve">asaran </w:t>
      </w:r>
      <w:r w:rsidR="00D665E1" w:rsidRPr="00087940">
        <w:rPr>
          <w:rFonts w:ascii="Times New Roman" w:eastAsia="Times New Roman" w:hAnsi="Times New Roman" w:cs="Times New Roman"/>
          <w:sz w:val="24"/>
          <w:szCs w:val="24"/>
        </w:rPr>
        <w:t xml:space="preserve">ekonomi menjadi </w:t>
      </w:r>
      <w:r w:rsidRPr="00087940">
        <w:rPr>
          <w:rFonts w:ascii="Times New Roman" w:eastAsia="Times New Roman" w:hAnsi="Times New Roman" w:cs="Times New Roman"/>
          <w:sz w:val="24"/>
          <w:szCs w:val="24"/>
        </w:rPr>
        <w:t>tidak cekap (Khoong, 2016</w:t>
      </w:r>
      <w:r w:rsidR="004F7B3F" w:rsidRPr="00087940">
        <w:rPr>
          <w:rFonts w:ascii="Times New Roman" w:eastAsia="Times New Roman" w:hAnsi="Times New Roman" w:cs="Times New Roman"/>
          <w:sz w:val="24"/>
          <w:szCs w:val="24"/>
        </w:rPr>
        <w:t>; Erdogan, 2020; Zafar &amp; Siddiqui, 2020</w:t>
      </w:r>
      <w:r w:rsidRPr="00087940">
        <w:rPr>
          <w:rFonts w:ascii="Times New Roman" w:eastAsia="Times New Roman" w:hAnsi="Times New Roman" w:cs="Times New Roman"/>
          <w:sz w:val="24"/>
          <w:szCs w:val="24"/>
        </w:rPr>
        <w:t>).</w:t>
      </w:r>
      <w:r w:rsidRPr="00D014D4">
        <w:rPr>
          <w:rFonts w:ascii="Times New Roman" w:eastAsia="Times New Roman" w:hAnsi="Times New Roman" w:cs="Times New Roman"/>
          <w:sz w:val="24"/>
          <w:szCs w:val="24"/>
        </w:rPr>
        <w:t xml:space="preserve"> </w:t>
      </w:r>
      <w:r w:rsidR="004577D6">
        <w:rPr>
          <w:rFonts w:ascii="Times New Roman" w:eastAsia="Times New Roman" w:hAnsi="Times New Roman" w:cs="Times New Roman"/>
          <w:sz w:val="24"/>
          <w:szCs w:val="24"/>
        </w:rPr>
        <w:t>Hal i</w:t>
      </w:r>
      <w:r w:rsidRPr="00D014D4">
        <w:rPr>
          <w:rFonts w:ascii="Times New Roman" w:eastAsia="Times New Roman" w:hAnsi="Times New Roman" w:cs="Times New Roman"/>
          <w:sz w:val="24"/>
          <w:szCs w:val="24"/>
        </w:rPr>
        <w:t xml:space="preserve">ni </w:t>
      </w:r>
      <w:r w:rsidR="004577D6">
        <w:rPr>
          <w:rFonts w:ascii="Times New Roman" w:eastAsia="Times New Roman" w:hAnsi="Times New Roman" w:cs="Times New Roman"/>
          <w:sz w:val="24"/>
          <w:szCs w:val="24"/>
        </w:rPr>
        <w:t>bertambah rumit</w:t>
      </w:r>
      <w:r w:rsidRPr="00D014D4">
        <w:rPr>
          <w:rFonts w:ascii="Times New Roman" w:eastAsia="Times New Roman" w:hAnsi="Times New Roman" w:cs="Times New Roman"/>
          <w:sz w:val="24"/>
          <w:szCs w:val="24"/>
        </w:rPr>
        <w:t xml:space="preserve"> kompleks apabila dikaji daripada </w:t>
      </w:r>
      <w:r w:rsidR="006B3538">
        <w:rPr>
          <w:rFonts w:ascii="Times New Roman" w:eastAsia="Times New Roman" w:hAnsi="Times New Roman" w:cs="Times New Roman"/>
          <w:sz w:val="24"/>
          <w:szCs w:val="24"/>
        </w:rPr>
        <w:t>persepsi</w:t>
      </w:r>
      <w:r w:rsidRPr="00D014D4">
        <w:rPr>
          <w:rFonts w:ascii="Times New Roman" w:eastAsia="Times New Roman" w:hAnsi="Times New Roman" w:cs="Times New Roman"/>
          <w:sz w:val="24"/>
          <w:szCs w:val="24"/>
        </w:rPr>
        <w:t xml:space="preserve"> perancangan kewangan.</w:t>
      </w:r>
      <w:r w:rsidR="0051745B">
        <w:rPr>
          <w:rFonts w:ascii="Times New Roman" w:eastAsia="Times New Roman" w:hAnsi="Times New Roman" w:cs="Times New Roman"/>
          <w:sz w:val="24"/>
          <w:szCs w:val="24"/>
        </w:rPr>
        <w:t xml:space="preserve"> Hal ini sedemikian disebabkan</w:t>
      </w:r>
      <w:r w:rsidRPr="00D014D4">
        <w:rPr>
          <w:rFonts w:ascii="Times New Roman" w:eastAsia="Times New Roman" w:hAnsi="Times New Roman" w:cs="Times New Roman"/>
          <w:sz w:val="24"/>
          <w:szCs w:val="24"/>
        </w:rPr>
        <w:t xml:space="preserve"> </w:t>
      </w:r>
      <w:r w:rsidR="00FB2460">
        <w:rPr>
          <w:rFonts w:ascii="Times New Roman" w:eastAsia="Times New Roman" w:hAnsi="Times New Roman" w:cs="Times New Roman"/>
          <w:sz w:val="24"/>
          <w:szCs w:val="24"/>
        </w:rPr>
        <w:t xml:space="preserve">konsep </w:t>
      </w:r>
      <w:r w:rsidRPr="00D014D4">
        <w:rPr>
          <w:rFonts w:ascii="Times New Roman" w:eastAsia="Times New Roman" w:hAnsi="Times New Roman" w:cs="Times New Roman"/>
          <w:sz w:val="24"/>
          <w:szCs w:val="24"/>
        </w:rPr>
        <w:t xml:space="preserve">perancangan kewangan </w:t>
      </w:r>
      <w:r w:rsidR="0051745B">
        <w:rPr>
          <w:rFonts w:ascii="Times New Roman" w:eastAsia="Times New Roman" w:hAnsi="Times New Roman" w:cs="Times New Roman"/>
          <w:sz w:val="24"/>
          <w:szCs w:val="24"/>
        </w:rPr>
        <w:t xml:space="preserve">yang </w:t>
      </w:r>
      <w:r w:rsidR="00FB2460">
        <w:rPr>
          <w:rFonts w:ascii="Times New Roman" w:eastAsia="Times New Roman" w:hAnsi="Times New Roman" w:cs="Times New Roman"/>
          <w:sz w:val="24"/>
          <w:szCs w:val="24"/>
        </w:rPr>
        <w:t>ber</w:t>
      </w:r>
      <w:r w:rsidRPr="00D014D4">
        <w:rPr>
          <w:rFonts w:ascii="Times New Roman" w:eastAsia="Times New Roman" w:hAnsi="Times New Roman" w:cs="Times New Roman"/>
          <w:sz w:val="24"/>
          <w:szCs w:val="24"/>
        </w:rPr>
        <w:t xml:space="preserve">bentuk </w:t>
      </w:r>
      <w:r w:rsidR="0051745B">
        <w:rPr>
          <w:rFonts w:ascii="Times New Roman" w:eastAsia="Times New Roman" w:hAnsi="Times New Roman" w:cs="Times New Roman"/>
          <w:sz w:val="24"/>
          <w:szCs w:val="24"/>
        </w:rPr>
        <w:t>dinamik prakt</w:t>
      </w:r>
      <w:r w:rsidRPr="00D014D4">
        <w:rPr>
          <w:rFonts w:ascii="Times New Roman" w:eastAsia="Times New Roman" w:hAnsi="Times New Roman" w:cs="Times New Roman"/>
          <w:sz w:val="24"/>
          <w:szCs w:val="24"/>
        </w:rPr>
        <w:t xml:space="preserve">ikal dan </w:t>
      </w:r>
      <w:r w:rsidR="0051745B">
        <w:rPr>
          <w:rFonts w:ascii="Times New Roman" w:eastAsia="Times New Roman" w:hAnsi="Times New Roman" w:cs="Times New Roman"/>
          <w:sz w:val="24"/>
          <w:szCs w:val="24"/>
        </w:rPr>
        <w:t>ber</w:t>
      </w:r>
      <w:r w:rsidR="00876E7C">
        <w:rPr>
          <w:rFonts w:ascii="Times New Roman" w:eastAsia="Times New Roman" w:hAnsi="Times New Roman" w:cs="Times New Roman"/>
          <w:sz w:val="24"/>
          <w:szCs w:val="24"/>
        </w:rPr>
        <w:t>gantung</w:t>
      </w:r>
      <w:r w:rsidRPr="00D014D4">
        <w:rPr>
          <w:rFonts w:ascii="Times New Roman" w:eastAsia="Times New Roman" w:hAnsi="Times New Roman" w:cs="Times New Roman"/>
          <w:sz w:val="24"/>
          <w:szCs w:val="24"/>
        </w:rPr>
        <w:t xml:space="preserve"> mengikut keadaan semasa</w:t>
      </w:r>
      <w:r w:rsidR="0051745B">
        <w:rPr>
          <w:rFonts w:ascii="Times New Roman" w:eastAsia="Times New Roman" w:hAnsi="Times New Roman" w:cs="Times New Roman"/>
          <w:sz w:val="24"/>
          <w:szCs w:val="24"/>
        </w:rPr>
        <w:t xml:space="preserve"> individu</w:t>
      </w:r>
      <w:r w:rsidRPr="00D014D4">
        <w:rPr>
          <w:rFonts w:ascii="Times New Roman" w:eastAsia="Times New Roman" w:hAnsi="Times New Roman" w:cs="Times New Roman"/>
          <w:sz w:val="24"/>
          <w:szCs w:val="24"/>
        </w:rPr>
        <w:t xml:space="preserve">, maka </w:t>
      </w:r>
      <w:r w:rsidR="00FB2460">
        <w:rPr>
          <w:rFonts w:ascii="Times New Roman" w:eastAsia="Times New Roman" w:hAnsi="Times New Roman" w:cs="Times New Roman"/>
          <w:sz w:val="24"/>
          <w:szCs w:val="24"/>
        </w:rPr>
        <w:t xml:space="preserve">kurang </w:t>
      </w:r>
      <w:r w:rsidRPr="00D014D4">
        <w:rPr>
          <w:rFonts w:ascii="Times New Roman" w:eastAsia="Times New Roman" w:hAnsi="Times New Roman" w:cs="Times New Roman"/>
          <w:sz w:val="24"/>
          <w:szCs w:val="24"/>
        </w:rPr>
        <w:t xml:space="preserve">model yang </w:t>
      </w:r>
      <w:r w:rsidR="00FB2460">
        <w:rPr>
          <w:rFonts w:ascii="Times New Roman" w:eastAsia="Times New Roman" w:hAnsi="Times New Roman" w:cs="Times New Roman"/>
          <w:sz w:val="24"/>
          <w:szCs w:val="24"/>
        </w:rPr>
        <w:t>mampu</w:t>
      </w:r>
      <w:r w:rsidRPr="00D014D4">
        <w:rPr>
          <w:rFonts w:ascii="Times New Roman" w:eastAsia="Times New Roman" w:hAnsi="Times New Roman" w:cs="Times New Roman"/>
          <w:sz w:val="24"/>
          <w:szCs w:val="24"/>
        </w:rPr>
        <w:t xml:space="preserve"> menjelaskan perancangan kewangan individu secara menyeluruh (</w:t>
      </w:r>
      <w:r w:rsidR="00C6440A">
        <w:rPr>
          <w:rFonts w:ascii="Times New Roman" w:eastAsia="Times New Roman" w:hAnsi="Times New Roman" w:cs="Times New Roman"/>
          <w:sz w:val="24"/>
          <w:szCs w:val="24"/>
        </w:rPr>
        <w:t xml:space="preserve">Khoong, 2015; </w:t>
      </w:r>
      <w:r w:rsidRPr="00D014D4">
        <w:rPr>
          <w:rFonts w:ascii="Times New Roman" w:eastAsia="Times New Roman" w:hAnsi="Times New Roman" w:cs="Times New Roman"/>
          <w:sz w:val="24"/>
          <w:szCs w:val="24"/>
        </w:rPr>
        <w:t xml:space="preserve">Khoong, 2016; </w:t>
      </w:r>
      <w:r w:rsidR="00B51F6C" w:rsidRPr="00D014D4">
        <w:rPr>
          <w:rFonts w:ascii="Times New Roman" w:eastAsia="Times New Roman" w:hAnsi="Times New Roman" w:cs="Times New Roman"/>
          <w:sz w:val="24"/>
          <w:szCs w:val="24"/>
        </w:rPr>
        <w:t xml:space="preserve">Grozdanovska et al., 2017; </w:t>
      </w:r>
      <w:r w:rsidR="00CF3D51" w:rsidRPr="00D014D4">
        <w:rPr>
          <w:rFonts w:ascii="Times New Roman" w:eastAsia="Times New Roman" w:hAnsi="Times New Roman" w:cs="Times New Roman"/>
          <w:sz w:val="24"/>
          <w:szCs w:val="24"/>
        </w:rPr>
        <w:t xml:space="preserve">Banihani, 2020; </w:t>
      </w:r>
      <w:r w:rsidRPr="00D014D4">
        <w:rPr>
          <w:rFonts w:ascii="Times New Roman" w:eastAsia="Times New Roman" w:hAnsi="Times New Roman" w:cs="Times New Roman"/>
          <w:sz w:val="24"/>
          <w:szCs w:val="24"/>
        </w:rPr>
        <w:t>Laporan Tahunan KWSP</w:t>
      </w:r>
      <w:r w:rsidR="005D649A">
        <w:rPr>
          <w:rFonts w:ascii="Times New Roman" w:eastAsia="Times New Roman" w:hAnsi="Times New Roman" w:cs="Times New Roman"/>
          <w:sz w:val="24"/>
          <w:szCs w:val="24"/>
        </w:rPr>
        <w:t>,</w:t>
      </w:r>
      <w:r w:rsidRPr="00D014D4">
        <w:rPr>
          <w:rFonts w:ascii="Times New Roman" w:eastAsia="Times New Roman" w:hAnsi="Times New Roman" w:cs="Times New Roman"/>
          <w:sz w:val="24"/>
          <w:szCs w:val="24"/>
        </w:rPr>
        <w:t xml:space="preserve"> 2021). </w:t>
      </w:r>
      <w:r w:rsidR="00082659" w:rsidRPr="00D014D4">
        <w:rPr>
          <w:rFonts w:ascii="Times New Roman" w:eastAsia="Times New Roman" w:hAnsi="Times New Roman" w:cs="Times New Roman"/>
          <w:sz w:val="24"/>
          <w:szCs w:val="24"/>
        </w:rPr>
        <w:t>Menurut skim KWSP, p</w:t>
      </w:r>
      <w:r w:rsidR="00243F24" w:rsidRPr="00D014D4">
        <w:rPr>
          <w:rFonts w:ascii="Times New Roman" w:eastAsia="Times New Roman" w:hAnsi="Times New Roman" w:cs="Times New Roman"/>
          <w:sz w:val="24"/>
          <w:szCs w:val="24"/>
        </w:rPr>
        <w:t xml:space="preserve">erancangan kewangan didefinisikan proses </w:t>
      </w:r>
      <w:r w:rsidR="0051745B">
        <w:rPr>
          <w:rFonts w:ascii="Times New Roman" w:eastAsia="Times New Roman" w:hAnsi="Times New Roman" w:cs="Times New Roman"/>
          <w:sz w:val="24"/>
          <w:szCs w:val="24"/>
        </w:rPr>
        <w:t>membuat keputusan yang berterusan dalam aspek</w:t>
      </w:r>
      <w:r w:rsidR="00243F24" w:rsidRPr="00D014D4">
        <w:rPr>
          <w:rFonts w:ascii="Times New Roman" w:eastAsia="Times New Roman" w:hAnsi="Times New Roman" w:cs="Times New Roman"/>
          <w:sz w:val="24"/>
          <w:szCs w:val="24"/>
        </w:rPr>
        <w:t xml:space="preserve"> </w:t>
      </w:r>
      <w:r w:rsidR="0051745B">
        <w:rPr>
          <w:rFonts w:ascii="Times New Roman" w:eastAsia="Times New Roman" w:hAnsi="Times New Roman" w:cs="Times New Roman"/>
          <w:sz w:val="24"/>
          <w:szCs w:val="24"/>
        </w:rPr>
        <w:t xml:space="preserve">kewangan </w:t>
      </w:r>
      <w:r w:rsidR="00243F24" w:rsidRPr="00D014D4">
        <w:rPr>
          <w:rFonts w:ascii="Times New Roman" w:eastAsia="Times New Roman" w:hAnsi="Times New Roman" w:cs="Times New Roman"/>
          <w:sz w:val="24"/>
          <w:szCs w:val="24"/>
        </w:rPr>
        <w:t>secara praktis</w:t>
      </w:r>
      <w:r w:rsidR="0051745B">
        <w:rPr>
          <w:rFonts w:ascii="Times New Roman" w:eastAsia="Times New Roman" w:hAnsi="Times New Roman" w:cs="Times New Roman"/>
          <w:sz w:val="24"/>
          <w:szCs w:val="24"/>
        </w:rPr>
        <w:t>,</w:t>
      </w:r>
      <w:r w:rsidR="00243F24" w:rsidRPr="00D014D4">
        <w:rPr>
          <w:rFonts w:ascii="Times New Roman" w:eastAsia="Times New Roman" w:hAnsi="Times New Roman" w:cs="Times New Roman"/>
          <w:sz w:val="24"/>
          <w:szCs w:val="24"/>
        </w:rPr>
        <w:t xml:space="preserve"> </w:t>
      </w:r>
      <w:r w:rsidR="0051745B">
        <w:rPr>
          <w:rFonts w:ascii="Times New Roman" w:eastAsia="Times New Roman" w:hAnsi="Times New Roman" w:cs="Times New Roman"/>
          <w:sz w:val="24"/>
          <w:szCs w:val="24"/>
        </w:rPr>
        <w:t>dalam</w:t>
      </w:r>
      <w:r w:rsidR="00243F24" w:rsidRPr="00D014D4">
        <w:rPr>
          <w:rFonts w:ascii="Times New Roman" w:eastAsia="Times New Roman" w:hAnsi="Times New Roman" w:cs="Times New Roman"/>
          <w:sz w:val="24"/>
          <w:szCs w:val="24"/>
        </w:rPr>
        <w:t xml:space="preserve"> </w:t>
      </w:r>
      <w:r w:rsidR="002A0D4F" w:rsidRPr="00D014D4">
        <w:rPr>
          <w:rFonts w:ascii="Times New Roman" w:eastAsia="Times New Roman" w:hAnsi="Times New Roman" w:cs="Times New Roman"/>
          <w:sz w:val="24"/>
          <w:szCs w:val="24"/>
        </w:rPr>
        <w:t>mencapai</w:t>
      </w:r>
      <w:r w:rsidR="002A0D4F">
        <w:rPr>
          <w:rFonts w:ascii="Times New Roman" w:eastAsia="Times New Roman" w:hAnsi="Times New Roman" w:cs="Times New Roman"/>
          <w:sz w:val="24"/>
          <w:szCs w:val="24"/>
        </w:rPr>
        <w:t xml:space="preserve"> </w:t>
      </w:r>
      <w:r w:rsidR="002A0D4F" w:rsidRPr="00D014D4">
        <w:rPr>
          <w:rFonts w:ascii="Times New Roman" w:eastAsia="Times New Roman" w:hAnsi="Times New Roman" w:cs="Times New Roman"/>
          <w:sz w:val="24"/>
          <w:szCs w:val="24"/>
        </w:rPr>
        <w:t>objektif</w:t>
      </w:r>
      <w:r w:rsidR="0051745B">
        <w:rPr>
          <w:rFonts w:ascii="Times New Roman" w:eastAsia="Times New Roman" w:hAnsi="Times New Roman" w:cs="Times New Roman"/>
          <w:sz w:val="24"/>
          <w:szCs w:val="24"/>
        </w:rPr>
        <w:t xml:space="preserve"> </w:t>
      </w:r>
      <w:r w:rsidR="00243F24" w:rsidRPr="00D014D4">
        <w:rPr>
          <w:rFonts w:ascii="Times New Roman" w:eastAsia="Times New Roman" w:hAnsi="Times New Roman" w:cs="Times New Roman"/>
          <w:sz w:val="24"/>
          <w:szCs w:val="24"/>
        </w:rPr>
        <w:t>kewangan men</w:t>
      </w:r>
      <w:r w:rsidR="0051745B">
        <w:rPr>
          <w:rFonts w:ascii="Times New Roman" w:eastAsia="Times New Roman" w:hAnsi="Times New Roman" w:cs="Times New Roman"/>
          <w:sz w:val="24"/>
          <w:szCs w:val="24"/>
        </w:rPr>
        <w:t>urut</w:t>
      </w:r>
      <w:r w:rsidR="00243F24" w:rsidRPr="00D014D4">
        <w:rPr>
          <w:rFonts w:ascii="Times New Roman" w:eastAsia="Times New Roman" w:hAnsi="Times New Roman" w:cs="Times New Roman"/>
          <w:sz w:val="24"/>
          <w:szCs w:val="24"/>
        </w:rPr>
        <w:t xml:space="preserve"> kitaran hidup</w:t>
      </w:r>
      <w:r w:rsidR="0051745B">
        <w:rPr>
          <w:rFonts w:ascii="Times New Roman" w:eastAsia="Times New Roman" w:hAnsi="Times New Roman" w:cs="Times New Roman"/>
          <w:sz w:val="24"/>
          <w:szCs w:val="24"/>
        </w:rPr>
        <w:t xml:space="preserve"> seseorang individu</w:t>
      </w:r>
      <w:r w:rsidR="00243F24" w:rsidRPr="00D014D4">
        <w:rPr>
          <w:rFonts w:ascii="Times New Roman" w:eastAsia="Times New Roman" w:hAnsi="Times New Roman" w:cs="Times New Roman"/>
          <w:sz w:val="24"/>
          <w:szCs w:val="24"/>
        </w:rPr>
        <w:t>. Oleh</w:t>
      </w:r>
      <w:r w:rsidR="00243F24">
        <w:rPr>
          <w:rFonts w:ascii="Times New Roman" w:eastAsia="Times New Roman" w:hAnsi="Times New Roman" w:cs="Times New Roman"/>
          <w:sz w:val="24"/>
          <w:szCs w:val="24"/>
        </w:rPr>
        <w:t xml:space="preserve"> kerana keperluan seseorang individu berubah-ubah mengikut kitaran hidup, </w:t>
      </w:r>
      <w:r w:rsidR="00FB2460">
        <w:rPr>
          <w:rFonts w:ascii="Times New Roman" w:eastAsia="Times New Roman" w:hAnsi="Times New Roman" w:cs="Times New Roman"/>
          <w:sz w:val="24"/>
          <w:szCs w:val="24"/>
        </w:rPr>
        <w:t>maka</w:t>
      </w:r>
      <w:r w:rsidR="00243F24">
        <w:rPr>
          <w:rFonts w:ascii="Times New Roman" w:eastAsia="Times New Roman" w:hAnsi="Times New Roman" w:cs="Times New Roman"/>
          <w:sz w:val="24"/>
          <w:szCs w:val="24"/>
        </w:rPr>
        <w:t xml:space="preserve"> objektif juga berubah mengikut keperluan semasa. </w:t>
      </w:r>
      <w:r w:rsidRPr="004E4194">
        <w:rPr>
          <w:rFonts w:ascii="Times New Roman" w:eastAsia="Times New Roman" w:hAnsi="Times New Roman" w:cs="Times New Roman"/>
          <w:sz w:val="24"/>
          <w:szCs w:val="24"/>
        </w:rPr>
        <w:t xml:space="preserve">Model Intergrasi Perancangan Kewangan (MIPK) telah diperkenalkan pada tahun 1999, di mana menyerupai aspek-aspek yang berkaitan dengan perancangan kewangan </w:t>
      </w:r>
      <w:r w:rsidRPr="004E4194">
        <w:rPr>
          <w:rFonts w:ascii="Times New Roman" w:eastAsia="Times New Roman" w:hAnsi="Times New Roman" w:cs="Times New Roman"/>
          <w:sz w:val="24"/>
          <w:szCs w:val="24"/>
        </w:rPr>
        <w:lastRenderedPageBreak/>
        <w:t>golongan praktikal</w:t>
      </w:r>
      <w:r w:rsidR="00A160B6">
        <w:rPr>
          <w:rFonts w:ascii="Times New Roman" w:eastAsia="Times New Roman" w:hAnsi="Times New Roman" w:cs="Times New Roman"/>
          <w:sz w:val="24"/>
          <w:szCs w:val="24"/>
        </w:rPr>
        <w:t xml:space="preserve"> (</w:t>
      </w:r>
      <w:r w:rsidR="001446EC">
        <w:rPr>
          <w:rFonts w:ascii="Times New Roman" w:eastAsia="Times New Roman" w:hAnsi="Times New Roman" w:cs="Times New Roman"/>
          <w:sz w:val="24"/>
          <w:szCs w:val="24"/>
        </w:rPr>
        <w:t xml:space="preserve">Chieffe &amp; Rakes, 1999; </w:t>
      </w:r>
      <w:r w:rsidR="00A160B6">
        <w:rPr>
          <w:rFonts w:ascii="Times New Roman" w:eastAsia="Times New Roman" w:hAnsi="Times New Roman" w:cs="Times New Roman"/>
          <w:sz w:val="24"/>
          <w:szCs w:val="24"/>
        </w:rPr>
        <w:t>Khoong, 2016)</w:t>
      </w:r>
      <w:r w:rsidRPr="004E4194">
        <w:rPr>
          <w:rFonts w:ascii="Times New Roman" w:eastAsia="Times New Roman" w:hAnsi="Times New Roman" w:cs="Times New Roman"/>
          <w:sz w:val="24"/>
          <w:szCs w:val="24"/>
        </w:rPr>
        <w:t>.</w:t>
      </w:r>
      <w:r w:rsidR="00A4531A">
        <w:rPr>
          <w:rFonts w:ascii="Times New Roman" w:eastAsia="Times New Roman" w:hAnsi="Times New Roman" w:cs="Times New Roman"/>
          <w:sz w:val="24"/>
          <w:szCs w:val="24"/>
        </w:rPr>
        <w:t xml:space="preserve"> Kebanyakan kajian lepas </w:t>
      </w:r>
      <w:r w:rsidR="00D7304A">
        <w:rPr>
          <w:rFonts w:ascii="Times New Roman" w:eastAsia="Times New Roman" w:hAnsi="Times New Roman" w:cs="Times New Roman"/>
          <w:sz w:val="24"/>
          <w:szCs w:val="24"/>
        </w:rPr>
        <w:t xml:space="preserve">hanya </w:t>
      </w:r>
      <w:r w:rsidR="00A4531A">
        <w:rPr>
          <w:rFonts w:ascii="Times New Roman" w:eastAsia="Times New Roman" w:hAnsi="Times New Roman" w:cs="Times New Roman"/>
          <w:sz w:val="24"/>
          <w:szCs w:val="24"/>
        </w:rPr>
        <w:t xml:space="preserve">mengkaji tingkah laku </w:t>
      </w:r>
      <w:r w:rsidR="00FB2460">
        <w:rPr>
          <w:rFonts w:ascii="Times New Roman" w:eastAsia="Times New Roman" w:hAnsi="Times New Roman" w:cs="Times New Roman"/>
          <w:sz w:val="24"/>
          <w:szCs w:val="24"/>
        </w:rPr>
        <w:t xml:space="preserve">kewangan </w:t>
      </w:r>
      <w:r w:rsidR="00D7304A">
        <w:rPr>
          <w:rFonts w:ascii="Times New Roman" w:eastAsia="Times New Roman" w:hAnsi="Times New Roman" w:cs="Times New Roman"/>
          <w:sz w:val="24"/>
          <w:szCs w:val="24"/>
        </w:rPr>
        <w:t>sewaktu krisis COVID-19</w:t>
      </w:r>
      <w:r w:rsidR="00FB2460">
        <w:rPr>
          <w:rFonts w:ascii="Times New Roman" w:eastAsia="Times New Roman" w:hAnsi="Times New Roman" w:cs="Times New Roman"/>
          <w:sz w:val="24"/>
          <w:szCs w:val="24"/>
        </w:rPr>
        <w:t xml:space="preserve"> (Pravita et al., 2020; Ascaryan &amp; Timea, 2022; </w:t>
      </w:r>
      <w:r w:rsidR="00FB2460" w:rsidRPr="008052A2">
        <w:rPr>
          <w:rFonts w:ascii="Times New Roman" w:eastAsia="Times New Roman" w:hAnsi="Times New Roman" w:cs="Times New Roman"/>
          <w:sz w:val="24"/>
          <w:szCs w:val="24"/>
        </w:rPr>
        <w:t>Bechlioulis &amp; Karamanis</w:t>
      </w:r>
      <w:r w:rsidR="00FB2460">
        <w:rPr>
          <w:rFonts w:ascii="Times New Roman" w:eastAsia="Times New Roman" w:hAnsi="Times New Roman" w:cs="Times New Roman"/>
          <w:sz w:val="24"/>
          <w:szCs w:val="24"/>
        </w:rPr>
        <w:t>, 2022; Hua et al., 2022; Sabri et al., 2022), akan</w:t>
      </w:r>
      <w:r w:rsidR="00D7304A">
        <w:rPr>
          <w:rFonts w:ascii="Times New Roman" w:eastAsia="Times New Roman" w:hAnsi="Times New Roman" w:cs="Times New Roman"/>
          <w:sz w:val="24"/>
          <w:szCs w:val="24"/>
        </w:rPr>
        <w:t xml:space="preserve"> tetapi kurang </w:t>
      </w:r>
      <w:r w:rsidR="00FB2460">
        <w:rPr>
          <w:rFonts w:ascii="Times New Roman" w:eastAsia="Times New Roman" w:hAnsi="Times New Roman" w:cs="Times New Roman"/>
          <w:sz w:val="24"/>
          <w:szCs w:val="24"/>
        </w:rPr>
        <w:t xml:space="preserve">kajian </w:t>
      </w:r>
      <w:r w:rsidR="00D7304A">
        <w:rPr>
          <w:rFonts w:ascii="Times New Roman" w:eastAsia="Times New Roman" w:hAnsi="Times New Roman" w:cs="Times New Roman"/>
          <w:sz w:val="24"/>
          <w:szCs w:val="24"/>
        </w:rPr>
        <w:t xml:space="preserve">dari </w:t>
      </w:r>
      <w:r w:rsidR="007241D1" w:rsidRPr="007241D1">
        <w:rPr>
          <w:rFonts w:ascii="Times New Roman" w:eastAsia="Times New Roman" w:hAnsi="Times New Roman" w:cs="Times New Roman"/>
          <w:sz w:val="24"/>
          <w:szCs w:val="24"/>
        </w:rPr>
        <w:t>persepsi</w:t>
      </w:r>
      <w:r w:rsidR="00D7304A">
        <w:rPr>
          <w:rFonts w:ascii="Times New Roman" w:eastAsia="Times New Roman" w:hAnsi="Times New Roman" w:cs="Times New Roman"/>
          <w:sz w:val="24"/>
          <w:szCs w:val="24"/>
        </w:rPr>
        <w:t xml:space="preserve"> perancangan kewangan</w:t>
      </w:r>
      <w:r w:rsidR="00FB2460">
        <w:rPr>
          <w:rFonts w:ascii="Times New Roman" w:eastAsia="Times New Roman" w:hAnsi="Times New Roman" w:cs="Times New Roman"/>
          <w:sz w:val="24"/>
          <w:szCs w:val="24"/>
        </w:rPr>
        <w:t xml:space="preserve">. </w:t>
      </w:r>
      <w:r w:rsidR="00BE1497">
        <w:rPr>
          <w:rFonts w:ascii="Times New Roman" w:eastAsia="Times New Roman" w:hAnsi="Times New Roman" w:cs="Times New Roman"/>
          <w:sz w:val="24"/>
          <w:szCs w:val="24"/>
        </w:rPr>
        <w:t xml:space="preserve">Hal sedemikian kerana perancangan kewangan </w:t>
      </w:r>
      <w:r w:rsidR="00F50380">
        <w:rPr>
          <w:rFonts w:ascii="Times New Roman" w:eastAsia="Times New Roman" w:hAnsi="Times New Roman" w:cs="Times New Roman"/>
          <w:sz w:val="24"/>
          <w:szCs w:val="24"/>
        </w:rPr>
        <w:t xml:space="preserve">bergantung kepada faktor dalaman dan luaran </w:t>
      </w:r>
      <w:r w:rsidR="00A74E08">
        <w:rPr>
          <w:rFonts w:ascii="Times New Roman" w:eastAsia="Times New Roman" w:hAnsi="Times New Roman" w:cs="Times New Roman"/>
          <w:sz w:val="24"/>
          <w:szCs w:val="24"/>
        </w:rPr>
        <w:t>(Khoong, 2015; Khoong, 2016)</w:t>
      </w:r>
      <w:r w:rsidR="00BE1497">
        <w:rPr>
          <w:rFonts w:ascii="Times New Roman" w:eastAsia="Times New Roman" w:hAnsi="Times New Roman" w:cs="Times New Roman"/>
          <w:sz w:val="24"/>
          <w:szCs w:val="24"/>
        </w:rPr>
        <w:t xml:space="preserve">. </w:t>
      </w:r>
      <w:r w:rsidR="00A74E08" w:rsidRPr="00087940">
        <w:rPr>
          <w:rFonts w:ascii="Times New Roman" w:eastAsia="Times New Roman" w:hAnsi="Times New Roman" w:cs="Times New Roman"/>
          <w:sz w:val="24"/>
          <w:szCs w:val="24"/>
          <w:lang w:val="fi-FI"/>
        </w:rPr>
        <w:t xml:space="preserve">Ini menjadi </w:t>
      </w:r>
      <w:r w:rsidR="00C6440A" w:rsidRPr="00087940">
        <w:rPr>
          <w:rFonts w:ascii="Times New Roman" w:eastAsia="Times New Roman" w:hAnsi="Times New Roman" w:cs="Times New Roman"/>
          <w:sz w:val="24"/>
          <w:szCs w:val="24"/>
          <w:lang w:val="fi-FI"/>
        </w:rPr>
        <w:t xml:space="preserve">lebih </w:t>
      </w:r>
      <w:r w:rsidR="00A74E08" w:rsidRPr="00087940">
        <w:rPr>
          <w:rFonts w:ascii="Times New Roman" w:eastAsia="Times New Roman" w:hAnsi="Times New Roman" w:cs="Times New Roman"/>
          <w:sz w:val="24"/>
          <w:szCs w:val="24"/>
          <w:lang w:val="fi-FI"/>
        </w:rPr>
        <w:t>ketara sewaktu krisis COVID-19 yang melanda kes</w:t>
      </w:r>
      <w:r w:rsidR="004D2702" w:rsidRPr="00087940">
        <w:rPr>
          <w:rFonts w:ascii="Times New Roman" w:eastAsia="Times New Roman" w:hAnsi="Times New Roman" w:cs="Times New Roman"/>
          <w:sz w:val="24"/>
          <w:szCs w:val="24"/>
          <w:lang w:val="fi-FI"/>
        </w:rPr>
        <w:t>e</w:t>
      </w:r>
      <w:r w:rsidR="00A74E08" w:rsidRPr="00087940">
        <w:rPr>
          <w:rFonts w:ascii="Times New Roman" w:eastAsia="Times New Roman" w:hAnsi="Times New Roman" w:cs="Times New Roman"/>
          <w:sz w:val="24"/>
          <w:szCs w:val="24"/>
          <w:lang w:val="fi-FI"/>
        </w:rPr>
        <w:t>luruhan kumpulan pendapatan.</w:t>
      </w:r>
      <w:r w:rsidR="00BE1497" w:rsidRPr="00087940">
        <w:rPr>
          <w:rFonts w:ascii="Times New Roman" w:eastAsia="Times New Roman" w:hAnsi="Times New Roman" w:cs="Times New Roman"/>
          <w:sz w:val="24"/>
          <w:szCs w:val="24"/>
          <w:lang w:val="fi-FI"/>
        </w:rPr>
        <w:t xml:space="preserve"> </w:t>
      </w:r>
      <w:r w:rsidRPr="00087940">
        <w:rPr>
          <w:rFonts w:ascii="Times New Roman" w:eastAsia="Times New Roman" w:hAnsi="Times New Roman" w:cs="Times New Roman"/>
          <w:sz w:val="24"/>
          <w:szCs w:val="24"/>
          <w:lang w:val="fi-FI"/>
        </w:rPr>
        <w:t xml:space="preserve">Oleh </w:t>
      </w:r>
      <w:r w:rsidR="00D7304A" w:rsidRPr="00087940">
        <w:rPr>
          <w:rFonts w:ascii="Times New Roman" w:eastAsia="Times New Roman" w:hAnsi="Times New Roman" w:cs="Times New Roman"/>
          <w:sz w:val="24"/>
          <w:szCs w:val="24"/>
          <w:lang w:val="fi-FI"/>
        </w:rPr>
        <w:t>itu</w:t>
      </w:r>
      <w:r w:rsidRPr="00087940">
        <w:rPr>
          <w:rFonts w:ascii="Times New Roman" w:eastAsia="Times New Roman" w:hAnsi="Times New Roman" w:cs="Times New Roman"/>
          <w:sz w:val="24"/>
          <w:szCs w:val="24"/>
          <w:lang w:val="fi-FI"/>
        </w:rPr>
        <w:t xml:space="preserve">, kajian ini </w:t>
      </w:r>
      <w:r w:rsidR="00D7304A" w:rsidRPr="00087940">
        <w:rPr>
          <w:rFonts w:ascii="Times New Roman" w:eastAsia="Times New Roman" w:hAnsi="Times New Roman" w:cs="Times New Roman"/>
          <w:sz w:val="24"/>
          <w:szCs w:val="24"/>
          <w:lang w:val="fi-FI"/>
        </w:rPr>
        <w:t xml:space="preserve">mengisi jurang kajian </w:t>
      </w:r>
      <w:r w:rsidR="00FB2460" w:rsidRPr="00087940">
        <w:rPr>
          <w:rFonts w:ascii="Times New Roman" w:eastAsia="Times New Roman" w:hAnsi="Times New Roman" w:cs="Times New Roman"/>
          <w:sz w:val="24"/>
          <w:szCs w:val="24"/>
          <w:lang w:val="fi-FI"/>
        </w:rPr>
        <w:t xml:space="preserve">lepas </w:t>
      </w:r>
      <w:r w:rsidR="00D7304A" w:rsidRPr="00087940">
        <w:rPr>
          <w:rFonts w:ascii="Times New Roman" w:eastAsia="Times New Roman" w:hAnsi="Times New Roman" w:cs="Times New Roman"/>
          <w:sz w:val="24"/>
          <w:szCs w:val="24"/>
          <w:lang w:val="fi-FI"/>
        </w:rPr>
        <w:t xml:space="preserve">dengan </w:t>
      </w:r>
      <w:r w:rsidRPr="00087940">
        <w:rPr>
          <w:rFonts w:ascii="Times New Roman" w:eastAsia="Times New Roman" w:hAnsi="Times New Roman" w:cs="Times New Roman"/>
          <w:sz w:val="24"/>
          <w:szCs w:val="24"/>
          <w:lang w:val="fi-FI"/>
        </w:rPr>
        <w:t xml:space="preserve">mengkaji tingkah laku perancangan kewangan sewaktu pandemik </w:t>
      </w:r>
      <w:r w:rsidR="00AA078F" w:rsidRPr="00087940">
        <w:rPr>
          <w:rFonts w:ascii="Times New Roman" w:eastAsia="Times New Roman" w:hAnsi="Times New Roman" w:cs="Times New Roman"/>
          <w:sz w:val="24"/>
          <w:szCs w:val="24"/>
          <w:lang w:val="fi-FI"/>
        </w:rPr>
        <w:t xml:space="preserve">krisis </w:t>
      </w:r>
      <w:r w:rsidRPr="00087940">
        <w:rPr>
          <w:rFonts w:ascii="Times New Roman" w:eastAsia="Times New Roman" w:hAnsi="Times New Roman" w:cs="Times New Roman"/>
          <w:sz w:val="24"/>
          <w:szCs w:val="24"/>
          <w:lang w:val="fi-FI"/>
        </w:rPr>
        <w:t>COVID-19</w:t>
      </w:r>
      <w:r w:rsidR="006A104A" w:rsidRPr="00087940">
        <w:rPr>
          <w:rFonts w:ascii="Times New Roman" w:eastAsia="Times New Roman" w:hAnsi="Times New Roman" w:cs="Times New Roman"/>
          <w:sz w:val="24"/>
          <w:szCs w:val="24"/>
          <w:lang w:val="fi-FI"/>
        </w:rPr>
        <w:t xml:space="preserve"> </w:t>
      </w:r>
      <w:r w:rsidR="00D7304A" w:rsidRPr="00087940">
        <w:rPr>
          <w:rFonts w:ascii="Times New Roman" w:eastAsia="Times New Roman" w:hAnsi="Times New Roman" w:cs="Times New Roman"/>
          <w:sz w:val="24"/>
          <w:szCs w:val="24"/>
          <w:lang w:val="fi-FI"/>
        </w:rPr>
        <w:t xml:space="preserve">dari </w:t>
      </w:r>
      <w:r w:rsidR="007241D1" w:rsidRPr="00087940">
        <w:rPr>
          <w:rFonts w:ascii="Times New Roman" w:eastAsia="Times New Roman" w:hAnsi="Times New Roman" w:cs="Times New Roman"/>
          <w:sz w:val="24"/>
          <w:szCs w:val="24"/>
          <w:lang w:val="fi-FI"/>
        </w:rPr>
        <w:t>persepsi</w:t>
      </w:r>
      <w:r w:rsidR="00D7304A" w:rsidRPr="00087940">
        <w:rPr>
          <w:rFonts w:ascii="Times New Roman" w:eastAsia="Times New Roman" w:hAnsi="Times New Roman" w:cs="Times New Roman"/>
          <w:sz w:val="24"/>
          <w:szCs w:val="24"/>
          <w:lang w:val="fi-FI"/>
        </w:rPr>
        <w:t xml:space="preserve"> perancangan kewangan</w:t>
      </w:r>
      <w:r w:rsidR="00893D42" w:rsidRPr="00087940">
        <w:rPr>
          <w:rFonts w:ascii="Times New Roman" w:eastAsia="Times New Roman" w:hAnsi="Times New Roman" w:cs="Times New Roman"/>
          <w:sz w:val="24"/>
          <w:szCs w:val="24"/>
          <w:lang w:val="fi-FI"/>
        </w:rPr>
        <w:t xml:space="preserve"> dalam konteks skim persaraan.</w:t>
      </w:r>
      <w:r w:rsidR="00F50380" w:rsidRPr="00087940">
        <w:rPr>
          <w:rFonts w:ascii="Times New Roman" w:eastAsia="Times New Roman" w:hAnsi="Times New Roman" w:cs="Times New Roman"/>
          <w:sz w:val="24"/>
          <w:szCs w:val="24"/>
          <w:lang w:val="fi-FI"/>
        </w:rPr>
        <w:t xml:space="preserve"> Dapatan kajian mampu membantu institusi kewangan memahami </w:t>
      </w:r>
      <w:r w:rsidR="00B26EE0" w:rsidRPr="00087940">
        <w:rPr>
          <w:rFonts w:ascii="Times New Roman" w:eastAsia="Times New Roman" w:hAnsi="Times New Roman" w:cs="Times New Roman"/>
          <w:sz w:val="24"/>
          <w:szCs w:val="24"/>
          <w:lang w:val="fi-FI"/>
        </w:rPr>
        <w:t xml:space="preserve">tingkah laku individu dengan lebih mendalam, seterusnya </w:t>
      </w:r>
      <w:r w:rsidR="00F50380" w:rsidRPr="00087940">
        <w:rPr>
          <w:rFonts w:ascii="Times New Roman" w:eastAsia="Times New Roman" w:hAnsi="Times New Roman" w:cs="Times New Roman"/>
          <w:sz w:val="24"/>
          <w:szCs w:val="24"/>
          <w:lang w:val="fi-FI"/>
        </w:rPr>
        <w:t xml:space="preserve">membentuk teknik pemasaran </w:t>
      </w:r>
      <w:r w:rsidR="00B26EE0" w:rsidRPr="00087940">
        <w:rPr>
          <w:rFonts w:ascii="Times New Roman" w:eastAsia="Times New Roman" w:hAnsi="Times New Roman" w:cs="Times New Roman"/>
          <w:sz w:val="24"/>
          <w:szCs w:val="24"/>
          <w:lang w:val="fi-FI"/>
        </w:rPr>
        <w:t xml:space="preserve">yang lebih berkesan </w:t>
      </w:r>
      <w:r w:rsidR="00F50380" w:rsidRPr="00087940">
        <w:rPr>
          <w:rFonts w:ascii="Times New Roman" w:eastAsia="Times New Roman" w:hAnsi="Times New Roman" w:cs="Times New Roman"/>
          <w:sz w:val="24"/>
          <w:szCs w:val="24"/>
          <w:lang w:val="fi-FI"/>
        </w:rPr>
        <w:t xml:space="preserve">untuk mencapai </w:t>
      </w:r>
      <w:r w:rsidR="00B26EE0" w:rsidRPr="00087940">
        <w:rPr>
          <w:rFonts w:ascii="Times New Roman" w:eastAsia="Times New Roman" w:hAnsi="Times New Roman" w:cs="Times New Roman"/>
          <w:sz w:val="24"/>
          <w:szCs w:val="24"/>
          <w:lang w:val="fi-FI"/>
        </w:rPr>
        <w:t>golongan individu yang dihendaki.</w:t>
      </w:r>
    </w:p>
    <w:p w:rsidR="00492A61" w:rsidRPr="00087940" w:rsidRDefault="00492A61" w:rsidP="00C51986">
      <w:pPr>
        <w:spacing w:after="0" w:line="240" w:lineRule="auto"/>
        <w:ind w:leftChars="0" w:left="2" w:hanging="2"/>
        <w:jc w:val="both"/>
        <w:rPr>
          <w:rFonts w:ascii="Times New Roman" w:eastAsia="Times New Roman" w:hAnsi="Times New Roman" w:cs="Times New Roman"/>
          <w:sz w:val="24"/>
          <w:szCs w:val="24"/>
          <w:lang w:val="fi-FI"/>
        </w:rPr>
      </w:pPr>
    </w:p>
    <w:p w:rsidR="00303078" w:rsidRPr="00087940" w:rsidRDefault="00303078"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p>
    <w:p w:rsidR="00D360D2" w:rsidRPr="00087940" w:rsidRDefault="00D360D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fi-FI"/>
        </w:rPr>
      </w:pPr>
      <w:r w:rsidRPr="00087940">
        <w:rPr>
          <w:rFonts w:ascii="Times New Roman" w:eastAsia="Times New Roman" w:hAnsi="Times New Roman" w:cs="Times New Roman"/>
          <w:b/>
          <w:color w:val="000000"/>
          <w:sz w:val="24"/>
          <w:szCs w:val="24"/>
          <w:lang w:val="fi-FI"/>
        </w:rPr>
        <w:t xml:space="preserve">Kajian literatur </w:t>
      </w:r>
    </w:p>
    <w:p w:rsidR="00932C86" w:rsidRPr="00087940" w:rsidRDefault="00932C86" w:rsidP="00C5198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lang w:val="fi-FI"/>
        </w:rPr>
      </w:pPr>
    </w:p>
    <w:p w:rsidR="00932C86" w:rsidRPr="006E4A23" w:rsidRDefault="00932C86" w:rsidP="00C5198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4"/>
          <w:szCs w:val="24"/>
          <w:lang w:val="fi-FI"/>
        </w:rPr>
      </w:pPr>
      <w:r w:rsidRPr="006E4A23">
        <w:rPr>
          <w:rFonts w:ascii="Times New Roman" w:eastAsia="Times New Roman" w:hAnsi="Times New Roman" w:cs="Times New Roman"/>
          <w:i/>
          <w:color w:val="000000"/>
          <w:sz w:val="24"/>
          <w:szCs w:val="24"/>
          <w:lang w:val="fi-FI"/>
        </w:rPr>
        <w:t>Perancangan kewangan</w:t>
      </w:r>
    </w:p>
    <w:p w:rsidR="00D360D2" w:rsidRPr="00087940" w:rsidRDefault="00D360D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p>
    <w:p w:rsidR="00D360D2" w:rsidRPr="00087940" w:rsidRDefault="00D360D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r w:rsidRPr="00087940">
        <w:rPr>
          <w:rFonts w:ascii="Times New Roman" w:eastAsia="Times New Roman" w:hAnsi="Times New Roman" w:cs="Times New Roman"/>
          <w:color w:val="000000"/>
          <w:sz w:val="24"/>
          <w:szCs w:val="24"/>
          <w:lang w:val="fi-FI"/>
        </w:rPr>
        <w:t xml:space="preserve">Menurut institut bertaulih </w:t>
      </w:r>
      <w:r w:rsidRPr="00087940">
        <w:rPr>
          <w:rFonts w:ascii="Times New Roman" w:eastAsia="Times New Roman" w:hAnsi="Times New Roman" w:cs="Times New Roman"/>
          <w:i/>
          <w:color w:val="000000"/>
          <w:sz w:val="24"/>
          <w:szCs w:val="24"/>
          <w:lang w:val="fi-FI"/>
        </w:rPr>
        <w:t xml:space="preserve">Malaysian Financial Planning Council </w:t>
      </w:r>
      <w:r w:rsidRPr="00087940">
        <w:rPr>
          <w:rFonts w:ascii="Times New Roman" w:eastAsia="Times New Roman" w:hAnsi="Times New Roman" w:cs="Times New Roman"/>
          <w:color w:val="000000"/>
          <w:sz w:val="24"/>
          <w:szCs w:val="24"/>
          <w:lang w:val="fi-FI"/>
        </w:rPr>
        <w:t xml:space="preserve">(MFPC) (MFPC, 2019), perancangan kewangan ialah penggunaan data simpanan untuk membentuk kekayaaan, seterusnya dana pemeliharaan daripada susut nilai, dan akhirnya pengagihan kekayaan dana tersebut. Pendekatan yang mencerminkan perancangan kewangan meliputi perancangan kredit and tunai, perancangan risiko dan insuran, perancangan cukai, perancangan cukai, dan perancangan persaraan dan perancangan hartanah (MPFC, 2019). Pendekatan ini </w:t>
      </w:r>
      <w:r w:rsidR="00B90581" w:rsidRPr="00087940">
        <w:rPr>
          <w:rFonts w:ascii="Times New Roman" w:eastAsia="Times New Roman" w:hAnsi="Times New Roman" w:cs="Times New Roman"/>
          <w:color w:val="000000"/>
          <w:sz w:val="24"/>
          <w:szCs w:val="24"/>
          <w:lang w:val="fi-FI"/>
        </w:rPr>
        <w:t>bergantung kepada</w:t>
      </w:r>
      <w:r w:rsidRPr="00087940">
        <w:rPr>
          <w:rFonts w:ascii="Times New Roman" w:eastAsia="Times New Roman" w:hAnsi="Times New Roman" w:cs="Times New Roman"/>
          <w:color w:val="000000"/>
          <w:sz w:val="24"/>
          <w:szCs w:val="24"/>
          <w:lang w:val="fi-FI"/>
        </w:rPr>
        <w:t xml:space="preserve"> objektif semasa dalam kitar hidup seseorang yang berubah dan dinamik (Khoong, 2016). Dengan kewujudan pelan perancangan kewangan, seseorang didapati cenderung berkeyakinan dalam mencapai objektif kewangan (Sabri &amp; Teo, 2014; Lee et al., 2019). Ini kerana individu tersebut lebih cenderung bersedia dalam menghadapi isu kewangan pada masa hadapan (Khoong, 2015; Khoong, 2016; Lee et al., 2019). Sewaktu membentuk pelan perancangan kewangan, individu tersebut </w:t>
      </w:r>
      <w:r w:rsidR="00B90581" w:rsidRPr="00087940">
        <w:rPr>
          <w:rFonts w:ascii="Times New Roman" w:eastAsia="Times New Roman" w:hAnsi="Times New Roman" w:cs="Times New Roman"/>
          <w:color w:val="000000"/>
          <w:sz w:val="24"/>
          <w:szCs w:val="24"/>
          <w:lang w:val="fi-FI"/>
        </w:rPr>
        <w:t xml:space="preserve">perlu </w:t>
      </w:r>
      <w:r w:rsidRPr="00087940">
        <w:rPr>
          <w:rFonts w:ascii="Times New Roman" w:eastAsia="Times New Roman" w:hAnsi="Times New Roman" w:cs="Times New Roman"/>
          <w:color w:val="000000"/>
          <w:sz w:val="24"/>
          <w:szCs w:val="24"/>
          <w:lang w:val="fi-FI"/>
        </w:rPr>
        <w:t xml:space="preserve">mengkenalpasti objektif yang realistik untuk dicapai. </w:t>
      </w:r>
      <w:r w:rsidR="007B5D96" w:rsidRPr="00087940">
        <w:rPr>
          <w:rFonts w:ascii="Times New Roman" w:eastAsia="Times New Roman" w:hAnsi="Times New Roman" w:cs="Times New Roman"/>
          <w:color w:val="000000"/>
          <w:sz w:val="24"/>
          <w:szCs w:val="24"/>
          <w:lang w:val="fi-FI"/>
        </w:rPr>
        <w:t xml:space="preserve">Kemudian, pelan kewangan dirangka berpandukan objektif yang dikenalpasti. </w:t>
      </w:r>
      <w:r w:rsidRPr="00087940">
        <w:rPr>
          <w:rFonts w:ascii="Times New Roman" w:eastAsia="Times New Roman" w:hAnsi="Times New Roman" w:cs="Times New Roman"/>
          <w:color w:val="000000"/>
          <w:sz w:val="24"/>
          <w:szCs w:val="24"/>
          <w:lang w:val="fi-FI"/>
        </w:rPr>
        <w:t>Objektif berbentuk jangka pendek membantu kominten kewangan semasa, manakala objektif jangka panjang mencapai keselamatan dan kepuasan hidup (Khoong, 2015; Khoong, 2016). Kebanyakan kajian lepas mendapati objektif kehidupan</w:t>
      </w:r>
      <w:r w:rsidR="007B5D96" w:rsidRPr="00087940">
        <w:rPr>
          <w:rFonts w:ascii="Times New Roman" w:eastAsia="Times New Roman" w:hAnsi="Times New Roman" w:cs="Times New Roman"/>
          <w:color w:val="000000"/>
          <w:sz w:val="24"/>
          <w:szCs w:val="24"/>
          <w:lang w:val="fi-FI"/>
        </w:rPr>
        <w:t xml:space="preserve"> </w:t>
      </w:r>
      <w:r w:rsidRPr="00087940">
        <w:rPr>
          <w:rFonts w:ascii="Times New Roman" w:eastAsia="Times New Roman" w:hAnsi="Times New Roman" w:cs="Times New Roman"/>
          <w:color w:val="000000"/>
          <w:sz w:val="24"/>
          <w:szCs w:val="24"/>
          <w:lang w:val="fi-FI"/>
        </w:rPr>
        <w:t xml:space="preserve">kebebasan kewangan merupakan objektif </w:t>
      </w:r>
      <w:r w:rsidR="007B5D96" w:rsidRPr="00087940">
        <w:rPr>
          <w:rFonts w:ascii="Times New Roman" w:eastAsia="Times New Roman" w:hAnsi="Times New Roman" w:cs="Times New Roman"/>
          <w:color w:val="000000"/>
          <w:sz w:val="24"/>
          <w:szCs w:val="24"/>
          <w:lang w:val="fi-FI"/>
        </w:rPr>
        <w:t xml:space="preserve">penting </w:t>
      </w:r>
      <w:r w:rsidRPr="00087940">
        <w:rPr>
          <w:rFonts w:ascii="Times New Roman" w:eastAsia="Times New Roman" w:hAnsi="Times New Roman" w:cs="Times New Roman"/>
          <w:color w:val="000000"/>
          <w:sz w:val="24"/>
          <w:szCs w:val="24"/>
          <w:lang w:val="fi-FI"/>
        </w:rPr>
        <w:t>orang ramai (Parkinson et al., 2019; Al-Fori &amp; Gani, 2022; Chow, 2023; Guerra-Leal et al., 2023). Pengeluaran pra-persaraan skim KWSP yang selaras dengan pendekatan tersebut ialah pelaburan dan pembiayaan perumahan (Laporan Tahunan 2022</w:t>
      </w:r>
      <w:r w:rsidR="006E4A23">
        <w:rPr>
          <w:rFonts w:ascii="Times New Roman" w:eastAsia="Times New Roman" w:hAnsi="Times New Roman" w:cs="Times New Roman"/>
          <w:color w:val="000000"/>
          <w:sz w:val="24"/>
          <w:szCs w:val="24"/>
          <w:lang w:val="fi-FI"/>
        </w:rPr>
        <w:t>,</w:t>
      </w:r>
      <w:r w:rsidRPr="00087940">
        <w:rPr>
          <w:rFonts w:ascii="Times New Roman" w:eastAsia="Times New Roman" w:hAnsi="Times New Roman" w:cs="Times New Roman"/>
          <w:color w:val="000000"/>
          <w:sz w:val="24"/>
          <w:szCs w:val="24"/>
          <w:lang w:val="fi-FI"/>
        </w:rPr>
        <w:t xml:space="preserve"> KWSP). Akan tetapi, situasi ini berubah apabila pandemik COVID-19 melanda dunia. Di dalam situasi terdesak, pihak berkuasa membenarkan pengeluaran pra-persaraan untuk menampung kewangan hidupan. Justeru itu, tingkah laku kewangan individu didapati berubah mengikut </w:t>
      </w:r>
      <w:r w:rsidR="004E0554" w:rsidRPr="00087940">
        <w:rPr>
          <w:rFonts w:ascii="Times New Roman" w:eastAsia="Times New Roman" w:hAnsi="Times New Roman" w:cs="Times New Roman"/>
          <w:color w:val="000000"/>
          <w:sz w:val="24"/>
          <w:szCs w:val="24"/>
          <w:lang w:val="fi-FI"/>
        </w:rPr>
        <w:t xml:space="preserve">keperluan </w:t>
      </w:r>
      <w:r w:rsidRPr="00087940">
        <w:rPr>
          <w:rFonts w:ascii="Times New Roman" w:eastAsia="Times New Roman" w:hAnsi="Times New Roman" w:cs="Times New Roman"/>
          <w:color w:val="000000"/>
          <w:sz w:val="24"/>
          <w:szCs w:val="24"/>
          <w:lang w:val="fi-FI"/>
        </w:rPr>
        <w:t xml:space="preserve">situasi semasa. </w:t>
      </w:r>
    </w:p>
    <w:p w:rsidR="00D360D2" w:rsidRPr="006E4A23" w:rsidRDefault="00D360D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fi-FI"/>
        </w:rPr>
      </w:pPr>
    </w:p>
    <w:p w:rsidR="009622BE" w:rsidRPr="006E4A23" w:rsidRDefault="009622BE"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fi-FI"/>
        </w:rPr>
      </w:pPr>
      <w:r w:rsidRPr="006E4A23">
        <w:rPr>
          <w:rFonts w:ascii="Times New Roman" w:eastAsia="Times New Roman" w:hAnsi="Times New Roman" w:cs="Times New Roman"/>
          <w:i/>
          <w:color w:val="000000"/>
          <w:sz w:val="24"/>
          <w:szCs w:val="24"/>
          <w:lang w:val="fi-FI"/>
        </w:rPr>
        <w:t xml:space="preserve">Teori-teori tingkah laku kewangan individual </w:t>
      </w:r>
    </w:p>
    <w:p w:rsidR="009622BE" w:rsidRPr="00087940" w:rsidRDefault="009622BE"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p>
    <w:p w:rsidR="009622BE" w:rsidRPr="00087940" w:rsidRDefault="009622BE"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r w:rsidRPr="00087940">
        <w:rPr>
          <w:rFonts w:ascii="Times New Roman" w:eastAsia="Times New Roman" w:hAnsi="Times New Roman" w:cs="Times New Roman"/>
          <w:color w:val="000000"/>
          <w:sz w:val="24"/>
          <w:szCs w:val="24"/>
          <w:lang w:val="fi-FI"/>
        </w:rPr>
        <w:t>Secara umumnya, majoriti traditional teori ialah berasaskan teori kewangan</w:t>
      </w:r>
      <w:r w:rsidR="00B32B6D" w:rsidRPr="00087940">
        <w:rPr>
          <w:rFonts w:ascii="Times New Roman" w:eastAsia="Times New Roman" w:hAnsi="Times New Roman" w:cs="Times New Roman"/>
          <w:color w:val="000000"/>
          <w:sz w:val="24"/>
          <w:szCs w:val="24"/>
          <w:lang w:val="fi-FI"/>
        </w:rPr>
        <w:t xml:space="preserve"> yang rasional</w:t>
      </w:r>
      <w:r w:rsidRPr="00087940">
        <w:rPr>
          <w:rFonts w:ascii="Times New Roman" w:eastAsia="Times New Roman" w:hAnsi="Times New Roman" w:cs="Times New Roman"/>
          <w:color w:val="000000"/>
          <w:sz w:val="24"/>
          <w:szCs w:val="24"/>
          <w:lang w:val="fi-FI"/>
        </w:rPr>
        <w:t xml:space="preserve"> (Khoong, 2016, </w:t>
      </w:r>
      <w:r w:rsidRPr="00087940">
        <w:rPr>
          <w:rFonts w:ascii="Times New Roman" w:eastAsia="Times New Roman" w:hAnsi="Times New Roman" w:cs="Times New Roman"/>
          <w:sz w:val="24"/>
          <w:szCs w:val="24"/>
          <w:lang w:val="fi-FI"/>
        </w:rPr>
        <w:t>Ascaryan &amp; Timea, 2022; Bechlioulis &amp; Karamanis, 2022; Hua et al., 2022; Sabri et al., 2022</w:t>
      </w:r>
      <w:r w:rsidRPr="00087940">
        <w:rPr>
          <w:rFonts w:ascii="Times New Roman" w:eastAsia="Times New Roman" w:hAnsi="Times New Roman" w:cs="Times New Roman"/>
          <w:color w:val="000000"/>
          <w:sz w:val="24"/>
          <w:szCs w:val="24"/>
          <w:lang w:val="fi-FI"/>
        </w:rPr>
        <w:t xml:space="preserve">). Semasa situasi yang melibatkan pemilihan kewangan, maka ini mampu menunjukkan aplikasi tingkah laku (Khoong, 2015; </w:t>
      </w:r>
      <w:r w:rsidRPr="00087940">
        <w:rPr>
          <w:rFonts w:ascii="Times New Roman" w:eastAsia="Times New Roman" w:hAnsi="Times New Roman" w:cs="Times New Roman"/>
          <w:sz w:val="24"/>
          <w:szCs w:val="24"/>
          <w:lang w:val="fi-FI"/>
        </w:rPr>
        <w:t xml:space="preserve">Ascaryan &amp; Timea, 2022; Bechlioulis &amp; Karamanis, 2022; </w:t>
      </w:r>
      <w:r w:rsidRPr="00087940">
        <w:rPr>
          <w:rFonts w:ascii="Times New Roman" w:eastAsia="Times New Roman" w:hAnsi="Times New Roman" w:cs="Times New Roman"/>
          <w:sz w:val="24"/>
          <w:szCs w:val="24"/>
          <w:lang w:val="fi-FI"/>
        </w:rPr>
        <w:lastRenderedPageBreak/>
        <w:t>Hua et al., 2022; Sabri et al., 2022</w:t>
      </w:r>
      <w:r w:rsidRPr="00087940">
        <w:rPr>
          <w:rFonts w:ascii="Times New Roman" w:eastAsia="Times New Roman" w:hAnsi="Times New Roman" w:cs="Times New Roman"/>
          <w:color w:val="000000"/>
          <w:sz w:val="24"/>
          <w:szCs w:val="24"/>
          <w:lang w:val="fi-FI"/>
        </w:rPr>
        <w:t xml:space="preserve">). Selain itu, semasa berada dalam situasi pilihan tidak pasti, individu dipengaruhi oleh dua elemen, iaitu risiko dan pulangan (Kabra et al., 2010; </w:t>
      </w:r>
      <w:r w:rsidRPr="00087940">
        <w:rPr>
          <w:rFonts w:ascii="Times New Roman" w:eastAsia="Times New Roman" w:hAnsi="Times New Roman" w:cs="Times New Roman"/>
          <w:sz w:val="24"/>
          <w:szCs w:val="24"/>
          <w:lang w:val="fi-FI"/>
        </w:rPr>
        <w:t>Ascaryan &amp; Timea, 2022; Bechlioulis &amp; Karamanis, 2022; Hua et al., 2022; Sabri et al., 2022</w:t>
      </w:r>
      <w:r w:rsidRPr="00087940">
        <w:rPr>
          <w:rFonts w:ascii="Times New Roman" w:eastAsia="Times New Roman" w:hAnsi="Times New Roman" w:cs="Times New Roman"/>
          <w:color w:val="000000"/>
          <w:sz w:val="24"/>
          <w:szCs w:val="24"/>
          <w:lang w:val="fi-FI"/>
        </w:rPr>
        <w:t xml:space="preserve">). Seterusnya, elemen risiko terdiri kepada dua jenis, iaitu pertama risiko individu yang menekan sejauh mana seseorang individu boleh mengambil risiko yang mampu diambil, dan kedua risiko produk yang menekankan sejauh mana produk tersebut terancam dari bencana yang berasaskan dalam produk tersebut (Croy et al., 2010; BNM, 2014; Khoong, 2016;). Sering kali konsep risiko dikaitkan dengan konsep kebencian, di mana berkaitrapat dengan situasi ketidakpastian dalam menerangkan tingkah laku manusia (Bettman, 1973; Croy, 2010; Khoong, 2015; Khoong, 2016; </w:t>
      </w:r>
      <w:r w:rsidRPr="00087940">
        <w:rPr>
          <w:rFonts w:ascii="Times New Roman" w:eastAsia="Times New Roman" w:hAnsi="Times New Roman" w:cs="Times New Roman"/>
          <w:sz w:val="24"/>
          <w:szCs w:val="24"/>
          <w:lang w:val="fi-FI"/>
        </w:rPr>
        <w:t>Ascaryan &amp; Timea, 2022; Bechlioulis &amp; Karamanis, 2022; Hua et al., 2022; Sabri et al., 2022</w:t>
      </w:r>
      <w:r w:rsidRPr="00087940">
        <w:rPr>
          <w:rFonts w:ascii="Times New Roman" w:eastAsia="Times New Roman" w:hAnsi="Times New Roman" w:cs="Times New Roman"/>
          <w:color w:val="000000"/>
          <w:sz w:val="24"/>
          <w:szCs w:val="24"/>
          <w:lang w:val="fi-FI"/>
        </w:rPr>
        <w:t xml:space="preserve">). </w:t>
      </w:r>
    </w:p>
    <w:p w:rsidR="009622BE" w:rsidRPr="00087940" w:rsidRDefault="009622BE" w:rsidP="00C519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fi-FI"/>
        </w:rPr>
      </w:pPr>
      <w:r w:rsidRPr="00087940">
        <w:rPr>
          <w:rFonts w:ascii="Times New Roman" w:eastAsia="Times New Roman" w:hAnsi="Times New Roman" w:cs="Times New Roman"/>
          <w:color w:val="000000"/>
          <w:sz w:val="24"/>
          <w:szCs w:val="24"/>
          <w:lang w:val="fi-FI"/>
        </w:rPr>
        <w:t>Dalam membincangkan tingkah laku kewangan individu, dua teori yang berkait rapat, iaitu Teori Jangkaan-Utiliti (</w:t>
      </w:r>
      <w:r w:rsidRPr="00087940">
        <w:rPr>
          <w:rFonts w:ascii="Times New Roman" w:eastAsia="Times New Roman" w:hAnsi="Times New Roman" w:cs="Times New Roman"/>
          <w:i/>
          <w:color w:val="000000"/>
          <w:sz w:val="24"/>
          <w:szCs w:val="24"/>
          <w:lang w:val="fi-FI"/>
        </w:rPr>
        <w:t>Expected-Utility Theory</w:t>
      </w:r>
      <w:r w:rsidRPr="00087940">
        <w:rPr>
          <w:rFonts w:ascii="Times New Roman" w:eastAsia="Times New Roman" w:hAnsi="Times New Roman" w:cs="Times New Roman"/>
          <w:color w:val="000000"/>
          <w:sz w:val="24"/>
          <w:szCs w:val="24"/>
          <w:lang w:val="fi-FI"/>
        </w:rPr>
        <w:t>) (TJU) dan Teori Prospek (</w:t>
      </w:r>
      <w:r w:rsidRPr="00087940">
        <w:rPr>
          <w:rFonts w:ascii="Times New Roman" w:eastAsia="Times New Roman" w:hAnsi="Times New Roman" w:cs="Times New Roman"/>
          <w:i/>
          <w:color w:val="000000"/>
          <w:sz w:val="24"/>
          <w:szCs w:val="24"/>
          <w:lang w:val="fi-FI"/>
        </w:rPr>
        <w:t>Prospect Theory</w:t>
      </w:r>
      <w:r w:rsidRPr="00087940">
        <w:rPr>
          <w:rFonts w:ascii="Times New Roman" w:eastAsia="Times New Roman" w:hAnsi="Times New Roman" w:cs="Times New Roman"/>
          <w:color w:val="000000"/>
          <w:sz w:val="24"/>
          <w:szCs w:val="24"/>
          <w:lang w:val="fi-FI"/>
        </w:rPr>
        <w:t xml:space="preserve">) (TP). TJU diasaskan oleh Von Neumann dan Morgenster pada tahun 1947. Teori ini menerangkan sifat rasional, walau dalam kurang pasti. Pada asasnya, teori ini berdasarkan empat aspek (Nagy &amp; Obenberger, 1994; Wang &amp; Young, 1998; Khoong, 2015; Ameur &amp; Tkiouat, 2016), iaitu pelabur adalah rasional dan pegangan transitif, mampu mengatasi pemilihan yang kompleks walau tertekan, pulangan yang sama dengan tidak mengambil risiko, dan memaximumkan keuntungan dari hasil biasa. Akan tetapi, tingkah laku didapati individu bertindak alternatif. TP berjaya mengurangkan jurang penjelasan tingkah laku kewangan individu dalam menjelaskan pelbagai isu persoalan yang berkait rapat (Khoong, 2015; Biggs &amp; Pettijohn, 2019; </w:t>
      </w:r>
      <w:r w:rsidRPr="00087940">
        <w:rPr>
          <w:rFonts w:ascii="Times New Roman" w:eastAsia="Times New Roman" w:hAnsi="Times New Roman" w:cs="Times New Roman"/>
          <w:sz w:val="24"/>
          <w:szCs w:val="24"/>
          <w:lang w:val="fi-FI"/>
        </w:rPr>
        <w:t>Ascaryan &amp; Timea, 2022; Bechlioulis &amp; Karamanis, 2022; Sabri et al., 2022</w:t>
      </w:r>
      <w:r w:rsidRPr="00087940">
        <w:rPr>
          <w:rFonts w:ascii="Times New Roman" w:eastAsia="Times New Roman" w:hAnsi="Times New Roman" w:cs="Times New Roman"/>
          <w:color w:val="000000"/>
          <w:sz w:val="24"/>
          <w:szCs w:val="24"/>
          <w:lang w:val="fi-FI"/>
        </w:rPr>
        <w:t xml:space="preserve">). Tambahan pula, TP bukan sahaja diaplikasikan di dalam sektor kewangan tetapi dikaitkan dengan bidang periklanan (Biggs &amp; Pettijohn, 2019) dan politik (Zafar &amp; Siddiqui, 2020). Secara amnya, TP menjelaskan individu berada di dalam situasi risiko dan tidak pasti, dan menjelaskan pilihan alternatif dari kebiasaan. Secara grafi, pemilihan bermula di posisi tengah titik rujukan dan bergerak sama ada ke arah fungsi lengkung ‘untung’ atau ‘rugi’ (Rajah 1). </w:t>
      </w:r>
    </w:p>
    <w:p w:rsidR="00492A61" w:rsidRDefault="00492A61" w:rsidP="00C51986">
      <w:pPr>
        <w:spacing w:after="0" w:line="240" w:lineRule="auto"/>
        <w:ind w:leftChars="0" w:left="0" w:firstLineChars="0" w:firstLine="720"/>
        <w:jc w:val="both"/>
        <w:rPr>
          <w:rFonts w:ascii="Times New Roman" w:eastAsia="Times New Roman" w:hAnsi="Times New Roman" w:cs="Times New Roman"/>
          <w:sz w:val="24"/>
          <w:szCs w:val="24"/>
        </w:rPr>
      </w:pPr>
      <w:r w:rsidRPr="00AB1398">
        <w:rPr>
          <w:rFonts w:ascii="Times New Roman" w:eastAsia="Times New Roman" w:hAnsi="Times New Roman" w:cs="Times New Roman"/>
          <w:sz w:val="24"/>
          <w:szCs w:val="24"/>
        </w:rPr>
        <w:t>Sewaktu krisis pandemik COVID-19, terbuktinya aplikasi tingkah laku kewangan individual. Teori TJU mendapati individu adalah rasional. Apabila berada di dalam situasi yang berbeza,</w:t>
      </w:r>
      <w:r w:rsidRPr="005A0BAB">
        <w:rPr>
          <w:rFonts w:ascii="Times New Roman" w:eastAsia="Times New Roman" w:hAnsi="Times New Roman" w:cs="Times New Roman"/>
          <w:sz w:val="24"/>
          <w:szCs w:val="24"/>
        </w:rPr>
        <w:t xml:space="preserve"> individu </w:t>
      </w:r>
      <w:r>
        <w:rPr>
          <w:rFonts w:ascii="Times New Roman" w:eastAsia="Times New Roman" w:hAnsi="Times New Roman" w:cs="Times New Roman"/>
          <w:sz w:val="24"/>
          <w:szCs w:val="24"/>
        </w:rPr>
        <w:t xml:space="preserve">didapati </w:t>
      </w:r>
      <w:r w:rsidRPr="005A0BAB">
        <w:rPr>
          <w:rFonts w:ascii="Times New Roman" w:eastAsia="Times New Roman" w:hAnsi="Times New Roman" w:cs="Times New Roman"/>
          <w:sz w:val="24"/>
          <w:szCs w:val="24"/>
        </w:rPr>
        <w:t xml:space="preserve">membuat pemilihan yang rasional </w:t>
      </w:r>
      <w:r>
        <w:rPr>
          <w:rFonts w:ascii="Times New Roman" w:eastAsia="Times New Roman" w:hAnsi="Times New Roman" w:cs="Times New Roman"/>
          <w:sz w:val="24"/>
          <w:szCs w:val="24"/>
        </w:rPr>
        <w:t xml:space="preserve">dengan </w:t>
      </w:r>
      <w:r w:rsidRPr="005A0BAB">
        <w:rPr>
          <w:rFonts w:ascii="Times New Roman" w:eastAsia="Times New Roman" w:hAnsi="Times New Roman" w:cs="Times New Roman"/>
          <w:sz w:val="24"/>
          <w:szCs w:val="24"/>
        </w:rPr>
        <w:t xml:space="preserve">memilih kadar pulangan </w:t>
      </w:r>
      <w:r>
        <w:rPr>
          <w:rFonts w:ascii="Times New Roman" w:eastAsia="Times New Roman" w:hAnsi="Times New Roman" w:cs="Times New Roman"/>
          <w:sz w:val="24"/>
          <w:szCs w:val="24"/>
        </w:rPr>
        <w:t xml:space="preserve">pelaburan </w:t>
      </w:r>
      <w:r w:rsidRPr="005A0BAB">
        <w:rPr>
          <w:rFonts w:ascii="Times New Roman" w:eastAsia="Times New Roman" w:hAnsi="Times New Roman" w:cs="Times New Roman"/>
          <w:sz w:val="24"/>
          <w:szCs w:val="24"/>
        </w:rPr>
        <w:t>yang lebih tinggi (Khoong, 2016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Ameur &amp; Tkiouat, 2016</w:t>
      </w:r>
      <w:r w:rsidRPr="005A0BAB">
        <w:rPr>
          <w:rFonts w:ascii="Times New Roman" w:eastAsia="Times New Roman" w:hAnsi="Times New Roman" w:cs="Times New Roman"/>
          <w:sz w:val="24"/>
          <w:szCs w:val="24"/>
        </w:rPr>
        <w:t xml:space="preserve">). </w:t>
      </w:r>
      <w:r w:rsidRPr="00087940">
        <w:rPr>
          <w:rFonts w:ascii="Times New Roman" w:eastAsia="Times New Roman" w:hAnsi="Times New Roman" w:cs="Times New Roman"/>
          <w:sz w:val="24"/>
          <w:szCs w:val="24"/>
          <w:lang w:val="fi-FI"/>
        </w:rPr>
        <w:t xml:space="preserve">Akan tetapi, Teori TP mencadangkan pilihan alternatif, di mana individu bergantung pada situasi semasa dan risiko. Jika berada di situasi ‘untung’, individu cenderung kadar pulangan pelaburan lebih rendah iaitu risiko yang lebih rendah (Khoong, 2016; </w:t>
      </w:r>
      <w:r w:rsidRPr="00087940">
        <w:rPr>
          <w:rFonts w:ascii="Times New Roman" w:eastAsia="Times New Roman" w:hAnsi="Times New Roman" w:cs="Times New Roman"/>
          <w:color w:val="000000"/>
          <w:sz w:val="24"/>
          <w:szCs w:val="24"/>
          <w:lang w:val="fi-FI"/>
        </w:rPr>
        <w:t xml:space="preserve">Biggs &amp; Pettijohn, 2019; </w:t>
      </w:r>
      <w:r w:rsidRPr="00087940">
        <w:rPr>
          <w:rFonts w:ascii="Times New Roman" w:eastAsia="Times New Roman" w:hAnsi="Times New Roman" w:cs="Times New Roman"/>
          <w:sz w:val="24"/>
          <w:szCs w:val="24"/>
          <w:lang w:val="fi-FI"/>
        </w:rPr>
        <w:t xml:space="preserve">Bechlioulis &amp; Karamanis, 2022; Hua et al., 2022). Justeru itu, untuk mencapai kajian ini, kedua-dua teori TJU dan TP digunakan untuk menerangkan fenomena pengeluaran pra-persaraan sewaktu pandemik COVID-19 (Rajah 2). </w:t>
      </w:r>
      <w:r>
        <w:rPr>
          <w:rFonts w:ascii="Times New Roman" w:eastAsia="Times New Roman" w:hAnsi="Times New Roman" w:cs="Times New Roman"/>
          <w:sz w:val="24"/>
          <w:szCs w:val="24"/>
        </w:rPr>
        <w:t>Kerangka kajian ini digunakan untuk perbincangan dapatan hasil kajian.</w:t>
      </w:r>
    </w:p>
    <w:p w:rsidR="00DE69CE" w:rsidRDefault="00F16471" w:rsidP="00C51986">
      <w:pPr>
        <w:spacing w:line="240" w:lineRule="auto"/>
        <w:ind w:leftChars="0" w:left="2" w:hanging="2"/>
      </w:pPr>
      <w:r>
        <w:rPr>
          <w:noProof/>
          <w:lang w:val="en-MY" w:eastAsia="en-MY"/>
        </w:rPr>
        <w:lastRenderedPageBreak/>
        <mc:AlternateContent>
          <mc:Choice Requires="wpg">
            <w:drawing>
              <wp:inline distT="0" distB="0" distL="0" distR="0">
                <wp:extent cx="5909310" cy="2244090"/>
                <wp:effectExtent l="9525" t="9525" r="5715" b="3810"/>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310" cy="2244090"/>
                          <a:chOff x="2386575" y="2653175"/>
                          <a:chExt cx="5918850" cy="2253650"/>
                        </a:xfrm>
                      </wpg:grpSpPr>
                      <wpg:grpSp>
                        <wpg:cNvPr id="7" name="Group 3"/>
                        <wpg:cNvGrpSpPr>
                          <a:grpSpLocks/>
                        </wpg:cNvGrpSpPr>
                        <wpg:grpSpPr bwMode="auto">
                          <a:xfrm>
                            <a:off x="2391345" y="2657955"/>
                            <a:ext cx="5909310" cy="2244090"/>
                            <a:chOff x="7" y="7"/>
                            <a:chExt cx="9306" cy="3534"/>
                          </a:xfrm>
                        </wpg:grpSpPr>
                        <wps:wsp>
                          <wps:cNvPr id="8" name="Rectangle 4"/>
                          <wps:cNvSpPr>
                            <a:spLocks noChangeArrowheads="1"/>
                          </wps:cNvSpPr>
                          <wps:spPr bwMode="auto">
                            <a:xfrm>
                              <a:off x="7" y="7"/>
                              <a:ext cx="9300" cy="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9CE" w:rsidRDefault="00DE69CE" w:rsidP="00DE69CE">
                                <w:pPr>
                                  <w:ind w:left="0" w:hanging="2"/>
                                </w:pPr>
                              </w:p>
                            </w:txbxContent>
                          </wps:txbx>
                          <wps:bodyPr rot="0" vert="horz" wrap="square" lIns="91425" tIns="91425" rIns="91425" bIns="91425" anchor="ctr" anchorCtr="0" upright="1">
                            <a:noAutofit/>
                          </wps:bodyPr>
                        </wps:wsp>
                        <wps:wsp>
                          <wps:cNvPr id="9" name="Rectangle 5"/>
                          <wps:cNvSpPr>
                            <a:spLocks noChangeArrowheads="1"/>
                          </wps:cNvSpPr>
                          <wps:spPr bwMode="auto">
                            <a:xfrm>
                              <a:off x="7" y="7"/>
                              <a:ext cx="9306" cy="3534"/>
                            </a:xfrm>
                            <a:prstGeom prst="rect">
                              <a:avLst/>
                            </a:prstGeom>
                            <a:noFill/>
                            <a:ln w="9525">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rsidR="00DE69CE" w:rsidRDefault="00DE69CE" w:rsidP="00DE69CE">
                                <w:pPr>
                                  <w:ind w:left="0" w:hanging="2"/>
                                </w:pPr>
                              </w:p>
                            </w:txbxContent>
                          </wps:txbx>
                          <wps:bodyPr rot="0" vert="horz" wrap="square" lIns="91425" tIns="91425" rIns="91425" bIns="91425" anchor="ctr" anchorCtr="0" upright="1">
                            <a:noAutofit/>
                          </wps:bodyPr>
                        </wps:wsp>
                        <wps:wsp>
                          <wps:cNvPr id="10" name="Rectangle 6"/>
                          <wps:cNvSpPr>
                            <a:spLocks noChangeArrowheads="1"/>
                          </wps:cNvSpPr>
                          <wps:spPr bwMode="auto">
                            <a:xfrm>
                              <a:off x="1222" y="167"/>
                              <a:ext cx="6486" cy="3230"/>
                            </a:xfrm>
                            <a:prstGeom prst="rect">
                              <a:avLst/>
                            </a:prstGeom>
                            <a:noFill/>
                            <a:ln w="9525">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rsidR="00DE69CE" w:rsidRDefault="00DE69CE" w:rsidP="00DE69CE">
                                <w:pPr>
                                  <w:ind w:left="0" w:hanging="2"/>
                                </w:pPr>
                              </w:p>
                            </w:txbxContent>
                          </wps:txbx>
                          <wps:bodyPr rot="0" vert="horz" wrap="square" lIns="91425" tIns="91425" rIns="91425" bIns="91425" anchor="ctr" anchorCtr="0" upright="1">
                            <a:noAutofit/>
                          </wps:bodyPr>
                        </wps:wsp>
                        <wps:wsp>
                          <wps:cNvPr id="11" name="Straight Arrow Connector 7"/>
                          <wps:cNvCnPr>
                            <a:cxnSpLocks noChangeShapeType="1"/>
                          </wps:cNvCnPr>
                          <wps:spPr bwMode="auto">
                            <a:xfrm>
                              <a:off x="2719" y="1869"/>
                              <a:ext cx="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Straight Arrow Connector 8"/>
                          <wps:cNvCnPr>
                            <a:cxnSpLocks noChangeShapeType="1"/>
                          </wps:cNvCnPr>
                          <wps:spPr bwMode="auto">
                            <a:xfrm>
                              <a:off x="4231" y="657"/>
                              <a:ext cx="0" cy="24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Shape 9"/>
                          <wps:cNvSpPr>
                            <a:spLocks/>
                          </wps:cNvSpPr>
                          <wps:spPr bwMode="auto">
                            <a:xfrm>
                              <a:off x="4230" y="1056"/>
                              <a:ext cx="682" cy="762"/>
                            </a:xfrm>
                            <a:custGeom>
                              <a:avLst/>
                              <a:gdLst>
                                <a:gd name="T0" fmla="*/ 682 w 682"/>
                                <a:gd name="T1" fmla="*/ 0 h 762"/>
                                <a:gd name="T2" fmla="*/ 594 w 682"/>
                                <a:gd name="T3" fmla="*/ 34 h 762"/>
                                <a:gd name="T4" fmla="*/ 512 w 682"/>
                                <a:gd name="T5" fmla="*/ 73 h 762"/>
                                <a:gd name="T6" fmla="*/ 435 w 682"/>
                                <a:gd name="T7" fmla="*/ 115 h 762"/>
                                <a:gd name="T8" fmla="*/ 363 w 682"/>
                                <a:gd name="T9" fmla="*/ 161 h 762"/>
                                <a:gd name="T10" fmla="*/ 297 w 682"/>
                                <a:gd name="T11" fmla="*/ 210 h 762"/>
                                <a:gd name="T12" fmla="*/ 237 w 682"/>
                                <a:gd name="T13" fmla="*/ 263 h 762"/>
                                <a:gd name="T14" fmla="*/ 183 w 682"/>
                                <a:gd name="T15" fmla="*/ 318 h 762"/>
                                <a:gd name="T16" fmla="*/ 136 w 682"/>
                                <a:gd name="T17" fmla="*/ 376 h 762"/>
                                <a:gd name="T18" fmla="*/ 95 w 682"/>
                                <a:gd name="T19" fmla="*/ 436 h 762"/>
                                <a:gd name="T20" fmla="*/ 62 w 682"/>
                                <a:gd name="T21" fmla="*/ 498 h 762"/>
                                <a:gd name="T22" fmla="*/ 35 w 682"/>
                                <a:gd name="T23" fmla="*/ 562 h 762"/>
                                <a:gd name="T24" fmla="*/ 16 w 682"/>
                                <a:gd name="T25" fmla="*/ 627 h 762"/>
                                <a:gd name="T26" fmla="*/ 4 w 682"/>
                                <a:gd name="T27" fmla="*/ 694 h 762"/>
                                <a:gd name="T28" fmla="*/ 0 w 682"/>
                                <a:gd name="T29" fmla="*/ 762 h 762"/>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682" h="762" extrusionOk="0">
                                  <a:moveTo>
                                    <a:pt x="682" y="0"/>
                                  </a:moveTo>
                                  <a:lnTo>
                                    <a:pt x="594" y="34"/>
                                  </a:lnTo>
                                  <a:lnTo>
                                    <a:pt x="512" y="73"/>
                                  </a:lnTo>
                                  <a:lnTo>
                                    <a:pt x="435" y="115"/>
                                  </a:lnTo>
                                  <a:lnTo>
                                    <a:pt x="363" y="161"/>
                                  </a:lnTo>
                                  <a:lnTo>
                                    <a:pt x="297" y="210"/>
                                  </a:lnTo>
                                  <a:lnTo>
                                    <a:pt x="237" y="263"/>
                                  </a:lnTo>
                                  <a:lnTo>
                                    <a:pt x="183" y="318"/>
                                  </a:lnTo>
                                  <a:lnTo>
                                    <a:pt x="136" y="376"/>
                                  </a:lnTo>
                                  <a:lnTo>
                                    <a:pt x="95" y="436"/>
                                  </a:lnTo>
                                  <a:lnTo>
                                    <a:pt x="62" y="498"/>
                                  </a:lnTo>
                                  <a:lnTo>
                                    <a:pt x="35" y="562"/>
                                  </a:lnTo>
                                  <a:lnTo>
                                    <a:pt x="16" y="627"/>
                                  </a:lnTo>
                                  <a:lnTo>
                                    <a:pt x="4" y="694"/>
                                  </a:lnTo>
                                  <a:lnTo>
                                    <a:pt x="0" y="762"/>
                                  </a:lnTo>
                                </a:path>
                              </a:pathLst>
                            </a:custGeom>
                            <a:noFill/>
                            <a:ln w="9525"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25" tIns="91425" rIns="91425" bIns="91425" anchor="ctr" anchorCtr="0" upright="1">
                            <a:noAutofit/>
                          </wps:bodyPr>
                        </wps:wsp>
                        <wps:wsp>
                          <wps:cNvPr id="15" name="Freeform: Shape 10"/>
                          <wps:cNvSpPr>
                            <a:spLocks/>
                          </wps:cNvSpPr>
                          <wps:spPr bwMode="auto">
                            <a:xfrm>
                              <a:off x="3376" y="1937"/>
                              <a:ext cx="855" cy="1109"/>
                            </a:xfrm>
                            <a:custGeom>
                              <a:avLst/>
                              <a:gdLst>
                                <a:gd name="T0" fmla="*/ 0 w 855"/>
                                <a:gd name="T1" fmla="*/ 1109 h 1109"/>
                                <a:gd name="T2" fmla="*/ 75 w 855"/>
                                <a:gd name="T3" fmla="*/ 1082 h 1109"/>
                                <a:gd name="T4" fmla="*/ 148 w 855"/>
                                <a:gd name="T5" fmla="*/ 1051 h 1109"/>
                                <a:gd name="T6" fmla="*/ 218 w 855"/>
                                <a:gd name="T7" fmla="*/ 1016 h 1109"/>
                                <a:gd name="T8" fmla="*/ 285 w 855"/>
                                <a:gd name="T9" fmla="*/ 977 h 1109"/>
                                <a:gd name="T10" fmla="*/ 349 w 855"/>
                                <a:gd name="T11" fmla="*/ 935 h 1109"/>
                                <a:gd name="T12" fmla="*/ 410 w 855"/>
                                <a:gd name="T13" fmla="*/ 890 h 1109"/>
                                <a:gd name="T14" fmla="*/ 468 w 855"/>
                                <a:gd name="T15" fmla="*/ 841 h 1109"/>
                                <a:gd name="T16" fmla="*/ 522 w 855"/>
                                <a:gd name="T17" fmla="*/ 789 h 1109"/>
                                <a:gd name="T18" fmla="*/ 572 w 855"/>
                                <a:gd name="T19" fmla="*/ 735 h 1109"/>
                                <a:gd name="T20" fmla="*/ 619 w 855"/>
                                <a:gd name="T21" fmla="*/ 678 h 1109"/>
                                <a:gd name="T22" fmla="*/ 662 w 855"/>
                                <a:gd name="T23" fmla="*/ 619 h 1109"/>
                                <a:gd name="T24" fmla="*/ 701 w 855"/>
                                <a:gd name="T25" fmla="*/ 557 h 1109"/>
                                <a:gd name="T26" fmla="*/ 736 w 855"/>
                                <a:gd name="T27" fmla="*/ 493 h 1109"/>
                                <a:gd name="T28" fmla="*/ 766 w 855"/>
                                <a:gd name="T29" fmla="*/ 427 h 1109"/>
                                <a:gd name="T30" fmla="*/ 793 w 855"/>
                                <a:gd name="T31" fmla="*/ 360 h 1109"/>
                                <a:gd name="T32" fmla="*/ 814 w 855"/>
                                <a:gd name="T33" fmla="*/ 290 h 1109"/>
                                <a:gd name="T34" fmla="*/ 831 w 855"/>
                                <a:gd name="T35" fmla="*/ 220 h 1109"/>
                                <a:gd name="T36" fmla="*/ 844 w 855"/>
                                <a:gd name="T37" fmla="*/ 148 h 1109"/>
                                <a:gd name="T38" fmla="*/ 851 w 855"/>
                                <a:gd name="T39" fmla="*/ 74 h 1109"/>
                                <a:gd name="T40" fmla="*/ 854 w 855"/>
                                <a:gd name="T41" fmla="*/ 0 h 110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855" h="1109" extrusionOk="0">
                                  <a:moveTo>
                                    <a:pt x="0" y="1109"/>
                                  </a:moveTo>
                                  <a:lnTo>
                                    <a:pt x="75" y="1082"/>
                                  </a:lnTo>
                                  <a:lnTo>
                                    <a:pt x="148" y="1051"/>
                                  </a:lnTo>
                                  <a:lnTo>
                                    <a:pt x="218" y="1016"/>
                                  </a:lnTo>
                                  <a:lnTo>
                                    <a:pt x="285" y="977"/>
                                  </a:lnTo>
                                  <a:lnTo>
                                    <a:pt x="349" y="935"/>
                                  </a:lnTo>
                                  <a:lnTo>
                                    <a:pt x="410" y="890"/>
                                  </a:lnTo>
                                  <a:lnTo>
                                    <a:pt x="468" y="841"/>
                                  </a:lnTo>
                                  <a:lnTo>
                                    <a:pt x="522" y="789"/>
                                  </a:lnTo>
                                  <a:lnTo>
                                    <a:pt x="572" y="735"/>
                                  </a:lnTo>
                                  <a:lnTo>
                                    <a:pt x="619" y="678"/>
                                  </a:lnTo>
                                  <a:lnTo>
                                    <a:pt x="662" y="619"/>
                                  </a:lnTo>
                                  <a:lnTo>
                                    <a:pt x="701" y="557"/>
                                  </a:lnTo>
                                  <a:lnTo>
                                    <a:pt x="736" y="493"/>
                                  </a:lnTo>
                                  <a:lnTo>
                                    <a:pt x="766" y="427"/>
                                  </a:lnTo>
                                  <a:lnTo>
                                    <a:pt x="793" y="360"/>
                                  </a:lnTo>
                                  <a:lnTo>
                                    <a:pt x="814" y="290"/>
                                  </a:lnTo>
                                  <a:lnTo>
                                    <a:pt x="831" y="220"/>
                                  </a:lnTo>
                                  <a:lnTo>
                                    <a:pt x="844" y="148"/>
                                  </a:lnTo>
                                  <a:lnTo>
                                    <a:pt x="851" y="74"/>
                                  </a:lnTo>
                                  <a:lnTo>
                                    <a:pt x="854" y="0"/>
                                  </a:lnTo>
                                </a:path>
                              </a:pathLst>
                            </a:custGeom>
                            <a:noFill/>
                            <a:ln w="9525"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25" tIns="91425" rIns="91425" bIns="91425" anchor="ctr" anchorCtr="0" upright="1">
                            <a:noAutofit/>
                          </wps:bodyPr>
                        </wps:wsp>
                        <wps:wsp>
                          <wps:cNvPr id="16" name="Rectangle 11"/>
                          <wps:cNvSpPr>
                            <a:spLocks noChangeArrowheads="1"/>
                          </wps:cNvSpPr>
                          <wps:spPr bwMode="auto">
                            <a:xfrm>
                              <a:off x="5720" y="1696"/>
                              <a:ext cx="936"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9CE" w:rsidRDefault="00DE69CE" w:rsidP="00DE69CE">
                                <w:pPr>
                                  <w:spacing w:line="234" w:lineRule="auto"/>
                                  <w:ind w:left="0" w:hanging="2"/>
                                </w:pPr>
                                <w:r>
                                  <w:rPr>
                                    <w:rFonts w:eastAsia="Times New Roman"/>
                                    <w:color w:val="000000"/>
                                  </w:rPr>
                                  <w:t>Untung</w:t>
                                </w:r>
                              </w:p>
                            </w:txbxContent>
                          </wps:txbx>
                          <wps:bodyPr rot="0" vert="horz" wrap="square" lIns="0" tIns="0" rIns="0" bIns="0" anchor="t" anchorCtr="0" upright="1">
                            <a:noAutofit/>
                          </wps:bodyPr>
                        </wps:wsp>
                        <wps:wsp>
                          <wps:cNvPr id="18" name="Rectangle 13"/>
                          <wps:cNvSpPr>
                            <a:spLocks noChangeArrowheads="1"/>
                          </wps:cNvSpPr>
                          <wps:spPr bwMode="auto">
                            <a:xfrm>
                              <a:off x="2223" y="1447"/>
                              <a:ext cx="1290"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9CE" w:rsidRDefault="00DE69CE" w:rsidP="00DE69CE">
                                <w:pPr>
                                  <w:spacing w:after="0" w:line="240" w:lineRule="auto"/>
                                  <w:ind w:left="0" w:hanging="2"/>
                                  <w:rPr>
                                    <w:rFonts w:eastAsia="Times New Roman"/>
                                    <w:color w:val="000000"/>
                                  </w:rPr>
                                </w:pPr>
                                <w:r>
                                  <w:rPr>
                                    <w:rFonts w:eastAsia="Times New Roman"/>
                                    <w:color w:val="000000"/>
                                  </w:rPr>
                                  <w:t xml:space="preserve">         </w:t>
                                </w:r>
                              </w:p>
                              <w:p w:rsidR="00DE69CE" w:rsidRDefault="00DE69CE" w:rsidP="00087940">
                                <w:pPr>
                                  <w:spacing w:after="0" w:line="240" w:lineRule="auto"/>
                                  <w:ind w:left="0" w:hanging="2"/>
                                  <w:rPr>
                                    <w:rFonts w:eastAsia="Times New Roman"/>
                                    <w:color w:val="000000"/>
                                  </w:rPr>
                                </w:pPr>
                                <w:r>
                                  <w:rPr>
                                    <w:rFonts w:eastAsia="Times New Roman"/>
                                    <w:color w:val="000000"/>
                                  </w:rPr>
                                  <w:t xml:space="preserve">Rugi </w:t>
                                </w:r>
                              </w:p>
                              <w:p w:rsidR="00DE69CE" w:rsidRPr="00087940" w:rsidRDefault="00DE69CE" w:rsidP="00087940">
                                <w:pPr>
                                  <w:spacing w:after="0" w:line="234" w:lineRule="auto"/>
                                  <w:ind w:left="0" w:hanging="2"/>
                                  <w:rPr>
                                    <w:rFonts w:eastAsia="Times New Roman"/>
                                    <w:color w:val="000000"/>
                                  </w:rPr>
                                </w:pPr>
                              </w:p>
                            </w:txbxContent>
                          </wps:txbx>
                          <wps:bodyPr rot="0" vert="horz" wrap="square" lIns="0" tIns="0" rIns="0" bIns="0" anchor="t" anchorCtr="0" upright="1">
                            <a:noAutofit/>
                          </wps:bodyPr>
                        </wps:wsp>
                        <wps:wsp>
                          <wps:cNvPr id="19" name="Rectangle 16"/>
                          <wps:cNvSpPr>
                            <a:spLocks noChangeArrowheads="1"/>
                          </wps:cNvSpPr>
                          <wps:spPr bwMode="auto">
                            <a:xfrm>
                              <a:off x="3513" y="357"/>
                              <a:ext cx="192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9CE" w:rsidRDefault="00DE69CE" w:rsidP="00DE69CE">
                                <w:pPr>
                                  <w:spacing w:line="234" w:lineRule="auto"/>
                                  <w:ind w:left="0" w:hanging="2"/>
                                </w:pPr>
                                <w:r>
                                  <w:rPr>
                                    <w:rFonts w:eastAsia="Times New Roman"/>
                                    <w:color w:val="000000"/>
                                  </w:rPr>
                                  <w:t>Nilai psikologi (</w:t>
                                </w:r>
                                <w:r w:rsidRPr="00087940">
                                  <w:rPr>
                                    <w:rFonts w:eastAsia="Times New Roman"/>
                                    <w:i/>
                                    <w:color w:val="000000"/>
                                  </w:rPr>
                                  <w:t>V</w:t>
                                </w:r>
                                <w:r>
                                  <w:rPr>
                                    <w:rFonts w:eastAsia="Times New Roman"/>
                                    <w:i/>
                                    <w:color w:val="000000"/>
                                  </w:rPr>
                                  <w:t>alue</w:t>
                                </w:r>
                                <w:r>
                                  <w:rPr>
                                    <w:rFonts w:eastAsia="Times New Roman"/>
                                    <w:color w:val="000000"/>
                                  </w:rPr>
                                  <w:t>)</w:t>
                                </w:r>
                              </w:p>
                            </w:txbxContent>
                          </wps:txbx>
                          <wps:bodyPr rot="0" vert="horz" wrap="square" lIns="0" tIns="0" rIns="0" bIns="0" anchor="t" anchorCtr="0" upright="1">
                            <a:noAutofit/>
                          </wps:bodyPr>
                        </wps:wsp>
                      </wpg:grpSp>
                    </wpg:wgp>
                  </a:graphicData>
                </a:graphic>
              </wp:inline>
            </w:drawing>
          </mc:Choice>
          <mc:Fallback>
            <w:pict>
              <v:group id="Group 1" o:spid="_x0000_s1026" style="width:465.3pt;height:176.7pt;mso-position-horizontal-relative:char;mso-position-vertical-relative:line" coordorigin="23865,26531" coordsize="59188,22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">
                <v:group id="Group 3" o:spid="_x0000_s1027" style="position:absolute;left:23913;top:26579;width:59093;height:22441" coordorigin="7,7" coordsize="9306,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4" o:spid="_x0000_s1028" style="position:absolute;left:7;top:7;width:9300;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DE69CE" w:rsidRDefault="00DE69CE" w:rsidP="00DE69CE">
                          <w:pPr>
                            <w:ind w:left="0" w:hanging="2"/>
                          </w:pPr>
                        </w:p>
                      </w:txbxContent>
                    </v:textbox>
                  </v:rect>
                  <v:rect id="Rectangle 5" o:spid="_x0000_s1029" style="position:absolute;left:7;top:7;width:9306;height:3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" filled="f">
                    <v:stroke startarrowwidth="narrow" startarrowlength="short" endarrowwidth="narrow" endarrowlength="short"/>
                    <v:textbox inset="2.53958mm,2.53958mm,2.53958mm,2.53958mm">
                      <w:txbxContent>
                        <w:p w:rsidR="00DE69CE" w:rsidRDefault="00DE69CE" w:rsidP="00DE69CE">
                          <w:pPr>
                            <w:ind w:left="0" w:hanging="2"/>
                          </w:pPr>
                        </w:p>
                      </w:txbxContent>
                    </v:textbox>
                  </v:rect>
                  <v:rect id="Rectangle 6" o:spid="_x0000_s1030" style="position:absolute;left:1222;top:167;width:6486;height:3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" filled="f">
                    <v:stroke startarrowwidth="narrow" startarrowlength="short" endarrowwidth="narrow" endarrowlength="short"/>
                    <v:textbox inset="2.53958mm,2.53958mm,2.53958mm,2.53958mm">
                      <w:txbxContent>
                        <w:p w:rsidR="00DE69CE" w:rsidRDefault="00DE69CE" w:rsidP="00DE69CE">
                          <w:pPr>
                            <w:ind w:left="0" w:hanging="2"/>
                          </w:pPr>
                        </w:p>
                      </w:txbxContent>
                    </v:textbox>
                  </v:rect>
                  <v:shapetype id="_x0000_t32" coordsize="21600,21600" o:spt="32" o:oned="t" path="m,l21600,21600e" filled="f">
                    <v:path arrowok="t" fillok="f" o:connecttype="none"/>
                    <o:lock v:ext="edit" shapetype="t"/>
                  </v:shapetype>
                  <v:shape id="Straight Arrow Connector 7" o:spid="_x0000_s1031" type="#_x0000_t32" style="position:absolute;left:2719;top:1869;width:29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Straight Arrow Connector 8" o:spid="_x0000_s1032" type="#_x0000_t32" style="position:absolute;left:4231;top:657;width:0;height:2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Freeform: Shape 9" o:spid="_x0000_s1033" style="position:absolute;left:4230;top:1056;width:682;height:762;visibility:visible;mso-wrap-style:square;v-text-anchor:middle" coordsize="68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" path="m682,l594,34,512,73r-77,42l363,161r-66,49l237,263r-54,55l136,376,95,436,62,498,35,562,16,627,4,694,,762e" filled="f">
                    <v:path arrowok="t" o:extrusionok="f" o:connecttype="custom" o:connectlocs="682,0;594,34;512,73;435,115;363,161;297,210;237,263;183,318;136,376;95,436;62,498;35,562;16,627;4,694;0,762" o:connectangles="0,0,0,0,0,0,0,0,0,0,0,0,0,0,0"/>
                  </v:shape>
                  <v:shape id="Freeform: Shape 10" o:spid="_x0000_s1034" style="position:absolute;left:3376;top:1937;width:855;height:1109;visibility:visible;mso-wrap-style:square;v-text-anchor:middle" coordsize="855,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" path="m,1109r75,-27l148,1051r70,-35l285,977r64,-42l410,890r58,-49l522,789r50,-54l619,678r43,-59l701,557r35,-64l766,427r27,-67l814,290r17,-70l844,148r7,-74l854,e" filled="f">
                    <v:path arrowok="t" o:extrusionok="f" o:connecttype="custom" o:connectlocs="0,1109;75,1082;148,1051;218,1016;285,977;349,935;410,890;468,841;522,789;572,735;619,678;662,619;701,557;736,493;766,427;793,360;814,290;831,220;844,148;851,74;854,0" o:connectangles="0,0,0,0,0,0,0,0,0,0,0,0,0,0,0,0,0,0,0,0,0"/>
                  </v:shape>
                  <v:rect id="Rectangle 11" o:spid="_x0000_s1035" style="position:absolute;left:5720;top:1696;width:936;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DE69CE" w:rsidRDefault="00DE69CE" w:rsidP="00DE69CE">
                          <w:pPr>
                            <w:spacing w:line="234" w:lineRule="auto"/>
                            <w:ind w:left="0" w:hanging="2"/>
                          </w:pPr>
                          <w:r>
                            <w:rPr>
                              <w:rFonts w:eastAsia="Times New Roman"/>
                              <w:color w:val="000000"/>
                            </w:rPr>
                            <w:t>Untung</w:t>
                          </w:r>
                        </w:p>
                      </w:txbxContent>
                    </v:textbox>
                  </v:rect>
                  <v:rect id="Rectangle 13" o:spid="_x0000_s1036" style="position:absolute;left:2223;top:1447;width:1290;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DE69CE" w:rsidRDefault="00DE69CE" w:rsidP="00DE69CE">
                          <w:pPr>
                            <w:spacing w:after="0" w:line="240" w:lineRule="auto"/>
                            <w:ind w:left="0" w:hanging="2"/>
                            <w:rPr>
                              <w:rFonts w:eastAsia="Times New Roman"/>
                              <w:color w:val="000000"/>
                            </w:rPr>
                          </w:pPr>
                          <w:r>
                            <w:rPr>
                              <w:rFonts w:eastAsia="Times New Roman"/>
                              <w:color w:val="000000"/>
                            </w:rPr>
                            <w:t xml:space="preserve">         </w:t>
                          </w:r>
                        </w:p>
                        <w:p w:rsidR="00DE69CE" w:rsidRDefault="00DE69CE" w:rsidP="00087940">
                          <w:pPr>
                            <w:spacing w:after="0" w:line="240" w:lineRule="auto"/>
                            <w:ind w:left="0" w:hanging="2"/>
                            <w:rPr>
                              <w:rFonts w:eastAsia="Times New Roman"/>
                              <w:color w:val="000000"/>
                            </w:rPr>
                          </w:pPr>
                          <w:r>
                            <w:rPr>
                              <w:rFonts w:eastAsia="Times New Roman"/>
                              <w:color w:val="000000"/>
                            </w:rPr>
                            <w:t xml:space="preserve">Rugi </w:t>
                          </w:r>
                        </w:p>
                        <w:p w:rsidR="00DE69CE" w:rsidRPr="00087940" w:rsidRDefault="00DE69CE" w:rsidP="00087940">
                          <w:pPr>
                            <w:spacing w:after="0" w:line="234" w:lineRule="auto"/>
                            <w:ind w:left="0" w:hanging="2"/>
                            <w:rPr>
                              <w:rFonts w:eastAsia="Times New Roman"/>
                              <w:color w:val="000000"/>
                            </w:rPr>
                          </w:pPr>
                        </w:p>
                      </w:txbxContent>
                    </v:textbox>
                  </v:rect>
                  <v:rect id="Rectangle 16" o:spid="_x0000_s1037" style="position:absolute;left:3513;top:357;width:192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DE69CE" w:rsidRDefault="00DE69CE" w:rsidP="00DE69CE">
                          <w:pPr>
                            <w:spacing w:line="234" w:lineRule="auto"/>
                            <w:ind w:left="0" w:hanging="2"/>
                          </w:pPr>
                          <w:r>
                            <w:rPr>
                              <w:rFonts w:eastAsia="Times New Roman"/>
                              <w:color w:val="000000"/>
                            </w:rPr>
                            <w:t>Nilai psikologi (</w:t>
                          </w:r>
                          <w:r w:rsidRPr="00087940">
                            <w:rPr>
                              <w:rFonts w:eastAsia="Times New Roman"/>
                              <w:i/>
                              <w:color w:val="000000"/>
                            </w:rPr>
                            <w:t>V</w:t>
                          </w:r>
                          <w:r>
                            <w:rPr>
                              <w:rFonts w:eastAsia="Times New Roman"/>
                              <w:i/>
                              <w:color w:val="000000"/>
                            </w:rPr>
                            <w:t>alue</w:t>
                          </w:r>
                          <w:r>
                            <w:rPr>
                              <w:rFonts w:eastAsia="Times New Roman"/>
                              <w:color w:val="000000"/>
                            </w:rPr>
                            <w:t>)</w:t>
                          </w:r>
                        </w:p>
                      </w:txbxContent>
                    </v:textbox>
                  </v:rect>
                </v:group>
                <w10:anchorlock/>
              </v:group>
            </w:pict>
          </mc:Fallback>
        </mc:AlternateContent>
      </w:r>
    </w:p>
    <w:p w:rsidR="009622BE" w:rsidRPr="005A0BAB" w:rsidRDefault="009622BE"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5A0BAB">
        <w:rPr>
          <w:rFonts w:ascii="Times New Roman" w:hAnsi="Times New Roman" w:cs="Times New Roman"/>
          <w:b/>
          <w:sz w:val="20"/>
          <w:szCs w:val="20"/>
        </w:rPr>
        <w:t>Rajah 1</w:t>
      </w:r>
      <w:r w:rsidR="00492A61">
        <w:rPr>
          <w:rFonts w:ascii="Times New Roman" w:hAnsi="Times New Roman" w:cs="Times New Roman"/>
          <w:b/>
          <w:sz w:val="20"/>
          <w:szCs w:val="20"/>
        </w:rPr>
        <w:t>.</w:t>
      </w:r>
      <w:r w:rsidRPr="005A0BAB">
        <w:rPr>
          <w:rFonts w:ascii="Times New Roman" w:hAnsi="Times New Roman" w:cs="Times New Roman"/>
          <w:b/>
          <w:sz w:val="20"/>
          <w:szCs w:val="20"/>
        </w:rPr>
        <w:t xml:space="preserve"> </w:t>
      </w:r>
      <w:r w:rsidR="006E4A23">
        <w:rPr>
          <w:rFonts w:ascii="Times New Roman" w:hAnsi="Times New Roman" w:cs="Times New Roman"/>
          <w:sz w:val="20"/>
          <w:szCs w:val="20"/>
        </w:rPr>
        <w:t>Teori p</w:t>
      </w:r>
      <w:r w:rsidRPr="00492A61">
        <w:rPr>
          <w:rFonts w:ascii="Times New Roman" w:hAnsi="Times New Roman" w:cs="Times New Roman"/>
          <w:sz w:val="20"/>
          <w:szCs w:val="20"/>
        </w:rPr>
        <w:t>rospek</w:t>
      </w:r>
    </w:p>
    <w:p w:rsidR="009622BE" w:rsidRDefault="009622BE"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E65B81" w:rsidRDefault="00E65B81" w:rsidP="00C51986">
      <w:pPr>
        <w:spacing w:after="0" w:line="240" w:lineRule="auto"/>
        <w:ind w:leftChars="0" w:left="0" w:firstLineChars="0" w:firstLine="0"/>
        <w:jc w:val="both"/>
        <w:rPr>
          <w:rFonts w:ascii="Times New Roman" w:eastAsia="Times New Roman" w:hAnsi="Times New Roman" w:cs="Times New Roman"/>
          <w:sz w:val="24"/>
          <w:szCs w:val="24"/>
        </w:rPr>
      </w:pPr>
    </w:p>
    <w:p w:rsidR="001B133A" w:rsidRDefault="00F16471" w:rsidP="00C51986">
      <w:pPr>
        <w:spacing w:after="0" w:line="240" w:lineRule="auto"/>
        <w:ind w:leftChars="0" w:left="0" w:firstLineChars="0" w:firstLine="0"/>
        <w:jc w:val="both"/>
        <w:rPr>
          <w:rFonts w:ascii="Times New Roman" w:eastAsia="Times New Roman" w:hAnsi="Times New Roman" w:cs="Times New Roman"/>
          <w:sz w:val="24"/>
          <w:szCs w:val="24"/>
        </w:rPr>
      </w:pPr>
      <w:r>
        <w:rPr>
          <w:noProof/>
          <w:lang w:val="en-MY" w:eastAsia="en-MY"/>
        </w:rPr>
        <mc:AlternateContent>
          <mc:Choice Requires="wpc">
            <w:drawing>
              <wp:inline distT="0" distB="0" distL="0" distR="0">
                <wp:extent cx="5953760" cy="1271905"/>
                <wp:effectExtent l="0" t="0" r="8890" b="1661795"/>
                <wp:docPr id="81" name="Canvas 2"/>
                <wp:cNvGraphicFramePr>
                  <a:graphicFrameLocks xmlns:a="http://schemas.openxmlformats.org/drawingml/2006/main"/>
                </wp:cNvGraphicFramePr>
                <a:graphic xmlns:a="http://schemas.openxmlformats.org/drawingml/2006/main">
                  <a:graphicData uri="http://schemas.microsoft.com/office/word/2010/wordprocessingCanvas">
                    <wpc:wpc>
                      <wpc:bg/>
                      <wpc:whole>
                        <a:ln>
                          <a:solidFill>
                            <a:schemeClr val="tx1"/>
                          </a:solidFill>
                        </a:ln>
                      </wpc:whole>
                      <wps:wsp>
                        <wps:cNvPr id="1" name="Text Box 12"/>
                        <wps:cNvSpPr txBox="1"/>
                        <wps:spPr>
                          <a:xfrm>
                            <a:off x="467831" y="1116419"/>
                            <a:ext cx="2105247" cy="882502"/>
                          </a:xfrm>
                          <a:prstGeom prst="rect">
                            <a:avLst/>
                          </a:prstGeom>
                          <a:solidFill>
                            <a:sysClr val="window" lastClr="FFFFFF"/>
                          </a:solidFill>
                          <a:ln w="6350">
                            <a:solidFill>
                              <a:prstClr val="black"/>
                            </a:solidFill>
                          </a:ln>
                        </wps:spPr>
                        <wps:txbx>
                          <w:txbxContent>
                            <w:p w:rsidR="00E65B81" w:rsidRPr="00087940" w:rsidRDefault="00E65B81" w:rsidP="00E65B81">
                              <w:pPr>
                                <w:spacing w:after="0" w:line="240" w:lineRule="auto"/>
                                <w:ind w:left="0" w:hanging="2"/>
                                <w:jc w:val="center"/>
                                <w:rPr>
                                  <w:rFonts w:ascii="Times New Roman" w:hAnsi="Times New Roman" w:cs="Times New Roman"/>
                                  <w:b/>
                                  <w:sz w:val="20"/>
                                  <w:szCs w:val="20"/>
                                  <w:lang w:val="fi-FI"/>
                                </w:rPr>
                              </w:pPr>
                              <w:r w:rsidRPr="00087940">
                                <w:rPr>
                                  <w:rFonts w:ascii="Times New Roman" w:hAnsi="Times New Roman" w:cs="Times New Roman"/>
                                  <w:b/>
                                  <w:sz w:val="20"/>
                                  <w:szCs w:val="20"/>
                                  <w:lang w:val="fi-FI"/>
                                </w:rPr>
                                <w:t>Tingkah laku pengeluaran pra-persaraan skim persaraan individu</w:t>
                              </w:r>
                            </w:p>
                            <w:p w:rsidR="00E65B81" w:rsidRPr="00087940" w:rsidRDefault="00E65B81" w:rsidP="00E65B81">
                              <w:pPr>
                                <w:spacing w:after="0" w:line="240" w:lineRule="auto"/>
                                <w:ind w:leftChars="0" w:left="0" w:firstLineChars="0" w:firstLine="0"/>
                                <w:rPr>
                                  <w:rFonts w:ascii="Times New Roman" w:hAnsi="Times New Roman" w:cs="Times New Roman"/>
                                  <w:sz w:val="20"/>
                                  <w:szCs w:val="20"/>
                                  <w:lang w:val="fi-F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12"/>
                        <wps:cNvSpPr txBox="1"/>
                        <wps:spPr>
                          <a:xfrm>
                            <a:off x="3231545" y="211897"/>
                            <a:ext cx="2105025" cy="882015"/>
                          </a:xfrm>
                          <a:prstGeom prst="rect">
                            <a:avLst/>
                          </a:prstGeom>
                          <a:solidFill>
                            <a:sysClr val="window" lastClr="FFFFFF"/>
                          </a:solidFill>
                          <a:ln w="6350">
                            <a:solidFill>
                              <a:prstClr val="black"/>
                            </a:solidFill>
                          </a:ln>
                        </wps:spPr>
                        <wps:txbx>
                          <w:txbxContent>
                            <w:p w:rsidR="00E65B81" w:rsidRPr="00087940" w:rsidRDefault="00E65B81" w:rsidP="00E65B81">
                              <w:pPr>
                                <w:spacing w:after="0" w:line="240" w:lineRule="auto"/>
                                <w:ind w:left="0" w:right="370" w:hanging="2"/>
                                <w:jc w:val="center"/>
                                <w:rPr>
                                  <w:rFonts w:ascii="Times New Roman" w:eastAsia="Times New Roman" w:hAnsi="Times New Roman" w:cs="Times New Roman"/>
                                  <w:b/>
                                  <w:color w:val="000000"/>
                                  <w:sz w:val="20"/>
                                  <w:lang w:val="fi-FI"/>
                                </w:rPr>
                              </w:pPr>
                              <w:r w:rsidRPr="00087940">
                                <w:rPr>
                                  <w:rFonts w:ascii="Times New Roman" w:eastAsia="Times New Roman" w:hAnsi="Times New Roman" w:cs="Times New Roman"/>
                                  <w:b/>
                                  <w:color w:val="000000"/>
                                  <w:sz w:val="20"/>
                                  <w:lang w:val="fi-FI"/>
                                </w:rPr>
                                <w:t>Pengeluaran pra-persaraan</w:t>
                              </w:r>
                            </w:p>
                            <w:p w:rsidR="00E65B81" w:rsidRPr="00087940" w:rsidRDefault="00E65B81" w:rsidP="00E65B81">
                              <w:pPr>
                                <w:spacing w:after="0" w:line="240" w:lineRule="auto"/>
                                <w:ind w:left="0" w:right="370" w:hanging="2"/>
                                <w:jc w:val="center"/>
                                <w:rPr>
                                  <w:rFonts w:ascii="Times New Roman" w:hAnsi="Times New Roman" w:cs="Times New Roman"/>
                                  <w:lang w:val="fi-FI"/>
                                </w:rPr>
                              </w:pPr>
                              <w:r w:rsidRPr="00087940" w:rsidDel="001C6DC5">
                                <w:rPr>
                                  <w:rFonts w:ascii="Times New Roman" w:eastAsia="Times New Roman" w:hAnsi="Times New Roman" w:cs="Times New Roman"/>
                                  <w:color w:val="000000"/>
                                  <w:sz w:val="20"/>
                                  <w:lang w:val="fi-FI"/>
                                </w:rPr>
                                <w:t xml:space="preserve"> </w:t>
                              </w:r>
                              <w:r w:rsidRPr="00087940">
                                <w:rPr>
                                  <w:rFonts w:ascii="Times New Roman" w:eastAsia="Times New Roman" w:hAnsi="Times New Roman" w:cs="Times New Roman"/>
                                  <w:color w:val="000000"/>
                                  <w:sz w:val="20"/>
                                  <w:lang w:val="fi-FI"/>
                                </w:rPr>
                                <w:t>(Teori Jangkaan-Utiliti)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Text Box 12"/>
                        <wps:cNvSpPr txBox="1"/>
                        <wps:spPr>
                          <a:xfrm>
                            <a:off x="3231545" y="2051330"/>
                            <a:ext cx="2105025" cy="882015"/>
                          </a:xfrm>
                          <a:prstGeom prst="rect">
                            <a:avLst/>
                          </a:prstGeom>
                          <a:solidFill>
                            <a:sysClr val="window" lastClr="FFFFFF"/>
                          </a:solidFill>
                          <a:ln w="6350">
                            <a:solidFill>
                              <a:prstClr val="black"/>
                            </a:solidFill>
                          </a:ln>
                        </wps:spPr>
                        <wps:txbx>
                          <w:txbxContent>
                            <w:p w:rsidR="00E65B81" w:rsidRPr="00087940" w:rsidRDefault="00E65B81" w:rsidP="00E65B81">
                              <w:pPr>
                                <w:spacing w:after="0" w:line="240" w:lineRule="auto"/>
                                <w:ind w:left="0" w:right="370" w:hanging="2"/>
                                <w:jc w:val="center"/>
                                <w:rPr>
                                  <w:rFonts w:ascii="Times New Roman" w:eastAsia="Times New Roman" w:hAnsi="Times New Roman" w:cs="Times New Roman"/>
                                  <w:b/>
                                  <w:color w:val="000000"/>
                                  <w:sz w:val="20"/>
                                  <w:lang w:val="fi-FI"/>
                                </w:rPr>
                              </w:pPr>
                              <w:r w:rsidRPr="00087940">
                                <w:rPr>
                                  <w:rFonts w:ascii="Times New Roman" w:eastAsia="Times New Roman" w:hAnsi="Times New Roman" w:cs="Times New Roman"/>
                                  <w:b/>
                                  <w:color w:val="000000"/>
                                  <w:sz w:val="20"/>
                                  <w:lang w:val="fi-FI"/>
                                </w:rPr>
                                <w:t>Terus kekal skim KWSP</w:t>
                              </w:r>
                            </w:p>
                            <w:p w:rsidR="00E65B81" w:rsidRPr="00087940" w:rsidRDefault="00E65B81" w:rsidP="00E65B81">
                              <w:pPr>
                                <w:spacing w:after="0" w:line="240" w:lineRule="auto"/>
                                <w:ind w:left="0" w:right="370" w:hanging="2"/>
                                <w:jc w:val="center"/>
                                <w:rPr>
                                  <w:rFonts w:ascii="Times New Roman" w:hAnsi="Times New Roman" w:cs="Times New Roman"/>
                                  <w:lang w:val="fi-FI"/>
                                </w:rPr>
                              </w:pPr>
                              <w:r w:rsidRPr="00087940" w:rsidDel="001C6DC5">
                                <w:rPr>
                                  <w:rFonts w:ascii="Times New Roman" w:eastAsia="Times New Roman" w:hAnsi="Times New Roman" w:cs="Times New Roman"/>
                                  <w:color w:val="000000"/>
                                  <w:sz w:val="20"/>
                                  <w:lang w:val="fi-FI"/>
                                </w:rPr>
                                <w:t xml:space="preserve"> </w:t>
                              </w:r>
                              <w:r w:rsidRPr="00087940">
                                <w:rPr>
                                  <w:rFonts w:ascii="Times New Roman" w:eastAsia="Times New Roman" w:hAnsi="Times New Roman" w:cs="Times New Roman"/>
                                  <w:color w:val="000000"/>
                                  <w:sz w:val="20"/>
                                  <w:lang w:val="fi-FI"/>
                                </w:rPr>
                                <w:t>(Teori Prospek)</w:t>
                              </w:r>
                            </w:p>
                            <w:p w:rsidR="00E65B81" w:rsidRPr="00087940" w:rsidRDefault="00E65B81" w:rsidP="00E65B81">
                              <w:pPr>
                                <w:pStyle w:val="NormalWeb"/>
                                <w:spacing w:before="0" w:beforeAutospacing="0" w:after="0" w:afterAutospacing="0" w:line="276" w:lineRule="auto"/>
                                <w:ind w:right="374"/>
                                <w:rPr>
                                  <w:lang w:val="fi-FI"/>
                                </w:rPr>
                              </w:pPr>
                            </w:p>
                            <w:p w:rsidR="00E65B81" w:rsidRPr="00087940" w:rsidRDefault="00E65B81" w:rsidP="00E65B81">
                              <w:pPr>
                                <w:ind w:left="0" w:hanging="2"/>
                                <w:rPr>
                                  <w:lang w:val="fi-F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Straight Arrow Connector 17"/>
                        <wps:cNvCnPr/>
                        <wps:spPr>
                          <a:xfrm flipV="1">
                            <a:off x="2573078" y="652905"/>
                            <a:ext cx="658467" cy="90476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wps:wsp>
                        <wps:cNvPr id="5" name="Straight Arrow Connector 29"/>
                        <wps:cNvCnPr/>
                        <wps:spPr>
                          <a:xfrm>
                            <a:off x="2573078" y="1557670"/>
                            <a:ext cx="658467" cy="934668"/>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wpc:wpc>
                  </a:graphicData>
                </a:graphic>
              </wp:inline>
            </w:drawing>
          </mc:Choice>
          <mc:Fallback>
            <w:pict>
              <v:group id="Canvas 2" o:spid="_x0000_s1038" editas="canvas" style="width:468.8pt;height:100.15pt;mso-position-horizontal-relative:char;mso-position-vertical-relative:line" coordsize="59537,1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59537;height:12719;visibility:visible;mso-wrap-style:square" stroked="t" strokecolor="black [3213]">
                  <v:fill o:detectmouseclick="t"/>
                  <v:path o:connecttype="none"/>
                </v:shape>
                <v:shapetype id="_x0000_t202" coordsize="21600,21600" o:spt="202" path="m,l,21600r21600,l21600,xe">
                  <v:stroke joinstyle="miter"/>
                  <v:path gradientshapeok="t" o:connecttype="rect"/>
                </v:shapetype>
                <v:shape id="Text Box 12" o:spid="_x0000_s1040" type="#_x0000_t202" style="position:absolute;left:4678;top:11164;width:21052;height:8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" fillcolor="window" strokeweight=".5pt">
                  <v:textbox>
                    <w:txbxContent>
                      <w:p w:rsidR="00E65B81" w:rsidRPr="00087940" w:rsidRDefault="00E65B81" w:rsidP="00E65B81">
                        <w:pPr>
                          <w:spacing w:after="0" w:line="240" w:lineRule="auto"/>
                          <w:ind w:left="0" w:hanging="2"/>
                          <w:jc w:val="center"/>
                          <w:rPr>
                            <w:rFonts w:ascii="Times New Roman" w:hAnsi="Times New Roman" w:cs="Times New Roman"/>
                            <w:b/>
                            <w:sz w:val="20"/>
                            <w:szCs w:val="20"/>
                            <w:lang w:val="fi-FI"/>
                          </w:rPr>
                        </w:pPr>
                        <w:r w:rsidRPr="00087940">
                          <w:rPr>
                            <w:rFonts w:ascii="Times New Roman" w:hAnsi="Times New Roman" w:cs="Times New Roman"/>
                            <w:b/>
                            <w:sz w:val="20"/>
                            <w:szCs w:val="20"/>
                            <w:lang w:val="fi-FI"/>
                          </w:rPr>
                          <w:t>Tingkah laku pengeluaran pra-persaraan skim persaraan individu</w:t>
                        </w:r>
                      </w:p>
                      <w:p w:rsidR="00E65B81" w:rsidRPr="00087940" w:rsidRDefault="00E65B81" w:rsidP="00E65B81">
                        <w:pPr>
                          <w:spacing w:after="0" w:line="240" w:lineRule="auto"/>
                          <w:ind w:leftChars="0" w:left="0" w:firstLineChars="0" w:firstLine="0"/>
                          <w:rPr>
                            <w:rFonts w:ascii="Times New Roman" w:hAnsi="Times New Roman" w:cs="Times New Roman"/>
                            <w:sz w:val="20"/>
                            <w:szCs w:val="20"/>
                            <w:lang w:val="fi-FI"/>
                          </w:rPr>
                        </w:pPr>
                      </w:p>
                    </w:txbxContent>
                  </v:textbox>
                </v:shape>
                <v:shape id="Text Box 12" o:spid="_x0000_s1041" type="#_x0000_t202" style="position:absolute;left:32315;top:2118;width:21050;height:8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" fillcolor="window" strokeweight=".5pt">
                  <v:textbox>
                    <w:txbxContent>
                      <w:p w:rsidR="00E65B81" w:rsidRPr="00087940" w:rsidRDefault="00E65B81" w:rsidP="00E65B81">
                        <w:pPr>
                          <w:spacing w:after="0" w:line="240" w:lineRule="auto"/>
                          <w:ind w:left="0" w:right="370" w:hanging="2"/>
                          <w:jc w:val="center"/>
                          <w:rPr>
                            <w:rFonts w:ascii="Times New Roman" w:eastAsia="Times New Roman" w:hAnsi="Times New Roman" w:cs="Times New Roman"/>
                            <w:b/>
                            <w:color w:val="000000"/>
                            <w:sz w:val="20"/>
                            <w:lang w:val="fi-FI"/>
                          </w:rPr>
                        </w:pPr>
                        <w:r w:rsidRPr="00087940">
                          <w:rPr>
                            <w:rFonts w:ascii="Times New Roman" w:eastAsia="Times New Roman" w:hAnsi="Times New Roman" w:cs="Times New Roman"/>
                            <w:b/>
                            <w:color w:val="000000"/>
                            <w:sz w:val="20"/>
                            <w:lang w:val="fi-FI"/>
                          </w:rPr>
                          <w:t>Pengeluaran pra-persaraan</w:t>
                        </w:r>
                      </w:p>
                      <w:p w:rsidR="00E65B81" w:rsidRPr="00087940" w:rsidRDefault="00E65B81" w:rsidP="00E65B81">
                        <w:pPr>
                          <w:spacing w:after="0" w:line="240" w:lineRule="auto"/>
                          <w:ind w:left="0" w:right="370" w:hanging="2"/>
                          <w:jc w:val="center"/>
                          <w:rPr>
                            <w:rFonts w:ascii="Times New Roman" w:hAnsi="Times New Roman" w:cs="Times New Roman"/>
                            <w:lang w:val="fi-FI"/>
                          </w:rPr>
                        </w:pPr>
                        <w:r w:rsidRPr="00087940" w:rsidDel="001C6DC5">
                          <w:rPr>
                            <w:rFonts w:ascii="Times New Roman" w:eastAsia="Times New Roman" w:hAnsi="Times New Roman" w:cs="Times New Roman"/>
                            <w:color w:val="000000"/>
                            <w:sz w:val="20"/>
                            <w:lang w:val="fi-FI"/>
                          </w:rPr>
                          <w:t xml:space="preserve"> </w:t>
                        </w:r>
                        <w:r w:rsidRPr="00087940">
                          <w:rPr>
                            <w:rFonts w:ascii="Times New Roman" w:eastAsia="Times New Roman" w:hAnsi="Times New Roman" w:cs="Times New Roman"/>
                            <w:color w:val="000000"/>
                            <w:sz w:val="20"/>
                            <w:lang w:val="fi-FI"/>
                          </w:rPr>
                          <w:t>(Teori Jangkaan-Utiliti)</w:t>
                        </w:r>
                      </w:p>
                    </w:txbxContent>
                  </v:textbox>
                </v:shape>
                <v:shape id="Text Box 12" o:spid="_x0000_s1042" type="#_x0000_t202" style="position:absolute;left:32315;top:20513;width:21050;height:8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qdxwQAAANoAAAAPAAAAZHJzL2Rvd25yZXYueG1sRI9BawIx&#10;FITvhf6H8ArearYW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GPap3HBAAAA2gAAAA8AAAAA&#10;AAAAAAAAAAAABwIAAGRycy9kb3ducmV2LnhtbFBLBQYAAAAAAwADALcAAAD1AgAAAAA=&#10;" fillcolor="window" strokeweight=".5pt">
                  <v:textbox>
                    <w:txbxContent>
                      <w:p w:rsidR="00E65B81" w:rsidRPr="00087940" w:rsidRDefault="00E65B81" w:rsidP="00E65B81">
                        <w:pPr>
                          <w:spacing w:after="0" w:line="240" w:lineRule="auto"/>
                          <w:ind w:left="0" w:right="370" w:hanging="2"/>
                          <w:jc w:val="center"/>
                          <w:rPr>
                            <w:rFonts w:ascii="Times New Roman" w:eastAsia="Times New Roman" w:hAnsi="Times New Roman" w:cs="Times New Roman"/>
                            <w:b/>
                            <w:color w:val="000000"/>
                            <w:sz w:val="20"/>
                            <w:lang w:val="fi-FI"/>
                          </w:rPr>
                        </w:pPr>
                        <w:r w:rsidRPr="00087940">
                          <w:rPr>
                            <w:rFonts w:ascii="Times New Roman" w:eastAsia="Times New Roman" w:hAnsi="Times New Roman" w:cs="Times New Roman"/>
                            <w:b/>
                            <w:color w:val="000000"/>
                            <w:sz w:val="20"/>
                            <w:lang w:val="fi-FI"/>
                          </w:rPr>
                          <w:t>Terus kekal skim KWSP</w:t>
                        </w:r>
                      </w:p>
                      <w:p w:rsidR="00E65B81" w:rsidRPr="00087940" w:rsidRDefault="00E65B81" w:rsidP="00E65B81">
                        <w:pPr>
                          <w:spacing w:after="0" w:line="240" w:lineRule="auto"/>
                          <w:ind w:left="0" w:right="370" w:hanging="2"/>
                          <w:jc w:val="center"/>
                          <w:rPr>
                            <w:rFonts w:ascii="Times New Roman" w:hAnsi="Times New Roman" w:cs="Times New Roman"/>
                            <w:lang w:val="fi-FI"/>
                          </w:rPr>
                        </w:pPr>
                        <w:r w:rsidRPr="00087940" w:rsidDel="001C6DC5">
                          <w:rPr>
                            <w:rFonts w:ascii="Times New Roman" w:eastAsia="Times New Roman" w:hAnsi="Times New Roman" w:cs="Times New Roman"/>
                            <w:color w:val="000000"/>
                            <w:sz w:val="20"/>
                            <w:lang w:val="fi-FI"/>
                          </w:rPr>
                          <w:t xml:space="preserve"> </w:t>
                        </w:r>
                        <w:r w:rsidRPr="00087940">
                          <w:rPr>
                            <w:rFonts w:ascii="Times New Roman" w:eastAsia="Times New Roman" w:hAnsi="Times New Roman" w:cs="Times New Roman"/>
                            <w:color w:val="000000"/>
                            <w:sz w:val="20"/>
                            <w:lang w:val="fi-FI"/>
                          </w:rPr>
                          <w:t>(Teori Prospek)</w:t>
                        </w:r>
                      </w:p>
                      <w:p w:rsidR="00E65B81" w:rsidRPr="00087940" w:rsidRDefault="00E65B81" w:rsidP="00E65B81">
                        <w:pPr>
                          <w:pStyle w:val="NormalWeb"/>
                          <w:spacing w:before="0" w:beforeAutospacing="0" w:after="0" w:afterAutospacing="0" w:line="276" w:lineRule="auto"/>
                          <w:ind w:right="374"/>
                          <w:rPr>
                            <w:lang w:val="fi-FI"/>
                          </w:rPr>
                        </w:pPr>
                      </w:p>
                      <w:p w:rsidR="00E65B81" w:rsidRPr="00087940" w:rsidRDefault="00E65B81" w:rsidP="00E65B81">
                        <w:pPr>
                          <w:ind w:left="0" w:hanging="2"/>
                          <w:rPr>
                            <w:lang w:val="fi-FI"/>
                          </w:rPr>
                        </w:pPr>
                      </w:p>
                    </w:txbxContent>
                  </v:textbox>
                </v:shape>
                <v:shape id="Straight Arrow Connector 17" o:spid="_x0000_s1043" type="#_x0000_t32" style="position:absolute;left:25730;top:6529;width:6585;height:90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" strokecolor="windowText" strokeweight="2pt">
                  <v:stroke endarrow="block"/>
                  <v:shadow on="t" color="black" opacity="24903f" origin=",.5" offset="0,.55556mm"/>
                </v:shape>
                <v:shape id="Straight Arrow Connector 29" o:spid="_x0000_s1044" type="#_x0000_t32" style="position:absolute;left:25730;top:15576;width:6585;height:9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" strokecolor="windowText" strokeweight="2pt">
                  <v:stroke endarrow="block"/>
                  <v:shadow on="t" color="black" opacity="24903f" origin=",.5" offset="0,.55556mm"/>
                </v:shape>
                <w10:anchorlock/>
              </v:group>
            </w:pict>
          </mc:Fallback>
        </mc:AlternateContent>
      </w:r>
    </w:p>
    <w:p w:rsidR="009622BE" w:rsidRDefault="009622BE" w:rsidP="00C51986">
      <w:pPr>
        <w:spacing w:after="0" w:line="240" w:lineRule="auto"/>
        <w:ind w:leftChars="0" w:left="2" w:hanging="2"/>
        <w:jc w:val="both"/>
        <w:rPr>
          <w:rFonts w:ascii="Times New Roman" w:eastAsia="Times New Roman" w:hAnsi="Times New Roman" w:cs="Times New Roman"/>
          <w:sz w:val="24"/>
          <w:szCs w:val="24"/>
        </w:rPr>
      </w:pPr>
    </w:p>
    <w:p w:rsidR="009622BE" w:rsidRPr="005A0BAB" w:rsidRDefault="009622BE"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5A0BAB">
        <w:rPr>
          <w:rFonts w:ascii="Times New Roman" w:hAnsi="Times New Roman" w:cs="Times New Roman"/>
          <w:b/>
          <w:sz w:val="20"/>
          <w:szCs w:val="20"/>
        </w:rPr>
        <w:t>Rajah</w:t>
      </w:r>
      <w:r>
        <w:rPr>
          <w:rFonts w:ascii="Times New Roman" w:hAnsi="Times New Roman" w:cs="Times New Roman"/>
          <w:b/>
          <w:sz w:val="20"/>
          <w:szCs w:val="20"/>
        </w:rPr>
        <w:t xml:space="preserve"> 2</w:t>
      </w:r>
      <w:r w:rsidR="00492A61">
        <w:rPr>
          <w:rFonts w:ascii="Times New Roman" w:hAnsi="Times New Roman" w:cs="Times New Roman"/>
          <w:b/>
          <w:sz w:val="20"/>
          <w:szCs w:val="20"/>
        </w:rPr>
        <w:t>.</w:t>
      </w:r>
      <w:r w:rsidRPr="005A0BAB">
        <w:rPr>
          <w:rFonts w:ascii="Times New Roman" w:hAnsi="Times New Roman" w:cs="Times New Roman"/>
          <w:b/>
          <w:sz w:val="20"/>
          <w:szCs w:val="20"/>
        </w:rPr>
        <w:t xml:space="preserve"> </w:t>
      </w:r>
      <w:r w:rsidR="001C6DC5" w:rsidRPr="00492A61">
        <w:rPr>
          <w:rFonts w:ascii="Times New Roman" w:hAnsi="Times New Roman" w:cs="Times New Roman"/>
          <w:sz w:val="20"/>
          <w:szCs w:val="20"/>
        </w:rPr>
        <w:t>Kerangka kajian</w:t>
      </w:r>
    </w:p>
    <w:p w:rsidR="002B2403" w:rsidRDefault="002B2403"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492A61" w:rsidRDefault="00492A61"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2B2403" w:rsidRPr="00087940" w:rsidRDefault="002B2403"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087940">
        <w:rPr>
          <w:rFonts w:ascii="Times New Roman" w:eastAsia="Times New Roman" w:hAnsi="Times New Roman" w:cs="Times New Roman"/>
          <w:b/>
          <w:color w:val="000000"/>
          <w:sz w:val="24"/>
          <w:szCs w:val="24"/>
        </w:rPr>
        <w:t xml:space="preserve">Metodologi </w:t>
      </w:r>
    </w:p>
    <w:p w:rsidR="00C25964" w:rsidRDefault="00C25964"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2B2403" w:rsidRPr="00087940" w:rsidRDefault="002B2403"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r>
        <w:rPr>
          <w:rFonts w:ascii="Times New Roman" w:eastAsia="Times New Roman" w:hAnsi="Times New Roman" w:cs="Times New Roman"/>
          <w:color w:val="000000"/>
          <w:sz w:val="24"/>
          <w:szCs w:val="24"/>
        </w:rPr>
        <w:t xml:space="preserve">Objektif kajian ini mengkaji tingkah laku perancangan kewangan sewaktu pandemik dalam konteks skim persaraan. Untuk mencapai objektif, kajian ini menggunakan </w:t>
      </w:r>
      <w:r w:rsidR="00AA185E">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ata sekunder</w:t>
      </w:r>
      <w:r w:rsidR="00AA185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daripada kesusteraan ilmiah, laman web</w:t>
      </w:r>
      <w:r w:rsidR="00C25964">
        <w:rPr>
          <w:rFonts w:ascii="Times New Roman" w:eastAsia="Times New Roman" w:hAnsi="Times New Roman" w:cs="Times New Roman"/>
          <w:color w:val="000000"/>
          <w:sz w:val="24"/>
          <w:szCs w:val="24"/>
        </w:rPr>
        <w:t xml:space="preserve"> dan dokumen-dokumen pihak yang berkaitan. Dapatan kajian dibahagi </w:t>
      </w:r>
      <w:r w:rsidR="00AA185E">
        <w:rPr>
          <w:rFonts w:ascii="Times New Roman" w:eastAsia="Times New Roman" w:hAnsi="Times New Roman" w:cs="Times New Roman"/>
          <w:color w:val="000000"/>
          <w:sz w:val="24"/>
          <w:szCs w:val="24"/>
        </w:rPr>
        <w:t>kepada</w:t>
      </w:r>
      <w:r w:rsidR="00AA185E" w:rsidRPr="00D80923">
        <w:rPr>
          <w:rFonts w:ascii="Times New Roman" w:eastAsia="Times New Roman" w:hAnsi="Times New Roman" w:cs="Times New Roman"/>
          <w:color w:val="000000"/>
          <w:sz w:val="24"/>
          <w:szCs w:val="24"/>
        </w:rPr>
        <w:t xml:space="preserve"> </w:t>
      </w:r>
      <w:r w:rsidR="00AA185E">
        <w:rPr>
          <w:rFonts w:ascii="Times New Roman" w:eastAsia="Times New Roman" w:hAnsi="Times New Roman" w:cs="Times New Roman"/>
          <w:color w:val="000000"/>
          <w:sz w:val="24"/>
          <w:szCs w:val="24"/>
        </w:rPr>
        <w:t>dua</w:t>
      </w:r>
      <w:r w:rsidR="00AA185E" w:rsidRPr="00D80923">
        <w:rPr>
          <w:rFonts w:ascii="Times New Roman" w:eastAsia="Times New Roman" w:hAnsi="Times New Roman" w:cs="Times New Roman"/>
          <w:color w:val="000000"/>
          <w:sz w:val="24"/>
          <w:szCs w:val="24"/>
        </w:rPr>
        <w:t xml:space="preserve"> bahagian</w:t>
      </w:r>
      <w:r w:rsidR="00AA185E">
        <w:rPr>
          <w:rFonts w:ascii="Times New Roman" w:eastAsia="Times New Roman" w:hAnsi="Times New Roman" w:cs="Times New Roman"/>
          <w:color w:val="000000"/>
          <w:sz w:val="24"/>
          <w:szCs w:val="24"/>
        </w:rPr>
        <w:t>, iaitu Kerangka Persaraan Lima-Tunggak Bank Dunia</w:t>
      </w:r>
      <w:r w:rsidR="00AA185E" w:rsidRPr="00D80923">
        <w:rPr>
          <w:rFonts w:ascii="Times New Roman" w:eastAsia="Times New Roman" w:hAnsi="Times New Roman" w:cs="Times New Roman"/>
          <w:color w:val="000000"/>
          <w:sz w:val="24"/>
          <w:szCs w:val="24"/>
        </w:rPr>
        <w:t xml:space="preserve"> </w:t>
      </w:r>
      <w:r w:rsidR="00AA185E">
        <w:rPr>
          <w:rFonts w:ascii="Times New Roman" w:eastAsia="Times New Roman" w:hAnsi="Times New Roman" w:cs="Times New Roman"/>
          <w:color w:val="000000"/>
          <w:sz w:val="24"/>
          <w:szCs w:val="24"/>
        </w:rPr>
        <w:t>dengan</w:t>
      </w:r>
      <w:r w:rsidR="00AA185E" w:rsidRPr="00D80923">
        <w:rPr>
          <w:rFonts w:ascii="Times New Roman" w:eastAsia="Times New Roman" w:hAnsi="Times New Roman" w:cs="Times New Roman"/>
          <w:color w:val="000000"/>
          <w:sz w:val="24"/>
          <w:szCs w:val="24"/>
        </w:rPr>
        <w:t xml:space="preserve"> isu warga tua dalam </w:t>
      </w:r>
      <w:r w:rsidR="00AA185E">
        <w:rPr>
          <w:rFonts w:ascii="Times New Roman" w:eastAsia="Times New Roman" w:hAnsi="Times New Roman" w:cs="Times New Roman"/>
          <w:color w:val="000000"/>
          <w:sz w:val="24"/>
          <w:szCs w:val="24"/>
        </w:rPr>
        <w:t>konteks negara</w:t>
      </w:r>
      <w:r w:rsidR="00AA185E" w:rsidRPr="00D80923">
        <w:rPr>
          <w:rFonts w:ascii="Times New Roman" w:eastAsia="Times New Roman" w:hAnsi="Times New Roman" w:cs="Times New Roman"/>
          <w:color w:val="000000"/>
          <w:sz w:val="24"/>
          <w:szCs w:val="24"/>
        </w:rPr>
        <w:t xml:space="preserve"> Malaysia, </w:t>
      </w:r>
      <w:r w:rsidR="00AA185E">
        <w:rPr>
          <w:rFonts w:ascii="Times New Roman" w:eastAsia="Times New Roman" w:hAnsi="Times New Roman" w:cs="Times New Roman"/>
          <w:color w:val="000000"/>
          <w:sz w:val="24"/>
          <w:szCs w:val="24"/>
        </w:rPr>
        <w:t xml:space="preserve">dan </w:t>
      </w:r>
      <w:r w:rsidR="00AA185E" w:rsidRPr="00D80923">
        <w:rPr>
          <w:rFonts w:ascii="Times New Roman" w:eastAsia="Times New Roman" w:hAnsi="Times New Roman" w:cs="Times New Roman"/>
          <w:color w:val="000000"/>
          <w:sz w:val="24"/>
          <w:szCs w:val="24"/>
        </w:rPr>
        <w:t>kesan</w:t>
      </w:r>
      <w:r w:rsidR="00AA185E">
        <w:rPr>
          <w:rFonts w:ascii="Times New Roman" w:eastAsia="Times New Roman" w:hAnsi="Times New Roman" w:cs="Times New Roman"/>
          <w:color w:val="000000"/>
          <w:sz w:val="24"/>
          <w:szCs w:val="24"/>
        </w:rPr>
        <w:t xml:space="preserve"> pandemik krisis</w:t>
      </w:r>
      <w:r w:rsidR="00AA185E" w:rsidRPr="00D80923">
        <w:rPr>
          <w:rFonts w:ascii="Times New Roman" w:eastAsia="Times New Roman" w:hAnsi="Times New Roman" w:cs="Times New Roman"/>
          <w:color w:val="000000"/>
          <w:sz w:val="24"/>
          <w:szCs w:val="24"/>
        </w:rPr>
        <w:t xml:space="preserve"> COVID-19 ke atas pengeluaran skim KWSP. </w:t>
      </w:r>
      <w:r w:rsidR="00AA185E" w:rsidRPr="00087940">
        <w:rPr>
          <w:rFonts w:ascii="Times New Roman" w:eastAsia="Times New Roman" w:hAnsi="Times New Roman" w:cs="Times New Roman"/>
          <w:color w:val="000000"/>
          <w:sz w:val="24"/>
          <w:szCs w:val="24"/>
          <w:lang w:val="fi-FI"/>
        </w:rPr>
        <w:t xml:space="preserve">Pertama, perbincangan skim kerangka persaraan dan signifikasi dalam konteks perancangan kewangan. Kedua, menentukan pengeluaran pra-persaraan individu yang </w:t>
      </w:r>
      <w:r w:rsidR="00AA185E" w:rsidRPr="00087940">
        <w:rPr>
          <w:rFonts w:ascii="Times New Roman" w:eastAsia="Times New Roman" w:hAnsi="Times New Roman" w:cs="Times New Roman"/>
          <w:color w:val="000000"/>
          <w:sz w:val="24"/>
          <w:szCs w:val="24"/>
          <w:lang w:val="fi-FI"/>
        </w:rPr>
        <w:lastRenderedPageBreak/>
        <w:t>berbentuk perancangan kewangan sewaktu pendemik krisis COVID-19</w:t>
      </w:r>
      <w:r w:rsidR="00D22792" w:rsidRPr="00087940">
        <w:rPr>
          <w:rFonts w:ascii="Times New Roman" w:eastAsia="Times New Roman" w:hAnsi="Times New Roman" w:cs="Times New Roman"/>
          <w:color w:val="000000"/>
          <w:sz w:val="24"/>
          <w:szCs w:val="24"/>
          <w:lang w:val="fi-FI"/>
        </w:rPr>
        <w:t xml:space="preserve"> dan tingkah laku kewangan</w:t>
      </w:r>
      <w:r w:rsidR="00AA185E" w:rsidRPr="00087940">
        <w:rPr>
          <w:rFonts w:ascii="Times New Roman" w:eastAsia="Times New Roman" w:hAnsi="Times New Roman" w:cs="Times New Roman"/>
          <w:color w:val="000000"/>
          <w:sz w:val="24"/>
          <w:szCs w:val="24"/>
          <w:lang w:val="fi-FI"/>
        </w:rPr>
        <w:t>, di mana ianya mampu meringankan beban hidup harian. Kajian mendapati teori-teori tingkah laku kewangan menunjukkan signifikasi kebolehgunaan dalam tingkah laku perancangan kewangan sewaktu pandemik krisis COVID-19.</w:t>
      </w:r>
    </w:p>
    <w:p w:rsidR="002B2403" w:rsidRDefault="002B2403"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p>
    <w:p w:rsidR="00567DEA" w:rsidRPr="00087940" w:rsidRDefault="00567DEA"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p>
    <w:p w:rsidR="00192502" w:rsidRPr="00492A61" w:rsidRDefault="0019250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fi-FI"/>
        </w:rPr>
      </w:pPr>
      <w:r w:rsidRPr="00492A61">
        <w:rPr>
          <w:rFonts w:ascii="Times New Roman" w:eastAsia="Times New Roman" w:hAnsi="Times New Roman" w:cs="Times New Roman"/>
          <w:b/>
          <w:color w:val="000000"/>
          <w:sz w:val="24"/>
          <w:szCs w:val="24"/>
          <w:lang w:val="fi-FI"/>
        </w:rPr>
        <w:t xml:space="preserve">Kerangka </w:t>
      </w:r>
      <w:r w:rsidR="00567DEA" w:rsidRPr="00492A61">
        <w:rPr>
          <w:rFonts w:ascii="Times New Roman" w:eastAsia="Times New Roman" w:hAnsi="Times New Roman" w:cs="Times New Roman"/>
          <w:b/>
          <w:color w:val="000000"/>
          <w:sz w:val="24"/>
          <w:szCs w:val="24"/>
          <w:lang w:val="fi-FI"/>
        </w:rPr>
        <w:t>persaraan lima-tunggak bank dunia</w:t>
      </w:r>
    </w:p>
    <w:p w:rsidR="00303078" w:rsidRPr="00087940" w:rsidRDefault="0016729F"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r w:rsidRPr="00087940">
        <w:rPr>
          <w:rFonts w:ascii="Times New Roman" w:eastAsia="Times New Roman" w:hAnsi="Times New Roman" w:cs="Times New Roman"/>
          <w:b/>
          <w:color w:val="000000"/>
          <w:sz w:val="24"/>
          <w:szCs w:val="24"/>
          <w:lang w:val="fi-FI"/>
        </w:rPr>
        <w:t xml:space="preserve"> </w:t>
      </w:r>
    </w:p>
    <w:p w:rsidR="00303078" w:rsidRPr="00087940" w:rsidRDefault="004E4194"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r w:rsidRPr="00087940">
        <w:rPr>
          <w:rFonts w:ascii="Times New Roman" w:eastAsia="Times New Roman" w:hAnsi="Times New Roman" w:cs="Times New Roman"/>
          <w:color w:val="000000"/>
          <w:sz w:val="24"/>
          <w:szCs w:val="24"/>
          <w:lang w:val="fi-FI"/>
        </w:rPr>
        <w:t>Pada tahun 2005, Bank Dunia telah memperkenalkan Kerangka Persaraan Pelbagai Tunggak Bank Dunia yang berhasrat mengatasi isu perlindungan sosial yang berlaku di dalam sesebuah negara (Jadual 1).</w:t>
      </w:r>
      <w:r w:rsidR="00832510" w:rsidRPr="00087940">
        <w:rPr>
          <w:rFonts w:ascii="Times New Roman" w:eastAsia="Times New Roman" w:hAnsi="Times New Roman" w:cs="Times New Roman"/>
          <w:color w:val="000000"/>
          <w:sz w:val="24"/>
          <w:szCs w:val="24"/>
          <w:lang w:val="fi-FI"/>
        </w:rPr>
        <w:t xml:space="preserve"> K</w:t>
      </w:r>
      <w:r w:rsidRPr="00087940">
        <w:rPr>
          <w:rFonts w:ascii="Times New Roman" w:eastAsia="Times New Roman" w:hAnsi="Times New Roman" w:cs="Times New Roman"/>
          <w:color w:val="000000"/>
          <w:sz w:val="24"/>
          <w:szCs w:val="24"/>
          <w:lang w:val="fi-FI"/>
        </w:rPr>
        <w:t xml:space="preserve">erangka ini mengandungi lima tunggak, bermula dari Tunggak 0 </w:t>
      </w:r>
      <w:r w:rsidR="00BE30E8" w:rsidRPr="00087940">
        <w:rPr>
          <w:rFonts w:ascii="Times New Roman" w:eastAsia="Times New Roman" w:hAnsi="Times New Roman" w:cs="Times New Roman"/>
          <w:color w:val="000000"/>
          <w:sz w:val="24"/>
          <w:szCs w:val="24"/>
          <w:lang w:val="fi-FI"/>
        </w:rPr>
        <w:t>sehingga</w:t>
      </w:r>
      <w:r w:rsidRPr="00087940">
        <w:rPr>
          <w:rFonts w:ascii="Times New Roman" w:eastAsia="Times New Roman" w:hAnsi="Times New Roman" w:cs="Times New Roman"/>
          <w:color w:val="000000"/>
          <w:sz w:val="24"/>
          <w:szCs w:val="24"/>
          <w:lang w:val="fi-FI"/>
        </w:rPr>
        <w:t xml:space="preserve"> Tunggak 4. Di </w:t>
      </w:r>
      <w:r w:rsidR="00BE30E8" w:rsidRPr="00087940">
        <w:rPr>
          <w:rFonts w:ascii="Times New Roman" w:eastAsia="Times New Roman" w:hAnsi="Times New Roman" w:cs="Times New Roman"/>
          <w:color w:val="000000"/>
          <w:sz w:val="24"/>
          <w:szCs w:val="24"/>
          <w:lang w:val="fi-FI"/>
        </w:rPr>
        <w:t>Malaysia,</w:t>
      </w:r>
      <w:r w:rsidRPr="00087940">
        <w:rPr>
          <w:rFonts w:ascii="Times New Roman" w:eastAsia="Times New Roman" w:hAnsi="Times New Roman" w:cs="Times New Roman"/>
          <w:color w:val="000000"/>
          <w:sz w:val="24"/>
          <w:szCs w:val="24"/>
          <w:lang w:val="fi-FI"/>
        </w:rPr>
        <w:t xml:space="preserve"> pengenalan Skim Persaraan Swasta (PRS) </w:t>
      </w:r>
      <w:r w:rsidR="00BE30E8" w:rsidRPr="00087940">
        <w:rPr>
          <w:rFonts w:ascii="Times New Roman" w:eastAsia="Times New Roman" w:hAnsi="Times New Roman" w:cs="Times New Roman"/>
          <w:color w:val="000000"/>
          <w:sz w:val="24"/>
          <w:szCs w:val="24"/>
          <w:lang w:val="fi-FI"/>
        </w:rPr>
        <w:t>pada tahun 2012 membuktikan</w:t>
      </w:r>
      <w:r w:rsidRPr="00087940">
        <w:rPr>
          <w:rFonts w:ascii="Times New Roman" w:eastAsia="Times New Roman" w:hAnsi="Times New Roman" w:cs="Times New Roman"/>
          <w:color w:val="000000"/>
          <w:sz w:val="24"/>
          <w:szCs w:val="24"/>
          <w:lang w:val="fi-FI"/>
        </w:rPr>
        <w:t xml:space="preserve"> </w:t>
      </w:r>
      <w:r w:rsidR="001245B7" w:rsidRPr="00087940">
        <w:rPr>
          <w:rFonts w:ascii="Times New Roman" w:eastAsia="Times New Roman" w:hAnsi="Times New Roman" w:cs="Times New Roman"/>
          <w:color w:val="000000"/>
          <w:sz w:val="24"/>
          <w:szCs w:val="24"/>
          <w:lang w:val="fi-FI"/>
        </w:rPr>
        <w:t>pencapaian</w:t>
      </w:r>
      <w:r w:rsidRPr="00087940">
        <w:rPr>
          <w:rFonts w:ascii="Times New Roman" w:eastAsia="Times New Roman" w:hAnsi="Times New Roman" w:cs="Times New Roman"/>
          <w:color w:val="000000"/>
          <w:sz w:val="24"/>
          <w:szCs w:val="24"/>
          <w:lang w:val="fi-FI"/>
        </w:rPr>
        <w:t xml:space="preserve"> </w:t>
      </w:r>
      <w:r w:rsidR="00BE30E8" w:rsidRPr="00087940">
        <w:rPr>
          <w:rFonts w:ascii="Times New Roman" w:eastAsia="Times New Roman" w:hAnsi="Times New Roman" w:cs="Times New Roman"/>
          <w:color w:val="000000"/>
          <w:sz w:val="24"/>
          <w:szCs w:val="24"/>
          <w:lang w:val="fi-FI"/>
        </w:rPr>
        <w:t xml:space="preserve">ke tahap </w:t>
      </w:r>
      <w:r w:rsidRPr="00087940">
        <w:rPr>
          <w:rFonts w:ascii="Times New Roman" w:eastAsia="Times New Roman" w:hAnsi="Times New Roman" w:cs="Times New Roman"/>
          <w:color w:val="000000"/>
          <w:sz w:val="24"/>
          <w:szCs w:val="24"/>
          <w:lang w:val="fi-FI"/>
        </w:rPr>
        <w:t>Tunggak 3. Di antara skim-skim persaraan di Malaysia, skim KWSP didapati mampu memainkan peranan dalam perancangan kewangan individu. Ini disebabkan kelonggaran dalam pengeluaran dana pra-persaraan skim KWSP yang diperkenalkan dari semasa to semasa (Cagamas</w:t>
      </w:r>
      <w:r w:rsidR="00AE4D9F" w:rsidRPr="00087940">
        <w:rPr>
          <w:rFonts w:ascii="Times New Roman" w:eastAsia="Times New Roman" w:hAnsi="Times New Roman" w:cs="Times New Roman"/>
          <w:color w:val="000000"/>
          <w:sz w:val="24"/>
          <w:szCs w:val="24"/>
          <w:lang w:val="fi-FI"/>
        </w:rPr>
        <w:t>,</w:t>
      </w:r>
      <w:r w:rsidRPr="00087940">
        <w:rPr>
          <w:rFonts w:ascii="Times New Roman" w:eastAsia="Times New Roman" w:hAnsi="Times New Roman" w:cs="Times New Roman"/>
          <w:color w:val="000000"/>
          <w:sz w:val="24"/>
          <w:szCs w:val="24"/>
          <w:lang w:val="fi-FI"/>
        </w:rPr>
        <w:t xml:space="preserve"> 2013; Khoong</w:t>
      </w:r>
      <w:r w:rsidR="00AE4D9F" w:rsidRPr="00087940">
        <w:rPr>
          <w:rFonts w:ascii="Times New Roman" w:eastAsia="Times New Roman" w:hAnsi="Times New Roman" w:cs="Times New Roman"/>
          <w:color w:val="000000"/>
          <w:sz w:val="24"/>
          <w:szCs w:val="24"/>
          <w:lang w:val="fi-FI"/>
        </w:rPr>
        <w:t>,</w:t>
      </w:r>
      <w:r w:rsidRPr="00087940">
        <w:rPr>
          <w:rFonts w:ascii="Times New Roman" w:eastAsia="Times New Roman" w:hAnsi="Times New Roman" w:cs="Times New Roman"/>
          <w:color w:val="000000"/>
          <w:sz w:val="24"/>
          <w:szCs w:val="24"/>
          <w:lang w:val="fi-FI"/>
        </w:rPr>
        <w:t xml:space="preserve"> 201</w:t>
      </w:r>
      <w:r w:rsidR="00BC7FF5" w:rsidRPr="00087940">
        <w:rPr>
          <w:rFonts w:ascii="Times New Roman" w:eastAsia="Times New Roman" w:hAnsi="Times New Roman" w:cs="Times New Roman"/>
          <w:color w:val="000000"/>
          <w:sz w:val="24"/>
          <w:szCs w:val="24"/>
          <w:lang w:val="fi-FI"/>
        </w:rPr>
        <w:t>5</w:t>
      </w:r>
      <w:r w:rsidR="00AE4D9F" w:rsidRPr="00087940">
        <w:rPr>
          <w:rFonts w:ascii="Times New Roman" w:eastAsia="Times New Roman" w:hAnsi="Times New Roman" w:cs="Times New Roman"/>
          <w:color w:val="000000"/>
          <w:sz w:val="24"/>
          <w:szCs w:val="24"/>
          <w:lang w:val="fi-FI"/>
        </w:rPr>
        <w:t xml:space="preserve">; </w:t>
      </w:r>
      <w:r w:rsidR="00AE4D9F" w:rsidRPr="00087940">
        <w:rPr>
          <w:rFonts w:ascii="Times New Roman" w:eastAsia="Times New Roman" w:hAnsi="Times New Roman" w:cs="Times New Roman"/>
          <w:sz w:val="24"/>
          <w:szCs w:val="24"/>
          <w:lang w:val="fi-FI"/>
        </w:rPr>
        <w:t>Laporan Tahunan KWSP</w:t>
      </w:r>
      <w:r w:rsidR="00567DEA">
        <w:rPr>
          <w:rFonts w:ascii="Times New Roman" w:eastAsia="Times New Roman" w:hAnsi="Times New Roman" w:cs="Times New Roman"/>
          <w:sz w:val="24"/>
          <w:szCs w:val="24"/>
          <w:lang w:val="fi-FI"/>
        </w:rPr>
        <w:t>,</w:t>
      </w:r>
      <w:r w:rsidR="00AE4D9F" w:rsidRPr="00087940">
        <w:rPr>
          <w:rFonts w:ascii="Times New Roman" w:eastAsia="Times New Roman" w:hAnsi="Times New Roman" w:cs="Times New Roman"/>
          <w:sz w:val="24"/>
          <w:szCs w:val="24"/>
          <w:lang w:val="fi-FI"/>
        </w:rPr>
        <w:t xml:space="preserve"> 2021</w:t>
      </w:r>
      <w:r w:rsidRPr="00087940">
        <w:rPr>
          <w:rFonts w:ascii="Times New Roman" w:eastAsia="Times New Roman" w:hAnsi="Times New Roman" w:cs="Times New Roman"/>
          <w:color w:val="000000"/>
          <w:sz w:val="24"/>
          <w:szCs w:val="24"/>
          <w:lang w:val="fi-FI"/>
        </w:rPr>
        <w:t xml:space="preserve">). </w:t>
      </w:r>
    </w:p>
    <w:p w:rsidR="00CB0CF8" w:rsidRPr="00087940" w:rsidRDefault="00CB0CF8"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p>
    <w:p w:rsidR="004E4194" w:rsidRDefault="004E4194"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4E4194">
        <w:rPr>
          <w:rFonts w:ascii="Times New Roman" w:eastAsia="Times New Roman" w:hAnsi="Times New Roman" w:cs="Times New Roman"/>
          <w:b/>
          <w:color w:val="000000"/>
          <w:sz w:val="20"/>
          <w:szCs w:val="20"/>
        </w:rPr>
        <w:t>Jadual 1</w:t>
      </w:r>
      <w:r w:rsidR="00492A61">
        <w:rPr>
          <w:rFonts w:ascii="Times New Roman" w:eastAsia="Times New Roman" w:hAnsi="Times New Roman" w:cs="Times New Roman"/>
          <w:b/>
          <w:color w:val="000000"/>
          <w:sz w:val="20"/>
          <w:szCs w:val="20"/>
        </w:rPr>
        <w:t>.</w:t>
      </w:r>
      <w:r w:rsidRPr="004E4194">
        <w:rPr>
          <w:rFonts w:ascii="Times New Roman" w:eastAsia="Times New Roman" w:hAnsi="Times New Roman" w:cs="Times New Roman"/>
          <w:b/>
          <w:color w:val="000000"/>
          <w:sz w:val="20"/>
          <w:szCs w:val="20"/>
        </w:rPr>
        <w:t xml:space="preserve"> </w:t>
      </w:r>
      <w:r w:rsidRPr="004E4194">
        <w:rPr>
          <w:rFonts w:ascii="Times New Roman" w:eastAsia="Times New Roman" w:hAnsi="Times New Roman" w:cs="Times New Roman"/>
          <w:color w:val="000000"/>
          <w:sz w:val="20"/>
          <w:szCs w:val="20"/>
        </w:rPr>
        <w:t xml:space="preserve">Sistem </w:t>
      </w:r>
      <w:r w:rsidR="00567DEA" w:rsidRPr="004E4194">
        <w:rPr>
          <w:rFonts w:ascii="Times New Roman" w:eastAsia="Times New Roman" w:hAnsi="Times New Roman" w:cs="Times New Roman"/>
          <w:color w:val="000000"/>
          <w:sz w:val="20"/>
          <w:szCs w:val="20"/>
        </w:rPr>
        <w:t>kerangka persaraan pelbagai tunggak bank dunia</w:t>
      </w:r>
    </w:p>
    <w:p w:rsidR="009955C7" w:rsidRPr="004E4194" w:rsidRDefault="009955C7"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bl>
      <w:tblPr>
        <w:tblW w:w="9559" w:type="dxa"/>
        <w:jc w:val="center"/>
        <w:tblLayout w:type="fixed"/>
        <w:tblLook w:val="0000" w:firstRow="0" w:lastRow="0" w:firstColumn="0" w:lastColumn="0" w:noHBand="0" w:noVBand="0"/>
      </w:tblPr>
      <w:tblGrid>
        <w:gridCol w:w="1376"/>
        <w:gridCol w:w="467"/>
        <w:gridCol w:w="3360"/>
        <w:gridCol w:w="1701"/>
        <w:gridCol w:w="2655"/>
      </w:tblGrid>
      <w:tr w:rsidR="001C6B90" w:rsidTr="00396A08">
        <w:trPr>
          <w:trHeight w:val="275"/>
          <w:jc w:val="center"/>
        </w:trPr>
        <w:tc>
          <w:tcPr>
            <w:tcW w:w="1376" w:type="dxa"/>
            <w:tcBorders>
              <w:top w:val="single" w:sz="4" w:space="0" w:color="000000"/>
              <w:bottom w:val="single" w:sz="4" w:space="0" w:color="000000"/>
            </w:tcBorders>
            <w:shd w:val="clear" w:color="auto" w:fill="BDD6EE"/>
          </w:tcPr>
          <w:p w:rsidR="001C6B90" w:rsidRPr="00B44B7D" w:rsidRDefault="001C6B90"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bookmarkStart w:id="1" w:name="_Hlk121892868"/>
            <w:r w:rsidRPr="00B44B7D">
              <w:rPr>
                <w:rFonts w:ascii="Times New Roman" w:hAnsi="Times New Roman" w:cs="Times New Roman"/>
                <w:b/>
                <w:sz w:val="20"/>
                <w:szCs w:val="20"/>
              </w:rPr>
              <w:t>Tunggak</w:t>
            </w:r>
          </w:p>
        </w:tc>
        <w:tc>
          <w:tcPr>
            <w:tcW w:w="3827" w:type="dxa"/>
            <w:gridSpan w:val="2"/>
            <w:tcBorders>
              <w:top w:val="single" w:sz="4" w:space="0" w:color="000000"/>
              <w:bottom w:val="single" w:sz="4" w:space="0" w:color="000000"/>
            </w:tcBorders>
            <w:shd w:val="clear" w:color="auto" w:fill="BDD6EE"/>
          </w:tcPr>
          <w:p w:rsidR="001C6B90" w:rsidRPr="00B44B7D" w:rsidRDefault="001C6B90"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sidRPr="00B44B7D">
              <w:rPr>
                <w:rFonts w:ascii="Times New Roman" w:hAnsi="Times New Roman" w:cs="Times New Roman"/>
                <w:b/>
                <w:sz w:val="20"/>
                <w:szCs w:val="20"/>
              </w:rPr>
              <w:t>Penjelasan</w:t>
            </w:r>
          </w:p>
        </w:tc>
        <w:tc>
          <w:tcPr>
            <w:tcW w:w="1701" w:type="dxa"/>
            <w:tcBorders>
              <w:top w:val="single" w:sz="4" w:space="0" w:color="000000"/>
              <w:bottom w:val="single" w:sz="4" w:space="0" w:color="000000"/>
            </w:tcBorders>
            <w:shd w:val="clear" w:color="auto" w:fill="BDD6EE"/>
          </w:tcPr>
          <w:p w:rsidR="001C6B90" w:rsidRPr="00B44B7D" w:rsidRDefault="001C6B90"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sidRPr="00B44B7D">
              <w:rPr>
                <w:rFonts w:ascii="Times New Roman" w:hAnsi="Times New Roman" w:cs="Times New Roman"/>
                <w:b/>
                <w:sz w:val="20"/>
                <w:szCs w:val="20"/>
              </w:rPr>
              <w:t xml:space="preserve">Pihak yang terlibat </w:t>
            </w:r>
          </w:p>
        </w:tc>
        <w:tc>
          <w:tcPr>
            <w:tcW w:w="2655" w:type="dxa"/>
            <w:tcBorders>
              <w:top w:val="single" w:sz="4" w:space="0" w:color="000000"/>
              <w:bottom w:val="single" w:sz="4" w:space="0" w:color="000000"/>
            </w:tcBorders>
            <w:shd w:val="clear" w:color="auto" w:fill="BDD6EE"/>
          </w:tcPr>
          <w:p w:rsidR="001C6B90" w:rsidRPr="00B44B7D" w:rsidRDefault="001C6B90"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sidRPr="00B44B7D">
              <w:rPr>
                <w:rFonts w:ascii="Times New Roman" w:hAnsi="Times New Roman" w:cs="Times New Roman"/>
                <w:b/>
                <w:sz w:val="20"/>
                <w:szCs w:val="20"/>
              </w:rPr>
              <w:t>Program-program di Malaysia</w:t>
            </w:r>
          </w:p>
        </w:tc>
      </w:tr>
      <w:tr w:rsidR="001C6B90" w:rsidTr="001C6B90">
        <w:trPr>
          <w:trHeight w:val="296"/>
          <w:jc w:val="center"/>
        </w:trPr>
        <w:tc>
          <w:tcPr>
            <w:tcW w:w="1376" w:type="dxa"/>
            <w:tcBorders>
              <w:top w:val="single" w:sz="4" w:space="0" w:color="000000"/>
              <w:bottom w:val="single" w:sz="4" w:space="0" w:color="000000"/>
            </w:tcBorders>
            <w:shd w:val="clear" w:color="auto" w:fill="auto"/>
          </w:tcPr>
          <w:p w:rsidR="001C6B90" w:rsidRPr="00B44B7D" w:rsidRDefault="001C6B90" w:rsidP="00C51986">
            <w:pPr>
              <w:pBdr>
                <w:top w:val="nil"/>
                <w:left w:val="nil"/>
                <w:bottom w:val="nil"/>
                <w:right w:val="nil"/>
                <w:between w:val="nil"/>
              </w:pBdr>
              <w:spacing w:after="0" w:line="240" w:lineRule="auto"/>
              <w:ind w:leftChars="0" w:left="2" w:hanging="2"/>
              <w:jc w:val="center"/>
              <w:rPr>
                <w:rFonts w:ascii="Times New Roman" w:hAnsi="Times New Roman" w:cs="Times New Roman"/>
                <w:sz w:val="20"/>
                <w:szCs w:val="20"/>
              </w:rPr>
            </w:pPr>
            <w:r w:rsidRPr="00B44B7D">
              <w:rPr>
                <w:rFonts w:ascii="Times New Roman" w:hAnsi="Times New Roman" w:cs="Times New Roman"/>
                <w:sz w:val="20"/>
                <w:szCs w:val="20"/>
              </w:rPr>
              <w:t>Tunggak 0</w:t>
            </w:r>
          </w:p>
          <w:p w:rsidR="001C6B90" w:rsidRPr="00B44B7D" w:rsidRDefault="001C6B90"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p>
        </w:tc>
        <w:tc>
          <w:tcPr>
            <w:tcW w:w="3827" w:type="dxa"/>
            <w:gridSpan w:val="2"/>
            <w:tcBorders>
              <w:top w:val="single" w:sz="4" w:space="0" w:color="000000"/>
              <w:bottom w:val="single" w:sz="4" w:space="0" w:color="000000"/>
            </w:tcBorders>
            <w:shd w:val="clear" w:color="auto" w:fill="auto"/>
          </w:tcPr>
          <w:p w:rsidR="001C6B90" w:rsidRPr="00087940" w:rsidRDefault="001C6B90" w:rsidP="00567D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fi-FI"/>
              </w:rPr>
            </w:pPr>
            <w:r w:rsidRPr="00087940">
              <w:rPr>
                <w:rFonts w:ascii="Times New Roman" w:hAnsi="Times New Roman" w:cs="Times New Roman"/>
                <w:sz w:val="20"/>
                <w:szCs w:val="20"/>
                <w:lang w:val="fi-FI"/>
              </w:rPr>
              <w:t>Bantuan sosial - menyediakan tahap perlindungan minmum</w:t>
            </w:r>
          </w:p>
        </w:tc>
        <w:tc>
          <w:tcPr>
            <w:tcW w:w="1701" w:type="dxa"/>
            <w:tcBorders>
              <w:top w:val="single" w:sz="4" w:space="0" w:color="000000"/>
              <w:bottom w:val="single" w:sz="4" w:space="0" w:color="000000"/>
            </w:tcBorders>
            <w:shd w:val="clear" w:color="auto" w:fill="auto"/>
          </w:tcPr>
          <w:p w:rsidR="001C6B90" w:rsidRPr="00B44B7D" w:rsidRDefault="001C6B90"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B44B7D">
              <w:rPr>
                <w:rFonts w:ascii="Times New Roman" w:hAnsi="Times New Roman" w:cs="Times New Roman"/>
                <w:sz w:val="20"/>
                <w:szCs w:val="20"/>
              </w:rPr>
              <w:t>Kerajaan Pusat</w:t>
            </w:r>
          </w:p>
        </w:tc>
        <w:tc>
          <w:tcPr>
            <w:tcW w:w="2655" w:type="dxa"/>
            <w:tcBorders>
              <w:top w:val="single" w:sz="4" w:space="0" w:color="000000"/>
              <w:bottom w:val="single" w:sz="4" w:space="0" w:color="000000"/>
            </w:tcBorders>
            <w:shd w:val="clear" w:color="auto" w:fill="auto"/>
          </w:tcPr>
          <w:p w:rsidR="001C6B90" w:rsidRPr="00B44B7D" w:rsidRDefault="001C6B90"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B44B7D">
              <w:rPr>
                <w:rFonts w:ascii="Times New Roman" w:hAnsi="Times New Roman" w:cs="Times New Roman"/>
                <w:sz w:val="20"/>
                <w:szCs w:val="20"/>
              </w:rPr>
              <w:t>Program peringkat negeri dan negara</w:t>
            </w:r>
          </w:p>
        </w:tc>
      </w:tr>
      <w:tr w:rsidR="001C6B90" w:rsidTr="001C6B90">
        <w:trPr>
          <w:trHeight w:val="296"/>
          <w:jc w:val="center"/>
        </w:trPr>
        <w:tc>
          <w:tcPr>
            <w:tcW w:w="1376" w:type="dxa"/>
            <w:tcBorders>
              <w:top w:val="single" w:sz="4" w:space="0" w:color="000000"/>
              <w:bottom w:val="single" w:sz="4" w:space="0" w:color="000000"/>
            </w:tcBorders>
            <w:shd w:val="clear" w:color="auto" w:fill="auto"/>
          </w:tcPr>
          <w:p w:rsidR="001C6B90" w:rsidRPr="00B44B7D" w:rsidRDefault="001C6B90" w:rsidP="00C51986">
            <w:pPr>
              <w:spacing w:after="0" w:line="240" w:lineRule="auto"/>
              <w:ind w:leftChars="0" w:left="2" w:hanging="2"/>
              <w:jc w:val="center"/>
              <w:rPr>
                <w:rFonts w:ascii="Times New Roman" w:hAnsi="Times New Roman" w:cs="Times New Roman"/>
                <w:sz w:val="20"/>
                <w:szCs w:val="20"/>
              </w:rPr>
            </w:pPr>
            <w:r w:rsidRPr="00B44B7D">
              <w:rPr>
                <w:rFonts w:ascii="Times New Roman" w:hAnsi="Times New Roman" w:cs="Times New Roman"/>
                <w:sz w:val="20"/>
                <w:szCs w:val="20"/>
              </w:rPr>
              <w:t xml:space="preserve">Tunggak 1 </w:t>
            </w:r>
          </w:p>
          <w:p w:rsidR="001C6B90" w:rsidRPr="00B44B7D" w:rsidRDefault="001C6B90" w:rsidP="00C51986">
            <w:pPr>
              <w:spacing w:after="0" w:line="240" w:lineRule="auto"/>
              <w:ind w:leftChars="0" w:left="2" w:hanging="2"/>
              <w:jc w:val="center"/>
              <w:rPr>
                <w:rFonts w:ascii="Times New Roman" w:hAnsi="Times New Roman" w:cs="Times New Roman"/>
                <w:sz w:val="20"/>
                <w:szCs w:val="20"/>
              </w:rPr>
            </w:pPr>
          </w:p>
        </w:tc>
        <w:tc>
          <w:tcPr>
            <w:tcW w:w="3827" w:type="dxa"/>
            <w:gridSpan w:val="2"/>
            <w:tcBorders>
              <w:top w:val="single" w:sz="4" w:space="0" w:color="000000"/>
              <w:bottom w:val="single" w:sz="4" w:space="0" w:color="000000"/>
            </w:tcBorders>
            <w:shd w:val="clear" w:color="auto" w:fill="auto"/>
          </w:tcPr>
          <w:p w:rsidR="001C6B90" w:rsidRPr="00B44B7D" w:rsidRDefault="001C6B90" w:rsidP="00567DEA">
            <w:pPr>
              <w:pBdr>
                <w:top w:val="nil"/>
                <w:left w:val="nil"/>
                <w:bottom w:val="nil"/>
                <w:right w:val="nil"/>
                <w:between w:val="nil"/>
              </w:pBdr>
              <w:spacing w:after="0" w:line="240" w:lineRule="auto"/>
              <w:ind w:leftChars="0" w:left="2" w:hanging="2"/>
              <w:jc w:val="both"/>
              <w:rPr>
                <w:rFonts w:ascii="Times New Roman" w:hAnsi="Times New Roman" w:cs="Times New Roman"/>
                <w:sz w:val="20"/>
                <w:szCs w:val="20"/>
              </w:rPr>
            </w:pPr>
            <w:r w:rsidRPr="00B44B7D">
              <w:rPr>
                <w:rFonts w:ascii="Times New Roman" w:hAnsi="Times New Roman" w:cs="Times New Roman"/>
                <w:sz w:val="20"/>
                <w:szCs w:val="20"/>
              </w:rPr>
              <w:t>Pelan pencen awam wajib</w:t>
            </w:r>
            <w:r>
              <w:rPr>
                <w:rFonts w:ascii="Times New Roman" w:hAnsi="Times New Roman" w:cs="Times New Roman"/>
                <w:sz w:val="20"/>
                <w:szCs w:val="20"/>
              </w:rPr>
              <w:t xml:space="preserve"> -</w:t>
            </w:r>
            <w:r w:rsidRPr="00B44B7D">
              <w:rPr>
                <w:rFonts w:ascii="Times New Roman" w:hAnsi="Times New Roman" w:cs="Times New Roman"/>
                <w:sz w:val="20"/>
                <w:szCs w:val="20"/>
              </w:rPr>
              <w:t xml:space="preserve"> mungkin dibiayai sebahagian</w:t>
            </w:r>
          </w:p>
        </w:tc>
        <w:tc>
          <w:tcPr>
            <w:tcW w:w="1701" w:type="dxa"/>
            <w:tcBorders>
              <w:top w:val="single" w:sz="4" w:space="0" w:color="000000"/>
              <w:bottom w:val="single" w:sz="4" w:space="0" w:color="000000"/>
            </w:tcBorders>
            <w:shd w:val="clear" w:color="auto" w:fill="auto"/>
          </w:tcPr>
          <w:p w:rsidR="001C6B90" w:rsidRPr="00B44B7D" w:rsidRDefault="001C6B90" w:rsidP="00C51986">
            <w:pPr>
              <w:pBdr>
                <w:top w:val="nil"/>
                <w:left w:val="nil"/>
                <w:bottom w:val="nil"/>
                <w:right w:val="nil"/>
                <w:between w:val="nil"/>
              </w:pBdr>
              <w:spacing w:after="0" w:line="240" w:lineRule="auto"/>
              <w:ind w:leftChars="0" w:left="2" w:hanging="2"/>
              <w:jc w:val="center"/>
              <w:rPr>
                <w:rFonts w:ascii="Times New Roman" w:hAnsi="Times New Roman" w:cs="Times New Roman"/>
                <w:sz w:val="20"/>
                <w:szCs w:val="20"/>
              </w:rPr>
            </w:pPr>
            <w:r w:rsidRPr="00B44B7D">
              <w:rPr>
                <w:rFonts w:ascii="Times New Roman" w:hAnsi="Times New Roman" w:cs="Times New Roman"/>
                <w:sz w:val="20"/>
                <w:szCs w:val="20"/>
              </w:rPr>
              <w:t>Mandatori</w:t>
            </w:r>
          </w:p>
        </w:tc>
        <w:tc>
          <w:tcPr>
            <w:tcW w:w="2655" w:type="dxa"/>
            <w:tcBorders>
              <w:top w:val="single" w:sz="4" w:space="0" w:color="000000"/>
              <w:bottom w:val="single" w:sz="4" w:space="0" w:color="000000"/>
            </w:tcBorders>
            <w:shd w:val="clear" w:color="auto" w:fill="auto"/>
          </w:tcPr>
          <w:p w:rsidR="001C6B90" w:rsidRPr="00B44B7D" w:rsidRDefault="001C6B90" w:rsidP="00C51986">
            <w:pPr>
              <w:pBdr>
                <w:top w:val="nil"/>
                <w:left w:val="nil"/>
                <w:bottom w:val="nil"/>
                <w:right w:val="nil"/>
                <w:between w:val="nil"/>
              </w:pBdr>
              <w:spacing w:after="0" w:line="240" w:lineRule="auto"/>
              <w:ind w:leftChars="0" w:left="2" w:hanging="2"/>
              <w:jc w:val="center"/>
              <w:rPr>
                <w:rFonts w:ascii="Times New Roman" w:hAnsi="Times New Roman" w:cs="Times New Roman"/>
                <w:sz w:val="20"/>
                <w:szCs w:val="20"/>
              </w:rPr>
            </w:pPr>
            <w:r w:rsidRPr="00B44B7D">
              <w:rPr>
                <w:rFonts w:ascii="Times New Roman" w:hAnsi="Times New Roman" w:cs="Times New Roman"/>
                <w:sz w:val="20"/>
                <w:szCs w:val="20"/>
              </w:rPr>
              <w:t>KWAP</w:t>
            </w:r>
          </w:p>
        </w:tc>
      </w:tr>
      <w:tr w:rsidR="001C6B90" w:rsidTr="001C6B90">
        <w:trPr>
          <w:trHeight w:val="296"/>
          <w:jc w:val="center"/>
        </w:trPr>
        <w:tc>
          <w:tcPr>
            <w:tcW w:w="1376" w:type="dxa"/>
            <w:tcBorders>
              <w:top w:val="single" w:sz="4" w:space="0" w:color="000000"/>
              <w:bottom w:val="single" w:sz="4" w:space="0" w:color="000000"/>
            </w:tcBorders>
            <w:shd w:val="clear" w:color="auto" w:fill="auto"/>
          </w:tcPr>
          <w:p w:rsidR="001C6B90" w:rsidRPr="00B44B7D" w:rsidRDefault="001C6B90" w:rsidP="00C51986">
            <w:pPr>
              <w:spacing w:after="0" w:line="240" w:lineRule="auto"/>
              <w:ind w:leftChars="0" w:left="2" w:hanging="2"/>
              <w:jc w:val="center"/>
              <w:rPr>
                <w:rFonts w:ascii="Times New Roman" w:hAnsi="Times New Roman" w:cs="Times New Roman"/>
                <w:sz w:val="20"/>
                <w:szCs w:val="20"/>
              </w:rPr>
            </w:pPr>
            <w:r w:rsidRPr="00B44B7D">
              <w:rPr>
                <w:rFonts w:ascii="Times New Roman" w:hAnsi="Times New Roman" w:cs="Times New Roman"/>
                <w:sz w:val="20"/>
                <w:szCs w:val="20"/>
              </w:rPr>
              <w:t xml:space="preserve">Tunggak 2 </w:t>
            </w:r>
          </w:p>
          <w:p w:rsidR="001C6B90" w:rsidRPr="00B44B7D" w:rsidRDefault="001C6B90" w:rsidP="00C51986">
            <w:pPr>
              <w:spacing w:after="0" w:line="240" w:lineRule="auto"/>
              <w:ind w:leftChars="0" w:left="0" w:firstLineChars="0" w:firstLine="0"/>
              <w:rPr>
                <w:rFonts w:ascii="Times New Roman" w:hAnsi="Times New Roman" w:cs="Times New Roman"/>
                <w:sz w:val="20"/>
                <w:szCs w:val="20"/>
              </w:rPr>
            </w:pPr>
          </w:p>
        </w:tc>
        <w:tc>
          <w:tcPr>
            <w:tcW w:w="3827" w:type="dxa"/>
            <w:gridSpan w:val="2"/>
            <w:tcBorders>
              <w:top w:val="single" w:sz="4" w:space="0" w:color="000000"/>
              <w:bottom w:val="single" w:sz="4" w:space="0" w:color="000000"/>
            </w:tcBorders>
            <w:shd w:val="clear" w:color="auto" w:fill="auto"/>
          </w:tcPr>
          <w:p w:rsidR="001C6B90" w:rsidRPr="00087940" w:rsidRDefault="001C6B90" w:rsidP="00567DEA">
            <w:pPr>
              <w:pBdr>
                <w:top w:val="nil"/>
                <w:left w:val="nil"/>
                <w:bottom w:val="nil"/>
                <w:right w:val="nil"/>
                <w:between w:val="nil"/>
              </w:pBdr>
              <w:spacing w:after="0" w:line="240" w:lineRule="auto"/>
              <w:ind w:leftChars="0" w:left="2" w:hanging="2"/>
              <w:jc w:val="both"/>
              <w:rPr>
                <w:rFonts w:ascii="Times New Roman" w:hAnsi="Times New Roman" w:cs="Times New Roman"/>
                <w:sz w:val="20"/>
                <w:szCs w:val="20"/>
                <w:lang w:val="fi-FI"/>
              </w:rPr>
            </w:pPr>
            <w:r w:rsidRPr="00087940">
              <w:rPr>
                <w:rFonts w:ascii="Times New Roman" w:hAnsi="Times New Roman" w:cs="Times New Roman"/>
                <w:sz w:val="20"/>
                <w:szCs w:val="20"/>
                <w:lang w:val="fi-FI"/>
              </w:rPr>
              <w:t>Pelan pencen pekerjaan atau persendirian wajib - dibiayai sepenuhnya</w:t>
            </w:r>
          </w:p>
        </w:tc>
        <w:tc>
          <w:tcPr>
            <w:tcW w:w="1701" w:type="dxa"/>
            <w:tcBorders>
              <w:top w:val="single" w:sz="4" w:space="0" w:color="000000"/>
              <w:bottom w:val="single" w:sz="4" w:space="0" w:color="000000"/>
            </w:tcBorders>
            <w:shd w:val="clear" w:color="auto" w:fill="auto"/>
          </w:tcPr>
          <w:p w:rsidR="001C6B90" w:rsidRPr="00B44B7D" w:rsidRDefault="001C6B90" w:rsidP="00C51986">
            <w:pPr>
              <w:pBdr>
                <w:top w:val="nil"/>
                <w:left w:val="nil"/>
                <w:bottom w:val="nil"/>
                <w:right w:val="nil"/>
                <w:between w:val="nil"/>
              </w:pBdr>
              <w:spacing w:after="0" w:line="240" w:lineRule="auto"/>
              <w:ind w:leftChars="0" w:left="2" w:hanging="2"/>
              <w:jc w:val="center"/>
              <w:rPr>
                <w:rFonts w:ascii="Times New Roman" w:hAnsi="Times New Roman" w:cs="Times New Roman"/>
                <w:sz w:val="20"/>
                <w:szCs w:val="20"/>
              </w:rPr>
            </w:pPr>
            <w:r w:rsidRPr="00B44B7D">
              <w:rPr>
                <w:rFonts w:ascii="Times New Roman" w:hAnsi="Times New Roman" w:cs="Times New Roman"/>
                <w:sz w:val="20"/>
                <w:szCs w:val="20"/>
              </w:rPr>
              <w:t>Mandatori</w:t>
            </w:r>
          </w:p>
        </w:tc>
        <w:tc>
          <w:tcPr>
            <w:tcW w:w="2655" w:type="dxa"/>
            <w:tcBorders>
              <w:top w:val="single" w:sz="4" w:space="0" w:color="000000"/>
              <w:bottom w:val="single" w:sz="4" w:space="0" w:color="000000"/>
            </w:tcBorders>
            <w:shd w:val="clear" w:color="auto" w:fill="auto"/>
          </w:tcPr>
          <w:p w:rsidR="001C6B90" w:rsidRPr="00B44B7D" w:rsidRDefault="001C6B90" w:rsidP="00C51986">
            <w:pPr>
              <w:pBdr>
                <w:top w:val="nil"/>
                <w:left w:val="nil"/>
                <w:bottom w:val="nil"/>
                <w:right w:val="nil"/>
                <w:between w:val="nil"/>
              </w:pBdr>
              <w:spacing w:after="0" w:line="240" w:lineRule="auto"/>
              <w:ind w:leftChars="0" w:left="2" w:hanging="2"/>
              <w:jc w:val="center"/>
              <w:rPr>
                <w:rFonts w:ascii="Times New Roman" w:hAnsi="Times New Roman" w:cs="Times New Roman"/>
                <w:sz w:val="20"/>
                <w:szCs w:val="20"/>
              </w:rPr>
            </w:pPr>
            <w:r w:rsidRPr="00B44B7D">
              <w:rPr>
                <w:rFonts w:ascii="Times New Roman" w:hAnsi="Times New Roman" w:cs="Times New Roman"/>
                <w:sz w:val="20"/>
                <w:szCs w:val="20"/>
              </w:rPr>
              <w:t>KWSP, LTAT, PERKESO</w:t>
            </w:r>
          </w:p>
        </w:tc>
      </w:tr>
      <w:tr w:rsidR="001C6B90" w:rsidTr="001C6B90">
        <w:trPr>
          <w:trHeight w:val="296"/>
          <w:jc w:val="center"/>
        </w:trPr>
        <w:tc>
          <w:tcPr>
            <w:tcW w:w="1376" w:type="dxa"/>
            <w:tcBorders>
              <w:top w:val="single" w:sz="4" w:space="0" w:color="000000"/>
              <w:bottom w:val="single" w:sz="4" w:space="0" w:color="000000"/>
            </w:tcBorders>
            <w:shd w:val="clear" w:color="auto" w:fill="auto"/>
          </w:tcPr>
          <w:p w:rsidR="001C6B90" w:rsidRPr="00B44B7D" w:rsidRDefault="001C6B90" w:rsidP="00C51986">
            <w:pPr>
              <w:spacing w:after="0" w:line="240" w:lineRule="auto"/>
              <w:ind w:leftChars="0" w:left="2" w:hanging="2"/>
              <w:jc w:val="center"/>
              <w:rPr>
                <w:rFonts w:ascii="Times New Roman" w:hAnsi="Times New Roman" w:cs="Times New Roman"/>
                <w:sz w:val="20"/>
                <w:szCs w:val="20"/>
              </w:rPr>
            </w:pPr>
            <w:r w:rsidRPr="00B44B7D">
              <w:rPr>
                <w:rFonts w:ascii="Times New Roman" w:hAnsi="Times New Roman" w:cs="Times New Roman"/>
                <w:sz w:val="20"/>
                <w:szCs w:val="20"/>
              </w:rPr>
              <w:t xml:space="preserve">Tunggak 3 </w:t>
            </w:r>
          </w:p>
          <w:p w:rsidR="001C6B90" w:rsidRPr="00B44B7D" w:rsidRDefault="001C6B90" w:rsidP="00C51986">
            <w:pPr>
              <w:spacing w:after="0" w:line="240" w:lineRule="auto"/>
              <w:ind w:leftChars="0" w:left="2" w:hanging="2"/>
              <w:jc w:val="center"/>
              <w:rPr>
                <w:rFonts w:ascii="Times New Roman" w:hAnsi="Times New Roman" w:cs="Times New Roman"/>
                <w:sz w:val="20"/>
                <w:szCs w:val="20"/>
              </w:rPr>
            </w:pPr>
          </w:p>
        </w:tc>
        <w:tc>
          <w:tcPr>
            <w:tcW w:w="3827" w:type="dxa"/>
            <w:gridSpan w:val="2"/>
            <w:tcBorders>
              <w:top w:val="single" w:sz="4" w:space="0" w:color="000000"/>
              <w:bottom w:val="single" w:sz="4" w:space="0" w:color="000000"/>
            </w:tcBorders>
            <w:shd w:val="clear" w:color="auto" w:fill="auto"/>
          </w:tcPr>
          <w:p w:rsidR="001C6B90" w:rsidRPr="00087940" w:rsidRDefault="001C6B90" w:rsidP="00567DEA">
            <w:pPr>
              <w:pBdr>
                <w:top w:val="nil"/>
                <w:left w:val="nil"/>
                <w:bottom w:val="nil"/>
                <w:right w:val="nil"/>
                <w:between w:val="nil"/>
              </w:pBdr>
              <w:spacing w:after="0" w:line="240" w:lineRule="auto"/>
              <w:ind w:leftChars="0" w:left="2" w:hanging="2"/>
              <w:jc w:val="both"/>
              <w:rPr>
                <w:rFonts w:ascii="Times New Roman" w:hAnsi="Times New Roman" w:cs="Times New Roman"/>
                <w:sz w:val="20"/>
                <w:szCs w:val="20"/>
                <w:lang w:val="fi-FI"/>
              </w:rPr>
            </w:pPr>
            <w:r w:rsidRPr="00087940">
              <w:rPr>
                <w:rFonts w:ascii="Times New Roman" w:hAnsi="Times New Roman" w:cs="Times New Roman"/>
                <w:sz w:val="20"/>
                <w:szCs w:val="20"/>
                <w:lang w:val="fi-FI"/>
              </w:rPr>
              <w:t>Pelan pencen perkerjaan atau persendirian sukarela</w:t>
            </w:r>
          </w:p>
        </w:tc>
        <w:tc>
          <w:tcPr>
            <w:tcW w:w="1701" w:type="dxa"/>
            <w:tcBorders>
              <w:top w:val="single" w:sz="4" w:space="0" w:color="000000"/>
              <w:bottom w:val="single" w:sz="4" w:space="0" w:color="000000"/>
            </w:tcBorders>
            <w:shd w:val="clear" w:color="auto" w:fill="auto"/>
          </w:tcPr>
          <w:p w:rsidR="001C6B90" w:rsidRPr="00B44B7D" w:rsidRDefault="001C6B90" w:rsidP="00C51986">
            <w:pPr>
              <w:pBdr>
                <w:top w:val="nil"/>
                <w:left w:val="nil"/>
                <w:bottom w:val="nil"/>
                <w:right w:val="nil"/>
                <w:between w:val="nil"/>
              </w:pBdr>
              <w:spacing w:after="0" w:line="240" w:lineRule="auto"/>
              <w:ind w:leftChars="0" w:left="2" w:hanging="2"/>
              <w:jc w:val="center"/>
              <w:rPr>
                <w:rFonts w:ascii="Times New Roman" w:hAnsi="Times New Roman" w:cs="Times New Roman"/>
                <w:sz w:val="20"/>
                <w:szCs w:val="20"/>
              </w:rPr>
            </w:pPr>
            <w:r w:rsidRPr="00B44B7D">
              <w:rPr>
                <w:rFonts w:ascii="Times New Roman" w:hAnsi="Times New Roman" w:cs="Times New Roman"/>
                <w:sz w:val="20"/>
                <w:szCs w:val="20"/>
              </w:rPr>
              <w:t>Sukarela</w:t>
            </w:r>
          </w:p>
        </w:tc>
        <w:tc>
          <w:tcPr>
            <w:tcW w:w="2655" w:type="dxa"/>
            <w:tcBorders>
              <w:top w:val="single" w:sz="4" w:space="0" w:color="000000"/>
              <w:bottom w:val="single" w:sz="4" w:space="0" w:color="000000"/>
            </w:tcBorders>
            <w:shd w:val="clear" w:color="auto" w:fill="auto"/>
          </w:tcPr>
          <w:p w:rsidR="001C6B90" w:rsidRPr="00B44B7D" w:rsidRDefault="001C6B90" w:rsidP="00C51986">
            <w:pPr>
              <w:pBdr>
                <w:top w:val="nil"/>
                <w:left w:val="nil"/>
                <w:bottom w:val="nil"/>
                <w:right w:val="nil"/>
                <w:between w:val="nil"/>
              </w:pBdr>
              <w:spacing w:after="0" w:line="240" w:lineRule="auto"/>
              <w:ind w:leftChars="0" w:left="2" w:hanging="2"/>
              <w:jc w:val="center"/>
              <w:rPr>
                <w:rFonts w:ascii="Times New Roman" w:hAnsi="Times New Roman" w:cs="Times New Roman"/>
                <w:sz w:val="20"/>
                <w:szCs w:val="20"/>
              </w:rPr>
            </w:pPr>
            <w:r w:rsidRPr="00B44B7D">
              <w:rPr>
                <w:rFonts w:ascii="Times New Roman" w:hAnsi="Times New Roman" w:cs="Times New Roman"/>
                <w:sz w:val="20"/>
                <w:szCs w:val="20"/>
              </w:rPr>
              <w:t>PRS, bon dan skim simpanan individu, insuran hayat, unit amanah saham</w:t>
            </w:r>
          </w:p>
        </w:tc>
      </w:tr>
      <w:tr w:rsidR="001C6B90" w:rsidRPr="00087940" w:rsidTr="001C6B90">
        <w:trPr>
          <w:trHeight w:val="296"/>
          <w:jc w:val="center"/>
        </w:trPr>
        <w:tc>
          <w:tcPr>
            <w:tcW w:w="1376" w:type="dxa"/>
            <w:tcBorders>
              <w:top w:val="single" w:sz="4" w:space="0" w:color="000000"/>
              <w:bottom w:val="single" w:sz="4" w:space="0" w:color="000000"/>
            </w:tcBorders>
            <w:shd w:val="clear" w:color="auto" w:fill="auto"/>
          </w:tcPr>
          <w:p w:rsidR="001C6B90" w:rsidRPr="00B44B7D" w:rsidRDefault="001C6B90" w:rsidP="00C51986">
            <w:pPr>
              <w:spacing w:after="0" w:line="240" w:lineRule="auto"/>
              <w:ind w:leftChars="0" w:left="2" w:hanging="2"/>
              <w:jc w:val="center"/>
              <w:rPr>
                <w:rFonts w:ascii="Times New Roman" w:hAnsi="Times New Roman" w:cs="Times New Roman"/>
                <w:sz w:val="20"/>
                <w:szCs w:val="20"/>
              </w:rPr>
            </w:pPr>
            <w:r w:rsidRPr="00B44B7D">
              <w:rPr>
                <w:rFonts w:ascii="Times New Roman" w:hAnsi="Times New Roman" w:cs="Times New Roman"/>
                <w:sz w:val="20"/>
                <w:szCs w:val="20"/>
              </w:rPr>
              <w:t xml:space="preserve">Tunggak 4 </w:t>
            </w:r>
          </w:p>
          <w:p w:rsidR="001C6B90" w:rsidRPr="00B44B7D" w:rsidRDefault="001C6B90" w:rsidP="00C51986">
            <w:pPr>
              <w:spacing w:after="0" w:line="240" w:lineRule="auto"/>
              <w:ind w:leftChars="0" w:left="2" w:hanging="2"/>
              <w:jc w:val="center"/>
              <w:rPr>
                <w:rFonts w:ascii="Times New Roman" w:hAnsi="Times New Roman" w:cs="Times New Roman"/>
                <w:sz w:val="20"/>
                <w:szCs w:val="20"/>
              </w:rPr>
            </w:pPr>
          </w:p>
        </w:tc>
        <w:tc>
          <w:tcPr>
            <w:tcW w:w="3827" w:type="dxa"/>
            <w:gridSpan w:val="2"/>
            <w:tcBorders>
              <w:top w:val="single" w:sz="4" w:space="0" w:color="000000"/>
              <w:bottom w:val="single" w:sz="4" w:space="0" w:color="000000"/>
            </w:tcBorders>
            <w:shd w:val="clear" w:color="auto" w:fill="auto"/>
          </w:tcPr>
          <w:p w:rsidR="001C6B90" w:rsidRPr="00B44B7D" w:rsidRDefault="001C6B90" w:rsidP="00567DEA">
            <w:pPr>
              <w:pBdr>
                <w:top w:val="nil"/>
                <w:left w:val="nil"/>
                <w:bottom w:val="nil"/>
                <w:right w:val="nil"/>
                <w:between w:val="nil"/>
              </w:pBdr>
              <w:spacing w:after="0" w:line="240" w:lineRule="auto"/>
              <w:ind w:leftChars="0" w:left="2" w:hanging="2"/>
              <w:jc w:val="both"/>
              <w:rPr>
                <w:rFonts w:ascii="Times New Roman" w:hAnsi="Times New Roman" w:cs="Times New Roman"/>
                <w:sz w:val="20"/>
                <w:szCs w:val="20"/>
              </w:rPr>
            </w:pPr>
            <w:r w:rsidRPr="00B44B7D">
              <w:rPr>
                <w:rFonts w:ascii="Times New Roman" w:hAnsi="Times New Roman" w:cs="Times New Roman"/>
                <w:sz w:val="20"/>
                <w:szCs w:val="20"/>
              </w:rPr>
              <w:t xml:space="preserve">Sokongan </w:t>
            </w:r>
            <w:r>
              <w:rPr>
                <w:rFonts w:ascii="Times New Roman" w:hAnsi="Times New Roman" w:cs="Times New Roman"/>
                <w:sz w:val="20"/>
                <w:szCs w:val="20"/>
              </w:rPr>
              <w:t xml:space="preserve">bukan </w:t>
            </w:r>
            <w:r w:rsidRPr="00B44B7D">
              <w:rPr>
                <w:rFonts w:ascii="Times New Roman" w:hAnsi="Times New Roman" w:cs="Times New Roman"/>
                <w:sz w:val="20"/>
                <w:szCs w:val="20"/>
              </w:rPr>
              <w:t>formal</w:t>
            </w:r>
            <w:r>
              <w:rPr>
                <w:rFonts w:ascii="Times New Roman" w:hAnsi="Times New Roman" w:cs="Times New Roman"/>
                <w:sz w:val="20"/>
                <w:szCs w:val="20"/>
              </w:rPr>
              <w:t xml:space="preserve"> kewangan</w:t>
            </w:r>
            <w:r w:rsidRPr="00B44B7D">
              <w:rPr>
                <w:rFonts w:ascii="Times New Roman" w:hAnsi="Times New Roman" w:cs="Times New Roman"/>
                <w:sz w:val="20"/>
                <w:szCs w:val="20"/>
              </w:rPr>
              <w:t>, program sosial formal lain</w:t>
            </w:r>
            <w:r>
              <w:rPr>
                <w:rFonts w:ascii="Times New Roman" w:hAnsi="Times New Roman" w:cs="Times New Roman"/>
                <w:sz w:val="20"/>
                <w:szCs w:val="20"/>
              </w:rPr>
              <w:t>,</w:t>
            </w:r>
            <w:r w:rsidRPr="00B44B7D">
              <w:rPr>
                <w:rFonts w:ascii="Times New Roman" w:hAnsi="Times New Roman" w:cs="Times New Roman"/>
                <w:sz w:val="20"/>
                <w:szCs w:val="20"/>
              </w:rPr>
              <w:t xml:space="preserve"> dan aset kewangan dan bukan kewangan persendirian lain</w:t>
            </w:r>
          </w:p>
        </w:tc>
        <w:tc>
          <w:tcPr>
            <w:tcW w:w="1701" w:type="dxa"/>
            <w:tcBorders>
              <w:top w:val="single" w:sz="4" w:space="0" w:color="000000"/>
              <w:bottom w:val="single" w:sz="4" w:space="0" w:color="000000"/>
            </w:tcBorders>
            <w:shd w:val="clear" w:color="auto" w:fill="auto"/>
          </w:tcPr>
          <w:p w:rsidR="001C6B90" w:rsidRPr="00B44B7D" w:rsidRDefault="001C6B90" w:rsidP="00C51986">
            <w:pPr>
              <w:pBdr>
                <w:top w:val="nil"/>
                <w:left w:val="nil"/>
                <w:bottom w:val="nil"/>
                <w:right w:val="nil"/>
                <w:between w:val="nil"/>
              </w:pBdr>
              <w:spacing w:after="0" w:line="240" w:lineRule="auto"/>
              <w:ind w:leftChars="0" w:left="2" w:hanging="2"/>
              <w:jc w:val="center"/>
              <w:rPr>
                <w:rFonts w:ascii="Times New Roman" w:hAnsi="Times New Roman" w:cs="Times New Roman"/>
                <w:sz w:val="20"/>
                <w:szCs w:val="20"/>
              </w:rPr>
            </w:pPr>
            <w:r w:rsidRPr="00B44B7D">
              <w:rPr>
                <w:rFonts w:ascii="Times New Roman" w:hAnsi="Times New Roman" w:cs="Times New Roman"/>
                <w:sz w:val="20"/>
                <w:szCs w:val="20"/>
              </w:rPr>
              <w:t>Sukarela</w:t>
            </w:r>
          </w:p>
        </w:tc>
        <w:tc>
          <w:tcPr>
            <w:tcW w:w="2655" w:type="dxa"/>
            <w:tcBorders>
              <w:top w:val="single" w:sz="4" w:space="0" w:color="000000"/>
              <w:bottom w:val="single" w:sz="4" w:space="0" w:color="000000"/>
            </w:tcBorders>
            <w:shd w:val="clear" w:color="auto" w:fill="auto"/>
          </w:tcPr>
          <w:p w:rsidR="001C6B90" w:rsidRPr="00087940" w:rsidRDefault="001C6B90" w:rsidP="00C51986">
            <w:pPr>
              <w:pBdr>
                <w:top w:val="nil"/>
                <w:left w:val="nil"/>
                <w:bottom w:val="nil"/>
                <w:right w:val="nil"/>
                <w:between w:val="nil"/>
              </w:pBdr>
              <w:spacing w:after="0" w:line="240" w:lineRule="auto"/>
              <w:ind w:leftChars="0" w:left="2" w:hanging="2"/>
              <w:jc w:val="center"/>
              <w:rPr>
                <w:rFonts w:ascii="Times New Roman" w:hAnsi="Times New Roman" w:cs="Times New Roman"/>
                <w:sz w:val="20"/>
                <w:szCs w:val="20"/>
                <w:lang w:val="fi-FI"/>
              </w:rPr>
            </w:pPr>
            <w:r w:rsidRPr="00087940">
              <w:rPr>
                <w:rFonts w:ascii="Times New Roman" w:hAnsi="Times New Roman" w:cs="Times New Roman"/>
                <w:sz w:val="20"/>
                <w:szCs w:val="20"/>
                <w:lang w:val="fi-FI"/>
              </w:rPr>
              <w:t>Pemilikan rumah, simpanan sendiri (aset kewangan dan bukan-kewangan)</w:t>
            </w:r>
          </w:p>
        </w:tc>
      </w:tr>
      <w:tr w:rsidR="001C6B90" w:rsidRPr="00492A61" w:rsidTr="00492A61">
        <w:trPr>
          <w:trHeight w:val="110"/>
          <w:jc w:val="center"/>
        </w:trPr>
        <w:tc>
          <w:tcPr>
            <w:tcW w:w="1843" w:type="dxa"/>
            <w:gridSpan w:val="2"/>
            <w:tcBorders>
              <w:top w:val="single" w:sz="4" w:space="0" w:color="000000"/>
              <w:bottom w:val="nil"/>
            </w:tcBorders>
            <w:shd w:val="clear" w:color="auto" w:fill="auto"/>
          </w:tcPr>
          <w:p w:rsidR="001C6B90" w:rsidRPr="00492A61" w:rsidRDefault="001C6B90" w:rsidP="00C51986">
            <w:pPr>
              <w:spacing w:after="0" w:line="240" w:lineRule="auto"/>
              <w:ind w:leftChars="0" w:left="1"/>
              <w:jc w:val="center"/>
              <w:rPr>
                <w:rFonts w:ascii="Times New Roman" w:hAnsi="Times New Roman" w:cs="Times New Roman"/>
                <w:sz w:val="10"/>
                <w:szCs w:val="10"/>
                <w:lang w:val="fi-FI"/>
              </w:rPr>
            </w:pPr>
          </w:p>
        </w:tc>
        <w:tc>
          <w:tcPr>
            <w:tcW w:w="3360" w:type="dxa"/>
            <w:tcBorders>
              <w:top w:val="single" w:sz="4" w:space="0" w:color="000000"/>
              <w:bottom w:val="nil"/>
            </w:tcBorders>
            <w:shd w:val="clear" w:color="auto" w:fill="auto"/>
          </w:tcPr>
          <w:p w:rsidR="001C6B90" w:rsidRPr="00492A61" w:rsidRDefault="001C6B90" w:rsidP="00C51986">
            <w:pPr>
              <w:pBdr>
                <w:top w:val="nil"/>
                <w:left w:val="nil"/>
                <w:bottom w:val="nil"/>
                <w:right w:val="nil"/>
                <w:between w:val="nil"/>
              </w:pBdr>
              <w:spacing w:after="0" w:line="240" w:lineRule="auto"/>
              <w:ind w:leftChars="0" w:left="1"/>
              <w:jc w:val="center"/>
              <w:rPr>
                <w:rFonts w:ascii="Times New Roman" w:hAnsi="Times New Roman" w:cs="Times New Roman"/>
                <w:sz w:val="10"/>
                <w:szCs w:val="10"/>
                <w:lang w:val="fi-FI"/>
              </w:rPr>
            </w:pPr>
          </w:p>
        </w:tc>
        <w:tc>
          <w:tcPr>
            <w:tcW w:w="1701" w:type="dxa"/>
            <w:tcBorders>
              <w:top w:val="single" w:sz="4" w:space="0" w:color="000000"/>
              <w:bottom w:val="nil"/>
            </w:tcBorders>
            <w:shd w:val="clear" w:color="auto" w:fill="auto"/>
          </w:tcPr>
          <w:p w:rsidR="001C6B90" w:rsidRPr="00492A61" w:rsidRDefault="001C6B90" w:rsidP="00C51986">
            <w:pPr>
              <w:pBdr>
                <w:top w:val="nil"/>
                <w:left w:val="nil"/>
                <w:bottom w:val="nil"/>
                <w:right w:val="nil"/>
                <w:between w:val="nil"/>
              </w:pBdr>
              <w:spacing w:after="0" w:line="240" w:lineRule="auto"/>
              <w:ind w:leftChars="0" w:left="1"/>
              <w:jc w:val="center"/>
              <w:rPr>
                <w:rFonts w:ascii="Times New Roman" w:hAnsi="Times New Roman" w:cs="Times New Roman"/>
                <w:sz w:val="10"/>
                <w:szCs w:val="10"/>
                <w:lang w:val="fi-FI"/>
              </w:rPr>
            </w:pPr>
          </w:p>
        </w:tc>
        <w:tc>
          <w:tcPr>
            <w:tcW w:w="2655" w:type="dxa"/>
            <w:tcBorders>
              <w:top w:val="single" w:sz="4" w:space="0" w:color="000000"/>
              <w:bottom w:val="nil"/>
            </w:tcBorders>
            <w:shd w:val="clear" w:color="auto" w:fill="auto"/>
          </w:tcPr>
          <w:p w:rsidR="001C6B90" w:rsidRPr="00492A61" w:rsidRDefault="001C6B90" w:rsidP="00C51986">
            <w:pPr>
              <w:pBdr>
                <w:top w:val="nil"/>
                <w:left w:val="nil"/>
                <w:bottom w:val="nil"/>
                <w:right w:val="nil"/>
                <w:between w:val="nil"/>
              </w:pBdr>
              <w:spacing w:after="0" w:line="240" w:lineRule="auto"/>
              <w:ind w:leftChars="0" w:left="1"/>
              <w:jc w:val="center"/>
              <w:rPr>
                <w:rFonts w:ascii="Times New Roman" w:hAnsi="Times New Roman" w:cs="Times New Roman"/>
                <w:sz w:val="10"/>
                <w:szCs w:val="10"/>
                <w:lang w:val="fi-FI"/>
              </w:rPr>
            </w:pPr>
          </w:p>
        </w:tc>
      </w:tr>
    </w:tbl>
    <w:bookmarkEnd w:id="1"/>
    <w:p w:rsidR="004E4194" w:rsidRPr="00087940" w:rsidRDefault="004E4194" w:rsidP="00C51986">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0"/>
          <w:szCs w:val="20"/>
          <w:lang w:val="fi-FI"/>
        </w:rPr>
      </w:pPr>
      <w:r w:rsidRPr="00087940">
        <w:rPr>
          <w:rFonts w:ascii="Times New Roman" w:eastAsia="Times New Roman" w:hAnsi="Times New Roman" w:cs="Times New Roman"/>
          <w:color w:val="000000"/>
          <w:sz w:val="20"/>
          <w:szCs w:val="20"/>
          <w:lang w:val="fi-FI"/>
        </w:rPr>
        <w:t>Sumber:</w:t>
      </w:r>
      <w:r w:rsidR="00EA10E2" w:rsidRPr="00087940">
        <w:rPr>
          <w:rFonts w:ascii="Times New Roman" w:eastAsia="Times New Roman" w:hAnsi="Times New Roman" w:cs="Times New Roman"/>
          <w:color w:val="000000"/>
          <w:sz w:val="20"/>
          <w:szCs w:val="20"/>
          <w:lang w:val="fi-FI"/>
        </w:rPr>
        <w:t xml:space="preserve"> Laporan Tahunan KWAP, 2019</w:t>
      </w:r>
      <w:r w:rsidR="007C020C" w:rsidRPr="00087940">
        <w:rPr>
          <w:rFonts w:ascii="Times New Roman" w:eastAsia="Times New Roman" w:hAnsi="Times New Roman" w:cs="Times New Roman"/>
          <w:color w:val="000000"/>
          <w:sz w:val="20"/>
          <w:szCs w:val="20"/>
          <w:lang w:val="fi-FI"/>
        </w:rPr>
        <w:t>; Laporan Tahunan KWSP</w:t>
      </w:r>
      <w:r w:rsidR="00567DEA">
        <w:rPr>
          <w:rFonts w:ascii="Times New Roman" w:eastAsia="Times New Roman" w:hAnsi="Times New Roman" w:cs="Times New Roman"/>
          <w:color w:val="000000"/>
          <w:sz w:val="20"/>
          <w:szCs w:val="20"/>
          <w:lang w:val="fi-FI"/>
        </w:rPr>
        <w:t>, 2021</w:t>
      </w:r>
      <w:r w:rsidR="007C020C" w:rsidRPr="00087940">
        <w:rPr>
          <w:rFonts w:ascii="Times New Roman" w:eastAsia="Times New Roman" w:hAnsi="Times New Roman" w:cs="Times New Roman"/>
          <w:color w:val="000000"/>
          <w:sz w:val="20"/>
          <w:szCs w:val="20"/>
          <w:lang w:val="fi-FI"/>
        </w:rPr>
        <w:t xml:space="preserve"> dan PRS, 2021</w:t>
      </w:r>
    </w:p>
    <w:p w:rsidR="00905595" w:rsidRDefault="00905595"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p>
    <w:p w:rsidR="00492A61" w:rsidRPr="00087940" w:rsidRDefault="00492A61" w:rsidP="00C519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fi-FI"/>
        </w:rPr>
      </w:pPr>
      <w:r w:rsidRPr="009955C7">
        <w:rPr>
          <w:rFonts w:ascii="Times New Roman" w:eastAsia="Times New Roman" w:hAnsi="Times New Roman" w:cs="Times New Roman"/>
          <w:color w:val="000000"/>
          <w:sz w:val="24"/>
          <w:szCs w:val="24"/>
        </w:rPr>
        <w:t>Di Malaysia, dua jenis skim persaraan yang terlibat ialah skim pencen (</w:t>
      </w:r>
      <w:r w:rsidRPr="00567DEA">
        <w:rPr>
          <w:rFonts w:ascii="Times New Roman" w:eastAsia="Times New Roman" w:hAnsi="Times New Roman" w:cs="Times New Roman"/>
          <w:i/>
          <w:color w:val="000000"/>
          <w:sz w:val="24"/>
          <w:szCs w:val="24"/>
        </w:rPr>
        <w:t>pension scheme</w:t>
      </w:r>
      <w:r w:rsidRPr="009955C7">
        <w:rPr>
          <w:rFonts w:ascii="Times New Roman" w:eastAsia="Times New Roman" w:hAnsi="Times New Roman" w:cs="Times New Roman"/>
          <w:color w:val="000000"/>
          <w:sz w:val="24"/>
          <w:szCs w:val="24"/>
        </w:rPr>
        <w:t>) dan skim simpanan dana (</w:t>
      </w:r>
      <w:r w:rsidRPr="00567DEA">
        <w:rPr>
          <w:rFonts w:ascii="Times New Roman" w:eastAsia="Times New Roman" w:hAnsi="Times New Roman" w:cs="Times New Roman"/>
          <w:i/>
          <w:color w:val="000000"/>
          <w:sz w:val="24"/>
          <w:szCs w:val="24"/>
        </w:rPr>
        <w:t>provident fund</w:t>
      </w:r>
      <w:r w:rsidRPr="009955C7">
        <w:rPr>
          <w:rFonts w:ascii="Times New Roman" w:eastAsia="Times New Roman" w:hAnsi="Times New Roman" w:cs="Times New Roman"/>
          <w:color w:val="000000"/>
          <w:sz w:val="24"/>
          <w:szCs w:val="24"/>
        </w:rPr>
        <w:t>) (Jadual 2). Skim pencen merupakan sejenis skim manfaat tetap (</w:t>
      </w:r>
      <w:r w:rsidRPr="00567DEA">
        <w:rPr>
          <w:rFonts w:ascii="Times New Roman" w:eastAsia="Times New Roman" w:hAnsi="Times New Roman" w:cs="Times New Roman"/>
          <w:i/>
          <w:color w:val="000000"/>
          <w:sz w:val="24"/>
          <w:szCs w:val="24"/>
        </w:rPr>
        <w:t>defined benefit</w:t>
      </w:r>
      <w:r w:rsidRPr="009955C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Dengan b</w:t>
      </w:r>
      <w:r w:rsidRPr="009955C7">
        <w:rPr>
          <w:rFonts w:ascii="Times New Roman" w:eastAsia="Times New Roman" w:hAnsi="Times New Roman" w:cs="Times New Roman"/>
          <w:color w:val="000000"/>
          <w:sz w:val="24"/>
          <w:szCs w:val="24"/>
        </w:rPr>
        <w:t xml:space="preserve">erdasarkan </w:t>
      </w:r>
      <w:r>
        <w:rPr>
          <w:rFonts w:ascii="Times New Roman" w:eastAsia="Times New Roman" w:hAnsi="Times New Roman" w:cs="Times New Roman"/>
          <w:color w:val="000000"/>
          <w:sz w:val="24"/>
          <w:szCs w:val="24"/>
        </w:rPr>
        <w:t>t</w:t>
      </w:r>
      <w:r w:rsidRPr="009955C7">
        <w:rPr>
          <w:rFonts w:ascii="Times New Roman" w:eastAsia="Times New Roman" w:hAnsi="Times New Roman" w:cs="Times New Roman"/>
          <w:color w:val="000000"/>
          <w:sz w:val="24"/>
          <w:szCs w:val="24"/>
        </w:rPr>
        <w:t xml:space="preserve">eknik pengiraan yang tertentu, </w:t>
      </w:r>
      <w:r>
        <w:rPr>
          <w:rFonts w:ascii="Times New Roman" w:eastAsia="Times New Roman" w:hAnsi="Times New Roman" w:cs="Times New Roman"/>
          <w:color w:val="000000"/>
          <w:sz w:val="24"/>
          <w:szCs w:val="24"/>
        </w:rPr>
        <w:t xml:space="preserve">di mana </w:t>
      </w:r>
      <w:r w:rsidRPr="009955C7">
        <w:rPr>
          <w:rFonts w:ascii="Times New Roman" w:eastAsia="Times New Roman" w:hAnsi="Times New Roman" w:cs="Times New Roman"/>
          <w:color w:val="000000"/>
          <w:sz w:val="24"/>
          <w:szCs w:val="24"/>
        </w:rPr>
        <w:t xml:space="preserve">bergantung kepada </w:t>
      </w:r>
      <w:r>
        <w:rPr>
          <w:rFonts w:ascii="Times New Roman" w:eastAsia="Times New Roman" w:hAnsi="Times New Roman" w:cs="Times New Roman"/>
          <w:color w:val="000000"/>
          <w:sz w:val="24"/>
          <w:szCs w:val="24"/>
        </w:rPr>
        <w:t xml:space="preserve">faktor </w:t>
      </w:r>
      <w:r w:rsidRPr="009955C7">
        <w:rPr>
          <w:rFonts w:ascii="Times New Roman" w:eastAsia="Times New Roman" w:hAnsi="Times New Roman" w:cs="Times New Roman"/>
          <w:color w:val="000000"/>
          <w:sz w:val="24"/>
          <w:szCs w:val="24"/>
        </w:rPr>
        <w:t>jumlah tahun dalam perkhidmatan, pangkat terakhir dan gaji terakhir yang diterima</w:t>
      </w:r>
      <w:r>
        <w:rPr>
          <w:rFonts w:ascii="Times New Roman" w:eastAsia="Times New Roman" w:hAnsi="Times New Roman" w:cs="Times New Roman"/>
          <w:color w:val="000000"/>
          <w:sz w:val="24"/>
          <w:szCs w:val="24"/>
        </w:rPr>
        <w:t>, a</w:t>
      </w:r>
      <w:r w:rsidRPr="009955C7">
        <w:rPr>
          <w:rFonts w:ascii="Times New Roman" w:eastAsia="Times New Roman" w:hAnsi="Times New Roman" w:cs="Times New Roman"/>
          <w:color w:val="000000"/>
          <w:sz w:val="24"/>
          <w:szCs w:val="24"/>
        </w:rPr>
        <w:t xml:space="preserve">hli-ahli menerima jumlah pencen bulanan selepas bersara. </w:t>
      </w:r>
      <w:r w:rsidRPr="00087940">
        <w:rPr>
          <w:rFonts w:ascii="Times New Roman" w:eastAsia="Times New Roman" w:hAnsi="Times New Roman" w:cs="Times New Roman"/>
          <w:color w:val="000000"/>
          <w:sz w:val="24"/>
          <w:szCs w:val="24"/>
          <w:lang w:val="fi-FI"/>
        </w:rPr>
        <w:t xml:space="preserve">Selain itu, ahli-ahli layak menerima rawatan perubatan percuma oleh pihak hospital kerajaan. Dengan ini, golongan yang menerima skim manfaat tetap, terutamanya kakitangan kerajaan kurang dipengaruhi bebanan kewangan sewaktu persaraan (Mohammed et al., 2018). Dua entiti yang bertanggungjawab mengurus skim pencen, iaitu Jabatan Perkhidmatan Awam (JPA) dan Kumpulan Wang Persaraan (KWAP). Pada awalnya, KWAP ditubuhkan Akta Kumpulan Wang Amanah Pencen 1991 (Akta 454), seterusnya digantikan di bawah Akta Kumpulan Wang Persaraan 2007 (Akta 662). Objektif utama skim KWAP ialah memperolehi optimum pulangan melalui pelaburan dana bagi menghulurkan bantuan pembiayaan liability pencen Pentadbiran Kerajaan Persekutuan. </w:t>
      </w:r>
    </w:p>
    <w:p w:rsidR="00492A61" w:rsidRPr="00087940" w:rsidRDefault="00492A61" w:rsidP="00C519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fi-FI"/>
        </w:rPr>
      </w:pPr>
      <w:r w:rsidRPr="009955C7">
        <w:rPr>
          <w:rFonts w:ascii="Times New Roman" w:eastAsia="Times New Roman" w:hAnsi="Times New Roman" w:cs="Times New Roman"/>
          <w:color w:val="000000"/>
          <w:sz w:val="24"/>
          <w:szCs w:val="24"/>
        </w:rPr>
        <w:lastRenderedPageBreak/>
        <w:t xml:space="preserve">Di sebaliknya, skim simpanan dana merupakan skim pencen berbentuk caruman wajib (defined contribution). </w:t>
      </w:r>
      <w:r w:rsidRPr="00087940">
        <w:rPr>
          <w:rFonts w:ascii="Times New Roman" w:eastAsia="Times New Roman" w:hAnsi="Times New Roman" w:cs="Times New Roman"/>
          <w:color w:val="000000"/>
          <w:sz w:val="24"/>
          <w:szCs w:val="24"/>
          <w:lang w:val="fi-FI"/>
        </w:rPr>
        <w:t xml:space="preserve">Skim ini melibatkan kedua pihak majikan dan pekerja, di mana menyumbang di dalam dana persaraan ahli. Dana ini diuruskan oleh pengurusan entiti yang bertauliah yang bertanggungjawab menjana dividen melalui aktiviti pelaburan entiti. Ahli hanya boleh mengeluarkan dana tersebut selepas bersara. Namun demikian, terdapat pengeluaran pra-pengeluaran yang tertentu untuk tujuan-tujuan tertentu sahaja. Di Malaysia, dua entiti pengurusan pencen skim simpanan dana, iaitu skim LTAT dan KWSP. </w:t>
      </w:r>
    </w:p>
    <w:p w:rsidR="00492A61" w:rsidRPr="00087940" w:rsidRDefault="00492A61" w:rsidP="00C519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fi-FI"/>
        </w:rPr>
      </w:pPr>
      <w:r w:rsidRPr="00087940">
        <w:rPr>
          <w:rFonts w:ascii="Times New Roman" w:eastAsia="Times New Roman" w:hAnsi="Times New Roman" w:cs="Times New Roman"/>
          <w:color w:val="000000"/>
          <w:sz w:val="24"/>
          <w:szCs w:val="24"/>
          <w:lang w:val="fi-FI"/>
        </w:rPr>
        <w:t>Skim LTAT dan skim KWSP memberi kelonggaran pengeluaran pra-persaraan, di mana bertujuan meringankan beban aliran kewangan individu (Laporan Tahunan LTAT</w:t>
      </w:r>
      <w:r w:rsidR="00567DEA">
        <w:rPr>
          <w:rFonts w:ascii="Times New Roman" w:eastAsia="Times New Roman" w:hAnsi="Times New Roman" w:cs="Times New Roman"/>
          <w:color w:val="000000"/>
          <w:sz w:val="24"/>
          <w:szCs w:val="24"/>
          <w:lang w:val="fi-FI"/>
        </w:rPr>
        <w:t>,</w:t>
      </w:r>
      <w:r w:rsidRPr="00087940">
        <w:rPr>
          <w:rFonts w:ascii="Times New Roman" w:eastAsia="Times New Roman" w:hAnsi="Times New Roman" w:cs="Times New Roman"/>
          <w:color w:val="000000"/>
          <w:sz w:val="24"/>
          <w:szCs w:val="24"/>
          <w:lang w:val="fi-FI"/>
        </w:rPr>
        <w:t xml:space="preserve"> 2019; Laporan Tahunan Skim KWSP) untuk mencapai objektif tertentu. Pengeluaran pra-persaraan skim LTAT kurang menarik minat ahlinya kerana mampu menjana kadar pulangan dividen yang lebih tinggi berbanding skim KWSP. Di antara tahun 1991 sehingga 2017, skim LTAT berjaya mencatatkan kadar dividen dividen di antara 7.99 peratus dan 16.00 peratus (Laporan Tahunan LTAT</w:t>
      </w:r>
      <w:r w:rsidR="00567DEA">
        <w:rPr>
          <w:rFonts w:ascii="Times New Roman" w:eastAsia="Times New Roman" w:hAnsi="Times New Roman" w:cs="Times New Roman"/>
          <w:color w:val="000000"/>
          <w:sz w:val="24"/>
          <w:szCs w:val="24"/>
          <w:lang w:val="fi-FI"/>
        </w:rPr>
        <w:t>,</w:t>
      </w:r>
      <w:r w:rsidRPr="00087940">
        <w:rPr>
          <w:rFonts w:ascii="Times New Roman" w:eastAsia="Times New Roman" w:hAnsi="Times New Roman" w:cs="Times New Roman"/>
          <w:color w:val="000000"/>
          <w:sz w:val="24"/>
          <w:szCs w:val="24"/>
          <w:lang w:val="fi-FI"/>
        </w:rPr>
        <w:t xml:space="preserve"> 2019). Ini berbanding skim KWSP hanya mencatatkan kadar dividen di antara 4.25 peratus dan 7.70 peratus pada tempoh yang sama. Kadar dividen KWSP yang kurang menarik ini menyebabkan ahli-ahli membuat pengeluaran pra-persaraan. Tambahan pula, pengeluaran pra-persaraan LTAT hanya terhad kepada pengeluaran untuk membeli rumah, faedah kematian, dan hilang upaya.</w:t>
      </w:r>
    </w:p>
    <w:p w:rsidR="00492A61" w:rsidRPr="00087940" w:rsidRDefault="00492A61"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p>
    <w:p w:rsidR="00905595" w:rsidRDefault="00905595"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4E4194">
        <w:rPr>
          <w:rFonts w:ascii="Times New Roman" w:eastAsia="Times New Roman" w:hAnsi="Times New Roman" w:cs="Times New Roman"/>
          <w:b/>
          <w:color w:val="000000"/>
          <w:sz w:val="20"/>
          <w:szCs w:val="20"/>
        </w:rPr>
        <w:t xml:space="preserve">Jadual </w:t>
      </w:r>
      <w:r>
        <w:rPr>
          <w:rFonts w:ascii="Times New Roman" w:eastAsia="Times New Roman" w:hAnsi="Times New Roman" w:cs="Times New Roman"/>
          <w:b/>
          <w:color w:val="000000"/>
          <w:sz w:val="20"/>
          <w:szCs w:val="20"/>
        </w:rPr>
        <w:t>2</w:t>
      </w:r>
      <w:r w:rsidR="00492A61">
        <w:rPr>
          <w:rFonts w:ascii="Times New Roman" w:eastAsia="Times New Roman" w:hAnsi="Times New Roman" w:cs="Times New Roman"/>
          <w:b/>
          <w:color w:val="000000"/>
          <w:sz w:val="20"/>
          <w:szCs w:val="20"/>
        </w:rPr>
        <w:t>.</w:t>
      </w:r>
      <w:r w:rsidRPr="004E4194">
        <w:rPr>
          <w:rFonts w:ascii="Times New Roman" w:eastAsia="Times New Roman" w:hAnsi="Times New Roman" w:cs="Times New Roman"/>
          <w:b/>
          <w:color w:val="000000"/>
          <w:sz w:val="20"/>
          <w:szCs w:val="20"/>
        </w:rPr>
        <w:t xml:space="preserve"> </w:t>
      </w:r>
      <w:r w:rsidRPr="00905595">
        <w:rPr>
          <w:rFonts w:ascii="Times New Roman" w:eastAsia="Times New Roman" w:hAnsi="Times New Roman" w:cs="Times New Roman"/>
          <w:color w:val="000000"/>
          <w:sz w:val="20"/>
          <w:szCs w:val="20"/>
        </w:rPr>
        <w:t>Jenis-jenis skim pencen di Malaysia</w:t>
      </w:r>
    </w:p>
    <w:p w:rsidR="00905595" w:rsidRPr="004E4194" w:rsidRDefault="00905595"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bl>
      <w:tblPr>
        <w:tblW w:w="9559" w:type="dxa"/>
        <w:jc w:val="center"/>
        <w:tblLayout w:type="fixed"/>
        <w:tblLook w:val="0000" w:firstRow="0" w:lastRow="0" w:firstColumn="0" w:lastColumn="0" w:noHBand="0" w:noVBand="0"/>
      </w:tblPr>
      <w:tblGrid>
        <w:gridCol w:w="2268"/>
        <w:gridCol w:w="2410"/>
        <w:gridCol w:w="1843"/>
        <w:gridCol w:w="3038"/>
      </w:tblGrid>
      <w:tr w:rsidR="00D32B48" w:rsidTr="00396A08">
        <w:trPr>
          <w:trHeight w:val="275"/>
          <w:jc w:val="center"/>
        </w:trPr>
        <w:tc>
          <w:tcPr>
            <w:tcW w:w="2268" w:type="dxa"/>
            <w:tcBorders>
              <w:top w:val="single" w:sz="4" w:space="0" w:color="000000"/>
              <w:bottom w:val="single" w:sz="4" w:space="0" w:color="000000"/>
            </w:tcBorders>
            <w:shd w:val="clear" w:color="auto" w:fill="BDD6EE"/>
          </w:tcPr>
          <w:p w:rsidR="00905595" w:rsidRPr="00C9556D" w:rsidRDefault="00905595" w:rsidP="000E16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0"/>
                <w:szCs w:val="20"/>
              </w:rPr>
            </w:pPr>
            <w:r w:rsidRPr="00C9556D">
              <w:rPr>
                <w:rFonts w:ascii="Times New Roman" w:hAnsi="Times New Roman" w:cs="Times New Roman"/>
                <w:b/>
                <w:sz w:val="20"/>
                <w:szCs w:val="20"/>
              </w:rPr>
              <w:t>Jenis skim pencen</w:t>
            </w:r>
          </w:p>
        </w:tc>
        <w:tc>
          <w:tcPr>
            <w:tcW w:w="2410" w:type="dxa"/>
            <w:tcBorders>
              <w:top w:val="single" w:sz="4" w:space="0" w:color="000000"/>
              <w:bottom w:val="single" w:sz="4" w:space="0" w:color="000000"/>
            </w:tcBorders>
            <w:shd w:val="clear" w:color="auto" w:fill="BDD6EE"/>
          </w:tcPr>
          <w:p w:rsidR="00905595" w:rsidRPr="00C9556D" w:rsidRDefault="00905595"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sidRPr="00C9556D">
              <w:rPr>
                <w:rFonts w:ascii="Times New Roman" w:hAnsi="Times New Roman" w:cs="Times New Roman"/>
                <w:b/>
                <w:sz w:val="20"/>
                <w:szCs w:val="20"/>
              </w:rPr>
              <w:t>Golongan terbabit</w:t>
            </w:r>
          </w:p>
        </w:tc>
        <w:tc>
          <w:tcPr>
            <w:tcW w:w="1843" w:type="dxa"/>
            <w:tcBorders>
              <w:top w:val="single" w:sz="4" w:space="0" w:color="000000"/>
              <w:bottom w:val="single" w:sz="4" w:space="0" w:color="000000"/>
            </w:tcBorders>
            <w:shd w:val="clear" w:color="auto" w:fill="BDD6EE"/>
          </w:tcPr>
          <w:p w:rsidR="00905595" w:rsidRPr="00C9556D" w:rsidRDefault="00905595"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sidRPr="00C9556D">
              <w:rPr>
                <w:rFonts w:ascii="Times New Roman" w:hAnsi="Times New Roman" w:cs="Times New Roman"/>
                <w:b/>
                <w:sz w:val="20"/>
                <w:szCs w:val="20"/>
              </w:rPr>
              <w:t>Entiti pengurusan pencen</w:t>
            </w:r>
          </w:p>
        </w:tc>
        <w:tc>
          <w:tcPr>
            <w:tcW w:w="3038" w:type="dxa"/>
            <w:tcBorders>
              <w:top w:val="single" w:sz="4" w:space="0" w:color="000000"/>
              <w:bottom w:val="single" w:sz="4" w:space="0" w:color="000000"/>
            </w:tcBorders>
            <w:shd w:val="clear" w:color="auto" w:fill="BDD6EE"/>
          </w:tcPr>
          <w:p w:rsidR="00905595" w:rsidRPr="00C9556D" w:rsidRDefault="00905595"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sidRPr="00C9556D">
              <w:rPr>
                <w:rFonts w:ascii="Times New Roman" w:hAnsi="Times New Roman" w:cs="Times New Roman"/>
                <w:b/>
                <w:sz w:val="20"/>
                <w:szCs w:val="20"/>
              </w:rPr>
              <w:t>Pembentukan dasar</w:t>
            </w:r>
          </w:p>
        </w:tc>
      </w:tr>
      <w:tr w:rsidR="00D32B48" w:rsidRPr="00905595" w:rsidTr="00B44B7D">
        <w:trPr>
          <w:trHeight w:val="296"/>
          <w:jc w:val="center"/>
        </w:trPr>
        <w:tc>
          <w:tcPr>
            <w:tcW w:w="2268" w:type="dxa"/>
            <w:tcBorders>
              <w:bottom w:val="single" w:sz="4" w:space="0" w:color="000000"/>
            </w:tcBorders>
            <w:shd w:val="clear" w:color="auto" w:fill="auto"/>
          </w:tcPr>
          <w:p w:rsidR="00EA10E2" w:rsidRPr="00C9556D" w:rsidRDefault="00905595" w:rsidP="000E1602">
            <w:pPr>
              <w:spacing w:after="0" w:line="240" w:lineRule="auto"/>
              <w:ind w:leftChars="0" w:left="2" w:hanging="2"/>
              <w:jc w:val="both"/>
              <w:rPr>
                <w:rFonts w:ascii="Times New Roman" w:hAnsi="Times New Roman" w:cs="Times New Roman"/>
                <w:sz w:val="20"/>
                <w:szCs w:val="20"/>
              </w:rPr>
            </w:pPr>
            <w:r w:rsidRPr="00C9556D">
              <w:rPr>
                <w:rFonts w:ascii="Times New Roman" w:hAnsi="Times New Roman" w:cs="Times New Roman"/>
                <w:sz w:val="20"/>
                <w:szCs w:val="20"/>
              </w:rPr>
              <w:t>Skim pencen</w:t>
            </w:r>
          </w:p>
          <w:p w:rsidR="00905595" w:rsidRPr="00C9556D" w:rsidRDefault="00905595" w:rsidP="000E1602">
            <w:pPr>
              <w:spacing w:after="0" w:line="240" w:lineRule="auto"/>
              <w:ind w:leftChars="0" w:left="2" w:hanging="2"/>
              <w:jc w:val="both"/>
              <w:rPr>
                <w:rFonts w:ascii="Times New Roman" w:hAnsi="Times New Roman" w:cs="Times New Roman"/>
                <w:sz w:val="20"/>
                <w:szCs w:val="20"/>
              </w:rPr>
            </w:pPr>
            <w:r w:rsidRPr="00C9556D">
              <w:rPr>
                <w:rFonts w:ascii="Times New Roman" w:hAnsi="Times New Roman" w:cs="Times New Roman"/>
                <w:sz w:val="20"/>
                <w:szCs w:val="20"/>
              </w:rPr>
              <w:t>(Manfaat tetap)</w:t>
            </w:r>
          </w:p>
        </w:tc>
        <w:tc>
          <w:tcPr>
            <w:tcW w:w="2410" w:type="dxa"/>
            <w:tcBorders>
              <w:bottom w:val="single" w:sz="4" w:space="0" w:color="000000"/>
            </w:tcBorders>
            <w:shd w:val="clear" w:color="auto" w:fill="auto"/>
          </w:tcPr>
          <w:p w:rsidR="00905595" w:rsidRPr="00C9556D" w:rsidRDefault="00905595"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C9556D">
              <w:rPr>
                <w:rFonts w:ascii="Times New Roman" w:hAnsi="Times New Roman" w:cs="Times New Roman"/>
                <w:sz w:val="20"/>
                <w:szCs w:val="20"/>
              </w:rPr>
              <w:t>Kakitangan sektor berpencen</w:t>
            </w:r>
          </w:p>
        </w:tc>
        <w:tc>
          <w:tcPr>
            <w:tcW w:w="1843" w:type="dxa"/>
            <w:tcBorders>
              <w:bottom w:val="single" w:sz="4" w:space="0" w:color="000000"/>
            </w:tcBorders>
            <w:shd w:val="clear" w:color="auto" w:fill="auto"/>
          </w:tcPr>
          <w:p w:rsidR="00905595" w:rsidRPr="00C9556D" w:rsidRDefault="00905595" w:rsidP="00C51986">
            <w:pPr>
              <w:spacing w:after="0" w:line="240" w:lineRule="auto"/>
              <w:ind w:leftChars="0" w:left="2" w:hanging="2"/>
              <w:rPr>
                <w:rFonts w:ascii="Times New Roman" w:hAnsi="Times New Roman" w:cs="Times New Roman"/>
                <w:sz w:val="20"/>
                <w:szCs w:val="20"/>
              </w:rPr>
            </w:pPr>
            <w:r w:rsidRPr="00C9556D">
              <w:rPr>
                <w:rFonts w:ascii="Times New Roman" w:hAnsi="Times New Roman" w:cs="Times New Roman"/>
                <w:sz w:val="20"/>
                <w:szCs w:val="20"/>
              </w:rPr>
              <w:t>JPA</w:t>
            </w:r>
          </w:p>
          <w:p w:rsidR="00905595" w:rsidRPr="00C9556D" w:rsidRDefault="00C9556D" w:rsidP="00C51986">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0"/>
                <w:szCs w:val="20"/>
              </w:rPr>
            </w:pPr>
            <w:r>
              <w:rPr>
                <w:rFonts w:ascii="Times New Roman" w:hAnsi="Times New Roman" w:cs="Times New Roman"/>
                <w:sz w:val="20"/>
                <w:szCs w:val="20"/>
              </w:rPr>
              <w:t>KWAP</w:t>
            </w:r>
          </w:p>
        </w:tc>
        <w:tc>
          <w:tcPr>
            <w:tcW w:w="3038" w:type="dxa"/>
            <w:tcBorders>
              <w:bottom w:val="single" w:sz="4" w:space="0" w:color="000000"/>
            </w:tcBorders>
            <w:shd w:val="clear" w:color="auto" w:fill="auto"/>
          </w:tcPr>
          <w:p w:rsidR="00905595" w:rsidRPr="00C9556D" w:rsidRDefault="00905595" w:rsidP="000E1602">
            <w:pPr>
              <w:spacing w:after="0" w:line="240" w:lineRule="auto"/>
              <w:ind w:leftChars="0" w:left="2" w:hanging="2"/>
              <w:jc w:val="both"/>
              <w:rPr>
                <w:rFonts w:ascii="Times New Roman" w:hAnsi="Times New Roman" w:cs="Times New Roman"/>
                <w:sz w:val="20"/>
                <w:szCs w:val="20"/>
              </w:rPr>
            </w:pPr>
            <w:r w:rsidRPr="00C9556D">
              <w:rPr>
                <w:rFonts w:ascii="Times New Roman" w:hAnsi="Times New Roman" w:cs="Times New Roman"/>
                <w:sz w:val="20"/>
                <w:szCs w:val="20"/>
              </w:rPr>
              <w:t>Perbendaharaan, Kementerian Kewangan</w:t>
            </w:r>
          </w:p>
          <w:p w:rsidR="00EA10E2" w:rsidRPr="00C9556D" w:rsidRDefault="00905595" w:rsidP="000E1602">
            <w:pPr>
              <w:pStyle w:val="ListParagraph"/>
              <w:numPr>
                <w:ilvl w:val="0"/>
                <w:numId w:val="3"/>
              </w:numPr>
              <w:pBdr>
                <w:top w:val="nil"/>
                <w:left w:val="nil"/>
                <w:bottom w:val="nil"/>
                <w:right w:val="nil"/>
                <w:between w:val="nil"/>
              </w:pBdr>
              <w:suppressAutoHyphens w:val="0"/>
              <w:spacing w:after="0" w:line="240" w:lineRule="auto"/>
              <w:ind w:leftChars="0" w:left="0" w:firstLineChars="0"/>
              <w:jc w:val="both"/>
              <w:textDirection w:val="lrTb"/>
              <w:textAlignment w:val="auto"/>
              <w:outlineLvl w:val="9"/>
              <w:rPr>
                <w:rFonts w:ascii="Times New Roman" w:hAnsi="Times New Roman" w:cs="Times New Roman"/>
                <w:sz w:val="20"/>
                <w:szCs w:val="20"/>
              </w:rPr>
            </w:pPr>
            <w:r w:rsidRPr="00C9556D">
              <w:rPr>
                <w:rFonts w:ascii="Times New Roman" w:eastAsia="Times New Roman" w:hAnsi="Times New Roman" w:cs="Times New Roman"/>
                <w:sz w:val="20"/>
                <w:szCs w:val="20"/>
              </w:rPr>
              <w:t xml:space="preserve">Pengiraan </w:t>
            </w:r>
            <w:r w:rsidR="00C9556D">
              <w:rPr>
                <w:rFonts w:ascii="Times New Roman" w:eastAsia="Times New Roman" w:hAnsi="Times New Roman" w:cs="Times New Roman"/>
                <w:sz w:val="20"/>
                <w:szCs w:val="20"/>
              </w:rPr>
              <w:t>kesan hal</w:t>
            </w:r>
            <w:r w:rsidRPr="00C9556D">
              <w:rPr>
                <w:rFonts w:ascii="Times New Roman" w:eastAsia="Times New Roman" w:hAnsi="Times New Roman" w:cs="Times New Roman"/>
                <w:sz w:val="20"/>
                <w:szCs w:val="20"/>
              </w:rPr>
              <w:t xml:space="preserve"> kewangan</w:t>
            </w:r>
          </w:p>
          <w:p w:rsidR="00EA10E2" w:rsidRPr="00C9556D" w:rsidRDefault="00905595" w:rsidP="000E1602">
            <w:pPr>
              <w:pStyle w:val="ListParagraph"/>
              <w:numPr>
                <w:ilvl w:val="0"/>
                <w:numId w:val="3"/>
              </w:numPr>
              <w:pBdr>
                <w:top w:val="nil"/>
                <w:left w:val="nil"/>
                <w:bottom w:val="nil"/>
                <w:right w:val="nil"/>
                <w:between w:val="nil"/>
              </w:pBdr>
              <w:suppressAutoHyphens w:val="0"/>
              <w:spacing w:after="0" w:line="240" w:lineRule="auto"/>
              <w:ind w:leftChars="0" w:left="0" w:firstLineChars="0"/>
              <w:jc w:val="both"/>
              <w:textDirection w:val="lrTb"/>
              <w:textAlignment w:val="auto"/>
              <w:outlineLvl w:val="9"/>
              <w:rPr>
                <w:rFonts w:ascii="Times New Roman" w:hAnsi="Times New Roman" w:cs="Times New Roman"/>
                <w:sz w:val="20"/>
                <w:szCs w:val="20"/>
              </w:rPr>
            </w:pPr>
            <w:r w:rsidRPr="00C9556D">
              <w:rPr>
                <w:rFonts w:ascii="Times New Roman" w:eastAsia="Times New Roman" w:hAnsi="Times New Roman" w:cs="Times New Roman"/>
                <w:sz w:val="20"/>
                <w:szCs w:val="20"/>
              </w:rPr>
              <w:t>Me</w:t>
            </w:r>
            <w:r w:rsidR="00C9556D">
              <w:rPr>
                <w:rFonts w:ascii="Times New Roman" w:eastAsia="Times New Roman" w:hAnsi="Times New Roman" w:cs="Times New Roman"/>
                <w:sz w:val="20"/>
                <w:szCs w:val="20"/>
              </w:rPr>
              <w:t>luluska</w:t>
            </w:r>
            <w:r w:rsidRPr="00C9556D">
              <w:rPr>
                <w:rFonts w:ascii="Times New Roman" w:eastAsia="Times New Roman" w:hAnsi="Times New Roman" w:cs="Times New Roman"/>
                <w:sz w:val="20"/>
                <w:szCs w:val="20"/>
              </w:rPr>
              <w:t>n dasar</w:t>
            </w:r>
            <w:r w:rsidR="00C9556D">
              <w:rPr>
                <w:rFonts w:ascii="Times New Roman" w:eastAsia="Times New Roman" w:hAnsi="Times New Roman" w:cs="Times New Roman"/>
                <w:sz w:val="20"/>
                <w:szCs w:val="20"/>
              </w:rPr>
              <w:t>-dasar dari</w:t>
            </w:r>
            <w:r w:rsidRPr="00C9556D">
              <w:rPr>
                <w:rFonts w:ascii="Times New Roman" w:eastAsia="Times New Roman" w:hAnsi="Times New Roman" w:cs="Times New Roman"/>
                <w:sz w:val="20"/>
                <w:szCs w:val="20"/>
              </w:rPr>
              <w:t xml:space="preserve"> EPU</w:t>
            </w:r>
          </w:p>
          <w:p w:rsidR="00905595" w:rsidRPr="00C9556D" w:rsidRDefault="00C9556D" w:rsidP="000E1602">
            <w:pPr>
              <w:pStyle w:val="ListParagraph"/>
              <w:numPr>
                <w:ilvl w:val="0"/>
                <w:numId w:val="3"/>
              </w:numPr>
              <w:pBdr>
                <w:top w:val="nil"/>
                <w:left w:val="nil"/>
                <w:bottom w:val="nil"/>
                <w:right w:val="nil"/>
                <w:between w:val="nil"/>
              </w:pBdr>
              <w:suppressAutoHyphens w:val="0"/>
              <w:spacing w:after="0" w:line="240" w:lineRule="auto"/>
              <w:ind w:leftChars="0" w:left="0" w:firstLineChars="0"/>
              <w:jc w:val="both"/>
              <w:textDirection w:val="lrTb"/>
              <w:textAlignment w:val="auto"/>
              <w:outlineLvl w:val="9"/>
              <w:rPr>
                <w:rFonts w:ascii="Times New Roman" w:hAnsi="Times New Roman" w:cs="Times New Roman"/>
                <w:sz w:val="20"/>
                <w:szCs w:val="20"/>
              </w:rPr>
            </w:pPr>
            <w:r>
              <w:rPr>
                <w:rFonts w:ascii="Times New Roman" w:eastAsia="Times New Roman" w:hAnsi="Times New Roman" w:cs="Times New Roman"/>
                <w:sz w:val="20"/>
                <w:szCs w:val="20"/>
              </w:rPr>
              <w:t>Mengkaji dan m</w:t>
            </w:r>
            <w:r w:rsidR="00905595" w:rsidRPr="00C9556D">
              <w:rPr>
                <w:rFonts w:ascii="Times New Roman" w:eastAsia="Times New Roman" w:hAnsi="Times New Roman" w:cs="Times New Roman"/>
                <w:sz w:val="20"/>
                <w:szCs w:val="20"/>
              </w:rPr>
              <w:t>embangun semula dasar</w:t>
            </w:r>
          </w:p>
          <w:p w:rsidR="00905595" w:rsidRPr="00C9556D" w:rsidRDefault="00905595" w:rsidP="000E1602">
            <w:pPr>
              <w:spacing w:after="0" w:line="240" w:lineRule="auto"/>
              <w:ind w:leftChars="0" w:left="2" w:hanging="2"/>
              <w:jc w:val="both"/>
              <w:rPr>
                <w:rFonts w:ascii="Times New Roman" w:hAnsi="Times New Roman" w:cs="Times New Roman"/>
                <w:sz w:val="20"/>
                <w:szCs w:val="20"/>
              </w:rPr>
            </w:pPr>
            <w:r w:rsidRPr="00C9556D">
              <w:rPr>
                <w:rFonts w:ascii="Times New Roman" w:hAnsi="Times New Roman" w:cs="Times New Roman"/>
                <w:sz w:val="20"/>
                <w:szCs w:val="20"/>
              </w:rPr>
              <w:t>JPA</w:t>
            </w:r>
          </w:p>
          <w:p w:rsidR="00905595" w:rsidRPr="00C9556D" w:rsidRDefault="00905595" w:rsidP="000E1602">
            <w:pPr>
              <w:pStyle w:val="ListParagraph"/>
              <w:numPr>
                <w:ilvl w:val="0"/>
                <w:numId w:val="4"/>
              </w:numPr>
              <w:pBdr>
                <w:top w:val="nil"/>
                <w:left w:val="nil"/>
                <w:bottom w:val="nil"/>
                <w:right w:val="nil"/>
                <w:between w:val="nil"/>
              </w:pBdr>
              <w:spacing w:after="0" w:line="240" w:lineRule="auto"/>
              <w:ind w:leftChars="0" w:left="0" w:firstLineChars="0"/>
              <w:jc w:val="both"/>
              <w:rPr>
                <w:rFonts w:ascii="Times New Roman" w:eastAsia="Times New Roman" w:hAnsi="Times New Roman" w:cs="Times New Roman"/>
                <w:color w:val="000000"/>
                <w:sz w:val="20"/>
                <w:szCs w:val="20"/>
              </w:rPr>
            </w:pPr>
            <w:r w:rsidRPr="00C9556D">
              <w:rPr>
                <w:rFonts w:ascii="Times New Roman" w:eastAsia="Times New Roman" w:hAnsi="Times New Roman" w:cs="Times New Roman"/>
                <w:sz w:val="20"/>
                <w:szCs w:val="20"/>
              </w:rPr>
              <w:t>Membentuk dan menkaji semula dasar</w:t>
            </w:r>
          </w:p>
        </w:tc>
      </w:tr>
      <w:tr w:rsidR="00D32B48" w:rsidRPr="00905595" w:rsidTr="00B44B7D">
        <w:trPr>
          <w:trHeight w:val="296"/>
          <w:jc w:val="center"/>
        </w:trPr>
        <w:tc>
          <w:tcPr>
            <w:tcW w:w="2268" w:type="dxa"/>
            <w:tcBorders>
              <w:top w:val="single" w:sz="4" w:space="0" w:color="000000"/>
              <w:bottom w:val="single" w:sz="4" w:space="0" w:color="000000"/>
            </w:tcBorders>
            <w:shd w:val="clear" w:color="auto" w:fill="auto"/>
          </w:tcPr>
          <w:p w:rsidR="00EA10E2" w:rsidRPr="00C9556D" w:rsidRDefault="00905595" w:rsidP="000E1602">
            <w:pPr>
              <w:spacing w:after="0" w:line="240" w:lineRule="auto"/>
              <w:ind w:leftChars="0" w:left="2" w:hanging="2"/>
              <w:jc w:val="both"/>
              <w:rPr>
                <w:rFonts w:ascii="Times New Roman" w:hAnsi="Times New Roman" w:cs="Times New Roman"/>
                <w:sz w:val="20"/>
                <w:szCs w:val="20"/>
              </w:rPr>
            </w:pPr>
            <w:r w:rsidRPr="00C9556D">
              <w:rPr>
                <w:rFonts w:ascii="Times New Roman" w:hAnsi="Times New Roman" w:cs="Times New Roman"/>
                <w:sz w:val="20"/>
                <w:szCs w:val="20"/>
              </w:rPr>
              <w:t>Skim simpanan dana</w:t>
            </w:r>
          </w:p>
          <w:p w:rsidR="00905595" w:rsidRPr="00C9556D" w:rsidRDefault="00905595" w:rsidP="000E1602">
            <w:pPr>
              <w:spacing w:after="0" w:line="240" w:lineRule="auto"/>
              <w:ind w:leftChars="0" w:left="2" w:hanging="2"/>
              <w:jc w:val="both"/>
              <w:rPr>
                <w:rFonts w:ascii="Times New Roman" w:hAnsi="Times New Roman" w:cs="Times New Roman"/>
                <w:sz w:val="20"/>
                <w:szCs w:val="20"/>
              </w:rPr>
            </w:pPr>
            <w:r w:rsidRPr="00C9556D">
              <w:rPr>
                <w:rFonts w:ascii="Times New Roman" w:hAnsi="Times New Roman" w:cs="Times New Roman"/>
                <w:sz w:val="20"/>
                <w:szCs w:val="20"/>
              </w:rPr>
              <w:t>(Caruman wajib tidak berpencen)</w:t>
            </w:r>
          </w:p>
        </w:tc>
        <w:tc>
          <w:tcPr>
            <w:tcW w:w="2410" w:type="dxa"/>
            <w:tcBorders>
              <w:top w:val="single" w:sz="4" w:space="0" w:color="000000"/>
              <w:bottom w:val="single" w:sz="4" w:space="0" w:color="000000"/>
            </w:tcBorders>
            <w:shd w:val="clear" w:color="auto" w:fill="auto"/>
          </w:tcPr>
          <w:p w:rsidR="00905595" w:rsidRPr="00C9556D" w:rsidRDefault="00905595" w:rsidP="00C51986">
            <w:pPr>
              <w:pBdr>
                <w:top w:val="nil"/>
                <w:left w:val="nil"/>
                <w:bottom w:val="nil"/>
                <w:right w:val="nil"/>
                <w:between w:val="nil"/>
              </w:pBdr>
              <w:spacing w:after="0" w:line="240" w:lineRule="auto"/>
              <w:ind w:leftChars="0" w:left="2" w:hanging="2"/>
              <w:jc w:val="center"/>
              <w:rPr>
                <w:rFonts w:ascii="Times New Roman" w:hAnsi="Times New Roman" w:cs="Times New Roman"/>
                <w:sz w:val="20"/>
                <w:szCs w:val="20"/>
              </w:rPr>
            </w:pPr>
            <w:r w:rsidRPr="00C9556D">
              <w:rPr>
                <w:rFonts w:ascii="Times New Roman" w:hAnsi="Times New Roman" w:cs="Times New Roman"/>
                <w:sz w:val="20"/>
                <w:szCs w:val="20"/>
              </w:rPr>
              <w:t>Angkatan tentera</w:t>
            </w:r>
          </w:p>
        </w:tc>
        <w:tc>
          <w:tcPr>
            <w:tcW w:w="1843" w:type="dxa"/>
            <w:tcBorders>
              <w:top w:val="single" w:sz="4" w:space="0" w:color="000000"/>
              <w:bottom w:val="single" w:sz="4" w:space="0" w:color="000000"/>
            </w:tcBorders>
            <w:shd w:val="clear" w:color="auto" w:fill="auto"/>
          </w:tcPr>
          <w:p w:rsidR="00905595" w:rsidRPr="00C9556D" w:rsidRDefault="00905595" w:rsidP="00C51986">
            <w:pPr>
              <w:pBdr>
                <w:top w:val="nil"/>
                <w:left w:val="nil"/>
                <w:bottom w:val="nil"/>
                <w:right w:val="nil"/>
                <w:between w:val="nil"/>
              </w:pBdr>
              <w:spacing w:after="0" w:line="240" w:lineRule="auto"/>
              <w:ind w:leftChars="0" w:left="2" w:hanging="2"/>
              <w:rPr>
                <w:rFonts w:ascii="Times New Roman" w:hAnsi="Times New Roman" w:cs="Times New Roman"/>
                <w:sz w:val="20"/>
                <w:szCs w:val="20"/>
              </w:rPr>
            </w:pPr>
            <w:r w:rsidRPr="00C9556D">
              <w:rPr>
                <w:rFonts w:ascii="Times New Roman" w:hAnsi="Times New Roman" w:cs="Times New Roman"/>
                <w:sz w:val="20"/>
                <w:szCs w:val="20"/>
              </w:rPr>
              <w:t>LTAT</w:t>
            </w:r>
          </w:p>
        </w:tc>
        <w:tc>
          <w:tcPr>
            <w:tcW w:w="3038" w:type="dxa"/>
            <w:tcBorders>
              <w:top w:val="single" w:sz="4" w:space="0" w:color="000000"/>
              <w:bottom w:val="single" w:sz="4" w:space="0" w:color="000000"/>
            </w:tcBorders>
            <w:shd w:val="clear" w:color="auto" w:fill="auto"/>
          </w:tcPr>
          <w:p w:rsidR="00905595" w:rsidRPr="00C9556D" w:rsidRDefault="00905595" w:rsidP="000E1602">
            <w:pPr>
              <w:spacing w:after="0" w:line="240" w:lineRule="auto"/>
              <w:ind w:leftChars="0" w:left="2" w:hanging="2"/>
              <w:jc w:val="both"/>
              <w:rPr>
                <w:rFonts w:ascii="Times New Roman" w:hAnsi="Times New Roman" w:cs="Times New Roman"/>
                <w:sz w:val="20"/>
                <w:szCs w:val="20"/>
              </w:rPr>
            </w:pPr>
            <w:r w:rsidRPr="00C9556D">
              <w:rPr>
                <w:rFonts w:ascii="Times New Roman" w:hAnsi="Times New Roman" w:cs="Times New Roman"/>
                <w:sz w:val="20"/>
                <w:szCs w:val="20"/>
              </w:rPr>
              <w:t>Kementerian Pertahanan (MINDEF)</w:t>
            </w:r>
          </w:p>
          <w:p w:rsidR="00905595" w:rsidRPr="00C9556D" w:rsidRDefault="00905595" w:rsidP="000E1602">
            <w:pPr>
              <w:pStyle w:val="ListParagraph"/>
              <w:numPr>
                <w:ilvl w:val="0"/>
                <w:numId w:val="2"/>
              </w:numPr>
              <w:pBdr>
                <w:top w:val="nil"/>
                <w:left w:val="nil"/>
                <w:bottom w:val="nil"/>
                <w:right w:val="nil"/>
                <w:between w:val="nil"/>
              </w:pBdr>
              <w:spacing w:after="0" w:line="240" w:lineRule="auto"/>
              <w:ind w:leftChars="0" w:left="0" w:firstLineChars="0" w:hanging="284"/>
              <w:jc w:val="both"/>
              <w:rPr>
                <w:rFonts w:ascii="Times New Roman" w:hAnsi="Times New Roman" w:cs="Times New Roman"/>
                <w:sz w:val="20"/>
                <w:szCs w:val="20"/>
              </w:rPr>
            </w:pPr>
            <w:r w:rsidRPr="00C9556D">
              <w:rPr>
                <w:rFonts w:ascii="Times New Roman" w:eastAsia="Times New Roman" w:hAnsi="Times New Roman" w:cs="Times New Roman"/>
                <w:sz w:val="20"/>
                <w:szCs w:val="20"/>
              </w:rPr>
              <w:t>Membentuk dan mengkaji semula dasar</w:t>
            </w:r>
          </w:p>
        </w:tc>
      </w:tr>
      <w:tr w:rsidR="00D32B48" w:rsidRPr="00905595" w:rsidTr="00B44B7D">
        <w:trPr>
          <w:trHeight w:val="296"/>
          <w:jc w:val="center"/>
        </w:trPr>
        <w:tc>
          <w:tcPr>
            <w:tcW w:w="2268" w:type="dxa"/>
            <w:tcBorders>
              <w:top w:val="single" w:sz="4" w:space="0" w:color="000000"/>
              <w:bottom w:val="single" w:sz="4" w:space="0" w:color="000000"/>
            </w:tcBorders>
            <w:shd w:val="clear" w:color="auto" w:fill="auto"/>
          </w:tcPr>
          <w:p w:rsidR="00EA10E2" w:rsidRPr="00C9556D" w:rsidRDefault="00EA10E2" w:rsidP="000E1602">
            <w:pPr>
              <w:spacing w:after="0" w:line="240" w:lineRule="auto"/>
              <w:ind w:leftChars="0" w:left="2" w:hanging="2"/>
              <w:jc w:val="both"/>
              <w:rPr>
                <w:rFonts w:ascii="Times New Roman" w:hAnsi="Times New Roman" w:cs="Times New Roman"/>
                <w:sz w:val="20"/>
                <w:szCs w:val="20"/>
              </w:rPr>
            </w:pPr>
            <w:r w:rsidRPr="00C9556D">
              <w:rPr>
                <w:rFonts w:ascii="Times New Roman" w:hAnsi="Times New Roman" w:cs="Times New Roman"/>
                <w:sz w:val="20"/>
                <w:szCs w:val="20"/>
              </w:rPr>
              <w:t>Skim simpanan dana</w:t>
            </w:r>
          </w:p>
          <w:p w:rsidR="00EA10E2" w:rsidRPr="00C9556D" w:rsidRDefault="00EA10E2" w:rsidP="000E1602">
            <w:pPr>
              <w:spacing w:after="0" w:line="240" w:lineRule="auto"/>
              <w:ind w:leftChars="0" w:left="2" w:hanging="2"/>
              <w:jc w:val="both"/>
              <w:rPr>
                <w:rFonts w:ascii="Times New Roman" w:hAnsi="Times New Roman" w:cs="Times New Roman"/>
                <w:sz w:val="20"/>
                <w:szCs w:val="20"/>
              </w:rPr>
            </w:pPr>
            <w:r w:rsidRPr="00C9556D">
              <w:rPr>
                <w:rFonts w:ascii="Times New Roman" w:hAnsi="Times New Roman" w:cs="Times New Roman"/>
                <w:sz w:val="20"/>
                <w:szCs w:val="20"/>
              </w:rPr>
              <w:t>(Skim caruman wajib)</w:t>
            </w:r>
          </w:p>
        </w:tc>
        <w:tc>
          <w:tcPr>
            <w:tcW w:w="2410" w:type="dxa"/>
            <w:tcBorders>
              <w:top w:val="single" w:sz="4" w:space="0" w:color="000000"/>
              <w:bottom w:val="single" w:sz="4" w:space="0" w:color="000000"/>
            </w:tcBorders>
            <w:shd w:val="clear" w:color="auto" w:fill="auto"/>
          </w:tcPr>
          <w:p w:rsidR="00EA10E2" w:rsidRPr="00C9556D" w:rsidRDefault="00EA10E2" w:rsidP="00C51986">
            <w:pPr>
              <w:pBdr>
                <w:top w:val="nil"/>
                <w:left w:val="nil"/>
                <w:bottom w:val="nil"/>
                <w:right w:val="nil"/>
                <w:between w:val="nil"/>
              </w:pBdr>
              <w:spacing w:after="0" w:line="240" w:lineRule="auto"/>
              <w:ind w:leftChars="0" w:left="2" w:hanging="2"/>
              <w:jc w:val="center"/>
              <w:rPr>
                <w:rFonts w:ascii="Times New Roman" w:hAnsi="Times New Roman" w:cs="Times New Roman"/>
                <w:sz w:val="20"/>
                <w:szCs w:val="20"/>
              </w:rPr>
            </w:pPr>
            <w:r w:rsidRPr="00C9556D">
              <w:rPr>
                <w:rFonts w:ascii="Times New Roman" w:hAnsi="Times New Roman" w:cs="Times New Roman"/>
                <w:sz w:val="20"/>
                <w:szCs w:val="20"/>
              </w:rPr>
              <w:t>Kakitangan sektor swasta dan awam tidak berpencen</w:t>
            </w:r>
          </w:p>
        </w:tc>
        <w:tc>
          <w:tcPr>
            <w:tcW w:w="1843" w:type="dxa"/>
            <w:vMerge w:val="restart"/>
            <w:tcBorders>
              <w:top w:val="single" w:sz="4" w:space="0" w:color="000000"/>
            </w:tcBorders>
            <w:shd w:val="clear" w:color="auto" w:fill="auto"/>
          </w:tcPr>
          <w:p w:rsidR="00EA10E2" w:rsidRPr="00C9556D" w:rsidRDefault="00EA10E2" w:rsidP="00C51986">
            <w:pPr>
              <w:pBdr>
                <w:top w:val="nil"/>
                <w:left w:val="nil"/>
                <w:bottom w:val="nil"/>
                <w:right w:val="nil"/>
                <w:between w:val="nil"/>
              </w:pBdr>
              <w:spacing w:after="0" w:line="240" w:lineRule="auto"/>
              <w:ind w:leftChars="0" w:left="2" w:hanging="2"/>
              <w:rPr>
                <w:rFonts w:ascii="Times New Roman" w:hAnsi="Times New Roman" w:cs="Times New Roman"/>
                <w:sz w:val="20"/>
                <w:szCs w:val="20"/>
              </w:rPr>
            </w:pPr>
            <w:r w:rsidRPr="00C9556D">
              <w:rPr>
                <w:rFonts w:ascii="Times New Roman" w:hAnsi="Times New Roman" w:cs="Times New Roman"/>
                <w:sz w:val="20"/>
                <w:szCs w:val="20"/>
              </w:rPr>
              <w:t>KWSP</w:t>
            </w:r>
          </w:p>
        </w:tc>
        <w:tc>
          <w:tcPr>
            <w:tcW w:w="3038" w:type="dxa"/>
            <w:vMerge w:val="restart"/>
            <w:tcBorders>
              <w:top w:val="single" w:sz="4" w:space="0" w:color="000000"/>
            </w:tcBorders>
            <w:shd w:val="clear" w:color="auto" w:fill="auto"/>
          </w:tcPr>
          <w:p w:rsidR="00EA10E2" w:rsidRPr="00C9556D" w:rsidRDefault="00EA10E2" w:rsidP="000E1602">
            <w:pPr>
              <w:spacing w:after="0" w:line="240" w:lineRule="auto"/>
              <w:ind w:leftChars="0" w:left="2" w:hanging="2"/>
              <w:jc w:val="both"/>
              <w:rPr>
                <w:rFonts w:ascii="Times New Roman" w:hAnsi="Times New Roman" w:cs="Times New Roman"/>
                <w:sz w:val="20"/>
                <w:szCs w:val="20"/>
              </w:rPr>
            </w:pPr>
            <w:r w:rsidRPr="00C9556D">
              <w:rPr>
                <w:rFonts w:ascii="Times New Roman" w:hAnsi="Times New Roman" w:cs="Times New Roman"/>
                <w:sz w:val="20"/>
                <w:szCs w:val="20"/>
              </w:rPr>
              <w:t>KWSP</w:t>
            </w:r>
          </w:p>
          <w:p w:rsidR="00EA10E2" w:rsidRPr="00C9556D" w:rsidRDefault="00EA10E2" w:rsidP="000E1602">
            <w:pPr>
              <w:pStyle w:val="ListParagraph"/>
              <w:numPr>
                <w:ilvl w:val="0"/>
                <w:numId w:val="2"/>
              </w:numPr>
              <w:pBdr>
                <w:top w:val="nil"/>
                <w:left w:val="nil"/>
                <w:bottom w:val="nil"/>
                <w:right w:val="nil"/>
                <w:between w:val="nil"/>
              </w:pBdr>
              <w:spacing w:after="0" w:line="240" w:lineRule="auto"/>
              <w:ind w:leftChars="0" w:left="0" w:firstLineChars="0"/>
              <w:jc w:val="both"/>
              <w:rPr>
                <w:rFonts w:ascii="Times New Roman" w:hAnsi="Times New Roman" w:cs="Times New Roman"/>
                <w:sz w:val="20"/>
                <w:szCs w:val="20"/>
              </w:rPr>
            </w:pPr>
            <w:r w:rsidRPr="00C9556D">
              <w:rPr>
                <w:rFonts w:ascii="Times New Roman" w:eastAsia="Times New Roman" w:hAnsi="Times New Roman" w:cs="Times New Roman"/>
                <w:sz w:val="20"/>
                <w:szCs w:val="20"/>
              </w:rPr>
              <w:t>Me</w:t>
            </w:r>
            <w:r w:rsidR="00C9556D">
              <w:rPr>
                <w:rFonts w:ascii="Times New Roman" w:eastAsia="Times New Roman" w:hAnsi="Times New Roman" w:cs="Times New Roman"/>
                <w:sz w:val="20"/>
                <w:szCs w:val="20"/>
              </w:rPr>
              <w:t>nghulurkan</w:t>
            </w:r>
            <w:r w:rsidRPr="00C9556D">
              <w:rPr>
                <w:rFonts w:ascii="Times New Roman" w:eastAsia="Times New Roman" w:hAnsi="Times New Roman" w:cs="Times New Roman"/>
                <w:sz w:val="20"/>
                <w:szCs w:val="20"/>
              </w:rPr>
              <w:t xml:space="preserve"> input </w:t>
            </w:r>
            <w:r w:rsidR="00C9556D">
              <w:rPr>
                <w:rFonts w:ascii="Times New Roman" w:eastAsia="Times New Roman" w:hAnsi="Times New Roman" w:cs="Times New Roman"/>
                <w:sz w:val="20"/>
                <w:szCs w:val="20"/>
              </w:rPr>
              <w:t>dalam proses perihal</w:t>
            </w:r>
            <w:r w:rsidRPr="00C9556D">
              <w:rPr>
                <w:rFonts w:ascii="Times New Roman" w:eastAsia="Times New Roman" w:hAnsi="Times New Roman" w:cs="Times New Roman"/>
                <w:sz w:val="20"/>
                <w:szCs w:val="20"/>
              </w:rPr>
              <w:t xml:space="preserve"> </w:t>
            </w:r>
            <w:r w:rsidR="00C9556D">
              <w:rPr>
                <w:rFonts w:ascii="Times New Roman" w:eastAsia="Times New Roman" w:hAnsi="Times New Roman" w:cs="Times New Roman"/>
                <w:sz w:val="20"/>
                <w:szCs w:val="20"/>
              </w:rPr>
              <w:t xml:space="preserve">membentuk </w:t>
            </w:r>
            <w:r w:rsidRPr="00C9556D">
              <w:rPr>
                <w:rFonts w:ascii="Times New Roman" w:eastAsia="Times New Roman" w:hAnsi="Times New Roman" w:cs="Times New Roman"/>
                <w:sz w:val="20"/>
                <w:szCs w:val="20"/>
              </w:rPr>
              <w:t>dasar</w:t>
            </w:r>
            <w:r w:rsidR="00C9556D">
              <w:rPr>
                <w:rFonts w:ascii="Times New Roman" w:eastAsia="Times New Roman" w:hAnsi="Times New Roman" w:cs="Times New Roman"/>
                <w:sz w:val="20"/>
                <w:szCs w:val="20"/>
              </w:rPr>
              <w:t xml:space="preserve"> </w:t>
            </w:r>
          </w:p>
        </w:tc>
      </w:tr>
      <w:tr w:rsidR="00D32B48" w:rsidRPr="00905595" w:rsidTr="00B44B7D">
        <w:trPr>
          <w:trHeight w:val="296"/>
          <w:jc w:val="center"/>
        </w:trPr>
        <w:tc>
          <w:tcPr>
            <w:tcW w:w="2268" w:type="dxa"/>
            <w:tcBorders>
              <w:top w:val="single" w:sz="4" w:space="0" w:color="000000"/>
            </w:tcBorders>
            <w:shd w:val="clear" w:color="auto" w:fill="auto"/>
          </w:tcPr>
          <w:p w:rsidR="00EA10E2" w:rsidRPr="00C9556D" w:rsidRDefault="00EA10E2" w:rsidP="000E1602">
            <w:pPr>
              <w:spacing w:after="0" w:line="240" w:lineRule="auto"/>
              <w:ind w:leftChars="0" w:left="2" w:hanging="2"/>
              <w:jc w:val="both"/>
              <w:rPr>
                <w:rFonts w:ascii="Times New Roman" w:hAnsi="Times New Roman" w:cs="Times New Roman"/>
                <w:sz w:val="20"/>
                <w:szCs w:val="20"/>
              </w:rPr>
            </w:pPr>
            <w:r w:rsidRPr="00C9556D">
              <w:rPr>
                <w:rFonts w:ascii="Times New Roman" w:hAnsi="Times New Roman" w:cs="Times New Roman"/>
                <w:sz w:val="20"/>
                <w:szCs w:val="20"/>
              </w:rPr>
              <w:t>Skim simpanan dana</w:t>
            </w:r>
          </w:p>
          <w:p w:rsidR="00EA10E2" w:rsidRPr="00C9556D" w:rsidRDefault="00EA10E2" w:rsidP="000E1602">
            <w:pPr>
              <w:spacing w:after="0" w:line="240" w:lineRule="auto"/>
              <w:ind w:leftChars="0" w:left="2" w:hanging="2"/>
              <w:jc w:val="both"/>
              <w:rPr>
                <w:rFonts w:ascii="Times New Roman" w:hAnsi="Times New Roman" w:cs="Times New Roman"/>
                <w:sz w:val="20"/>
                <w:szCs w:val="20"/>
              </w:rPr>
            </w:pPr>
            <w:r w:rsidRPr="00C9556D">
              <w:rPr>
                <w:rFonts w:ascii="Times New Roman" w:hAnsi="Times New Roman" w:cs="Times New Roman"/>
                <w:sz w:val="20"/>
                <w:szCs w:val="20"/>
              </w:rPr>
              <w:t>(Skim caruman sukarela)</w:t>
            </w:r>
          </w:p>
        </w:tc>
        <w:tc>
          <w:tcPr>
            <w:tcW w:w="2410" w:type="dxa"/>
            <w:tcBorders>
              <w:top w:val="single" w:sz="4" w:space="0" w:color="000000"/>
            </w:tcBorders>
            <w:shd w:val="clear" w:color="auto" w:fill="auto"/>
          </w:tcPr>
          <w:p w:rsidR="00EA10E2" w:rsidRPr="00C9556D" w:rsidRDefault="00EA10E2" w:rsidP="00C51986">
            <w:pPr>
              <w:pBdr>
                <w:top w:val="nil"/>
                <w:left w:val="nil"/>
                <w:bottom w:val="nil"/>
                <w:right w:val="nil"/>
                <w:between w:val="nil"/>
              </w:pBdr>
              <w:spacing w:after="0" w:line="240" w:lineRule="auto"/>
              <w:ind w:leftChars="0" w:left="2" w:hanging="2"/>
              <w:jc w:val="center"/>
              <w:rPr>
                <w:rFonts w:ascii="Times New Roman" w:hAnsi="Times New Roman" w:cs="Times New Roman"/>
                <w:sz w:val="20"/>
                <w:szCs w:val="20"/>
              </w:rPr>
            </w:pPr>
            <w:r w:rsidRPr="00C9556D">
              <w:rPr>
                <w:rFonts w:ascii="Times New Roman" w:hAnsi="Times New Roman" w:cs="Times New Roman"/>
                <w:sz w:val="20"/>
                <w:szCs w:val="20"/>
              </w:rPr>
              <w:t>Pekerja sendiri dan individu yang tidak mempunyai pendapatan bulanan yang tetap</w:t>
            </w:r>
          </w:p>
        </w:tc>
        <w:tc>
          <w:tcPr>
            <w:tcW w:w="1843" w:type="dxa"/>
            <w:vMerge/>
            <w:shd w:val="clear" w:color="auto" w:fill="auto"/>
          </w:tcPr>
          <w:p w:rsidR="00EA10E2" w:rsidRPr="00C9556D" w:rsidRDefault="00EA10E2" w:rsidP="00C51986">
            <w:pPr>
              <w:pBdr>
                <w:top w:val="nil"/>
                <w:left w:val="nil"/>
                <w:bottom w:val="nil"/>
                <w:right w:val="nil"/>
                <w:between w:val="nil"/>
              </w:pBdr>
              <w:spacing w:after="0" w:line="240" w:lineRule="auto"/>
              <w:ind w:leftChars="0" w:left="2" w:hanging="2"/>
              <w:jc w:val="center"/>
              <w:rPr>
                <w:rFonts w:ascii="Times New Roman" w:hAnsi="Times New Roman" w:cs="Times New Roman"/>
                <w:sz w:val="20"/>
                <w:szCs w:val="20"/>
              </w:rPr>
            </w:pPr>
          </w:p>
        </w:tc>
        <w:tc>
          <w:tcPr>
            <w:tcW w:w="3038" w:type="dxa"/>
            <w:vMerge/>
            <w:tcBorders>
              <w:bottom w:val="single" w:sz="4" w:space="0" w:color="000000"/>
            </w:tcBorders>
            <w:shd w:val="clear" w:color="auto" w:fill="auto"/>
          </w:tcPr>
          <w:p w:rsidR="00EA10E2" w:rsidRPr="00C9556D" w:rsidRDefault="00EA10E2" w:rsidP="00C51986">
            <w:pPr>
              <w:pBdr>
                <w:top w:val="nil"/>
                <w:left w:val="nil"/>
                <w:bottom w:val="nil"/>
                <w:right w:val="nil"/>
                <w:between w:val="nil"/>
              </w:pBdr>
              <w:spacing w:after="0" w:line="240" w:lineRule="auto"/>
              <w:ind w:leftChars="0" w:left="2" w:hanging="2"/>
              <w:jc w:val="center"/>
              <w:rPr>
                <w:rFonts w:ascii="Times New Roman" w:hAnsi="Times New Roman" w:cs="Times New Roman"/>
                <w:sz w:val="20"/>
                <w:szCs w:val="20"/>
              </w:rPr>
            </w:pPr>
          </w:p>
        </w:tc>
      </w:tr>
      <w:tr w:rsidR="00D32B48" w:rsidTr="00492A61">
        <w:trPr>
          <w:trHeight w:val="121"/>
          <w:jc w:val="center"/>
        </w:trPr>
        <w:tc>
          <w:tcPr>
            <w:tcW w:w="2268" w:type="dxa"/>
            <w:tcBorders>
              <w:top w:val="single" w:sz="4" w:space="0" w:color="000000"/>
            </w:tcBorders>
            <w:shd w:val="clear" w:color="auto" w:fill="auto"/>
          </w:tcPr>
          <w:p w:rsidR="00905595" w:rsidRPr="00492A61" w:rsidRDefault="00905595" w:rsidP="00C51986">
            <w:pPr>
              <w:pBdr>
                <w:top w:val="nil"/>
                <w:left w:val="nil"/>
                <w:bottom w:val="nil"/>
                <w:right w:val="nil"/>
                <w:between w:val="nil"/>
              </w:pBdr>
              <w:spacing w:after="0" w:line="240" w:lineRule="auto"/>
              <w:ind w:leftChars="0" w:left="1"/>
              <w:rPr>
                <w:rFonts w:ascii="Times New Roman" w:hAnsi="Times New Roman" w:cs="Times New Roman"/>
                <w:sz w:val="10"/>
                <w:szCs w:val="10"/>
              </w:rPr>
            </w:pPr>
          </w:p>
        </w:tc>
        <w:tc>
          <w:tcPr>
            <w:tcW w:w="2410" w:type="dxa"/>
            <w:tcBorders>
              <w:top w:val="single" w:sz="4" w:space="0" w:color="000000"/>
            </w:tcBorders>
            <w:shd w:val="clear" w:color="auto" w:fill="auto"/>
          </w:tcPr>
          <w:p w:rsidR="00905595" w:rsidRPr="00492A61" w:rsidRDefault="00905595" w:rsidP="00C51986">
            <w:pPr>
              <w:pBdr>
                <w:top w:val="nil"/>
                <w:left w:val="nil"/>
                <w:bottom w:val="nil"/>
                <w:right w:val="nil"/>
                <w:between w:val="nil"/>
              </w:pBdr>
              <w:spacing w:after="0" w:line="240" w:lineRule="auto"/>
              <w:ind w:leftChars="0" w:left="1"/>
              <w:jc w:val="center"/>
              <w:rPr>
                <w:rFonts w:ascii="Times New Roman" w:hAnsi="Times New Roman" w:cs="Times New Roman"/>
                <w:sz w:val="10"/>
                <w:szCs w:val="10"/>
              </w:rPr>
            </w:pPr>
          </w:p>
        </w:tc>
        <w:tc>
          <w:tcPr>
            <w:tcW w:w="1843" w:type="dxa"/>
            <w:tcBorders>
              <w:top w:val="single" w:sz="4" w:space="0" w:color="000000"/>
            </w:tcBorders>
            <w:shd w:val="clear" w:color="auto" w:fill="auto"/>
          </w:tcPr>
          <w:p w:rsidR="00905595" w:rsidRPr="00492A61" w:rsidRDefault="00905595" w:rsidP="00C51986">
            <w:pPr>
              <w:pBdr>
                <w:top w:val="nil"/>
                <w:left w:val="nil"/>
                <w:bottom w:val="nil"/>
                <w:right w:val="nil"/>
                <w:between w:val="nil"/>
              </w:pBdr>
              <w:spacing w:after="0" w:line="240" w:lineRule="auto"/>
              <w:ind w:leftChars="0" w:left="0" w:firstLineChars="0" w:firstLine="0"/>
              <w:rPr>
                <w:rFonts w:ascii="Times New Roman" w:hAnsi="Times New Roman" w:cs="Times New Roman"/>
                <w:sz w:val="10"/>
                <w:szCs w:val="10"/>
              </w:rPr>
            </w:pPr>
          </w:p>
        </w:tc>
        <w:tc>
          <w:tcPr>
            <w:tcW w:w="3038" w:type="dxa"/>
            <w:tcBorders>
              <w:top w:val="single" w:sz="4" w:space="0" w:color="000000"/>
            </w:tcBorders>
            <w:shd w:val="clear" w:color="auto" w:fill="auto"/>
          </w:tcPr>
          <w:p w:rsidR="00905595" w:rsidRPr="00492A61" w:rsidRDefault="00905595" w:rsidP="00C51986">
            <w:pPr>
              <w:pBdr>
                <w:top w:val="nil"/>
                <w:left w:val="nil"/>
                <w:bottom w:val="nil"/>
                <w:right w:val="nil"/>
                <w:between w:val="nil"/>
              </w:pBdr>
              <w:spacing w:after="0" w:line="240" w:lineRule="auto"/>
              <w:ind w:leftChars="0" w:left="1"/>
              <w:jc w:val="center"/>
              <w:rPr>
                <w:rFonts w:ascii="Times New Roman" w:hAnsi="Times New Roman" w:cs="Times New Roman"/>
                <w:sz w:val="10"/>
                <w:szCs w:val="10"/>
              </w:rPr>
            </w:pPr>
          </w:p>
        </w:tc>
      </w:tr>
    </w:tbl>
    <w:p w:rsidR="00905595" w:rsidRDefault="00905595" w:rsidP="00C51986">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Sumber: </w:t>
      </w:r>
      <w:r w:rsidR="00EA10E2">
        <w:rPr>
          <w:rFonts w:ascii="Times New Roman" w:eastAsia="Times New Roman" w:hAnsi="Times New Roman" w:cs="Times New Roman"/>
          <w:color w:val="000000"/>
          <w:sz w:val="20"/>
          <w:szCs w:val="20"/>
        </w:rPr>
        <w:t xml:space="preserve">Laporan Tahunan </w:t>
      </w:r>
      <w:r w:rsidR="00EA10E2" w:rsidRPr="00EA10E2">
        <w:rPr>
          <w:rFonts w:ascii="Times New Roman" w:eastAsia="Times New Roman" w:hAnsi="Times New Roman" w:cs="Times New Roman"/>
          <w:color w:val="000000"/>
          <w:sz w:val="20"/>
          <w:szCs w:val="20"/>
        </w:rPr>
        <w:t>KWAP 2019, Khoong 2016</w:t>
      </w:r>
    </w:p>
    <w:p w:rsidR="00492A61" w:rsidRDefault="00492A61"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5C6E30" w:rsidRPr="00087940" w:rsidRDefault="00EA10E2" w:rsidP="00C519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fi-FI"/>
        </w:rPr>
      </w:pPr>
      <w:r w:rsidRPr="00087940">
        <w:rPr>
          <w:rFonts w:ascii="Times New Roman" w:eastAsia="Times New Roman" w:hAnsi="Times New Roman" w:cs="Times New Roman"/>
          <w:color w:val="000000"/>
          <w:sz w:val="24"/>
          <w:szCs w:val="24"/>
          <w:lang w:val="fi-FI"/>
        </w:rPr>
        <w:t>Skim KWSP menawarkan dua jenis pengeluaran, iaitu pengeluaran persaraan dan pengeluaran pra-persaraan (Laporan Tahunan KWSP</w:t>
      </w:r>
      <w:r w:rsidR="000E1602">
        <w:rPr>
          <w:rFonts w:ascii="Times New Roman" w:eastAsia="Times New Roman" w:hAnsi="Times New Roman" w:cs="Times New Roman"/>
          <w:color w:val="000000"/>
          <w:sz w:val="24"/>
          <w:szCs w:val="24"/>
          <w:lang w:val="fi-FI"/>
        </w:rPr>
        <w:t>,</w:t>
      </w:r>
      <w:r w:rsidRPr="00087940">
        <w:rPr>
          <w:rFonts w:ascii="Times New Roman" w:eastAsia="Times New Roman" w:hAnsi="Times New Roman" w:cs="Times New Roman"/>
          <w:color w:val="000000"/>
          <w:sz w:val="24"/>
          <w:szCs w:val="24"/>
          <w:lang w:val="fi-FI"/>
        </w:rPr>
        <w:t xml:space="preserve"> 2021). Pengeluaran persaraan dikhaskan untuk ahli mengeluarkan kesemua simpanan mereka apabila mencapai umur tertentu, kematian, hilang upaya, meninggalkan negara, pekerja berpencen atau bersara secara pilihan. </w:t>
      </w:r>
      <w:r w:rsidR="00D66BDB" w:rsidRPr="00087940">
        <w:rPr>
          <w:rFonts w:ascii="Times New Roman" w:eastAsia="Times New Roman" w:hAnsi="Times New Roman" w:cs="Times New Roman"/>
          <w:color w:val="000000"/>
          <w:sz w:val="24"/>
          <w:szCs w:val="24"/>
          <w:lang w:val="fi-FI"/>
        </w:rPr>
        <w:t>Oleh kerana individu tersebut hanya mencarum dalam skim dan membuat pengeluaran semasa bersara, maka i</w:t>
      </w:r>
      <w:r w:rsidRPr="00087940">
        <w:rPr>
          <w:rFonts w:ascii="Times New Roman" w:eastAsia="Times New Roman" w:hAnsi="Times New Roman" w:cs="Times New Roman"/>
          <w:color w:val="000000"/>
          <w:sz w:val="24"/>
          <w:szCs w:val="24"/>
          <w:lang w:val="fi-FI"/>
        </w:rPr>
        <w:t>ni tidak</w:t>
      </w:r>
      <w:r w:rsidR="00D66BDB" w:rsidRPr="00087940">
        <w:rPr>
          <w:rFonts w:ascii="Times New Roman" w:eastAsia="Times New Roman" w:hAnsi="Times New Roman" w:cs="Times New Roman"/>
          <w:color w:val="000000"/>
          <w:sz w:val="24"/>
          <w:szCs w:val="24"/>
          <w:lang w:val="fi-FI"/>
        </w:rPr>
        <w:t xml:space="preserve"> dikategorikan aspek</w:t>
      </w:r>
      <w:r w:rsidRPr="00087940">
        <w:rPr>
          <w:rFonts w:ascii="Times New Roman" w:eastAsia="Times New Roman" w:hAnsi="Times New Roman" w:cs="Times New Roman"/>
          <w:color w:val="000000"/>
          <w:sz w:val="24"/>
          <w:szCs w:val="24"/>
          <w:lang w:val="fi-FI"/>
        </w:rPr>
        <w:t xml:space="preserve"> perancangan kewangan. Sebaliknya, </w:t>
      </w:r>
      <w:r w:rsidR="00717D95" w:rsidRPr="00087940">
        <w:rPr>
          <w:rFonts w:ascii="Times New Roman" w:eastAsia="Times New Roman" w:hAnsi="Times New Roman" w:cs="Times New Roman"/>
          <w:color w:val="000000"/>
          <w:sz w:val="24"/>
          <w:szCs w:val="24"/>
          <w:lang w:val="fi-FI"/>
        </w:rPr>
        <w:t xml:space="preserve">jika individu tersebut membuat </w:t>
      </w:r>
      <w:r w:rsidRPr="00087940">
        <w:rPr>
          <w:rFonts w:ascii="Times New Roman" w:eastAsia="Times New Roman" w:hAnsi="Times New Roman" w:cs="Times New Roman"/>
          <w:color w:val="000000"/>
          <w:sz w:val="24"/>
          <w:szCs w:val="24"/>
          <w:lang w:val="fi-FI"/>
        </w:rPr>
        <w:t>pengeluaran pra-persaraan</w:t>
      </w:r>
      <w:r w:rsidR="00717D95" w:rsidRPr="00087940">
        <w:rPr>
          <w:rFonts w:ascii="Times New Roman" w:eastAsia="Times New Roman" w:hAnsi="Times New Roman" w:cs="Times New Roman"/>
          <w:color w:val="000000"/>
          <w:sz w:val="24"/>
          <w:szCs w:val="24"/>
          <w:lang w:val="fi-FI"/>
        </w:rPr>
        <w:t>, maka seseorang aktif dalam perancangan kewangan</w:t>
      </w:r>
      <w:r w:rsidRPr="00087940">
        <w:rPr>
          <w:rFonts w:ascii="Times New Roman" w:eastAsia="Times New Roman" w:hAnsi="Times New Roman" w:cs="Times New Roman"/>
          <w:color w:val="000000"/>
          <w:sz w:val="24"/>
          <w:szCs w:val="24"/>
          <w:lang w:val="fi-FI"/>
        </w:rPr>
        <w:t xml:space="preserve">. </w:t>
      </w:r>
      <w:r w:rsidR="00717D95" w:rsidRPr="00087940">
        <w:rPr>
          <w:rFonts w:ascii="Times New Roman" w:eastAsia="Times New Roman" w:hAnsi="Times New Roman" w:cs="Times New Roman"/>
          <w:color w:val="000000"/>
          <w:sz w:val="24"/>
          <w:szCs w:val="24"/>
          <w:lang w:val="fi-FI"/>
        </w:rPr>
        <w:t>Di antara pra-</w:t>
      </w:r>
      <w:r w:rsidRPr="00087940">
        <w:rPr>
          <w:rFonts w:ascii="Times New Roman" w:eastAsia="Times New Roman" w:hAnsi="Times New Roman" w:cs="Times New Roman"/>
          <w:color w:val="000000"/>
          <w:sz w:val="24"/>
          <w:szCs w:val="24"/>
          <w:lang w:val="fi-FI"/>
        </w:rPr>
        <w:lastRenderedPageBreak/>
        <w:t>pengeluaran</w:t>
      </w:r>
      <w:r w:rsidR="00717D95" w:rsidRPr="00087940">
        <w:rPr>
          <w:rFonts w:ascii="Times New Roman" w:eastAsia="Times New Roman" w:hAnsi="Times New Roman" w:cs="Times New Roman"/>
          <w:color w:val="000000"/>
          <w:sz w:val="24"/>
          <w:szCs w:val="24"/>
          <w:lang w:val="fi-FI"/>
        </w:rPr>
        <w:t xml:space="preserve"> yang dibenarkan termasuk</w:t>
      </w:r>
      <w:r w:rsidRPr="00087940">
        <w:rPr>
          <w:rFonts w:ascii="Times New Roman" w:eastAsia="Times New Roman" w:hAnsi="Times New Roman" w:cs="Times New Roman"/>
          <w:color w:val="000000"/>
          <w:sz w:val="24"/>
          <w:szCs w:val="24"/>
          <w:lang w:val="fi-FI"/>
        </w:rPr>
        <w:t xml:space="preserve"> </w:t>
      </w:r>
      <w:r w:rsidR="00717D95" w:rsidRPr="00087940">
        <w:rPr>
          <w:rFonts w:ascii="Times New Roman" w:eastAsia="Times New Roman" w:hAnsi="Times New Roman" w:cs="Times New Roman"/>
          <w:color w:val="000000"/>
          <w:sz w:val="24"/>
          <w:szCs w:val="24"/>
          <w:lang w:val="fi-FI"/>
        </w:rPr>
        <w:t xml:space="preserve">pendidikan, </w:t>
      </w:r>
      <w:r w:rsidRPr="00087940">
        <w:rPr>
          <w:rFonts w:ascii="Times New Roman" w:eastAsia="Times New Roman" w:hAnsi="Times New Roman" w:cs="Times New Roman"/>
          <w:color w:val="000000"/>
          <w:sz w:val="24"/>
          <w:szCs w:val="24"/>
          <w:lang w:val="fi-FI"/>
        </w:rPr>
        <w:t xml:space="preserve">perumahan, </w:t>
      </w:r>
      <w:r w:rsidR="00717D95" w:rsidRPr="00087940">
        <w:rPr>
          <w:rFonts w:ascii="Times New Roman" w:eastAsia="Times New Roman" w:hAnsi="Times New Roman" w:cs="Times New Roman"/>
          <w:color w:val="000000"/>
          <w:sz w:val="24"/>
          <w:szCs w:val="24"/>
          <w:lang w:val="fi-FI"/>
        </w:rPr>
        <w:t xml:space="preserve">mencapai 50 tahun, </w:t>
      </w:r>
      <w:r w:rsidRPr="00087940">
        <w:rPr>
          <w:rFonts w:ascii="Times New Roman" w:eastAsia="Times New Roman" w:hAnsi="Times New Roman" w:cs="Times New Roman"/>
          <w:color w:val="000000"/>
          <w:sz w:val="24"/>
          <w:szCs w:val="24"/>
          <w:lang w:val="fi-FI"/>
        </w:rPr>
        <w:t>kesihatan,</w:t>
      </w:r>
      <w:r w:rsidR="00717D95" w:rsidRPr="00087940">
        <w:rPr>
          <w:rFonts w:ascii="Times New Roman" w:eastAsia="Times New Roman" w:hAnsi="Times New Roman" w:cs="Times New Roman"/>
          <w:color w:val="000000"/>
          <w:sz w:val="24"/>
          <w:szCs w:val="24"/>
          <w:lang w:val="fi-FI"/>
        </w:rPr>
        <w:t xml:space="preserve"> mempunyai dana m</w:t>
      </w:r>
      <w:r w:rsidRPr="00087940">
        <w:rPr>
          <w:rFonts w:ascii="Times New Roman" w:eastAsia="Times New Roman" w:hAnsi="Times New Roman" w:cs="Times New Roman"/>
          <w:color w:val="000000"/>
          <w:sz w:val="24"/>
          <w:szCs w:val="24"/>
          <w:lang w:val="fi-FI"/>
        </w:rPr>
        <w:t>elebihi RM1 Juta, dan aktiviti haji. Tujuan utamanya mem</w:t>
      </w:r>
      <w:r w:rsidR="00717D95" w:rsidRPr="00087940">
        <w:rPr>
          <w:rFonts w:ascii="Times New Roman" w:eastAsia="Times New Roman" w:hAnsi="Times New Roman" w:cs="Times New Roman"/>
          <w:color w:val="000000"/>
          <w:sz w:val="24"/>
          <w:szCs w:val="24"/>
          <w:lang w:val="fi-FI"/>
        </w:rPr>
        <w:t>beri bantuan kepada dalam</w:t>
      </w:r>
      <w:r w:rsidRPr="00087940">
        <w:rPr>
          <w:rFonts w:ascii="Times New Roman" w:eastAsia="Times New Roman" w:hAnsi="Times New Roman" w:cs="Times New Roman"/>
          <w:color w:val="000000"/>
          <w:sz w:val="24"/>
          <w:szCs w:val="24"/>
          <w:lang w:val="fi-FI"/>
        </w:rPr>
        <w:t xml:space="preserve"> persediaan persaraan. Ini menunjukkan tindakan aktif individu dalam perancangan kewangan.</w:t>
      </w:r>
    </w:p>
    <w:p w:rsidR="009955C7" w:rsidRPr="00087940" w:rsidRDefault="005C6E30" w:rsidP="00C519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fi-FI"/>
        </w:rPr>
      </w:pPr>
      <w:r w:rsidRPr="00087940">
        <w:rPr>
          <w:rFonts w:ascii="Times New Roman" w:eastAsia="Times New Roman" w:hAnsi="Times New Roman" w:cs="Times New Roman"/>
          <w:color w:val="000000"/>
          <w:sz w:val="24"/>
          <w:szCs w:val="24"/>
          <w:lang w:val="fi-FI"/>
        </w:rPr>
        <w:t>Skim K</w:t>
      </w:r>
      <w:r w:rsidR="00EA10E2" w:rsidRPr="00087940">
        <w:rPr>
          <w:rFonts w:ascii="Times New Roman" w:eastAsia="Times New Roman" w:hAnsi="Times New Roman" w:cs="Times New Roman"/>
          <w:color w:val="000000"/>
          <w:sz w:val="24"/>
          <w:szCs w:val="24"/>
          <w:lang w:val="fi-FI"/>
        </w:rPr>
        <w:t>WSP mencata</w:t>
      </w:r>
      <w:r w:rsidR="004D646C" w:rsidRPr="00087940">
        <w:rPr>
          <w:rFonts w:ascii="Times New Roman" w:eastAsia="Times New Roman" w:hAnsi="Times New Roman" w:cs="Times New Roman"/>
          <w:color w:val="000000"/>
          <w:sz w:val="24"/>
          <w:szCs w:val="24"/>
          <w:lang w:val="fi-FI"/>
        </w:rPr>
        <w:t>t</w:t>
      </w:r>
      <w:r w:rsidR="00EA10E2" w:rsidRPr="00087940">
        <w:rPr>
          <w:rFonts w:ascii="Times New Roman" w:eastAsia="Times New Roman" w:hAnsi="Times New Roman" w:cs="Times New Roman"/>
          <w:color w:val="000000"/>
          <w:sz w:val="24"/>
          <w:szCs w:val="24"/>
          <w:lang w:val="fi-FI"/>
        </w:rPr>
        <w:t>kan sejumlan 15,217,902 ahli aktif dalam tahun 2021</w:t>
      </w:r>
      <w:r w:rsidR="007F7E45" w:rsidRPr="00087940">
        <w:rPr>
          <w:rFonts w:ascii="Times New Roman" w:eastAsia="Times New Roman" w:hAnsi="Times New Roman" w:cs="Times New Roman"/>
          <w:color w:val="000000"/>
          <w:sz w:val="24"/>
          <w:szCs w:val="24"/>
          <w:lang w:val="fi-FI"/>
        </w:rPr>
        <w:t>, dan merupakan skim penting kepada kumpulan pekerja swasta</w:t>
      </w:r>
      <w:r w:rsidR="00EA10E2" w:rsidRPr="00087940">
        <w:rPr>
          <w:rFonts w:ascii="Times New Roman" w:eastAsia="Times New Roman" w:hAnsi="Times New Roman" w:cs="Times New Roman"/>
          <w:color w:val="000000"/>
          <w:sz w:val="24"/>
          <w:szCs w:val="24"/>
          <w:lang w:val="fi-FI"/>
        </w:rPr>
        <w:t>. Mengikut pengiraan statisik, ini telah merangkumi 93.4 peratus daripada tenaga buruh Malaysia</w:t>
      </w:r>
      <w:r w:rsidR="00EE2D81">
        <w:rPr>
          <w:rFonts w:ascii="Times New Roman" w:eastAsia="Times New Roman" w:hAnsi="Times New Roman" w:cs="Times New Roman"/>
          <w:color w:val="000000"/>
          <w:sz w:val="24"/>
          <w:szCs w:val="24"/>
          <w:lang w:val="fi-FI"/>
        </w:rPr>
        <w:t xml:space="preserve"> yang terdiri daripada </w:t>
      </w:r>
      <w:r w:rsidR="00EE2D81" w:rsidRPr="00EE2D81">
        <w:rPr>
          <w:rFonts w:ascii="Times New Roman" w:eastAsia="Times New Roman" w:hAnsi="Times New Roman" w:cs="Times New Roman"/>
          <w:color w:val="000000"/>
          <w:sz w:val="24"/>
          <w:szCs w:val="24"/>
        </w:rPr>
        <w:t>golongan berumur di antara 15 sehingga 64 tahun, termasuk berkerja dan pengan</w:t>
      </w:r>
      <w:r w:rsidR="00EE2D81">
        <w:rPr>
          <w:rFonts w:ascii="Times New Roman" w:eastAsia="Times New Roman" w:hAnsi="Times New Roman" w:cs="Times New Roman"/>
          <w:color w:val="000000"/>
          <w:sz w:val="24"/>
          <w:szCs w:val="24"/>
        </w:rPr>
        <w:t>g</w:t>
      </w:r>
      <w:r w:rsidR="00EE2D81" w:rsidRPr="00EE2D81">
        <w:rPr>
          <w:rFonts w:ascii="Times New Roman" w:eastAsia="Times New Roman" w:hAnsi="Times New Roman" w:cs="Times New Roman"/>
          <w:color w:val="000000"/>
          <w:sz w:val="24"/>
          <w:szCs w:val="24"/>
        </w:rPr>
        <w:t>gur</w:t>
      </w:r>
      <w:r w:rsidR="00EE2D81">
        <w:rPr>
          <w:rFonts w:ascii="Times New Roman" w:eastAsia="Times New Roman" w:hAnsi="Times New Roman" w:cs="Times New Roman"/>
          <w:color w:val="000000"/>
          <w:sz w:val="24"/>
          <w:szCs w:val="24"/>
        </w:rPr>
        <w:t>,</w:t>
      </w:r>
      <w:r w:rsidR="00EA10E2" w:rsidRPr="00087940">
        <w:rPr>
          <w:rFonts w:ascii="Times New Roman" w:eastAsia="Times New Roman" w:hAnsi="Times New Roman" w:cs="Times New Roman"/>
          <w:color w:val="000000"/>
          <w:sz w:val="24"/>
          <w:szCs w:val="24"/>
          <w:lang w:val="fi-FI"/>
        </w:rPr>
        <w:t xml:space="preserve"> atau merangkumi 46.6 peratus daripada</w:t>
      </w:r>
      <w:r w:rsidR="00EE2D81">
        <w:rPr>
          <w:rFonts w:ascii="Times New Roman" w:eastAsia="Times New Roman" w:hAnsi="Times New Roman" w:cs="Times New Roman"/>
          <w:color w:val="000000"/>
          <w:sz w:val="24"/>
          <w:szCs w:val="24"/>
          <w:lang w:val="fi-FI"/>
        </w:rPr>
        <w:t xml:space="preserve"> 32.6 juta</w:t>
      </w:r>
      <w:r w:rsidR="00EA10E2" w:rsidRPr="00087940">
        <w:rPr>
          <w:rFonts w:ascii="Times New Roman" w:eastAsia="Times New Roman" w:hAnsi="Times New Roman" w:cs="Times New Roman"/>
          <w:color w:val="000000"/>
          <w:sz w:val="24"/>
          <w:szCs w:val="24"/>
          <w:lang w:val="fi-FI"/>
        </w:rPr>
        <w:t xml:space="preserve"> jumlah populasi negara Malaysia pada tahun 2021. Justeru itu, skim KWSP penting dalam menjadi tumpuan kajian perancangan kewangan individual kerana ia merangkumi golongan terbesar pekerja. Tambahan pula, ia melibatkan jumlah dana simpanan terbesar bagi seseorang individu. Dengan itu, kajian tingkah laku pengeluaran pra-persaraan </w:t>
      </w:r>
      <w:r w:rsidR="00B61C86" w:rsidRPr="00087940">
        <w:rPr>
          <w:rFonts w:ascii="Times New Roman" w:eastAsia="Times New Roman" w:hAnsi="Times New Roman" w:cs="Times New Roman"/>
          <w:color w:val="000000"/>
          <w:sz w:val="24"/>
          <w:szCs w:val="24"/>
          <w:lang w:val="fi-FI"/>
        </w:rPr>
        <w:t>dalam menggunakan dana</w:t>
      </w:r>
      <w:r w:rsidR="00EA10E2" w:rsidRPr="00087940">
        <w:rPr>
          <w:rFonts w:ascii="Times New Roman" w:eastAsia="Times New Roman" w:hAnsi="Times New Roman" w:cs="Times New Roman"/>
          <w:color w:val="000000"/>
          <w:sz w:val="24"/>
          <w:szCs w:val="24"/>
          <w:lang w:val="fi-FI"/>
        </w:rPr>
        <w:t xml:space="preserve"> KWSP oleh ahli adalah </w:t>
      </w:r>
      <w:r w:rsidR="00B61C86" w:rsidRPr="00087940">
        <w:rPr>
          <w:rFonts w:ascii="Times New Roman" w:eastAsia="Times New Roman" w:hAnsi="Times New Roman" w:cs="Times New Roman"/>
          <w:color w:val="000000"/>
          <w:sz w:val="24"/>
          <w:szCs w:val="24"/>
          <w:lang w:val="fi-FI"/>
        </w:rPr>
        <w:t>kritikal</w:t>
      </w:r>
      <w:r w:rsidR="00EA10E2" w:rsidRPr="00087940">
        <w:rPr>
          <w:rFonts w:ascii="Times New Roman" w:eastAsia="Times New Roman" w:hAnsi="Times New Roman" w:cs="Times New Roman"/>
          <w:color w:val="000000"/>
          <w:sz w:val="24"/>
          <w:szCs w:val="24"/>
          <w:lang w:val="fi-FI"/>
        </w:rPr>
        <w:t xml:space="preserve"> dalam mempengaruhi kualiti hidup </w:t>
      </w:r>
      <w:r w:rsidR="00B61C86" w:rsidRPr="00087940">
        <w:rPr>
          <w:rFonts w:ascii="Times New Roman" w:eastAsia="Times New Roman" w:hAnsi="Times New Roman" w:cs="Times New Roman"/>
          <w:color w:val="000000"/>
          <w:sz w:val="24"/>
          <w:szCs w:val="24"/>
          <w:lang w:val="fi-FI"/>
        </w:rPr>
        <w:t>persaraan</w:t>
      </w:r>
      <w:r w:rsidR="00EA10E2" w:rsidRPr="00087940">
        <w:rPr>
          <w:rFonts w:ascii="Times New Roman" w:eastAsia="Times New Roman" w:hAnsi="Times New Roman" w:cs="Times New Roman"/>
          <w:color w:val="000000"/>
          <w:sz w:val="24"/>
          <w:szCs w:val="24"/>
          <w:lang w:val="fi-FI"/>
        </w:rPr>
        <w:t xml:space="preserve">. Memahami kepentingan pengeluaran pra-persaraan ini, </w:t>
      </w:r>
      <w:r w:rsidR="006372C6" w:rsidRPr="00087940">
        <w:rPr>
          <w:rFonts w:ascii="Times New Roman" w:eastAsia="Times New Roman" w:hAnsi="Times New Roman" w:cs="Times New Roman"/>
          <w:color w:val="000000"/>
          <w:sz w:val="24"/>
          <w:szCs w:val="24"/>
          <w:lang w:val="fi-FI"/>
        </w:rPr>
        <w:t>ia</w:t>
      </w:r>
      <w:r w:rsidR="00EA10E2" w:rsidRPr="00087940">
        <w:rPr>
          <w:rFonts w:ascii="Times New Roman" w:eastAsia="Times New Roman" w:hAnsi="Times New Roman" w:cs="Times New Roman"/>
          <w:color w:val="000000"/>
          <w:sz w:val="24"/>
          <w:szCs w:val="24"/>
          <w:lang w:val="fi-FI"/>
        </w:rPr>
        <w:t xml:space="preserve"> seharusnya digunakan sebagai langkah untuk mencapai objektif perancangan kewangan (Laporan Tahunan KWSP</w:t>
      </w:r>
      <w:r w:rsidR="000E1602">
        <w:rPr>
          <w:rFonts w:ascii="Times New Roman" w:eastAsia="Times New Roman" w:hAnsi="Times New Roman" w:cs="Times New Roman"/>
          <w:color w:val="000000"/>
          <w:sz w:val="24"/>
          <w:szCs w:val="24"/>
          <w:lang w:val="fi-FI"/>
        </w:rPr>
        <w:t>,</w:t>
      </w:r>
      <w:r w:rsidR="00EA10E2" w:rsidRPr="00087940">
        <w:rPr>
          <w:rFonts w:ascii="Times New Roman" w:eastAsia="Times New Roman" w:hAnsi="Times New Roman" w:cs="Times New Roman"/>
          <w:color w:val="000000"/>
          <w:sz w:val="24"/>
          <w:szCs w:val="24"/>
          <w:lang w:val="fi-FI"/>
        </w:rPr>
        <w:t xml:space="preserve"> 2019). Di antara pengeluaran pra-persaraan yang dikenalpasti mampu mencapai objektif perancangan kewangan ialah mengumpul dana yang mencukupi dan bebas dari pinjaman tertunggak sewaktu bersara (Khoong, 201</w:t>
      </w:r>
      <w:r w:rsidR="005C417C" w:rsidRPr="00087940">
        <w:rPr>
          <w:rFonts w:ascii="Times New Roman" w:eastAsia="Times New Roman" w:hAnsi="Times New Roman" w:cs="Times New Roman"/>
          <w:color w:val="000000"/>
          <w:sz w:val="24"/>
          <w:szCs w:val="24"/>
          <w:lang w:val="fi-FI"/>
        </w:rPr>
        <w:t>6</w:t>
      </w:r>
      <w:r w:rsidR="004C7783" w:rsidRPr="00087940">
        <w:rPr>
          <w:rFonts w:ascii="Times New Roman" w:eastAsia="Times New Roman" w:hAnsi="Times New Roman" w:cs="Times New Roman"/>
          <w:color w:val="000000"/>
          <w:sz w:val="24"/>
          <w:szCs w:val="24"/>
          <w:lang w:val="fi-FI"/>
        </w:rPr>
        <w:t>; Laporan Tahunan Skim KWSP, 2021</w:t>
      </w:r>
      <w:r w:rsidR="00EA10E2" w:rsidRPr="00087940">
        <w:rPr>
          <w:rFonts w:ascii="Times New Roman" w:eastAsia="Times New Roman" w:hAnsi="Times New Roman" w:cs="Times New Roman"/>
          <w:color w:val="000000"/>
          <w:sz w:val="24"/>
          <w:szCs w:val="24"/>
          <w:lang w:val="fi-FI"/>
        </w:rPr>
        <w:t>)</w:t>
      </w:r>
      <w:r w:rsidR="00C51986">
        <w:rPr>
          <w:rStyle w:val="EndnoteReference"/>
          <w:rFonts w:ascii="Times New Roman" w:eastAsia="Times New Roman" w:hAnsi="Times New Roman" w:cs="Times New Roman"/>
          <w:color w:val="000000"/>
          <w:sz w:val="24"/>
          <w:szCs w:val="24"/>
        </w:rPr>
        <w:endnoteReference w:id="1"/>
      </w:r>
      <w:r w:rsidR="00C51986" w:rsidRPr="00087940">
        <w:rPr>
          <w:rFonts w:ascii="Times New Roman" w:eastAsia="Times New Roman" w:hAnsi="Times New Roman" w:cs="Times New Roman"/>
          <w:color w:val="000000"/>
          <w:sz w:val="24"/>
          <w:szCs w:val="24"/>
          <w:lang w:val="fi-FI"/>
        </w:rPr>
        <w:t>.</w:t>
      </w:r>
    </w:p>
    <w:p w:rsidR="00492A61" w:rsidRDefault="00492A61"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fi-FI"/>
        </w:rPr>
      </w:pPr>
    </w:p>
    <w:p w:rsidR="000E1602" w:rsidRDefault="000E160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fi-FI"/>
        </w:rPr>
      </w:pPr>
    </w:p>
    <w:p w:rsidR="009955C7" w:rsidRPr="00087940" w:rsidRDefault="00EA10E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r w:rsidRPr="00087940">
        <w:rPr>
          <w:rFonts w:ascii="Times New Roman" w:eastAsia="Times New Roman" w:hAnsi="Times New Roman" w:cs="Times New Roman"/>
          <w:b/>
          <w:color w:val="000000"/>
          <w:sz w:val="24"/>
          <w:szCs w:val="24"/>
          <w:lang w:val="fi-FI"/>
        </w:rPr>
        <w:t xml:space="preserve">Permasalahan </w:t>
      </w:r>
      <w:r w:rsidR="005A0BAB" w:rsidRPr="00087940">
        <w:rPr>
          <w:rFonts w:ascii="Times New Roman" w:eastAsia="Times New Roman" w:hAnsi="Times New Roman" w:cs="Times New Roman"/>
          <w:b/>
          <w:color w:val="000000"/>
          <w:sz w:val="24"/>
          <w:szCs w:val="24"/>
          <w:lang w:val="fi-FI"/>
        </w:rPr>
        <w:t>p</w:t>
      </w:r>
      <w:r w:rsidRPr="00087940">
        <w:rPr>
          <w:rFonts w:ascii="Times New Roman" w:eastAsia="Times New Roman" w:hAnsi="Times New Roman" w:cs="Times New Roman"/>
          <w:b/>
          <w:color w:val="000000"/>
          <w:sz w:val="24"/>
          <w:szCs w:val="24"/>
          <w:lang w:val="fi-FI"/>
        </w:rPr>
        <w:t xml:space="preserve">opulasi </w:t>
      </w:r>
      <w:r w:rsidR="005A0BAB" w:rsidRPr="00087940">
        <w:rPr>
          <w:rFonts w:ascii="Times New Roman" w:eastAsia="Times New Roman" w:hAnsi="Times New Roman" w:cs="Times New Roman"/>
          <w:b/>
          <w:color w:val="000000"/>
          <w:sz w:val="24"/>
          <w:szCs w:val="24"/>
          <w:lang w:val="fi-FI"/>
        </w:rPr>
        <w:t>w</w:t>
      </w:r>
      <w:r w:rsidRPr="00087940">
        <w:rPr>
          <w:rFonts w:ascii="Times New Roman" w:eastAsia="Times New Roman" w:hAnsi="Times New Roman" w:cs="Times New Roman"/>
          <w:b/>
          <w:color w:val="000000"/>
          <w:sz w:val="24"/>
          <w:szCs w:val="24"/>
          <w:lang w:val="fi-FI"/>
        </w:rPr>
        <w:t xml:space="preserve">arga </w:t>
      </w:r>
      <w:r w:rsidR="005A0BAB" w:rsidRPr="00087940">
        <w:rPr>
          <w:rFonts w:ascii="Times New Roman" w:eastAsia="Times New Roman" w:hAnsi="Times New Roman" w:cs="Times New Roman"/>
          <w:b/>
          <w:color w:val="000000"/>
          <w:sz w:val="24"/>
          <w:szCs w:val="24"/>
          <w:lang w:val="fi-FI"/>
        </w:rPr>
        <w:t>t</w:t>
      </w:r>
      <w:r w:rsidRPr="00087940">
        <w:rPr>
          <w:rFonts w:ascii="Times New Roman" w:eastAsia="Times New Roman" w:hAnsi="Times New Roman" w:cs="Times New Roman"/>
          <w:b/>
          <w:color w:val="000000"/>
          <w:sz w:val="24"/>
          <w:szCs w:val="24"/>
          <w:lang w:val="fi-FI"/>
        </w:rPr>
        <w:t>ua</w:t>
      </w:r>
      <w:r w:rsidR="009955C7" w:rsidRPr="00087940">
        <w:rPr>
          <w:rFonts w:ascii="Times New Roman" w:eastAsia="Times New Roman" w:hAnsi="Times New Roman" w:cs="Times New Roman"/>
          <w:b/>
          <w:color w:val="000000"/>
          <w:sz w:val="24"/>
          <w:szCs w:val="24"/>
          <w:lang w:val="fi-FI"/>
        </w:rPr>
        <w:t xml:space="preserve"> </w:t>
      </w:r>
    </w:p>
    <w:p w:rsidR="00EA10E2" w:rsidRPr="00087940" w:rsidRDefault="00EA10E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p>
    <w:p w:rsidR="00EA10E2" w:rsidRPr="00EA10E2" w:rsidRDefault="009608A9"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087940">
        <w:rPr>
          <w:rFonts w:ascii="Times New Roman" w:eastAsia="Times New Roman" w:hAnsi="Times New Roman" w:cs="Times New Roman"/>
          <w:color w:val="000000"/>
          <w:sz w:val="24"/>
          <w:szCs w:val="24"/>
          <w:lang w:val="fi-FI"/>
        </w:rPr>
        <w:t>S</w:t>
      </w:r>
      <w:r w:rsidR="00724658" w:rsidRPr="00087940">
        <w:rPr>
          <w:rFonts w:ascii="Times New Roman" w:eastAsia="Times New Roman" w:hAnsi="Times New Roman" w:cs="Times New Roman"/>
          <w:color w:val="000000"/>
          <w:sz w:val="24"/>
          <w:szCs w:val="24"/>
          <w:lang w:val="fi-FI"/>
        </w:rPr>
        <w:t>kim p</w:t>
      </w:r>
      <w:r w:rsidRPr="00087940">
        <w:rPr>
          <w:rFonts w:ascii="Times New Roman" w:eastAsia="Times New Roman" w:hAnsi="Times New Roman" w:cs="Times New Roman"/>
          <w:color w:val="000000"/>
          <w:sz w:val="24"/>
          <w:szCs w:val="24"/>
          <w:lang w:val="fi-FI"/>
        </w:rPr>
        <w:t>ersaraan</w:t>
      </w:r>
      <w:r w:rsidR="00724658" w:rsidRPr="00087940">
        <w:rPr>
          <w:rFonts w:ascii="Times New Roman" w:eastAsia="Times New Roman" w:hAnsi="Times New Roman" w:cs="Times New Roman"/>
          <w:color w:val="000000"/>
          <w:sz w:val="24"/>
          <w:szCs w:val="24"/>
          <w:lang w:val="fi-FI"/>
        </w:rPr>
        <w:t xml:space="preserve"> merupakan dana yang penting untuk penggunaan sewaktu bersara. Justeru itu, kekurangan simpanan di dalam skim persaraan menyebabkan individu menghadapi kesusahan sewaktu bersara, seterusnya menbebankan pihak pentadbiran (Khoong, 2016). </w:t>
      </w:r>
      <w:r w:rsidR="008A208D" w:rsidRPr="00241789">
        <w:rPr>
          <w:rFonts w:ascii="Times New Roman" w:eastAsia="Times New Roman" w:hAnsi="Times New Roman" w:cs="Times New Roman"/>
          <w:color w:val="000000"/>
          <w:sz w:val="24"/>
          <w:szCs w:val="24"/>
        </w:rPr>
        <w:t>Di Malaysia</w:t>
      </w:r>
      <w:r w:rsidR="00EA10E2" w:rsidRPr="00241789">
        <w:rPr>
          <w:rFonts w:ascii="Times New Roman" w:eastAsia="Times New Roman" w:hAnsi="Times New Roman" w:cs="Times New Roman"/>
          <w:color w:val="000000"/>
          <w:sz w:val="24"/>
          <w:szCs w:val="24"/>
        </w:rPr>
        <w:t xml:space="preserve">, populasi warga tua meningkat dengan pesat </w:t>
      </w:r>
      <w:r w:rsidR="008A208D" w:rsidRPr="00241789">
        <w:rPr>
          <w:rFonts w:ascii="Times New Roman" w:eastAsia="Times New Roman" w:hAnsi="Times New Roman" w:cs="Times New Roman"/>
          <w:color w:val="000000"/>
          <w:sz w:val="24"/>
          <w:szCs w:val="24"/>
        </w:rPr>
        <w:t xml:space="preserve">dikesan sejak 2000an </w:t>
      </w:r>
      <w:r w:rsidR="00EA10E2" w:rsidRPr="00241789">
        <w:rPr>
          <w:rFonts w:ascii="Times New Roman" w:eastAsia="Times New Roman" w:hAnsi="Times New Roman" w:cs="Times New Roman"/>
          <w:color w:val="000000"/>
          <w:sz w:val="24"/>
          <w:szCs w:val="24"/>
        </w:rPr>
        <w:t>(Sabri &amp; Teo</w:t>
      </w:r>
      <w:r w:rsidR="000E1602">
        <w:rPr>
          <w:rFonts w:ascii="Times New Roman" w:eastAsia="Times New Roman" w:hAnsi="Times New Roman" w:cs="Times New Roman"/>
          <w:color w:val="000000"/>
          <w:sz w:val="24"/>
          <w:szCs w:val="24"/>
        </w:rPr>
        <w:t>,</w:t>
      </w:r>
      <w:r w:rsidR="00EA10E2" w:rsidRPr="00241789">
        <w:rPr>
          <w:rFonts w:ascii="Times New Roman" w:eastAsia="Times New Roman" w:hAnsi="Times New Roman" w:cs="Times New Roman"/>
          <w:color w:val="000000"/>
          <w:sz w:val="24"/>
          <w:szCs w:val="24"/>
        </w:rPr>
        <w:t xml:space="preserve"> 2014; Khoong, 201</w:t>
      </w:r>
      <w:r w:rsidR="00BC7FF5" w:rsidRPr="00241789">
        <w:rPr>
          <w:rFonts w:ascii="Times New Roman" w:eastAsia="Times New Roman" w:hAnsi="Times New Roman" w:cs="Times New Roman"/>
          <w:color w:val="000000"/>
          <w:sz w:val="24"/>
          <w:szCs w:val="24"/>
        </w:rPr>
        <w:t>6</w:t>
      </w:r>
      <w:r w:rsidR="00E97C3E" w:rsidRPr="00241789">
        <w:rPr>
          <w:rFonts w:ascii="Times New Roman" w:eastAsia="Times New Roman" w:hAnsi="Times New Roman" w:cs="Times New Roman"/>
          <w:color w:val="000000"/>
          <w:sz w:val="24"/>
          <w:szCs w:val="24"/>
        </w:rPr>
        <w:t>; Mohammed et al., 2018</w:t>
      </w:r>
      <w:r w:rsidR="00471B97" w:rsidRPr="00241789">
        <w:rPr>
          <w:rFonts w:ascii="Times New Roman" w:eastAsia="Times New Roman" w:hAnsi="Times New Roman" w:cs="Times New Roman"/>
          <w:color w:val="000000"/>
          <w:sz w:val="24"/>
          <w:szCs w:val="24"/>
        </w:rPr>
        <w:t>; World Bank Research Report, 2020</w:t>
      </w:r>
      <w:r w:rsidR="00EA10E2" w:rsidRPr="00241789">
        <w:rPr>
          <w:rFonts w:ascii="Times New Roman" w:eastAsia="Times New Roman" w:hAnsi="Times New Roman" w:cs="Times New Roman"/>
          <w:color w:val="000000"/>
          <w:sz w:val="24"/>
          <w:szCs w:val="24"/>
        </w:rPr>
        <w:t xml:space="preserve">). </w:t>
      </w:r>
      <w:r w:rsidR="008A208D" w:rsidRPr="00241789">
        <w:rPr>
          <w:rFonts w:ascii="Times New Roman" w:eastAsia="Times New Roman" w:hAnsi="Times New Roman" w:cs="Times New Roman"/>
          <w:color w:val="000000"/>
          <w:sz w:val="24"/>
          <w:szCs w:val="24"/>
        </w:rPr>
        <w:t>K</w:t>
      </w:r>
      <w:r w:rsidR="00EA10E2" w:rsidRPr="00241789">
        <w:rPr>
          <w:rFonts w:ascii="Times New Roman" w:eastAsia="Times New Roman" w:hAnsi="Times New Roman" w:cs="Times New Roman"/>
          <w:color w:val="000000"/>
          <w:sz w:val="24"/>
          <w:szCs w:val="24"/>
        </w:rPr>
        <w:t>adar peningkatan ini dikenalpasti telah melebihi peningkatan di negara-negara maju (</w:t>
      </w:r>
      <w:r w:rsidR="00C65419" w:rsidRPr="00241789">
        <w:rPr>
          <w:rFonts w:ascii="Times New Roman" w:eastAsia="Times New Roman" w:hAnsi="Times New Roman" w:cs="Times New Roman"/>
          <w:color w:val="000000"/>
          <w:sz w:val="24"/>
          <w:szCs w:val="24"/>
        </w:rPr>
        <w:t xml:space="preserve">Mohammed et al., 2018; </w:t>
      </w:r>
      <w:r w:rsidR="00EA10E2" w:rsidRPr="00241789">
        <w:rPr>
          <w:rFonts w:ascii="Times New Roman" w:eastAsia="Times New Roman" w:hAnsi="Times New Roman" w:cs="Times New Roman"/>
          <w:color w:val="000000"/>
          <w:sz w:val="24"/>
          <w:szCs w:val="24"/>
        </w:rPr>
        <w:t>Jabatan Kebajikan Masyarakat</w:t>
      </w:r>
      <w:r w:rsidR="00471B97" w:rsidRPr="00241789">
        <w:rPr>
          <w:rFonts w:ascii="Times New Roman" w:eastAsia="Times New Roman" w:hAnsi="Times New Roman" w:cs="Times New Roman"/>
          <w:color w:val="000000"/>
          <w:sz w:val="24"/>
          <w:szCs w:val="24"/>
        </w:rPr>
        <w:t>,</w:t>
      </w:r>
      <w:r w:rsidR="00EA10E2" w:rsidRPr="00241789">
        <w:rPr>
          <w:rFonts w:ascii="Times New Roman" w:eastAsia="Times New Roman" w:hAnsi="Times New Roman" w:cs="Times New Roman"/>
          <w:color w:val="000000"/>
          <w:sz w:val="24"/>
          <w:szCs w:val="24"/>
        </w:rPr>
        <w:t xml:space="preserve"> 20</w:t>
      </w:r>
      <w:r w:rsidR="00C65419" w:rsidRPr="00241789">
        <w:rPr>
          <w:rFonts w:ascii="Times New Roman" w:eastAsia="Times New Roman" w:hAnsi="Times New Roman" w:cs="Times New Roman"/>
          <w:color w:val="000000"/>
          <w:sz w:val="24"/>
          <w:szCs w:val="24"/>
        </w:rPr>
        <w:t>18</w:t>
      </w:r>
      <w:r w:rsidR="00471B97" w:rsidRPr="00241789">
        <w:rPr>
          <w:rFonts w:ascii="Times New Roman" w:eastAsia="Times New Roman" w:hAnsi="Times New Roman" w:cs="Times New Roman"/>
          <w:color w:val="000000"/>
          <w:sz w:val="24"/>
          <w:szCs w:val="24"/>
        </w:rPr>
        <w:t>; World Bank Research Report, 2020</w:t>
      </w:r>
      <w:r w:rsidR="008A208D" w:rsidRPr="00241789">
        <w:rPr>
          <w:rFonts w:ascii="Times New Roman" w:eastAsia="Times New Roman" w:hAnsi="Times New Roman" w:cs="Times New Roman"/>
          <w:color w:val="000000"/>
          <w:sz w:val="24"/>
          <w:szCs w:val="24"/>
        </w:rPr>
        <w:t xml:space="preserve">). </w:t>
      </w:r>
      <w:r w:rsidR="002916F6">
        <w:rPr>
          <w:rFonts w:ascii="Times New Roman" w:eastAsia="Times New Roman" w:hAnsi="Times New Roman" w:cs="Times New Roman"/>
          <w:color w:val="000000"/>
          <w:sz w:val="24"/>
          <w:szCs w:val="24"/>
        </w:rPr>
        <w:t xml:space="preserve">Jika berbanding dengan negera membangun seperti Sweden yang memerlukan 112 tahun untuk meningkat dari tujuh peratus kepada 14 peratus, warga tua Malaysia hanya memerlukan tempoh 28 tahun sahaja </w:t>
      </w:r>
      <w:r w:rsidR="00EA10E2" w:rsidRPr="00241789">
        <w:rPr>
          <w:rFonts w:ascii="Times New Roman" w:eastAsia="Times New Roman" w:hAnsi="Times New Roman" w:cs="Times New Roman"/>
          <w:color w:val="000000"/>
          <w:sz w:val="24"/>
          <w:szCs w:val="24"/>
        </w:rPr>
        <w:t>(Jabatan Kebajikan Masyarakat</w:t>
      </w:r>
      <w:r w:rsidR="000E1602">
        <w:rPr>
          <w:rFonts w:ascii="Times New Roman" w:eastAsia="Times New Roman" w:hAnsi="Times New Roman" w:cs="Times New Roman"/>
          <w:color w:val="000000"/>
          <w:sz w:val="24"/>
          <w:szCs w:val="24"/>
        </w:rPr>
        <w:t>,</w:t>
      </w:r>
      <w:r w:rsidR="00EA10E2" w:rsidRPr="00241789">
        <w:rPr>
          <w:rFonts w:ascii="Times New Roman" w:eastAsia="Times New Roman" w:hAnsi="Times New Roman" w:cs="Times New Roman"/>
          <w:color w:val="000000"/>
          <w:sz w:val="24"/>
          <w:szCs w:val="24"/>
        </w:rPr>
        <w:t xml:space="preserve"> 2014).</w:t>
      </w:r>
      <w:r w:rsidR="00EA10E2" w:rsidRPr="00EA10E2">
        <w:rPr>
          <w:rFonts w:ascii="Times New Roman" w:eastAsia="Times New Roman" w:hAnsi="Times New Roman" w:cs="Times New Roman"/>
          <w:color w:val="000000"/>
          <w:sz w:val="24"/>
          <w:szCs w:val="24"/>
        </w:rPr>
        <w:t xml:space="preserve"> </w:t>
      </w:r>
    </w:p>
    <w:p w:rsidR="00EA10E2" w:rsidRPr="00087940" w:rsidRDefault="00945014" w:rsidP="00C519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fi-FI"/>
        </w:rPr>
      </w:pPr>
      <w:r>
        <w:rPr>
          <w:rFonts w:ascii="Times New Roman" w:eastAsia="Times New Roman" w:hAnsi="Times New Roman" w:cs="Times New Roman"/>
          <w:color w:val="000000"/>
          <w:sz w:val="24"/>
          <w:szCs w:val="24"/>
        </w:rPr>
        <w:t>G</w:t>
      </w:r>
      <w:r w:rsidR="00EA10E2" w:rsidRPr="00EA10E2">
        <w:rPr>
          <w:rFonts w:ascii="Times New Roman" w:eastAsia="Times New Roman" w:hAnsi="Times New Roman" w:cs="Times New Roman"/>
          <w:color w:val="000000"/>
          <w:sz w:val="24"/>
          <w:szCs w:val="24"/>
        </w:rPr>
        <w:t xml:space="preserve">olongan warga tua </w:t>
      </w:r>
      <w:r>
        <w:rPr>
          <w:rFonts w:ascii="Times New Roman" w:eastAsia="Times New Roman" w:hAnsi="Times New Roman" w:cs="Times New Roman"/>
          <w:color w:val="000000"/>
          <w:sz w:val="24"/>
          <w:szCs w:val="24"/>
        </w:rPr>
        <w:t>merupakan</w:t>
      </w:r>
      <w:r w:rsidR="00EA10E2" w:rsidRPr="00EA10E2">
        <w:rPr>
          <w:rFonts w:ascii="Times New Roman" w:eastAsia="Times New Roman" w:hAnsi="Times New Roman" w:cs="Times New Roman"/>
          <w:color w:val="000000"/>
          <w:sz w:val="24"/>
          <w:szCs w:val="24"/>
        </w:rPr>
        <w:t xml:space="preserve"> golongan individu yang mencecah umur 60 tahun dan ke atas. Sebenarnya, titik permulaan proses penuaan penduduk </w:t>
      </w:r>
      <w:r w:rsidR="00045EC6" w:rsidRPr="00EA10E2">
        <w:rPr>
          <w:rFonts w:ascii="Times New Roman" w:eastAsia="Times New Roman" w:hAnsi="Times New Roman" w:cs="Times New Roman"/>
          <w:color w:val="000000"/>
          <w:sz w:val="24"/>
          <w:szCs w:val="24"/>
        </w:rPr>
        <w:t>(</w:t>
      </w:r>
      <w:r w:rsidR="00045EC6" w:rsidRPr="00AF7627">
        <w:rPr>
          <w:rFonts w:ascii="Times New Roman" w:eastAsia="Times New Roman" w:hAnsi="Times New Roman" w:cs="Times New Roman"/>
          <w:i/>
          <w:color w:val="000000"/>
          <w:sz w:val="24"/>
          <w:szCs w:val="24"/>
        </w:rPr>
        <w:t>aging population</w:t>
      </w:r>
      <w:r w:rsidR="00045EC6" w:rsidRPr="00EA10E2">
        <w:rPr>
          <w:rFonts w:ascii="Times New Roman" w:eastAsia="Times New Roman" w:hAnsi="Times New Roman" w:cs="Times New Roman"/>
          <w:color w:val="000000"/>
          <w:sz w:val="24"/>
          <w:szCs w:val="24"/>
        </w:rPr>
        <w:t xml:space="preserve">) </w:t>
      </w:r>
      <w:r w:rsidR="00EA10E2" w:rsidRPr="00EA10E2">
        <w:rPr>
          <w:rFonts w:ascii="Times New Roman" w:eastAsia="Times New Roman" w:hAnsi="Times New Roman" w:cs="Times New Roman"/>
          <w:color w:val="000000"/>
          <w:sz w:val="24"/>
          <w:szCs w:val="24"/>
        </w:rPr>
        <w:t xml:space="preserve">ialah apabila sebuah negara </w:t>
      </w:r>
      <w:r w:rsidR="00C17EFD">
        <w:rPr>
          <w:rFonts w:ascii="Times New Roman" w:eastAsia="Times New Roman" w:hAnsi="Times New Roman" w:cs="Times New Roman"/>
          <w:color w:val="000000"/>
          <w:sz w:val="24"/>
          <w:szCs w:val="24"/>
        </w:rPr>
        <w:t>mempunyai</w:t>
      </w:r>
      <w:r w:rsidR="004D646C">
        <w:rPr>
          <w:rFonts w:ascii="Times New Roman" w:eastAsia="Times New Roman" w:hAnsi="Times New Roman" w:cs="Times New Roman"/>
          <w:color w:val="000000"/>
          <w:sz w:val="24"/>
          <w:szCs w:val="24"/>
        </w:rPr>
        <w:t xml:space="preserve"> t</w:t>
      </w:r>
      <w:r w:rsidR="00EA10E2" w:rsidRPr="00EA10E2">
        <w:rPr>
          <w:rFonts w:ascii="Times New Roman" w:eastAsia="Times New Roman" w:hAnsi="Times New Roman" w:cs="Times New Roman"/>
          <w:color w:val="000000"/>
          <w:sz w:val="24"/>
          <w:szCs w:val="24"/>
        </w:rPr>
        <w:t>ujuh peratus golongan warga tua (</w:t>
      </w:r>
      <w:r w:rsidR="00471B97">
        <w:rPr>
          <w:rFonts w:ascii="Times New Roman" w:eastAsia="Times New Roman" w:hAnsi="Times New Roman" w:cs="Times New Roman"/>
          <w:color w:val="000000"/>
          <w:sz w:val="24"/>
          <w:szCs w:val="24"/>
        </w:rPr>
        <w:t>World Bank Research Report, 2020</w:t>
      </w:r>
      <w:r w:rsidR="00EA10E2" w:rsidRPr="00EA10E2">
        <w:rPr>
          <w:rFonts w:ascii="Times New Roman" w:eastAsia="Times New Roman" w:hAnsi="Times New Roman" w:cs="Times New Roman"/>
          <w:color w:val="000000"/>
          <w:sz w:val="24"/>
          <w:szCs w:val="24"/>
        </w:rPr>
        <w:t>). Selanjutnya, sesebuah negara dikategorikan penuaan penduduk apabila 15 peratus daripada jumlah penduduk adalah warga tua (Jabatan Kebajikan Masyarakat, 20</w:t>
      </w:r>
      <w:r w:rsidR="00471B97">
        <w:rPr>
          <w:rFonts w:ascii="Times New Roman" w:eastAsia="Times New Roman" w:hAnsi="Times New Roman" w:cs="Times New Roman"/>
          <w:color w:val="000000"/>
          <w:sz w:val="24"/>
          <w:szCs w:val="24"/>
        </w:rPr>
        <w:t>19; World Bank Research Report, 2020</w:t>
      </w:r>
      <w:r w:rsidR="00EA10E2" w:rsidRPr="00EA10E2">
        <w:rPr>
          <w:rFonts w:ascii="Times New Roman" w:eastAsia="Times New Roman" w:hAnsi="Times New Roman" w:cs="Times New Roman"/>
          <w:color w:val="000000"/>
          <w:sz w:val="24"/>
          <w:szCs w:val="24"/>
        </w:rPr>
        <w:t xml:space="preserve">). Di Malaysia, golongan yang berumur 65 dan ke atas ialah 7.2 peratus pada tahun 2020, dan dijangka mencecah 14.5 peratus pada tahun 2040. </w:t>
      </w:r>
      <w:r w:rsidR="000D1065" w:rsidRPr="00087940">
        <w:rPr>
          <w:rFonts w:ascii="Times New Roman" w:eastAsia="Times New Roman" w:hAnsi="Times New Roman" w:cs="Times New Roman"/>
          <w:color w:val="000000"/>
          <w:sz w:val="24"/>
          <w:szCs w:val="24"/>
          <w:lang w:val="fi-FI"/>
        </w:rPr>
        <w:t xml:space="preserve">Manakala, berdasarkan jangkaan Jabatan </w:t>
      </w:r>
      <w:r w:rsidR="00311634" w:rsidRPr="00087940">
        <w:rPr>
          <w:rFonts w:ascii="Times New Roman" w:eastAsia="Times New Roman" w:hAnsi="Times New Roman" w:cs="Times New Roman"/>
          <w:color w:val="000000"/>
          <w:sz w:val="24"/>
          <w:szCs w:val="24"/>
          <w:lang w:val="fi-FI"/>
        </w:rPr>
        <w:t>Perangkaan</w:t>
      </w:r>
      <w:r w:rsidR="000D1065" w:rsidRPr="00087940">
        <w:rPr>
          <w:rFonts w:ascii="Times New Roman" w:eastAsia="Times New Roman" w:hAnsi="Times New Roman" w:cs="Times New Roman"/>
          <w:color w:val="000000"/>
          <w:sz w:val="24"/>
          <w:szCs w:val="24"/>
          <w:lang w:val="fi-FI"/>
        </w:rPr>
        <w:t xml:space="preserve"> Malaysia</w:t>
      </w:r>
      <w:r w:rsidR="00311634" w:rsidRPr="00087940">
        <w:rPr>
          <w:rFonts w:ascii="Times New Roman" w:eastAsia="Times New Roman" w:hAnsi="Times New Roman" w:cs="Times New Roman"/>
          <w:color w:val="000000"/>
          <w:sz w:val="24"/>
          <w:szCs w:val="24"/>
          <w:lang w:val="fi-FI"/>
        </w:rPr>
        <w:t xml:space="preserve"> (2021)</w:t>
      </w:r>
      <w:r w:rsidR="000D1065" w:rsidRPr="00087940">
        <w:rPr>
          <w:rFonts w:ascii="Times New Roman" w:eastAsia="Times New Roman" w:hAnsi="Times New Roman" w:cs="Times New Roman"/>
          <w:color w:val="000000"/>
          <w:sz w:val="24"/>
          <w:szCs w:val="24"/>
          <w:lang w:val="fi-FI"/>
        </w:rPr>
        <w:t xml:space="preserve">, anggaran </w:t>
      </w:r>
      <w:r w:rsidR="00C17EFD" w:rsidRPr="00087940">
        <w:rPr>
          <w:rFonts w:ascii="Times New Roman" w:eastAsia="Times New Roman" w:hAnsi="Times New Roman" w:cs="Times New Roman"/>
          <w:color w:val="000000"/>
          <w:sz w:val="24"/>
          <w:szCs w:val="24"/>
          <w:lang w:val="fi-FI"/>
        </w:rPr>
        <w:t xml:space="preserve">warga tua </w:t>
      </w:r>
      <w:r w:rsidR="000D1065" w:rsidRPr="00087940">
        <w:rPr>
          <w:rFonts w:ascii="Times New Roman" w:eastAsia="Times New Roman" w:hAnsi="Times New Roman" w:cs="Times New Roman"/>
          <w:color w:val="000000"/>
          <w:sz w:val="24"/>
          <w:szCs w:val="24"/>
          <w:lang w:val="fi-FI"/>
        </w:rPr>
        <w:t xml:space="preserve">pada tahun 2021 telah mencecah 8.1 peratus. </w:t>
      </w:r>
      <w:r w:rsidR="00D277C0" w:rsidRPr="00087940">
        <w:rPr>
          <w:rFonts w:ascii="Times New Roman" w:eastAsia="Times New Roman" w:hAnsi="Times New Roman" w:cs="Times New Roman"/>
          <w:color w:val="000000"/>
          <w:sz w:val="24"/>
          <w:szCs w:val="24"/>
          <w:lang w:val="fi-FI"/>
        </w:rPr>
        <w:t xml:space="preserve">Hakikatnya, Malaysia telah melepasi titik permulaan penuaan penduduk, dan </w:t>
      </w:r>
      <w:r w:rsidR="00EA10E2" w:rsidRPr="00087940">
        <w:rPr>
          <w:rFonts w:ascii="Times New Roman" w:eastAsia="Times New Roman" w:hAnsi="Times New Roman" w:cs="Times New Roman"/>
          <w:color w:val="000000"/>
          <w:sz w:val="24"/>
          <w:szCs w:val="24"/>
          <w:lang w:val="fi-FI"/>
        </w:rPr>
        <w:t xml:space="preserve">dikategorikan </w:t>
      </w:r>
      <w:r w:rsidR="00D277C0" w:rsidRPr="00087940">
        <w:rPr>
          <w:rFonts w:ascii="Times New Roman" w:eastAsia="Times New Roman" w:hAnsi="Times New Roman" w:cs="Times New Roman"/>
          <w:color w:val="000000"/>
          <w:sz w:val="24"/>
          <w:szCs w:val="24"/>
          <w:lang w:val="fi-FI"/>
        </w:rPr>
        <w:t xml:space="preserve">negara </w:t>
      </w:r>
      <w:r w:rsidR="00EA10E2" w:rsidRPr="00087940">
        <w:rPr>
          <w:rFonts w:ascii="Times New Roman" w:eastAsia="Times New Roman" w:hAnsi="Times New Roman" w:cs="Times New Roman"/>
          <w:color w:val="000000"/>
          <w:sz w:val="24"/>
          <w:szCs w:val="24"/>
          <w:lang w:val="fi-FI"/>
        </w:rPr>
        <w:t>penuaan penduduk dalam masa kurang 20 tahun</w:t>
      </w:r>
      <w:r w:rsidR="000304AB" w:rsidRPr="00087940">
        <w:rPr>
          <w:rFonts w:ascii="Times New Roman" w:eastAsia="Times New Roman" w:hAnsi="Times New Roman" w:cs="Times New Roman"/>
          <w:color w:val="000000"/>
          <w:sz w:val="24"/>
          <w:szCs w:val="24"/>
          <w:lang w:val="fi-FI"/>
        </w:rPr>
        <w:t xml:space="preserve">, iaitu </w:t>
      </w:r>
      <w:r w:rsidR="00EA10E2" w:rsidRPr="00087940">
        <w:rPr>
          <w:rFonts w:ascii="Times New Roman" w:eastAsia="Times New Roman" w:hAnsi="Times New Roman" w:cs="Times New Roman"/>
          <w:color w:val="000000"/>
          <w:sz w:val="24"/>
          <w:szCs w:val="24"/>
          <w:lang w:val="fi-FI"/>
        </w:rPr>
        <w:t>sebelum mencapai Rancangan Malaysia Ke-14</w:t>
      </w:r>
      <w:r w:rsidR="000304AB" w:rsidRPr="00087940">
        <w:rPr>
          <w:rFonts w:ascii="Times New Roman" w:eastAsia="Times New Roman" w:hAnsi="Times New Roman" w:cs="Times New Roman"/>
          <w:color w:val="000000"/>
          <w:sz w:val="24"/>
          <w:szCs w:val="24"/>
          <w:lang w:val="fi-FI"/>
        </w:rPr>
        <w:t xml:space="preserve"> (RM14)</w:t>
      </w:r>
      <w:r w:rsidR="00EA10E2" w:rsidRPr="00087940">
        <w:rPr>
          <w:rFonts w:ascii="Times New Roman" w:eastAsia="Times New Roman" w:hAnsi="Times New Roman" w:cs="Times New Roman"/>
          <w:color w:val="000000"/>
          <w:sz w:val="24"/>
          <w:szCs w:val="24"/>
          <w:lang w:val="fi-FI"/>
        </w:rPr>
        <w:t>.</w:t>
      </w:r>
      <w:r w:rsidR="00312E44" w:rsidRPr="00087940">
        <w:rPr>
          <w:rFonts w:ascii="Times New Roman" w:eastAsia="Times New Roman" w:hAnsi="Times New Roman" w:cs="Times New Roman"/>
          <w:color w:val="000000"/>
          <w:sz w:val="24"/>
          <w:szCs w:val="24"/>
          <w:lang w:val="fi-FI"/>
        </w:rPr>
        <w:t xml:space="preserve"> F</w:t>
      </w:r>
      <w:r w:rsidR="00EA10E2" w:rsidRPr="00087940">
        <w:rPr>
          <w:rFonts w:ascii="Times New Roman" w:eastAsia="Times New Roman" w:hAnsi="Times New Roman" w:cs="Times New Roman"/>
          <w:color w:val="000000"/>
          <w:sz w:val="24"/>
          <w:szCs w:val="24"/>
          <w:lang w:val="fi-FI"/>
        </w:rPr>
        <w:t>enomena penuaan penduduk ini menimbulkan dua masalah, iaitu kesihatan dan kewangan (</w:t>
      </w:r>
      <w:r w:rsidR="00654F89" w:rsidRPr="00087940">
        <w:rPr>
          <w:rFonts w:ascii="Times New Roman" w:eastAsia="Times New Roman" w:hAnsi="Times New Roman" w:cs="Times New Roman"/>
          <w:color w:val="000000"/>
          <w:sz w:val="24"/>
          <w:szCs w:val="24"/>
          <w:lang w:val="fi-FI"/>
        </w:rPr>
        <w:t>Jabatan Kebajikan Masyarakat, 2014;</w:t>
      </w:r>
      <w:r w:rsidR="00BC7FF5" w:rsidRPr="00087940">
        <w:rPr>
          <w:rFonts w:ascii="Times New Roman" w:eastAsia="Times New Roman" w:hAnsi="Times New Roman" w:cs="Times New Roman"/>
          <w:color w:val="000000"/>
          <w:sz w:val="24"/>
          <w:szCs w:val="24"/>
          <w:lang w:val="fi-FI"/>
        </w:rPr>
        <w:t xml:space="preserve"> </w:t>
      </w:r>
      <w:r w:rsidR="00654F89" w:rsidRPr="00087940">
        <w:rPr>
          <w:rFonts w:ascii="Times New Roman" w:eastAsia="Times New Roman" w:hAnsi="Times New Roman" w:cs="Times New Roman"/>
          <w:color w:val="000000"/>
          <w:sz w:val="24"/>
          <w:szCs w:val="24"/>
          <w:lang w:val="fi-FI"/>
        </w:rPr>
        <w:t>Khoong</w:t>
      </w:r>
      <w:r w:rsidR="00EA10E2" w:rsidRPr="00087940">
        <w:rPr>
          <w:rFonts w:ascii="Times New Roman" w:eastAsia="Times New Roman" w:hAnsi="Times New Roman" w:cs="Times New Roman"/>
          <w:color w:val="000000"/>
          <w:sz w:val="24"/>
          <w:szCs w:val="24"/>
          <w:lang w:val="fi-FI"/>
        </w:rPr>
        <w:t>, 201</w:t>
      </w:r>
      <w:r w:rsidR="00BC7FF5" w:rsidRPr="00087940">
        <w:rPr>
          <w:rFonts w:ascii="Times New Roman" w:eastAsia="Times New Roman" w:hAnsi="Times New Roman" w:cs="Times New Roman"/>
          <w:color w:val="000000"/>
          <w:sz w:val="24"/>
          <w:szCs w:val="24"/>
          <w:lang w:val="fi-FI"/>
        </w:rPr>
        <w:t>6</w:t>
      </w:r>
      <w:r w:rsidR="00654F89" w:rsidRPr="00087940">
        <w:rPr>
          <w:rFonts w:ascii="Times New Roman" w:eastAsia="Times New Roman" w:hAnsi="Times New Roman" w:cs="Times New Roman"/>
          <w:color w:val="000000"/>
          <w:sz w:val="24"/>
          <w:szCs w:val="24"/>
          <w:lang w:val="fi-FI"/>
        </w:rPr>
        <w:t xml:space="preserve">; </w:t>
      </w:r>
      <w:r w:rsidR="00E3017F" w:rsidRPr="00087940">
        <w:rPr>
          <w:rFonts w:ascii="Times New Roman" w:eastAsia="Times New Roman" w:hAnsi="Times New Roman" w:cs="Times New Roman"/>
          <w:color w:val="000000"/>
          <w:sz w:val="24"/>
          <w:szCs w:val="24"/>
          <w:lang w:val="fi-FI"/>
        </w:rPr>
        <w:t>Jabatan Kebajikan Masyarakat, 2018</w:t>
      </w:r>
      <w:r w:rsidR="005706ED" w:rsidRPr="00087940">
        <w:rPr>
          <w:rFonts w:ascii="Times New Roman" w:eastAsia="Times New Roman" w:hAnsi="Times New Roman" w:cs="Times New Roman"/>
          <w:color w:val="000000"/>
          <w:sz w:val="24"/>
          <w:szCs w:val="24"/>
          <w:lang w:val="fi-FI"/>
        </w:rPr>
        <w:t>; World Bank Research Report, 2020</w:t>
      </w:r>
      <w:r w:rsidR="00EA10E2" w:rsidRPr="00087940">
        <w:rPr>
          <w:rFonts w:ascii="Times New Roman" w:eastAsia="Times New Roman" w:hAnsi="Times New Roman" w:cs="Times New Roman"/>
          <w:color w:val="000000"/>
          <w:sz w:val="24"/>
          <w:szCs w:val="24"/>
          <w:lang w:val="fi-FI"/>
        </w:rPr>
        <w:t>).</w:t>
      </w:r>
    </w:p>
    <w:p w:rsidR="00EA10E2" w:rsidRPr="00087940" w:rsidRDefault="00EA10E2" w:rsidP="00C519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fi-FI"/>
        </w:rPr>
      </w:pPr>
      <w:r w:rsidRPr="00087940">
        <w:rPr>
          <w:rFonts w:ascii="Times New Roman" w:eastAsia="Times New Roman" w:hAnsi="Times New Roman" w:cs="Times New Roman"/>
          <w:color w:val="000000"/>
          <w:sz w:val="24"/>
          <w:szCs w:val="24"/>
          <w:lang w:val="fi-FI"/>
        </w:rPr>
        <w:lastRenderedPageBreak/>
        <w:t xml:space="preserve">Dalam mengatasi masalah kesihatan penuaan penduduk, Dasar Warga Emas Negara (DWEN) dan Pelan Tindakan Warga Emas Negara (PTWEN) </w:t>
      </w:r>
      <w:r w:rsidR="00164FB5" w:rsidRPr="00087940">
        <w:rPr>
          <w:rFonts w:ascii="Times New Roman" w:eastAsia="Times New Roman" w:hAnsi="Times New Roman" w:cs="Times New Roman"/>
          <w:color w:val="000000"/>
          <w:sz w:val="24"/>
          <w:szCs w:val="24"/>
          <w:lang w:val="fi-FI"/>
        </w:rPr>
        <w:t xml:space="preserve">initiatif </w:t>
      </w:r>
      <w:r w:rsidRPr="00087940">
        <w:rPr>
          <w:rFonts w:ascii="Times New Roman" w:eastAsia="Times New Roman" w:hAnsi="Times New Roman" w:cs="Times New Roman"/>
          <w:color w:val="000000"/>
          <w:sz w:val="24"/>
          <w:szCs w:val="24"/>
          <w:lang w:val="fi-FI"/>
        </w:rPr>
        <w:t>diluluskan</w:t>
      </w:r>
      <w:r w:rsidR="00164FB5" w:rsidRPr="00087940">
        <w:rPr>
          <w:rFonts w:ascii="Times New Roman" w:eastAsia="Times New Roman" w:hAnsi="Times New Roman" w:cs="Times New Roman"/>
          <w:color w:val="000000"/>
          <w:sz w:val="24"/>
          <w:szCs w:val="24"/>
          <w:lang w:val="fi-FI"/>
        </w:rPr>
        <w:t>, pada tahun 2011,</w:t>
      </w:r>
      <w:r w:rsidRPr="00087940">
        <w:rPr>
          <w:rFonts w:ascii="Times New Roman" w:eastAsia="Times New Roman" w:hAnsi="Times New Roman" w:cs="Times New Roman"/>
          <w:color w:val="000000"/>
          <w:sz w:val="24"/>
          <w:szCs w:val="24"/>
          <w:lang w:val="fi-FI"/>
        </w:rPr>
        <w:t xml:space="preserve"> untuk</w:t>
      </w:r>
      <w:r w:rsidR="00164FB5" w:rsidRPr="00087940">
        <w:rPr>
          <w:rFonts w:ascii="Times New Roman" w:eastAsia="Times New Roman" w:hAnsi="Times New Roman" w:cs="Times New Roman"/>
          <w:color w:val="000000"/>
          <w:sz w:val="24"/>
          <w:szCs w:val="24"/>
          <w:lang w:val="fi-FI"/>
        </w:rPr>
        <w:t xml:space="preserve"> mengatasi kedua-dua </w:t>
      </w:r>
      <w:r w:rsidRPr="00087940">
        <w:rPr>
          <w:rFonts w:ascii="Times New Roman" w:eastAsia="Times New Roman" w:hAnsi="Times New Roman" w:cs="Times New Roman"/>
          <w:color w:val="000000"/>
          <w:sz w:val="24"/>
          <w:szCs w:val="24"/>
          <w:lang w:val="fi-FI"/>
        </w:rPr>
        <w:t xml:space="preserve">keperluan semasa dan </w:t>
      </w:r>
      <w:r w:rsidR="005B157D" w:rsidRPr="00087940">
        <w:rPr>
          <w:rFonts w:ascii="Times New Roman" w:eastAsia="Times New Roman" w:hAnsi="Times New Roman" w:cs="Times New Roman"/>
          <w:color w:val="000000"/>
          <w:sz w:val="24"/>
          <w:szCs w:val="24"/>
          <w:lang w:val="fi-FI"/>
        </w:rPr>
        <w:t xml:space="preserve">pada </w:t>
      </w:r>
      <w:r w:rsidRPr="00087940">
        <w:rPr>
          <w:rFonts w:ascii="Times New Roman" w:eastAsia="Times New Roman" w:hAnsi="Times New Roman" w:cs="Times New Roman"/>
          <w:color w:val="000000"/>
          <w:sz w:val="24"/>
          <w:szCs w:val="24"/>
          <w:lang w:val="fi-FI"/>
        </w:rPr>
        <w:t>masa hadapan</w:t>
      </w:r>
      <w:r w:rsidR="0034133B" w:rsidRPr="00087940">
        <w:rPr>
          <w:rFonts w:ascii="Times New Roman" w:eastAsia="Times New Roman" w:hAnsi="Times New Roman" w:cs="Times New Roman"/>
          <w:color w:val="000000"/>
          <w:sz w:val="24"/>
          <w:szCs w:val="24"/>
          <w:lang w:val="fi-FI"/>
        </w:rPr>
        <w:t xml:space="preserve"> </w:t>
      </w:r>
      <w:r w:rsidR="00164FB5" w:rsidRPr="00087940">
        <w:rPr>
          <w:rFonts w:ascii="Times New Roman" w:eastAsia="Times New Roman" w:hAnsi="Times New Roman" w:cs="Times New Roman"/>
          <w:color w:val="000000"/>
          <w:sz w:val="24"/>
          <w:szCs w:val="24"/>
          <w:lang w:val="fi-FI"/>
        </w:rPr>
        <w:t>individu</w:t>
      </w:r>
      <w:r w:rsidRPr="00087940">
        <w:rPr>
          <w:rFonts w:ascii="Times New Roman" w:eastAsia="Times New Roman" w:hAnsi="Times New Roman" w:cs="Times New Roman"/>
          <w:color w:val="000000"/>
          <w:sz w:val="24"/>
          <w:szCs w:val="24"/>
          <w:lang w:val="fi-FI"/>
        </w:rPr>
        <w:t>.</w:t>
      </w:r>
      <w:r w:rsidR="002A0031" w:rsidRPr="00087940">
        <w:rPr>
          <w:rFonts w:ascii="Times New Roman" w:eastAsia="Times New Roman" w:hAnsi="Times New Roman" w:cs="Times New Roman"/>
          <w:color w:val="000000"/>
          <w:sz w:val="24"/>
          <w:szCs w:val="24"/>
          <w:lang w:val="fi-FI"/>
        </w:rPr>
        <w:t xml:space="preserve"> Seterusnya, i</w:t>
      </w:r>
      <w:r w:rsidR="005B157D" w:rsidRPr="00087940">
        <w:rPr>
          <w:rFonts w:ascii="Times New Roman" w:eastAsia="Times New Roman" w:hAnsi="Times New Roman" w:cs="Times New Roman"/>
          <w:color w:val="000000"/>
          <w:sz w:val="24"/>
          <w:szCs w:val="24"/>
          <w:lang w:val="fi-FI"/>
        </w:rPr>
        <w:t>nitiatif i</w:t>
      </w:r>
      <w:r w:rsidRPr="00087940">
        <w:rPr>
          <w:rFonts w:ascii="Times New Roman" w:eastAsia="Times New Roman" w:hAnsi="Times New Roman" w:cs="Times New Roman"/>
          <w:color w:val="000000"/>
          <w:sz w:val="24"/>
          <w:szCs w:val="24"/>
          <w:lang w:val="fi-FI"/>
        </w:rPr>
        <w:t xml:space="preserve">ni dilanjutkan dalam Pelan Strategik Jabatan Kebajikan Masyarakat 2021 - 2025. Ini membuktikan kominten pihak kerajaan dalam membantu mewujudkan golongan warga </w:t>
      </w:r>
      <w:r w:rsidR="00682272" w:rsidRPr="00087940">
        <w:rPr>
          <w:rFonts w:ascii="Times New Roman" w:eastAsia="Times New Roman" w:hAnsi="Times New Roman" w:cs="Times New Roman"/>
          <w:color w:val="000000"/>
          <w:sz w:val="24"/>
          <w:szCs w:val="24"/>
          <w:lang w:val="fi-FI"/>
        </w:rPr>
        <w:t>tua</w:t>
      </w:r>
      <w:r w:rsidRPr="00087940">
        <w:rPr>
          <w:rFonts w:ascii="Times New Roman" w:eastAsia="Times New Roman" w:hAnsi="Times New Roman" w:cs="Times New Roman"/>
          <w:color w:val="000000"/>
          <w:sz w:val="24"/>
          <w:szCs w:val="24"/>
          <w:lang w:val="fi-FI"/>
        </w:rPr>
        <w:t xml:space="preserve"> yang </w:t>
      </w:r>
      <w:r w:rsidR="00682272" w:rsidRPr="00087940">
        <w:rPr>
          <w:rFonts w:ascii="Times New Roman" w:eastAsia="Times New Roman" w:hAnsi="Times New Roman" w:cs="Times New Roman"/>
          <w:color w:val="000000"/>
          <w:sz w:val="24"/>
          <w:szCs w:val="24"/>
          <w:lang w:val="fi-FI"/>
        </w:rPr>
        <w:t xml:space="preserve">berupaya </w:t>
      </w:r>
      <w:r w:rsidR="00164FB5" w:rsidRPr="00087940">
        <w:rPr>
          <w:rFonts w:ascii="Times New Roman" w:eastAsia="Times New Roman" w:hAnsi="Times New Roman" w:cs="Times New Roman"/>
          <w:color w:val="000000"/>
          <w:sz w:val="24"/>
          <w:szCs w:val="24"/>
          <w:lang w:val="fi-FI"/>
        </w:rPr>
        <w:t>berdikari melakukan aktiviti-aktiviti harian</w:t>
      </w:r>
      <w:r w:rsidRPr="00087940">
        <w:rPr>
          <w:rFonts w:ascii="Times New Roman" w:eastAsia="Times New Roman" w:hAnsi="Times New Roman" w:cs="Times New Roman"/>
          <w:color w:val="000000"/>
          <w:sz w:val="24"/>
          <w:szCs w:val="24"/>
          <w:lang w:val="fi-FI"/>
        </w:rPr>
        <w:t>, bermartadat</w:t>
      </w:r>
      <w:r w:rsidR="00164FB5" w:rsidRPr="00087940">
        <w:rPr>
          <w:rFonts w:ascii="Times New Roman" w:eastAsia="Times New Roman" w:hAnsi="Times New Roman" w:cs="Times New Roman"/>
          <w:color w:val="000000"/>
          <w:sz w:val="24"/>
          <w:szCs w:val="24"/>
          <w:lang w:val="fi-FI"/>
        </w:rPr>
        <w:t xml:space="preserve"> maruah </w:t>
      </w:r>
      <w:r w:rsidRPr="00087940">
        <w:rPr>
          <w:rFonts w:ascii="Times New Roman" w:eastAsia="Times New Roman" w:hAnsi="Times New Roman" w:cs="Times New Roman"/>
          <w:color w:val="000000"/>
          <w:sz w:val="24"/>
          <w:szCs w:val="24"/>
          <w:lang w:val="fi-FI"/>
        </w:rPr>
        <w:t xml:space="preserve">dan dihormati dengan </w:t>
      </w:r>
      <w:r w:rsidR="00164FB5" w:rsidRPr="00087940">
        <w:rPr>
          <w:rFonts w:ascii="Times New Roman" w:eastAsia="Times New Roman" w:hAnsi="Times New Roman" w:cs="Times New Roman"/>
          <w:color w:val="000000"/>
          <w:sz w:val="24"/>
          <w:szCs w:val="24"/>
          <w:lang w:val="fi-FI"/>
        </w:rPr>
        <w:t>meningkatkan</w:t>
      </w:r>
      <w:r w:rsidRPr="00087940">
        <w:rPr>
          <w:rFonts w:ascii="Times New Roman" w:eastAsia="Times New Roman" w:hAnsi="Times New Roman" w:cs="Times New Roman"/>
          <w:color w:val="000000"/>
          <w:sz w:val="24"/>
          <w:szCs w:val="24"/>
          <w:lang w:val="fi-FI"/>
        </w:rPr>
        <w:t xml:space="preserve"> </w:t>
      </w:r>
      <w:r w:rsidR="00164FB5" w:rsidRPr="00087940">
        <w:rPr>
          <w:rFonts w:ascii="Times New Roman" w:eastAsia="Times New Roman" w:hAnsi="Times New Roman" w:cs="Times New Roman"/>
          <w:color w:val="000000"/>
          <w:sz w:val="24"/>
          <w:szCs w:val="24"/>
          <w:lang w:val="fi-FI"/>
        </w:rPr>
        <w:t xml:space="preserve">keupayaan </w:t>
      </w:r>
      <w:r w:rsidRPr="00087940">
        <w:rPr>
          <w:rFonts w:ascii="Times New Roman" w:eastAsia="Times New Roman" w:hAnsi="Times New Roman" w:cs="Times New Roman"/>
          <w:color w:val="000000"/>
          <w:sz w:val="24"/>
          <w:szCs w:val="24"/>
          <w:lang w:val="fi-FI"/>
        </w:rPr>
        <w:t xml:space="preserve">diri </w:t>
      </w:r>
      <w:r w:rsidR="00164FB5" w:rsidRPr="00087940">
        <w:rPr>
          <w:rFonts w:ascii="Times New Roman" w:eastAsia="Times New Roman" w:hAnsi="Times New Roman" w:cs="Times New Roman"/>
          <w:color w:val="000000"/>
          <w:sz w:val="24"/>
          <w:szCs w:val="24"/>
          <w:lang w:val="fi-FI"/>
        </w:rPr>
        <w:t>secara</w:t>
      </w:r>
      <w:r w:rsidRPr="00087940">
        <w:rPr>
          <w:rFonts w:ascii="Times New Roman" w:eastAsia="Times New Roman" w:hAnsi="Times New Roman" w:cs="Times New Roman"/>
          <w:color w:val="000000"/>
          <w:sz w:val="24"/>
          <w:szCs w:val="24"/>
          <w:lang w:val="fi-FI"/>
        </w:rPr>
        <w:t xml:space="preserve"> sihat, positif, aktif, produktif dan </w:t>
      </w:r>
      <w:r w:rsidR="00164FB5" w:rsidRPr="00087940">
        <w:rPr>
          <w:rFonts w:ascii="Times New Roman" w:eastAsia="Times New Roman" w:hAnsi="Times New Roman" w:cs="Times New Roman"/>
          <w:color w:val="000000"/>
          <w:sz w:val="24"/>
          <w:szCs w:val="24"/>
          <w:lang w:val="fi-FI"/>
        </w:rPr>
        <w:t>membantu</w:t>
      </w:r>
      <w:r w:rsidR="0017277C" w:rsidRPr="00087940">
        <w:rPr>
          <w:rFonts w:ascii="Times New Roman" w:eastAsia="Times New Roman" w:hAnsi="Times New Roman" w:cs="Times New Roman"/>
          <w:color w:val="000000"/>
          <w:sz w:val="24"/>
          <w:szCs w:val="24"/>
          <w:lang w:val="fi-FI"/>
        </w:rPr>
        <w:t xml:space="preserve"> </w:t>
      </w:r>
      <w:r w:rsidRPr="00087940">
        <w:rPr>
          <w:rFonts w:ascii="Times New Roman" w:eastAsia="Times New Roman" w:hAnsi="Times New Roman" w:cs="Times New Roman"/>
          <w:color w:val="000000"/>
          <w:sz w:val="24"/>
          <w:szCs w:val="24"/>
          <w:lang w:val="fi-FI"/>
        </w:rPr>
        <w:t>meningkatkan</w:t>
      </w:r>
      <w:r w:rsidR="0017277C" w:rsidRPr="00087940">
        <w:rPr>
          <w:rFonts w:ascii="Times New Roman" w:eastAsia="Times New Roman" w:hAnsi="Times New Roman" w:cs="Times New Roman"/>
          <w:color w:val="000000"/>
          <w:sz w:val="24"/>
          <w:szCs w:val="24"/>
          <w:lang w:val="fi-FI"/>
        </w:rPr>
        <w:t xml:space="preserve"> </w:t>
      </w:r>
      <w:r w:rsidRPr="00087940">
        <w:rPr>
          <w:rFonts w:ascii="Times New Roman" w:eastAsia="Times New Roman" w:hAnsi="Times New Roman" w:cs="Times New Roman"/>
          <w:color w:val="000000"/>
          <w:sz w:val="24"/>
          <w:szCs w:val="24"/>
          <w:lang w:val="fi-FI"/>
        </w:rPr>
        <w:t xml:space="preserve">kesejahteraan </w:t>
      </w:r>
      <w:r w:rsidR="0017277C" w:rsidRPr="00087940">
        <w:rPr>
          <w:rFonts w:ascii="Times New Roman" w:eastAsia="Times New Roman" w:hAnsi="Times New Roman" w:cs="Times New Roman"/>
          <w:color w:val="000000"/>
          <w:sz w:val="24"/>
          <w:szCs w:val="24"/>
          <w:lang w:val="fi-FI"/>
        </w:rPr>
        <w:t xml:space="preserve">aman </w:t>
      </w:r>
      <w:r w:rsidRPr="00087940">
        <w:rPr>
          <w:rFonts w:ascii="Times New Roman" w:eastAsia="Times New Roman" w:hAnsi="Times New Roman" w:cs="Times New Roman"/>
          <w:color w:val="000000"/>
          <w:sz w:val="24"/>
          <w:szCs w:val="24"/>
          <w:lang w:val="fi-FI"/>
        </w:rPr>
        <w:t xml:space="preserve">hidup dalam </w:t>
      </w:r>
      <w:r w:rsidR="0017277C" w:rsidRPr="00087940">
        <w:rPr>
          <w:rFonts w:ascii="Times New Roman" w:eastAsia="Times New Roman" w:hAnsi="Times New Roman" w:cs="Times New Roman"/>
          <w:color w:val="000000"/>
          <w:sz w:val="24"/>
          <w:szCs w:val="24"/>
          <w:lang w:val="fi-FI"/>
        </w:rPr>
        <w:t xml:space="preserve">usaha </w:t>
      </w:r>
      <w:r w:rsidRPr="00087940">
        <w:rPr>
          <w:rFonts w:ascii="Times New Roman" w:eastAsia="Times New Roman" w:hAnsi="Times New Roman" w:cs="Times New Roman"/>
          <w:color w:val="000000"/>
          <w:sz w:val="24"/>
          <w:szCs w:val="24"/>
          <w:lang w:val="fi-FI"/>
        </w:rPr>
        <w:t xml:space="preserve">pembangunan negara. Di peringkat nasional, antara inisiatif menambah baik persekitaran kehidupan warga emas </w:t>
      </w:r>
      <w:r w:rsidR="001719B6" w:rsidRPr="00087940">
        <w:rPr>
          <w:rFonts w:ascii="Times New Roman" w:eastAsia="Times New Roman" w:hAnsi="Times New Roman" w:cs="Times New Roman"/>
          <w:color w:val="000000"/>
          <w:sz w:val="24"/>
          <w:szCs w:val="24"/>
          <w:lang w:val="fi-FI"/>
        </w:rPr>
        <w:t>semasa</w:t>
      </w:r>
      <w:r w:rsidR="002A0031" w:rsidRPr="00087940">
        <w:rPr>
          <w:rFonts w:ascii="Times New Roman" w:eastAsia="Times New Roman" w:hAnsi="Times New Roman" w:cs="Times New Roman"/>
          <w:color w:val="000000"/>
          <w:sz w:val="24"/>
          <w:szCs w:val="24"/>
          <w:lang w:val="fi-FI"/>
        </w:rPr>
        <w:t xml:space="preserve"> </w:t>
      </w:r>
      <w:r w:rsidRPr="00087940">
        <w:rPr>
          <w:rFonts w:ascii="Times New Roman" w:eastAsia="Times New Roman" w:hAnsi="Times New Roman" w:cs="Times New Roman"/>
          <w:color w:val="000000"/>
          <w:sz w:val="24"/>
          <w:szCs w:val="24"/>
          <w:lang w:val="fi-FI"/>
        </w:rPr>
        <w:t>Rancangan Malaysia ke-11 (RMK-11) terdiri daripada mewujudkan daerah/bandar mesra warga emas (</w:t>
      </w:r>
      <w:r w:rsidRPr="000E1602">
        <w:rPr>
          <w:rFonts w:ascii="Times New Roman" w:eastAsia="Times New Roman" w:hAnsi="Times New Roman" w:cs="Times New Roman"/>
          <w:i/>
          <w:color w:val="000000"/>
          <w:sz w:val="24"/>
          <w:szCs w:val="24"/>
          <w:lang w:val="fi-FI"/>
        </w:rPr>
        <w:t>age friendly city</w:t>
      </w:r>
      <w:r w:rsidRPr="00087940">
        <w:rPr>
          <w:rFonts w:ascii="Times New Roman" w:eastAsia="Times New Roman" w:hAnsi="Times New Roman" w:cs="Times New Roman"/>
          <w:color w:val="000000"/>
          <w:sz w:val="24"/>
          <w:szCs w:val="24"/>
          <w:lang w:val="fi-FI"/>
        </w:rPr>
        <w:t>), Unit Khidmat Penyayang Warga Emas (UPWE), perluasan Pusat Aktiviti Warga Emas (PAWE), dan Rang Undang-Undang Warga Emas (Jabatan Kebajikan Malaysia</w:t>
      </w:r>
      <w:r w:rsidR="00396C0A" w:rsidRPr="00087940">
        <w:rPr>
          <w:rFonts w:ascii="Times New Roman" w:eastAsia="Times New Roman" w:hAnsi="Times New Roman" w:cs="Times New Roman"/>
          <w:color w:val="000000"/>
          <w:sz w:val="24"/>
          <w:szCs w:val="24"/>
          <w:lang w:val="fi-FI"/>
        </w:rPr>
        <w:t>, 2018</w:t>
      </w:r>
      <w:r w:rsidRPr="00087940">
        <w:rPr>
          <w:rFonts w:ascii="Times New Roman" w:eastAsia="Times New Roman" w:hAnsi="Times New Roman" w:cs="Times New Roman"/>
          <w:color w:val="000000"/>
          <w:sz w:val="24"/>
          <w:szCs w:val="24"/>
          <w:lang w:val="fi-FI"/>
        </w:rPr>
        <w:t>). Tambahan pula, untuk mengatasi masalah kesihatan ini, pihak kerajaan meningkatkan peruntukan bajet pada setiap tahun. Contohnya</w:t>
      </w:r>
      <w:r w:rsidR="003D25CB" w:rsidRPr="00087940">
        <w:rPr>
          <w:rFonts w:ascii="Times New Roman" w:eastAsia="Times New Roman" w:hAnsi="Times New Roman" w:cs="Times New Roman"/>
          <w:color w:val="000000"/>
          <w:sz w:val="24"/>
          <w:szCs w:val="24"/>
          <w:lang w:val="fi-FI"/>
        </w:rPr>
        <w:t>,</w:t>
      </w:r>
      <w:r w:rsidRPr="00087940">
        <w:rPr>
          <w:rFonts w:ascii="Times New Roman" w:eastAsia="Times New Roman" w:hAnsi="Times New Roman" w:cs="Times New Roman"/>
          <w:color w:val="000000"/>
          <w:sz w:val="24"/>
          <w:szCs w:val="24"/>
          <w:lang w:val="fi-FI"/>
        </w:rPr>
        <w:t xml:space="preserve"> Bajet</w:t>
      </w:r>
      <w:r w:rsidR="001719B6" w:rsidRPr="00087940">
        <w:rPr>
          <w:rFonts w:ascii="Times New Roman" w:eastAsia="Times New Roman" w:hAnsi="Times New Roman" w:cs="Times New Roman"/>
          <w:color w:val="000000"/>
          <w:sz w:val="24"/>
          <w:szCs w:val="24"/>
          <w:lang w:val="fi-FI"/>
        </w:rPr>
        <w:t xml:space="preserve"> Malaysia</w:t>
      </w:r>
      <w:r w:rsidRPr="00087940">
        <w:rPr>
          <w:rFonts w:ascii="Times New Roman" w:eastAsia="Times New Roman" w:hAnsi="Times New Roman" w:cs="Times New Roman"/>
          <w:color w:val="000000"/>
          <w:sz w:val="24"/>
          <w:szCs w:val="24"/>
          <w:lang w:val="fi-FI"/>
        </w:rPr>
        <w:t xml:space="preserve"> 2015 pula menunjukkan penambahan lima buah Pusat Aktiviti Warga Emas serta Unit Penyayang Warga Emas</w:t>
      </w:r>
      <w:r w:rsidR="001719B6" w:rsidRPr="00087940">
        <w:rPr>
          <w:rFonts w:ascii="Times New Roman" w:eastAsia="Times New Roman" w:hAnsi="Times New Roman" w:cs="Times New Roman"/>
          <w:color w:val="000000"/>
          <w:sz w:val="24"/>
          <w:szCs w:val="24"/>
          <w:lang w:val="fi-FI"/>
        </w:rPr>
        <w:t xml:space="preserve">. Initiatif-initiatif ini juga </w:t>
      </w:r>
      <w:r w:rsidRPr="00087940">
        <w:rPr>
          <w:rFonts w:ascii="Times New Roman" w:eastAsia="Times New Roman" w:hAnsi="Times New Roman" w:cs="Times New Roman"/>
          <w:color w:val="000000"/>
          <w:sz w:val="24"/>
          <w:szCs w:val="24"/>
          <w:lang w:val="fi-FI"/>
        </w:rPr>
        <w:t xml:space="preserve">menyediakan pengangkutan </w:t>
      </w:r>
      <w:r w:rsidR="001719B6" w:rsidRPr="00087940">
        <w:rPr>
          <w:rFonts w:ascii="Times New Roman" w:eastAsia="Times New Roman" w:hAnsi="Times New Roman" w:cs="Times New Roman"/>
          <w:color w:val="000000"/>
          <w:sz w:val="24"/>
          <w:szCs w:val="24"/>
          <w:lang w:val="fi-FI"/>
        </w:rPr>
        <w:t xml:space="preserve">ke pusat perubatan secara </w:t>
      </w:r>
      <w:r w:rsidRPr="00087940">
        <w:rPr>
          <w:rFonts w:ascii="Times New Roman" w:eastAsia="Times New Roman" w:hAnsi="Times New Roman" w:cs="Times New Roman"/>
          <w:color w:val="000000"/>
          <w:sz w:val="24"/>
          <w:szCs w:val="24"/>
          <w:lang w:val="fi-FI"/>
        </w:rPr>
        <w:t xml:space="preserve">percuma. Seterusnya, agenda Bajet </w:t>
      </w:r>
      <w:r w:rsidR="00CC78B2" w:rsidRPr="00087940">
        <w:rPr>
          <w:rFonts w:ascii="Times New Roman" w:eastAsia="Times New Roman" w:hAnsi="Times New Roman" w:cs="Times New Roman"/>
          <w:color w:val="000000"/>
          <w:sz w:val="24"/>
          <w:szCs w:val="24"/>
          <w:lang w:val="fi-FI"/>
        </w:rPr>
        <w:t>Malaysia 2023</w:t>
      </w:r>
      <w:r w:rsidRPr="00087940">
        <w:rPr>
          <w:rFonts w:ascii="Times New Roman" w:eastAsia="Times New Roman" w:hAnsi="Times New Roman" w:cs="Times New Roman"/>
          <w:color w:val="000000"/>
          <w:sz w:val="24"/>
          <w:szCs w:val="24"/>
          <w:lang w:val="fi-FI"/>
        </w:rPr>
        <w:t xml:space="preserve"> mengumumkan hamper RM1 billion dikhususkan untuk kebajikan warga emas, iaitu melibatkan peningkatan sebanyak RM580 juta berbanding pada tahun 2020.</w:t>
      </w:r>
    </w:p>
    <w:p w:rsidR="00EA10E2" w:rsidRPr="00087940" w:rsidRDefault="00EA10E2" w:rsidP="00C519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fi-FI"/>
        </w:rPr>
      </w:pPr>
      <w:r w:rsidRPr="00087940">
        <w:rPr>
          <w:rFonts w:ascii="Times New Roman" w:eastAsia="Times New Roman" w:hAnsi="Times New Roman" w:cs="Times New Roman"/>
          <w:color w:val="000000"/>
          <w:sz w:val="24"/>
          <w:szCs w:val="24"/>
          <w:lang w:val="fi-FI"/>
        </w:rPr>
        <w:t>Selain masalah kesihatan, isu penuaan penduduk juga melibatkan masalah kewangan (Sabri &amp; Teo</w:t>
      </w:r>
      <w:r w:rsidR="000E1602">
        <w:rPr>
          <w:rFonts w:ascii="Times New Roman" w:eastAsia="Times New Roman" w:hAnsi="Times New Roman" w:cs="Times New Roman"/>
          <w:color w:val="000000"/>
          <w:sz w:val="24"/>
          <w:szCs w:val="24"/>
          <w:lang w:val="fi-FI"/>
        </w:rPr>
        <w:t>,</w:t>
      </w:r>
      <w:r w:rsidRPr="00087940">
        <w:rPr>
          <w:rFonts w:ascii="Times New Roman" w:eastAsia="Times New Roman" w:hAnsi="Times New Roman" w:cs="Times New Roman"/>
          <w:color w:val="000000"/>
          <w:sz w:val="24"/>
          <w:szCs w:val="24"/>
          <w:lang w:val="fi-FI"/>
        </w:rPr>
        <w:t xml:space="preserve"> 2014; Khoong, 2015</w:t>
      </w:r>
      <w:r w:rsidR="002A0031" w:rsidRPr="00087940">
        <w:rPr>
          <w:rFonts w:ascii="Times New Roman" w:eastAsia="Times New Roman" w:hAnsi="Times New Roman" w:cs="Times New Roman"/>
          <w:color w:val="000000"/>
          <w:sz w:val="24"/>
          <w:szCs w:val="24"/>
          <w:lang w:val="fi-FI"/>
        </w:rPr>
        <w:t xml:space="preserve">; </w:t>
      </w:r>
      <w:r w:rsidR="005656ED" w:rsidRPr="00087940">
        <w:rPr>
          <w:rFonts w:ascii="Times New Roman" w:eastAsia="Times New Roman" w:hAnsi="Times New Roman" w:cs="Times New Roman"/>
          <w:color w:val="000000"/>
          <w:sz w:val="24"/>
          <w:szCs w:val="24"/>
          <w:lang w:val="fi-FI"/>
        </w:rPr>
        <w:t xml:space="preserve">Jabatan Kebajikan Masyarakat, 2018; World Bank Research Report, 2020). </w:t>
      </w:r>
      <w:r w:rsidRPr="00087940">
        <w:rPr>
          <w:rFonts w:ascii="Times New Roman" w:eastAsia="Times New Roman" w:hAnsi="Times New Roman" w:cs="Times New Roman"/>
          <w:color w:val="000000"/>
          <w:sz w:val="24"/>
          <w:szCs w:val="24"/>
          <w:lang w:val="fi-FI"/>
        </w:rPr>
        <w:t>Kerajaan telah mengambil pelbagai program untuk mengatasi masalah kewangan (Tan et al.</w:t>
      </w:r>
      <w:r w:rsidR="003107D9">
        <w:rPr>
          <w:rFonts w:ascii="Times New Roman" w:eastAsia="Times New Roman" w:hAnsi="Times New Roman" w:cs="Times New Roman"/>
          <w:color w:val="000000"/>
          <w:sz w:val="24"/>
          <w:szCs w:val="24"/>
          <w:lang w:val="fi-FI"/>
        </w:rPr>
        <w:t>,</w:t>
      </w:r>
      <w:r w:rsidRPr="00087940">
        <w:rPr>
          <w:rFonts w:ascii="Times New Roman" w:eastAsia="Times New Roman" w:hAnsi="Times New Roman" w:cs="Times New Roman"/>
          <w:color w:val="000000"/>
          <w:sz w:val="24"/>
          <w:szCs w:val="24"/>
          <w:lang w:val="fi-FI"/>
        </w:rPr>
        <w:t xml:space="preserve"> 2011</w:t>
      </w:r>
      <w:r w:rsidR="002A0031" w:rsidRPr="00087940">
        <w:rPr>
          <w:rFonts w:ascii="Times New Roman" w:eastAsia="Times New Roman" w:hAnsi="Times New Roman" w:cs="Times New Roman"/>
          <w:color w:val="000000"/>
          <w:sz w:val="24"/>
          <w:szCs w:val="24"/>
          <w:lang w:val="fi-FI"/>
        </w:rPr>
        <w:t xml:space="preserve">; Jabatan Kebajikan Masyarakat, </w:t>
      </w:r>
      <w:r w:rsidR="005656ED" w:rsidRPr="00087940">
        <w:rPr>
          <w:rFonts w:ascii="Times New Roman" w:eastAsia="Times New Roman" w:hAnsi="Times New Roman" w:cs="Times New Roman"/>
          <w:color w:val="000000"/>
          <w:sz w:val="24"/>
          <w:szCs w:val="24"/>
          <w:lang w:val="fi-FI"/>
        </w:rPr>
        <w:t>2018; World Bank Research Report, 2020</w:t>
      </w:r>
      <w:r w:rsidRPr="00087940">
        <w:rPr>
          <w:rFonts w:ascii="Times New Roman" w:eastAsia="Times New Roman" w:hAnsi="Times New Roman" w:cs="Times New Roman"/>
          <w:color w:val="000000"/>
          <w:sz w:val="24"/>
          <w:szCs w:val="24"/>
          <w:lang w:val="fi-FI"/>
        </w:rPr>
        <w:t>) seperti pengenalan gaji minimum dan peningkatan umur persaraan sehingga 60 tahun. Program-progam yang diperkenalkan didapati selaras dengan Sistem Kerangka Persaraan Pelbagai Tunggak Bank Dunia, namun menteri dalam Jabatan Perdana Menteri, Yang Berhormat Nancy Shukri menyatakan program (</w:t>
      </w:r>
      <w:r w:rsidRPr="003107D9">
        <w:rPr>
          <w:rFonts w:ascii="Times New Roman" w:eastAsia="Times New Roman" w:hAnsi="Times New Roman" w:cs="Times New Roman"/>
          <w:i/>
          <w:color w:val="000000"/>
          <w:sz w:val="24"/>
          <w:szCs w:val="24"/>
          <w:lang w:val="fi-FI"/>
        </w:rPr>
        <w:t>outreach programmes</w:t>
      </w:r>
      <w:r w:rsidRPr="00087940">
        <w:rPr>
          <w:rFonts w:ascii="Times New Roman" w:eastAsia="Times New Roman" w:hAnsi="Times New Roman" w:cs="Times New Roman"/>
          <w:color w:val="000000"/>
          <w:sz w:val="24"/>
          <w:szCs w:val="24"/>
          <w:lang w:val="fi-FI"/>
        </w:rPr>
        <w:t>) masih tidak mencukupi untuk memenuhi permintaan masyarakat. Berbanding dengan masalah kesihatan, masalah kewangan sebelum persaraan hanya wujud sebagai sub-program dan kurang dititikberatkan (Laporan Tahunan KWSP</w:t>
      </w:r>
      <w:r w:rsidR="003107D9">
        <w:rPr>
          <w:rFonts w:ascii="Times New Roman" w:eastAsia="Times New Roman" w:hAnsi="Times New Roman" w:cs="Times New Roman"/>
          <w:color w:val="000000"/>
          <w:sz w:val="24"/>
          <w:szCs w:val="24"/>
          <w:lang w:val="fi-FI"/>
        </w:rPr>
        <w:t>,</w:t>
      </w:r>
      <w:r w:rsidRPr="00087940">
        <w:rPr>
          <w:rFonts w:ascii="Times New Roman" w:eastAsia="Times New Roman" w:hAnsi="Times New Roman" w:cs="Times New Roman"/>
          <w:color w:val="000000"/>
          <w:sz w:val="24"/>
          <w:szCs w:val="24"/>
          <w:lang w:val="fi-FI"/>
        </w:rPr>
        <w:t xml:space="preserve"> 20</w:t>
      </w:r>
      <w:r w:rsidR="005656ED" w:rsidRPr="00087940">
        <w:rPr>
          <w:rFonts w:ascii="Times New Roman" w:eastAsia="Times New Roman" w:hAnsi="Times New Roman" w:cs="Times New Roman"/>
          <w:color w:val="000000"/>
          <w:sz w:val="24"/>
          <w:szCs w:val="24"/>
          <w:lang w:val="fi-FI"/>
        </w:rPr>
        <w:t>18</w:t>
      </w:r>
      <w:r w:rsidRPr="00087940">
        <w:rPr>
          <w:rFonts w:ascii="Times New Roman" w:eastAsia="Times New Roman" w:hAnsi="Times New Roman" w:cs="Times New Roman"/>
          <w:color w:val="000000"/>
          <w:sz w:val="24"/>
          <w:szCs w:val="24"/>
          <w:lang w:val="fi-FI"/>
        </w:rPr>
        <w:t>).</w:t>
      </w:r>
    </w:p>
    <w:p w:rsidR="00EA10E2" w:rsidRPr="00087940" w:rsidRDefault="00EA10E2" w:rsidP="00C519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fi-FI"/>
        </w:rPr>
      </w:pPr>
      <w:r w:rsidRPr="00087940">
        <w:rPr>
          <w:rFonts w:ascii="Times New Roman" w:eastAsia="Times New Roman" w:hAnsi="Times New Roman" w:cs="Times New Roman"/>
          <w:color w:val="000000"/>
          <w:sz w:val="24"/>
          <w:szCs w:val="24"/>
          <w:lang w:val="fi-FI"/>
        </w:rPr>
        <w:t>Perancangan kewangan pada peringkat awal penting dalam mencapai kehidupan waktu persaraan (</w:t>
      </w:r>
      <w:r w:rsidR="00654F89" w:rsidRPr="00087940">
        <w:rPr>
          <w:rFonts w:ascii="Times New Roman" w:eastAsia="Times New Roman" w:hAnsi="Times New Roman" w:cs="Times New Roman"/>
          <w:color w:val="000000"/>
          <w:sz w:val="24"/>
          <w:szCs w:val="24"/>
          <w:lang w:val="fi-FI"/>
        </w:rPr>
        <w:t xml:space="preserve">Khoong, 2016; </w:t>
      </w:r>
      <w:r w:rsidRPr="00087940">
        <w:rPr>
          <w:rFonts w:ascii="Times New Roman" w:eastAsia="Times New Roman" w:hAnsi="Times New Roman" w:cs="Times New Roman"/>
          <w:color w:val="000000"/>
          <w:sz w:val="24"/>
          <w:szCs w:val="24"/>
          <w:lang w:val="fi-FI"/>
        </w:rPr>
        <w:t>Jabatan Kebajikan Masyarakat, 20</w:t>
      </w:r>
      <w:r w:rsidR="00654F89" w:rsidRPr="00087940">
        <w:rPr>
          <w:rFonts w:ascii="Times New Roman" w:eastAsia="Times New Roman" w:hAnsi="Times New Roman" w:cs="Times New Roman"/>
          <w:color w:val="000000"/>
          <w:sz w:val="24"/>
          <w:szCs w:val="24"/>
          <w:lang w:val="fi-FI"/>
        </w:rPr>
        <w:t>18</w:t>
      </w:r>
      <w:r w:rsidR="00481C32" w:rsidRPr="00087940">
        <w:rPr>
          <w:rFonts w:ascii="Times New Roman" w:eastAsia="Times New Roman" w:hAnsi="Times New Roman" w:cs="Times New Roman"/>
          <w:color w:val="000000"/>
          <w:sz w:val="24"/>
          <w:szCs w:val="24"/>
          <w:lang w:val="fi-FI"/>
        </w:rPr>
        <w:t>; World Bank Research Report, 2020</w:t>
      </w:r>
      <w:r w:rsidRPr="00087940">
        <w:rPr>
          <w:rFonts w:ascii="Times New Roman" w:eastAsia="Times New Roman" w:hAnsi="Times New Roman" w:cs="Times New Roman"/>
          <w:color w:val="000000"/>
          <w:sz w:val="24"/>
          <w:szCs w:val="24"/>
          <w:lang w:val="fi-FI"/>
        </w:rPr>
        <w:t xml:space="preserve">). Ini bermakna perancangan kewangan </w:t>
      </w:r>
      <w:r w:rsidR="002A0031" w:rsidRPr="00087940">
        <w:rPr>
          <w:rFonts w:ascii="Times New Roman" w:eastAsia="Times New Roman" w:hAnsi="Times New Roman" w:cs="Times New Roman"/>
          <w:color w:val="000000"/>
          <w:sz w:val="24"/>
          <w:szCs w:val="24"/>
          <w:lang w:val="fi-FI"/>
        </w:rPr>
        <w:t>per-persaraan</w:t>
      </w:r>
      <w:r w:rsidRPr="00087940">
        <w:rPr>
          <w:rFonts w:ascii="Times New Roman" w:eastAsia="Times New Roman" w:hAnsi="Times New Roman" w:cs="Times New Roman"/>
          <w:color w:val="000000"/>
          <w:sz w:val="24"/>
          <w:szCs w:val="24"/>
          <w:lang w:val="fi-FI"/>
        </w:rPr>
        <w:t xml:space="preserve"> mampu menjamin kehidupan selepas bersara (</w:t>
      </w:r>
      <w:r w:rsidR="00654F89" w:rsidRPr="00087940">
        <w:rPr>
          <w:rFonts w:ascii="Times New Roman" w:eastAsia="Times New Roman" w:hAnsi="Times New Roman" w:cs="Times New Roman"/>
          <w:color w:val="000000"/>
          <w:sz w:val="24"/>
          <w:szCs w:val="24"/>
          <w:lang w:val="fi-FI"/>
        </w:rPr>
        <w:t>Jabatan Kebajikan Masyarakat, 2014; Jabatan Kebajikan Masyarakat, 2018; World Bank Research Report, 2020</w:t>
      </w:r>
      <w:r w:rsidRPr="00087940">
        <w:rPr>
          <w:rFonts w:ascii="Times New Roman" w:eastAsia="Times New Roman" w:hAnsi="Times New Roman" w:cs="Times New Roman"/>
          <w:color w:val="000000"/>
          <w:sz w:val="24"/>
          <w:szCs w:val="24"/>
          <w:lang w:val="fi-FI"/>
        </w:rPr>
        <w:t xml:space="preserve">). </w:t>
      </w:r>
      <w:r w:rsidR="004D646C" w:rsidRPr="00087940">
        <w:rPr>
          <w:rFonts w:ascii="Times New Roman" w:eastAsia="Times New Roman" w:hAnsi="Times New Roman" w:cs="Times New Roman"/>
          <w:color w:val="000000"/>
          <w:sz w:val="24"/>
          <w:szCs w:val="24"/>
          <w:lang w:val="fi-FI"/>
        </w:rPr>
        <w:t xml:space="preserve">Menurut </w:t>
      </w:r>
      <w:r w:rsidR="00311634" w:rsidRPr="00087940">
        <w:rPr>
          <w:rFonts w:ascii="Times New Roman" w:eastAsia="Times New Roman" w:hAnsi="Times New Roman" w:cs="Times New Roman"/>
          <w:color w:val="000000"/>
          <w:sz w:val="24"/>
          <w:szCs w:val="24"/>
          <w:lang w:val="fi-FI"/>
        </w:rPr>
        <w:t xml:space="preserve">Jabatan </w:t>
      </w:r>
      <w:r w:rsidR="00E964F2" w:rsidRPr="00087940">
        <w:rPr>
          <w:rFonts w:ascii="Times New Roman" w:eastAsia="Times New Roman" w:hAnsi="Times New Roman" w:cs="Times New Roman"/>
          <w:color w:val="000000"/>
          <w:sz w:val="24"/>
          <w:szCs w:val="24"/>
          <w:lang w:val="fi-FI"/>
        </w:rPr>
        <w:t>Perangkaan</w:t>
      </w:r>
      <w:r w:rsidR="004D646C" w:rsidRPr="00087940">
        <w:rPr>
          <w:rFonts w:ascii="Times New Roman" w:eastAsia="Times New Roman" w:hAnsi="Times New Roman" w:cs="Times New Roman"/>
          <w:color w:val="000000"/>
          <w:sz w:val="24"/>
          <w:szCs w:val="24"/>
          <w:lang w:val="fi-FI"/>
        </w:rPr>
        <w:t xml:space="preserve"> </w:t>
      </w:r>
      <w:r w:rsidR="00311634" w:rsidRPr="00087940">
        <w:rPr>
          <w:rFonts w:ascii="Times New Roman" w:eastAsia="Times New Roman" w:hAnsi="Times New Roman" w:cs="Times New Roman"/>
          <w:color w:val="000000"/>
          <w:sz w:val="24"/>
          <w:szCs w:val="24"/>
          <w:lang w:val="fi-FI"/>
        </w:rPr>
        <w:t>Malaysia</w:t>
      </w:r>
      <w:r w:rsidR="004D646C" w:rsidRPr="00087940">
        <w:rPr>
          <w:rFonts w:ascii="Times New Roman" w:eastAsia="Times New Roman" w:hAnsi="Times New Roman" w:cs="Times New Roman"/>
          <w:color w:val="000000"/>
          <w:sz w:val="24"/>
          <w:szCs w:val="24"/>
          <w:lang w:val="fi-FI"/>
        </w:rPr>
        <w:t xml:space="preserve"> (</w:t>
      </w:r>
      <w:r w:rsidR="00E964F2" w:rsidRPr="00087940">
        <w:rPr>
          <w:rFonts w:ascii="Times New Roman" w:eastAsia="Times New Roman" w:hAnsi="Times New Roman" w:cs="Times New Roman"/>
          <w:color w:val="000000"/>
          <w:sz w:val="24"/>
          <w:szCs w:val="24"/>
          <w:lang w:val="fi-FI"/>
        </w:rPr>
        <w:t>2021)</w:t>
      </w:r>
      <w:r w:rsidR="004D646C" w:rsidRPr="00087940">
        <w:rPr>
          <w:rFonts w:ascii="Times New Roman" w:eastAsia="Times New Roman" w:hAnsi="Times New Roman" w:cs="Times New Roman"/>
          <w:color w:val="000000"/>
          <w:sz w:val="24"/>
          <w:szCs w:val="24"/>
          <w:lang w:val="fi-FI"/>
        </w:rPr>
        <w:t xml:space="preserve">, secara puratanya, </w:t>
      </w:r>
      <w:r w:rsidR="00E964F2" w:rsidRPr="00087940">
        <w:rPr>
          <w:rFonts w:ascii="Times New Roman" w:eastAsia="Times New Roman" w:hAnsi="Times New Roman" w:cs="Times New Roman"/>
          <w:color w:val="000000"/>
          <w:sz w:val="24"/>
          <w:szCs w:val="24"/>
          <w:lang w:val="fi-FI"/>
        </w:rPr>
        <w:t xml:space="preserve">pada tahun 2021, pada </w:t>
      </w:r>
      <w:r w:rsidR="004D646C" w:rsidRPr="00087940">
        <w:rPr>
          <w:rFonts w:ascii="Times New Roman" w:eastAsia="Times New Roman" w:hAnsi="Times New Roman" w:cs="Times New Roman"/>
          <w:color w:val="000000"/>
          <w:sz w:val="24"/>
          <w:szCs w:val="24"/>
          <w:lang w:val="fi-FI"/>
        </w:rPr>
        <w:t>jangka hayat penduduk Malaysia</w:t>
      </w:r>
      <w:r w:rsidR="00E964F2" w:rsidRPr="00087940">
        <w:rPr>
          <w:rFonts w:ascii="Times New Roman" w:eastAsia="Times New Roman" w:hAnsi="Times New Roman" w:cs="Times New Roman"/>
          <w:color w:val="000000"/>
          <w:sz w:val="24"/>
          <w:szCs w:val="24"/>
          <w:lang w:val="fi-FI"/>
        </w:rPr>
        <w:t xml:space="preserve"> </w:t>
      </w:r>
      <w:r w:rsidR="007241D1" w:rsidRPr="00087940">
        <w:rPr>
          <w:rFonts w:ascii="Times New Roman" w:eastAsia="Times New Roman" w:hAnsi="Times New Roman" w:cs="Times New Roman"/>
          <w:color w:val="000000"/>
          <w:sz w:val="24"/>
          <w:szCs w:val="24"/>
          <w:lang w:val="fi-FI"/>
        </w:rPr>
        <w:t xml:space="preserve">golongan </w:t>
      </w:r>
      <w:r w:rsidR="00E964F2" w:rsidRPr="00087940">
        <w:rPr>
          <w:rFonts w:ascii="Times New Roman" w:eastAsia="Times New Roman" w:hAnsi="Times New Roman" w:cs="Times New Roman"/>
          <w:color w:val="000000"/>
          <w:sz w:val="24"/>
          <w:szCs w:val="24"/>
          <w:lang w:val="fi-FI"/>
        </w:rPr>
        <w:t>berumur 15</w:t>
      </w:r>
      <w:r w:rsidR="007241D1" w:rsidRPr="00087940">
        <w:rPr>
          <w:rFonts w:ascii="Times New Roman" w:eastAsia="Times New Roman" w:hAnsi="Times New Roman" w:cs="Times New Roman"/>
          <w:color w:val="000000"/>
          <w:sz w:val="24"/>
          <w:szCs w:val="24"/>
          <w:lang w:val="fi-FI"/>
        </w:rPr>
        <w:t xml:space="preserve"> tahun bagi</w:t>
      </w:r>
      <w:r w:rsidR="004D646C" w:rsidRPr="00087940">
        <w:rPr>
          <w:rFonts w:ascii="Times New Roman" w:eastAsia="Times New Roman" w:hAnsi="Times New Roman" w:cs="Times New Roman"/>
          <w:color w:val="000000"/>
          <w:sz w:val="24"/>
          <w:szCs w:val="24"/>
          <w:lang w:val="fi-FI"/>
        </w:rPr>
        <w:t xml:space="preserve"> lelaki </w:t>
      </w:r>
      <w:r w:rsidR="007241D1" w:rsidRPr="00087940">
        <w:rPr>
          <w:rFonts w:ascii="Times New Roman" w:eastAsia="Times New Roman" w:hAnsi="Times New Roman" w:cs="Times New Roman"/>
          <w:color w:val="000000"/>
          <w:sz w:val="24"/>
          <w:szCs w:val="24"/>
          <w:lang w:val="fi-FI"/>
        </w:rPr>
        <w:t xml:space="preserve">ialah </w:t>
      </w:r>
      <w:r w:rsidR="004D646C" w:rsidRPr="00087940">
        <w:rPr>
          <w:rFonts w:ascii="Times New Roman" w:eastAsia="Times New Roman" w:hAnsi="Times New Roman" w:cs="Times New Roman"/>
          <w:color w:val="000000"/>
          <w:sz w:val="24"/>
          <w:szCs w:val="24"/>
          <w:lang w:val="fi-FI"/>
        </w:rPr>
        <w:t>7</w:t>
      </w:r>
      <w:r w:rsidR="007241D1" w:rsidRPr="00087940">
        <w:rPr>
          <w:rFonts w:ascii="Times New Roman" w:eastAsia="Times New Roman" w:hAnsi="Times New Roman" w:cs="Times New Roman"/>
          <w:color w:val="000000"/>
          <w:sz w:val="24"/>
          <w:szCs w:val="24"/>
          <w:lang w:val="fi-FI"/>
        </w:rPr>
        <w:t>3.9</w:t>
      </w:r>
      <w:r w:rsidR="004D646C" w:rsidRPr="00087940">
        <w:rPr>
          <w:rFonts w:ascii="Times New Roman" w:eastAsia="Times New Roman" w:hAnsi="Times New Roman" w:cs="Times New Roman"/>
          <w:color w:val="000000"/>
          <w:sz w:val="24"/>
          <w:szCs w:val="24"/>
          <w:lang w:val="fi-FI"/>
        </w:rPr>
        <w:t xml:space="preserve"> tahun</w:t>
      </w:r>
      <w:r w:rsidR="007241D1" w:rsidRPr="00087940">
        <w:rPr>
          <w:rFonts w:ascii="Times New Roman" w:eastAsia="Times New Roman" w:hAnsi="Times New Roman" w:cs="Times New Roman"/>
          <w:color w:val="000000"/>
          <w:sz w:val="24"/>
          <w:szCs w:val="24"/>
          <w:lang w:val="fi-FI"/>
        </w:rPr>
        <w:t>,</w:t>
      </w:r>
      <w:r w:rsidR="004D646C" w:rsidRPr="00087940">
        <w:rPr>
          <w:rFonts w:ascii="Times New Roman" w:eastAsia="Times New Roman" w:hAnsi="Times New Roman" w:cs="Times New Roman"/>
          <w:color w:val="000000"/>
          <w:sz w:val="24"/>
          <w:szCs w:val="24"/>
          <w:lang w:val="fi-FI"/>
        </w:rPr>
        <w:t xml:space="preserve"> dan perempuan </w:t>
      </w:r>
      <w:r w:rsidR="007241D1" w:rsidRPr="00087940">
        <w:rPr>
          <w:rFonts w:ascii="Times New Roman" w:eastAsia="Times New Roman" w:hAnsi="Times New Roman" w:cs="Times New Roman"/>
          <w:color w:val="000000"/>
          <w:sz w:val="24"/>
          <w:szCs w:val="24"/>
          <w:lang w:val="fi-FI"/>
        </w:rPr>
        <w:t>ialah</w:t>
      </w:r>
      <w:r w:rsidR="004D646C" w:rsidRPr="00087940">
        <w:rPr>
          <w:rFonts w:ascii="Times New Roman" w:eastAsia="Times New Roman" w:hAnsi="Times New Roman" w:cs="Times New Roman"/>
          <w:color w:val="000000"/>
          <w:sz w:val="24"/>
          <w:szCs w:val="24"/>
          <w:lang w:val="fi-FI"/>
        </w:rPr>
        <w:t xml:space="preserve"> 7</w:t>
      </w:r>
      <w:r w:rsidR="007241D1" w:rsidRPr="00087940">
        <w:rPr>
          <w:rFonts w:ascii="Times New Roman" w:eastAsia="Times New Roman" w:hAnsi="Times New Roman" w:cs="Times New Roman"/>
          <w:color w:val="000000"/>
          <w:sz w:val="24"/>
          <w:szCs w:val="24"/>
          <w:lang w:val="fi-FI"/>
        </w:rPr>
        <w:t>9.0</w:t>
      </w:r>
      <w:r w:rsidR="004D646C" w:rsidRPr="00087940">
        <w:rPr>
          <w:rFonts w:ascii="Times New Roman" w:eastAsia="Times New Roman" w:hAnsi="Times New Roman" w:cs="Times New Roman"/>
          <w:color w:val="000000"/>
          <w:sz w:val="24"/>
          <w:szCs w:val="24"/>
          <w:lang w:val="fi-FI"/>
        </w:rPr>
        <w:t xml:space="preserve"> tahun. Ini bermakna, secara puratanya, jika individu bersara pada umur 60 tahun, individu tersebut perlu bergantung kepada wang simpanan selama 1</w:t>
      </w:r>
      <w:r w:rsidR="007241D1" w:rsidRPr="00087940">
        <w:rPr>
          <w:rFonts w:ascii="Times New Roman" w:eastAsia="Times New Roman" w:hAnsi="Times New Roman" w:cs="Times New Roman"/>
          <w:color w:val="000000"/>
          <w:sz w:val="24"/>
          <w:szCs w:val="24"/>
          <w:lang w:val="fi-FI"/>
        </w:rPr>
        <w:t>3.9</w:t>
      </w:r>
      <w:r w:rsidR="004D646C" w:rsidRPr="00087940">
        <w:rPr>
          <w:rFonts w:ascii="Times New Roman" w:eastAsia="Times New Roman" w:hAnsi="Times New Roman" w:cs="Times New Roman"/>
          <w:color w:val="000000"/>
          <w:sz w:val="24"/>
          <w:szCs w:val="24"/>
          <w:lang w:val="fi-FI"/>
        </w:rPr>
        <w:t xml:space="preserve"> tahun untuk lelaki dan 1</w:t>
      </w:r>
      <w:r w:rsidR="007241D1" w:rsidRPr="00087940">
        <w:rPr>
          <w:rFonts w:ascii="Times New Roman" w:eastAsia="Times New Roman" w:hAnsi="Times New Roman" w:cs="Times New Roman"/>
          <w:color w:val="000000"/>
          <w:sz w:val="24"/>
          <w:szCs w:val="24"/>
          <w:lang w:val="fi-FI"/>
        </w:rPr>
        <w:t>9.0</w:t>
      </w:r>
      <w:r w:rsidR="004D646C" w:rsidRPr="00087940">
        <w:rPr>
          <w:rFonts w:ascii="Times New Roman" w:eastAsia="Times New Roman" w:hAnsi="Times New Roman" w:cs="Times New Roman"/>
          <w:color w:val="000000"/>
          <w:sz w:val="24"/>
          <w:szCs w:val="24"/>
          <w:lang w:val="fi-FI"/>
        </w:rPr>
        <w:t xml:space="preserve"> tahun untuk perempuan. </w:t>
      </w:r>
      <w:r w:rsidRPr="00087940">
        <w:rPr>
          <w:rFonts w:ascii="Times New Roman" w:eastAsia="Times New Roman" w:hAnsi="Times New Roman" w:cs="Times New Roman"/>
          <w:color w:val="000000"/>
          <w:sz w:val="24"/>
          <w:szCs w:val="24"/>
          <w:lang w:val="fi-FI"/>
        </w:rPr>
        <w:t>Mengikut statistik skim KWSP pada tahun 2021, seramai 158,191 ahli skim KWSP tidak aktif hanya mempunyai purata simpanan RM54,253 yang berumur 54 tahun. Ini bermakna golongan ini hanya mempunyai secara purata RM226 sebulan untuk kehidupan dalam 20 tahun seterusnya jika bersara</w:t>
      </w:r>
      <w:r w:rsidR="00C51986">
        <w:rPr>
          <w:rStyle w:val="EndnoteReference"/>
          <w:rFonts w:ascii="Times New Roman" w:eastAsia="Times New Roman" w:hAnsi="Times New Roman" w:cs="Times New Roman"/>
          <w:color w:val="000000"/>
          <w:sz w:val="24"/>
          <w:szCs w:val="24"/>
        </w:rPr>
        <w:endnoteReference w:id="2"/>
      </w:r>
      <w:r w:rsidR="00C51986" w:rsidRPr="00087940">
        <w:rPr>
          <w:rFonts w:ascii="Times New Roman" w:eastAsia="Times New Roman" w:hAnsi="Times New Roman" w:cs="Times New Roman"/>
          <w:color w:val="000000"/>
          <w:sz w:val="24"/>
          <w:szCs w:val="24"/>
          <w:lang w:val="fi-FI"/>
        </w:rPr>
        <w:t>.</w:t>
      </w:r>
      <w:r w:rsidRPr="00087940">
        <w:rPr>
          <w:rFonts w:ascii="Times New Roman" w:eastAsia="Times New Roman" w:hAnsi="Times New Roman" w:cs="Times New Roman"/>
          <w:color w:val="000000"/>
          <w:sz w:val="24"/>
          <w:szCs w:val="24"/>
          <w:lang w:val="fi-FI"/>
        </w:rPr>
        <w:t xml:space="preserve"> Jika dibandingkan dengan simpanan asas yang diperkenalkan oleh pihak skim KWSP iaitu RM1,000, golongan ini akan kehabisan dana skim KWSP dalam masa 4.5 tahun. Tambahan pula, hal ini menjadi lebih ketara jika dibandingkan dengan gaji minimum negara iaitu RM1,500, golongan ini akan kehabisan wang skim KWSP dalam masa tiga tahun sahaja. Selain itu, statistik skim KWSP pada tahun 2021 juga melaporkan seramai 98,194 ahli skim KWSP aktif mempunyai purata simpanan RM246,635.49 yang berumur </w:t>
      </w:r>
      <w:r w:rsidRPr="00087940">
        <w:rPr>
          <w:rFonts w:ascii="Times New Roman" w:eastAsia="Times New Roman" w:hAnsi="Times New Roman" w:cs="Times New Roman"/>
          <w:color w:val="000000"/>
          <w:sz w:val="24"/>
          <w:szCs w:val="24"/>
          <w:lang w:val="fi-FI"/>
        </w:rPr>
        <w:lastRenderedPageBreak/>
        <w:t>54 tahun. Ini bermakna golongan ini hanya mempunyai secara purata RM1,027 sebulan untuk kehidupan dalam 20 tahun seterusnya jika bersara, di mana selaras dengan dengan simpanan asas RM1,000. Seterusnya, jika dibandingkan dengan gaji minimum negara iaitu RM1,500, golongan aktif ini juga tidak mampu bertahan dalam masa 20 tahun selepas bersara.</w:t>
      </w:r>
    </w:p>
    <w:p w:rsidR="00214D68" w:rsidRPr="00087940" w:rsidRDefault="00BF72B3" w:rsidP="00C519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fi-FI"/>
        </w:rPr>
      </w:pPr>
      <w:r w:rsidRPr="00087940">
        <w:rPr>
          <w:rFonts w:ascii="Times New Roman" w:eastAsia="Times New Roman" w:hAnsi="Times New Roman" w:cs="Times New Roman"/>
          <w:color w:val="000000"/>
          <w:sz w:val="24"/>
          <w:szCs w:val="24"/>
          <w:lang w:val="fi-FI"/>
        </w:rPr>
        <w:t>Tambahan pula</w:t>
      </w:r>
      <w:r w:rsidR="00EA10E2" w:rsidRPr="00087940">
        <w:rPr>
          <w:rFonts w:ascii="Times New Roman" w:eastAsia="Times New Roman" w:hAnsi="Times New Roman" w:cs="Times New Roman"/>
          <w:color w:val="000000"/>
          <w:sz w:val="24"/>
          <w:szCs w:val="24"/>
          <w:lang w:val="fi-FI"/>
        </w:rPr>
        <w:t>, kajian skim KWSP mendapati simpanan pekerja secara purata habis dikeluarkan dalam tiga tahun selepas umur 55. Faktor utama kehabisan dana skim KWSP dalam tempoh yang singkat ini digunakan untuk menjelaskan hutang pembiayaan, terutamanya pinjaman tertunggak yang melalui kaedah pembayaran-belon (</w:t>
      </w:r>
      <w:r w:rsidR="00EA10E2" w:rsidRPr="00087940">
        <w:rPr>
          <w:rFonts w:ascii="Times New Roman" w:eastAsia="Times New Roman" w:hAnsi="Times New Roman" w:cs="Times New Roman"/>
          <w:i/>
          <w:color w:val="000000"/>
          <w:sz w:val="24"/>
          <w:szCs w:val="24"/>
          <w:lang w:val="fi-FI"/>
        </w:rPr>
        <w:t>ballon method repayment</w:t>
      </w:r>
      <w:r w:rsidR="00EA10E2" w:rsidRPr="00087940">
        <w:rPr>
          <w:rFonts w:ascii="Times New Roman" w:eastAsia="Times New Roman" w:hAnsi="Times New Roman" w:cs="Times New Roman"/>
          <w:color w:val="000000"/>
          <w:sz w:val="24"/>
          <w:szCs w:val="24"/>
          <w:lang w:val="fi-FI"/>
        </w:rPr>
        <w:t>) (Khoong</w:t>
      </w:r>
      <w:r w:rsidR="003107D9">
        <w:rPr>
          <w:rFonts w:ascii="Times New Roman" w:eastAsia="Times New Roman" w:hAnsi="Times New Roman" w:cs="Times New Roman"/>
          <w:color w:val="000000"/>
          <w:sz w:val="24"/>
          <w:szCs w:val="24"/>
          <w:lang w:val="fi-FI"/>
        </w:rPr>
        <w:t>,</w:t>
      </w:r>
      <w:r w:rsidR="00EA10E2" w:rsidRPr="00087940">
        <w:rPr>
          <w:rFonts w:ascii="Times New Roman" w:eastAsia="Times New Roman" w:hAnsi="Times New Roman" w:cs="Times New Roman"/>
          <w:color w:val="000000"/>
          <w:sz w:val="24"/>
          <w:szCs w:val="24"/>
          <w:lang w:val="fi-FI"/>
        </w:rPr>
        <w:t xml:space="preserve"> 2014; Khoong</w:t>
      </w:r>
      <w:r w:rsidR="00CE1BEA" w:rsidRPr="00087940">
        <w:rPr>
          <w:rFonts w:ascii="Times New Roman" w:eastAsia="Times New Roman" w:hAnsi="Times New Roman" w:cs="Times New Roman"/>
          <w:color w:val="000000"/>
          <w:sz w:val="24"/>
          <w:szCs w:val="24"/>
          <w:lang w:val="fi-FI"/>
        </w:rPr>
        <w:t>,</w:t>
      </w:r>
      <w:r w:rsidR="00EA10E2" w:rsidRPr="00087940">
        <w:rPr>
          <w:rFonts w:ascii="Times New Roman" w:eastAsia="Times New Roman" w:hAnsi="Times New Roman" w:cs="Times New Roman"/>
          <w:color w:val="000000"/>
          <w:sz w:val="24"/>
          <w:szCs w:val="24"/>
          <w:lang w:val="fi-FI"/>
        </w:rPr>
        <w:t xml:space="preserve"> 2015). </w:t>
      </w:r>
      <w:r w:rsidR="00045EC6" w:rsidRPr="00087940">
        <w:rPr>
          <w:rFonts w:ascii="Times New Roman" w:eastAsia="Times New Roman" w:hAnsi="Times New Roman" w:cs="Times New Roman"/>
          <w:color w:val="000000"/>
          <w:sz w:val="24"/>
          <w:szCs w:val="24"/>
          <w:lang w:val="fi-FI"/>
        </w:rPr>
        <w:t>Melalui kaedah pembayaran-belon, individu membuat bayaran balik kepada institut kewangan secara sekali gus (</w:t>
      </w:r>
      <w:r w:rsidR="00045EC6" w:rsidRPr="00087940">
        <w:rPr>
          <w:rFonts w:ascii="Times New Roman" w:eastAsia="Times New Roman" w:hAnsi="Times New Roman" w:cs="Times New Roman"/>
          <w:i/>
          <w:color w:val="000000"/>
          <w:sz w:val="24"/>
          <w:szCs w:val="24"/>
          <w:lang w:val="fi-FI"/>
        </w:rPr>
        <w:t>lump sum</w:t>
      </w:r>
      <w:r w:rsidR="00045EC6" w:rsidRPr="00087940">
        <w:rPr>
          <w:rFonts w:ascii="Times New Roman" w:eastAsia="Times New Roman" w:hAnsi="Times New Roman" w:cs="Times New Roman"/>
          <w:color w:val="000000"/>
          <w:sz w:val="24"/>
          <w:szCs w:val="24"/>
          <w:lang w:val="fi-FI"/>
        </w:rPr>
        <w:t>)</w:t>
      </w:r>
      <w:r w:rsidR="00100F89" w:rsidRPr="00087940">
        <w:rPr>
          <w:rFonts w:ascii="Times New Roman" w:eastAsia="Times New Roman" w:hAnsi="Times New Roman" w:cs="Times New Roman"/>
          <w:color w:val="000000"/>
          <w:sz w:val="24"/>
          <w:szCs w:val="24"/>
          <w:lang w:val="fi-FI"/>
        </w:rPr>
        <w:t>, melalui pengelu</w:t>
      </w:r>
      <w:r w:rsidR="00E4252B" w:rsidRPr="00087940">
        <w:rPr>
          <w:rFonts w:ascii="Times New Roman" w:eastAsia="Times New Roman" w:hAnsi="Times New Roman" w:cs="Times New Roman"/>
          <w:color w:val="000000"/>
          <w:sz w:val="24"/>
          <w:szCs w:val="24"/>
          <w:lang w:val="fi-FI"/>
        </w:rPr>
        <w:t>a</w:t>
      </w:r>
      <w:r w:rsidR="00100F89" w:rsidRPr="00087940">
        <w:rPr>
          <w:rFonts w:ascii="Times New Roman" w:eastAsia="Times New Roman" w:hAnsi="Times New Roman" w:cs="Times New Roman"/>
          <w:color w:val="000000"/>
          <w:sz w:val="24"/>
          <w:szCs w:val="24"/>
          <w:lang w:val="fi-FI"/>
        </w:rPr>
        <w:t xml:space="preserve">ran skim KWSP sewaktu bersara. </w:t>
      </w:r>
      <w:r w:rsidR="00EA10E2" w:rsidRPr="00087940">
        <w:rPr>
          <w:rFonts w:ascii="Times New Roman" w:eastAsia="Times New Roman" w:hAnsi="Times New Roman" w:cs="Times New Roman"/>
          <w:color w:val="000000"/>
          <w:sz w:val="24"/>
          <w:szCs w:val="24"/>
          <w:lang w:val="fi-FI"/>
        </w:rPr>
        <w:t>Ini kerana hutang berbentuk pinjaman jangka panjang seperti pembiayaan perumahan dan mungkin berlanjutan sehingga selepas waktu bersara</w:t>
      </w:r>
      <w:r w:rsidR="00E4252B" w:rsidRPr="00087940">
        <w:rPr>
          <w:rFonts w:ascii="Times New Roman" w:eastAsia="Times New Roman" w:hAnsi="Times New Roman" w:cs="Times New Roman"/>
          <w:color w:val="000000"/>
          <w:sz w:val="24"/>
          <w:szCs w:val="24"/>
          <w:lang w:val="fi-FI"/>
        </w:rPr>
        <w:t>. Dalam hal ini,</w:t>
      </w:r>
      <w:r w:rsidR="00EA10E2" w:rsidRPr="00087940">
        <w:rPr>
          <w:rFonts w:ascii="Times New Roman" w:eastAsia="Times New Roman" w:hAnsi="Times New Roman" w:cs="Times New Roman"/>
          <w:color w:val="000000"/>
          <w:sz w:val="24"/>
          <w:szCs w:val="24"/>
          <w:lang w:val="fi-FI"/>
        </w:rPr>
        <w:t xml:space="preserve"> mereka </w:t>
      </w:r>
      <w:r w:rsidR="00791A74" w:rsidRPr="00087940">
        <w:rPr>
          <w:rFonts w:ascii="Times New Roman" w:eastAsia="Times New Roman" w:hAnsi="Times New Roman" w:cs="Times New Roman"/>
          <w:color w:val="000000"/>
          <w:sz w:val="24"/>
          <w:szCs w:val="24"/>
          <w:lang w:val="fi-FI"/>
        </w:rPr>
        <w:t xml:space="preserve">terpaksa menggunakan dana yang terkumpul di dalam skim KWSP </w:t>
      </w:r>
      <w:r w:rsidR="00E4252B" w:rsidRPr="00087940">
        <w:rPr>
          <w:rFonts w:ascii="Times New Roman" w:eastAsia="Times New Roman" w:hAnsi="Times New Roman" w:cs="Times New Roman"/>
          <w:color w:val="000000"/>
          <w:sz w:val="24"/>
          <w:szCs w:val="24"/>
          <w:lang w:val="fi-FI"/>
        </w:rPr>
        <w:t>untuk membuat pembayaran sewaktu</w:t>
      </w:r>
      <w:r w:rsidR="00791A74" w:rsidRPr="00087940">
        <w:rPr>
          <w:rFonts w:ascii="Times New Roman" w:eastAsia="Times New Roman" w:hAnsi="Times New Roman" w:cs="Times New Roman"/>
          <w:color w:val="000000"/>
          <w:sz w:val="24"/>
          <w:szCs w:val="24"/>
          <w:lang w:val="fi-FI"/>
        </w:rPr>
        <w:t xml:space="preserve"> bersara untuk tunggakan tersebut (Khoong, 2014; Awang et al., 2020; Laporan Tahunan Skim KWSP</w:t>
      </w:r>
      <w:r w:rsidR="003107D9">
        <w:rPr>
          <w:rFonts w:ascii="Times New Roman" w:eastAsia="Times New Roman" w:hAnsi="Times New Roman" w:cs="Times New Roman"/>
          <w:color w:val="000000"/>
          <w:sz w:val="24"/>
          <w:szCs w:val="24"/>
          <w:lang w:val="fi-FI"/>
        </w:rPr>
        <w:t>,</w:t>
      </w:r>
      <w:r w:rsidR="00791A74" w:rsidRPr="00087940">
        <w:rPr>
          <w:rFonts w:ascii="Times New Roman" w:eastAsia="Times New Roman" w:hAnsi="Times New Roman" w:cs="Times New Roman"/>
          <w:color w:val="000000"/>
          <w:sz w:val="24"/>
          <w:szCs w:val="24"/>
          <w:lang w:val="fi-FI"/>
        </w:rPr>
        <w:t xml:space="preserve"> 2021). Ini seterusnya menyebabkan mereka </w:t>
      </w:r>
      <w:r w:rsidR="00EA10E2" w:rsidRPr="00087940">
        <w:rPr>
          <w:rFonts w:ascii="Times New Roman" w:eastAsia="Times New Roman" w:hAnsi="Times New Roman" w:cs="Times New Roman"/>
          <w:color w:val="000000"/>
          <w:sz w:val="24"/>
          <w:szCs w:val="24"/>
          <w:lang w:val="fi-FI"/>
        </w:rPr>
        <w:t>menghadapi</w:t>
      </w:r>
      <w:r w:rsidR="00791A74" w:rsidRPr="00087940">
        <w:rPr>
          <w:rFonts w:ascii="Times New Roman" w:eastAsia="Times New Roman" w:hAnsi="Times New Roman" w:cs="Times New Roman"/>
          <w:color w:val="000000"/>
          <w:sz w:val="24"/>
          <w:szCs w:val="24"/>
          <w:lang w:val="fi-FI"/>
        </w:rPr>
        <w:t xml:space="preserve"> </w:t>
      </w:r>
      <w:r w:rsidR="00EA10E2" w:rsidRPr="00087940">
        <w:rPr>
          <w:rFonts w:ascii="Times New Roman" w:eastAsia="Times New Roman" w:hAnsi="Times New Roman" w:cs="Times New Roman"/>
          <w:color w:val="000000"/>
          <w:sz w:val="24"/>
          <w:szCs w:val="24"/>
          <w:lang w:val="fi-FI"/>
        </w:rPr>
        <w:t>masalah kewangan selepas bersara</w:t>
      </w:r>
      <w:r w:rsidR="00791A74" w:rsidRPr="00087940">
        <w:rPr>
          <w:rFonts w:ascii="Times New Roman" w:eastAsia="Times New Roman" w:hAnsi="Times New Roman" w:cs="Times New Roman"/>
          <w:color w:val="000000"/>
          <w:sz w:val="24"/>
          <w:szCs w:val="24"/>
          <w:lang w:val="fi-FI"/>
        </w:rPr>
        <w:t>.</w:t>
      </w:r>
    </w:p>
    <w:p w:rsidR="005077BA" w:rsidRPr="00087940" w:rsidRDefault="00214D68" w:rsidP="00C519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fi-FI"/>
        </w:rPr>
      </w:pPr>
      <w:r w:rsidRPr="00087940">
        <w:rPr>
          <w:rFonts w:ascii="Times New Roman" w:eastAsia="Times New Roman" w:hAnsi="Times New Roman" w:cs="Times New Roman"/>
          <w:color w:val="000000"/>
          <w:sz w:val="24"/>
          <w:szCs w:val="24"/>
          <w:lang w:val="fi-FI"/>
        </w:rPr>
        <w:t xml:space="preserve">Tambahan pula, </w:t>
      </w:r>
      <w:r w:rsidR="008D35B4" w:rsidRPr="00087940">
        <w:rPr>
          <w:rFonts w:ascii="Times New Roman" w:eastAsia="Times New Roman" w:hAnsi="Times New Roman" w:cs="Times New Roman"/>
          <w:color w:val="000000"/>
          <w:sz w:val="24"/>
          <w:szCs w:val="24"/>
          <w:lang w:val="fi-FI"/>
        </w:rPr>
        <w:t>pasca-</w:t>
      </w:r>
      <w:r w:rsidRPr="00087940">
        <w:rPr>
          <w:rFonts w:ascii="Times New Roman" w:eastAsia="Times New Roman" w:hAnsi="Times New Roman" w:cs="Times New Roman"/>
          <w:color w:val="000000"/>
          <w:sz w:val="24"/>
          <w:szCs w:val="24"/>
          <w:lang w:val="fi-FI"/>
        </w:rPr>
        <w:t xml:space="preserve">pandemik COVID-19 </w:t>
      </w:r>
      <w:r w:rsidR="008D35B4" w:rsidRPr="00087940">
        <w:rPr>
          <w:rFonts w:ascii="Times New Roman" w:eastAsia="Times New Roman" w:hAnsi="Times New Roman" w:cs="Times New Roman"/>
          <w:color w:val="000000"/>
          <w:sz w:val="24"/>
          <w:szCs w:val="24"/>
          <w:lang w:val="fi-FI"/>
        </w:rPr>
        <w:t xml:space="preserve">mendapati dana skim persaraan juga mengalami penurunan yang mendadak disebabkan kebenaran pengeluaran pra-persaraan dari pihak kerajaan. </w:t>
      </w:r>
      <w:r w:rsidR="00C1583B" w:rsidRPr="00087940">
        <w:rPr>
          <w:rFonts w:ascii="Times New Roman" w:eastAsia="Times New Roman" w:hAnsi="Times New Roman" w:cs="Times New Roman"/>
          <w:color w:val="000000"/>
          <w:sz w:val="24"/>
          <w:szCs w:val="24"/>
          <w:lang w:val="fi-FI"/>
        </w:rPr>
        <w:t xml:space="preserve">Menurut pihak KWSP, pengeluaran pra-persaraaan sewaktu pandemik mencecah RM86.24 bil. </w:t>
      </w:r>
      <w:r w:rsidR="00C1583B">
        <w:rPr>
          <w:rFonts w:ascii="Times New Roman" w:eastAsia="Times New Roman" w:hAnsi="Times New Roman" w:cs="Times New Roman"/>
          <w:color w:val="000000"/>
          <w:sz w:val="24"/>
          <w:szCs w:val="24"/>
        </w:rPr>
        <w:t>Golongan berpendapatan rendah dan bumiputera merupakan golongan yang</w:t>
      </w:r>
      <w:r w:rsidR="00442172">
        <w:rPr>
          <w:rFonts w:ascii="Times New Roman" w:eastAsia="Times New Roman" w:hAnsi="Times New Roman" w:cs="Times New Roman"/>
          <w:color w:val="000000"/>
          <w:sz w:val="24"/>
          <w:szCs w:val="24"/>
        </w:rPr>
        <w:t xml:space="preserve"> </w:t>
      </w:r>
      <w:r w:rsidR="005E4158">
        <w:rPr>
          <w:rFonts w:ascii="Times New Roman" w:eastAsia="Times New Roman" w:hAnsi="Times New Roman" w:cs="Times New Roman"/>
          <w:color w:val="000000"/>
          <w:sz w:val="24"/>
          <w:szCs w:val="24"/>
        </w:rPr>
        <w:t xml:space="preserve">paling </w:t>
      </w:r>
      <w:r w:rsidR="00442172">
        <w:rPr>
          <w:rFonts w:ascii="Times New Roman" w:eastAsia="Times New Roman" w:hAnsi="Times New Roman" w:cs="Times New Roman"/>
          <w:color w:val="000000"/>
          <w:sz w:val="24"/>
          <w:szCs w:val="24"/>
        </w:rPr>
        <w:t xml:space="preserve">dipengaruhi. </w:t>
      </w:r>
      <w:r w:rsidR="005E4158">
        <w:rPr>
          <w:rFonts w:ascii="Times New Roman" w:eastAsia="Times New Roman" w:hAnsi="Times New Roman" w:cs="Times New Roman"/>
          <w:color w:val="000000"/>
          <w:sz w:val="24"/>
          <w:szCs w:val="24"/>
        </w:rPr>
        <w:t>Simpanan</w:t>
      </w:r>
      <w:r w:rsidR="00442172">
        <w:rPr>
          <w:rFonts w:ascii="Times New Roman" w:eastAsia="Times New Roman" w:hAnsi="Times New Roman" w:cs="Times New Roman"/>
          <w:color w:val="000000"/>
          <w:sz w:val="24"/>
          <w:szCs w:val="24"/>
        </w:rPr>
        <w:t xml:space="preserve"> median</w:t>
      </w:r>
      <w:r w:rsidR="005E4158">
        <w:rPr>
          <w:rFonts w:ascii="Times New Roman" w:eastAsia="Times New Roman" w:hAnsi="Times New Roman" w:cs="Times New Roman"/>
          <w:color w:val="000000"/>
          <w:sz w:val="24"/>
          <w:szCs w:val="24"/>
        </w:rPr>
        <w:t xml:space="preserve"> KWSP</w:t>
      </w:r>
      <w:r w:rsidR="00442172">
        <w:rPr>
          <w:rFonts w:ascii="Times New Roman" w:eastAsia="Times New Roman" w:hAnsi="Times New Roman" w:cs="Times New Roman"/>
          <w:color w:val="000000"/>
          <w:sz w:val="24"/>
          <w:szCs w:val="24"/>
        </w:rPr>
        <w:t xml:space="preserve"> golongan bumiputera mengalami penurunan sebanyak 68.4 peratus, di antara tempoh masa April 2020 dan Disember 2022 (Jadual 3). In berbanding</w:t>
      </w:r>
      <w:r w:rsidR="00D873DB">
        <w:rPr>
          <w:rFonts w:ascii="Times New Roman" w:eastAsia="Times New Roman" w:hAnsi="Times New Roman" w:cs="Times New Roman"/>
          <w:color w:val="000000"/>
          <w:sz w:val="24"/>
          <w:szCs w:val="24"/>
        </w:rPr>
        <w:t xml:space="preserve"> dengan golongan India (42.0%) dan Cina</w:t>
      </w:r>
      <w:r w:rsidR="00442172">
        <w:rPr>
          <w:rFonts w:ascii="Times New Roman" w:eastAsia="Times New Roman" w:hAnsi="Times New Roman" w:cs="Times New Roman"/>
          <w:color w:val="000000"/>
          <w:sz w:val="24"/>
          <w:szCs w:val="24"/>
        </w:rPr>
        <w:t xml:space="preserve"> </w:t>
      </w:r>
      <w:r w:rsidR="00D873DB">
        <w:rPr>
          <w:rFonts w:ascii="Times New Roman" w:eastAsia="Times New Roman" w:hAnsi="Times New Roman" w:cs="Times New Roman"/>
          <w:color w:val="000000"/>
          <w:sz w:val="24"/>
          <w:szCs w:val="24"/>
        </w:rPr>
        <w:t>(1.3%), untuk tempoh masa yang sama.</w:t>
      </w:r>
      <w:r w:rsidR="00C1583B">
        <w:rPr>
          <w:rFonts w:ascii="Times New Roman" w:eastAsia="Times New Roman" w:hAnsi="Times New Roman" w:cs="Times New Roman"/>
          <w:color w:val="000000"/>
          <w:sz w:val="24"/>
          <w:szCs w:val="24"/>
        </w:rPr>
        <w:t xml:space="preserve"> </w:t>
      </w:r>
      <w:r w:rsidR="00D873DB">
        <w:rPr>
          <w:rFonts w:ascii="Times New Roman" w:eastAsia="Times New Roman" w:hAnsi="Times New Roman" w:cs="Times New Roman"/>
          <w:color w:val="000000"/>
          <w:sz w:val="24"/>
          <w:szCs w:val="24"/>
        </w:rPr>
        <w:t xml:space="preserve">Selain itu, </w:t>
      </w:r>
      <w:r w:rsidR="005E4158">
        <w:rPr>
          <w:rFonts w:ascii="Times New Roman" w:eastAsia="Times New Roman" w:hAnsi="Times New Roman" w:cs="Times New Roman"/>
          <w:color w:val="000000"/>
          <w:sz w:val="24"/>
          <w:szCs w:val="24"/>
        </w:rPr>
        <w:t>golongan pendapatan rendah (B40) juga merupakan golongan yang terjejas, di mana menunjukkan penurunan simpanan median KWSP sebanyak 76.3 peratus, untuk tempoh masa yang sama (Jadual 4). Ini berbanding penurunan bagi golongan berpendapatan sederhana (33.8%), dan peningkatan bagi golongan pendapatan tinggi (8.9%).</w:t>
      </w:r>
      <w:r w:rsidR="00C1583B">
        <w:rPr>
          <w:rFonts w:ascii="Times New Roman" w:eastAsia="Times New Roman" w:hAnsi="Times New Roman" w:cs="Times New Roman"/>
          <w:color w:val="000000"/>
          <w:sz w:val="24"/>
          <w:szCs w:val="24"/>
        </w:rPr>
        <w:t xml:space="preserve"> </w:t>
      </w:r>
      <w:r w:rsidR="00C1583B" w:rsidRPr="00087940">
        <w:rPr>
          <w:rFonts w:ascii="Times New Roman" w:eastAsia="Times New Roman" w:hAnsi="Times New Roman" w:cs="Times New Roman"/>
          <w:color w:val="000000"/>
          <w:sz w:val="24"/>
          <w:szCs w:val="24"/>
          <w:lang w:val="fi-FI"/>
        </w:rPr>
        <w:t>Ini membimbangkan pihak pentadbir kerana mungkin mengakibatkan masalah sosial pada masa hadapan.</w:t>
      </w:r>
      <w:r w:rsidR="005077BA" w:rsidRPr="00087940">
        <w:rPr>
          <w:rFonts w:ascii="Times New Roman" w:eastAsia="Times New Roman" w:hAnsi="Times New Roman" w:cs="Times New Roman"/>
          <w:color w:val="000000"/>
          <w:sz w:val="24"/>
          <w:szCs w:val="24"/>
          <w:lang w:val="fi-FI"/>
        </w:rPr>
        <w:t xml:space="preserve"> Pengeluaran pra-persaraan ini meluaskan jurang sosioekonomi antara golongan berpendapatan rendah dan berpendapatan tinggi. Golongan berpendapatan rendah merupakan golongan yang paling terjejas dalam hal sosio-ekonomi, di mana tidak mendapat kesan kewangan kompaun dan masih di dalam lingkungan sosial isu.</w:t>
      </w:r>
    </w:p>
    <w:p w:rsidR="00C1583B" w:rsidRPr="00087940" w:rsidRDefault="00C1583B" w:rsidP="00C519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fi-FI"/>
        </w:rPr>
      </w:pPr>
    </w:p>
    <w:p w:rsidR="00442172" w:rsidRPr="00087940" w:rsidRDefault="00442172"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lang w:val="fi-FI"/>
        </w:rPr>
      </w:pPr>
      <w:r w:rsidRPr="00087940">
        <w:rPr>
          <w:rFonts w:ascii="Times New Roman" w:eastAsia="Times New Roman" w:hAnsi="Times New Roman" w:cs="Times New Roman"/>
          <w:b/>
          <w:color w:val="000000"/>
          <w:sz w:val="20"/>
          <w:szCs w:val="20"/>
          <w:lang w:val="fi-FI"/>
        </w:rPr>
        <w:t xml:space="preserve">Jadual </w:t>
      </w:r>
      <w:r w:rsidR="009A0E1B" w:rsidRPr="00087940">
        <w:rPr>
          <w:rFonts w:ascii="Times New Roman" w:eastAsia="Times New Roman" w:hAnsi="Times New Roman" w:cs="Times New Roman"/>
          <w:b/>
          <w:color w:val="000000"/>
          <w:sz w:val="20"/>
          <w:szCs w:val="20"/>
          <w:lang w:val="fi-FI"/>
        </w:rPr>
        <w:t>3</w:t>
      </w:r>
      <w:r w:rsidR="00EE2D81">
        <w:rPr>
          <w:rFonts w:ascii="Times New Roman" w:eastAsia="Times New Roman" w:hAnsi="Times New Roman" w:cs="Times New Roman"/>
          <w:b/>
          <w:color w:val="000000"/>
          <w:sz w:val="20"/>
          <w:szCs w:val="20"/>
          <w:lang w:val="fi-FI"/>
        </w:rPr>
        <w:t>.</w:t>
      </w:r>
      <w:r w:rsidRPr="00087940">
        <w:rPr>
          <w:rFonts w:ascii="Times New Roman" w:eastAsia="Times New Roman" w:hAnsi="Times New Roman" w:cs="Times New Roman"/>
          <w:b/>
          <w:color w:val="000000"/>
          <w:sz w:val="20"/>
          <w:szCs w:val="20"/>
          <w:lang w:val="fi-FI"/>
        </w:rPr>
        <w:t xml:space="preserve"> </w:t>
      </w:r>
      <w:r w:rsidR="005E4158" w:rsidRPr="00087940">
        <w:rPr>
          <w:rFonts w:ascii="Times New Roman" w:eastAsia="Times New Roman" w:hAnsi="Times New Roman" w:cs="Times New Roman"/>
          <w:color w:val="000000"/>
          <w:sz w:val="20"/>
          <w:szCs w:val="20"/>
          <w:lang w:val="fi-FI"/>
        </w:rPr>
        <w:t>Simpanan median KWSP berdasarkan kumpulan etnik</w:t>
      </w:r>
    </w:p>
    <w:p w:rsidR="00442172" w:rsidRPr="00087940" w:rsidRDefault="0044217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fi-FI"/>
        </w:rPr>
      </w:pPr>
    </w:p>
    <w:tbl>
      <w:tblPr>
        <w:tblW w:w="9559" w:type="dxa"/>
        <w:jc w:val="center"/>
        <w:tblLayout w:type="fixed"/>
        <w:tblLook w:val="0000" w:firstRow="0" w:lastRow="0" w:firstColumn="0" w:lastColumn="0" w:noHBand="0" w:noVBand="0"/>
      </w:tblPr>
      <w:tblGrid>
        <w:gridCol w:w="2268"/>
        <w:gridCol w:w="2410"/>
        <w:gridCol w:w="2652"/>
        <w:gridCol w:w="2229"/>
      </w:tblGrid>
      <w:tr w:rsidR="00D873DB" w:rsidTr="00396A08">
        <w:trPr>
          <w:trHeight w:val="275"/>
          <w:jc w:val="center"/>
        </w:trPr>
        <w:tc>
          <w:tcPr>
            <w:tcW w:w="2268" w:type="dxa"/>
            <w:vMerge w:val="restart"/>
            <w:tcBorders>
              <w:top w:val="single" w:sz="4" w:space="0" w:color="000000"/>
            </w:tcBorders>
            <w:shd w:val="clear" w:color="auto" w:fill="BDD6EE"/>
          </w:tcPr>
          <w:p w:rsidR="00D873DB" w:rsidRPr="00C9556D" w:rsidRDefault="00B441D0"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Kumpulan e</w:t>
            </w:r>
            <w:r w:rsidR="00D873DB">
              <w:rPr>
                <w:rFonts w:ascii="Times New Roman" w:eastAsia="Times New Roman" w:hAnsi="Times New Roman" w:cs="Times New Roman"/>
                <w:b/>
                <w:color w:val="000000"/>
                <w:sz w:val="20"/>
                <w:szCs w:val="20"/>
              </w:rPr>
              <w:t>tnik</w:t>
            </w:r>
          </w:p>
        </w:tc>
        <w:tc>
          <w:tcPr>
            <w:tcW w:w="5062" w:type="dxa"/>
            <w:gridSpan w:val="2"/>
            <w:tcBorders>
              <w:top w:val="single" w:sz="4" w:space="0" w:color="000000"/>
              <w:bottom w:val="single" w:sz="4" w:space="0" w:color="000000"/>
            </w:tcBorders>
            <w:shd w:val="clear" w:color="auto" w:fill="BDD6EE"/>
          </w:tcPr>
          <w:p w:rsidR="00D873DB" w:rsidRPr="00C9556D" w:rsidRDefault="005E4158"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Simpanan</w:t>
            </w:r>
            <w:r w:rsidR="00B441D0">
              <w:rPr>
                <w:rFonts w:ascii="Times New Roman" w:eastAsia="Times New Roman" w:hAnsi="Times New Roman" w:cs="Times New Roman"/>
                <w:b/>
                <w:color w:val="000000"/>
                <w:sz w:val="20"/>
                <w:szCs w:val="20"/>
              </w:rPr>
              <w:t xml:space="preserve"> m</w:t>
            </w:r>
            <w:r w:rsidR="00D873DB">
              <w:rPr>
                <w:rFonts w:ascii="Times New Roman" w:eastAsia="Times New Roman" w:hAnsi="Times New Roman" w:cs="Times New Roman"/>
                <w:b/>
                <w:color w:val="000000"/>
                <w:sz w:val="20"/>
                <w:szCs w:val="20"/>
              </w:rPr>
              <w:t>edian</w:t>
            </w:r>
          </w:p>
        </w:tc>
        <w:tc>
          <w:tcPr>
            <w:tcW w:w="2229" w:type="dxa"/>
            <w:vMerge w:val="restart"/>
            <w:tcBorders>
              <w:top w:val="single" w:sz="4" w:space="0" w:color="000000"/>
            </w:tcBorders>
            <w:shd w:val="clear" w:color="auto" w:fill="BDD6EE"/>
          </w:tcPr>
          <w:p w:rsidR="00D873DB" w:rsidRPr="00C9556D" w:rsidRDefault="00B441D0"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Peratusan p</w:t>
            </w:r>
            <w:r w:rsidR="00D873DB">
              <w:rPr>
                <w:rFonts w:ascii="Times New Roman" w:eastAsia="Times New Roman" w:hAnsi="Times New Roman" w:cs="Times New Roman"/>
                <w:b/>
                <w:color w:val="000000"/>
                <w:sz w:val="20"/>
                <w:szCs w:val="20"/>
              </w:rPr>
              <w:t>erubahan</w:t>
            </w:r>
          </w:p>
        </w:tc>
      </w:tr>
      <w:tr w:rsidR="00D873DB" w:rsidTr="00396A08">
        <w:trPr>
          <w:trHeight w:val="275"/>
          <w:jc w:val="center"/>
        </w:trPr>
        <w:tc>
          <w:tcPr>
            <w:tcW w:w="2268" w:type="dxa"/>
            <w:vMerge/>
            <w:tcBorders>
              <w:bottom w:val="single" w:sz="4" w:space="0" w:color="000000"/>
            </w:tcBorders>
            <w:shd w:val="clear" w:color="auto" w:fill="B8CCE4"/>
          </w:tcPr>
          <w:p w:rsidR="00D873DB" w:rsidRDefault="00D873DB"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p>
        </w:tc>
        <w:tc>
          <w:tcPr>
            <w:tcW w:w="2410" w:type="dxa"/>
            <w:tcBorders>
              <w:top w:val="single" w:sz="4" w:space="0" w:color="000000"/>
              <w:bottom w:val="single" w:sz="4" w:space="0" w:color="000000"/>
            </w:tcBorders>
            <w:shd w:val="clear" w:color="auto" w:fill="BDD6EE"/>
          </w:tcPr>
          <w:p w:rsidR="00D873DB" w:rsidRPr="00C9556D" w:rsidRDefault="00D873DB"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April 2020</w:t>
            </w:r>
          </w:p>
        </w:tc>
        <w:tc>
          <w:tcPr>
            <w:tcW w:w="2652" w:type="dxa"/>
            <w:tcBorders>
              <w:top w:val="single" w:sz="4" w:space="0" w:color="000000"/>
              <w:bottom w:val="single" w:sz="4" w:space="0" w:color="000000"/>
            </w:tcBorders>
            <w:shd w:val="clear" w:color="auto" w:fill="BDD6EE"/>
          </w:tcPr>
          <w:p w:rsidR="00D873DB" w:rsidRPr="00C9556D" w:rsidRDefault="00D873DB"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Disember 2022</w:t>
            </w:r>
          </w:p>
        </w:tc>
        <w:tc>
          <w:tcPr>
            <w:tcW w:w="2229" w:type="dxa"/>
            <w:vMerge/>
            <w:tcBorders>
              <w:bottom w:val="single" w:sz="4" w:space="0" w:color="000000"/>
            </w:tcBorders>
            <w:shd w:val="clear" w:color="auto" w:fill="B8CCE4"/>
          </w:tcPr>
          <w:p w:rsidR="00D873DB" w:rsidRPr="00C9556D" w:rsidRDefault="00D873DB"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p>
        </w:tc>
      </w:tr>
      <w:tr w:rsidR="00D873DB" w:rsidRPr="00905595" w:rsidTr="00087940">
        <w:trPr>
          <w:trHeight w:val="296"/>
          <w:jc w:val="center"/>
        </w:trPr>
        <w:tc>
          <w:tcPr>
            <w:tcW w:w="2268" w:type="dxa"/>
            <w:shd w:val="clear" w:color="auto" w:fill="auto"/>
          </w:tcPr>
          <w:p w:rsidR="00D873DB" w:rsidRPr="00087940" w:rsidRDefault="00D873DB" w:rsidP="00C51986">
            <w:pPr>
              <w:spacing w:after="0" w:line="240" w:lineRule="auto"/>
              <w:ind w:leftChars="0" w:left="2" w:hanging="2"/>
              <w:jc w:val="center"/>
              <w:rPr>
                <w:rFonts w:ascii="Times New Roman" w:hAnsi="Times New Roman" w:cs="Times New Roman"/>
                <w:sz w:val="20"/>
                <w:szCs w:val="20"/>
              </w:rPr>
            </w:pPr>
            <w:r w:rsidRPr="00087940">
              <w:rPr>
                <w:rFonts w:ascii="Times New Roman" w:eastAsia="Times New Roman" w:hAnsi="Times New Roman" w:cs="Times New Roman"/>
                <w:sz w:val="20"/>
                <w:szCs w:val="20"/>
              </w:rPr>
              <w:t>Bumiputera</w:t>
            </w:r>
          </w:p>
        </w:tc>
        <w:tc>
          <w:tcPr>
            <w:tcW w:w="2410" w:type="dxa"/>
            <w:shd w:val="clear" w:color="auto" w:fill="auto"/>
          </w:tcPr>
          <w:p w:rsidR="00D873DB" w:rsidRPr="00087940" w:rsidRDefault="00D873DB"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087940">
              <w:rPr>
                <w:rFonts w:ascii="Times New Roman" w:eastAsia="Times New Roman" w:hAnsi="Times New Roman" w:cs="Times New Roman"/>
                <w:sz w:val="20"/>
                <w:szCs w:val="20"/>
              </w:rPr>
              <w:t>RM15,500</w:t>
            </w:r>
          </w:p>
        </w:tc>
        <w:tc>
          <w:tcPr>
            <w:tcW w:w="2652" w:type="dxa"/>
            <w:shd w:val="clear" w:color="auto" w:fill="auto"/>
          </w:tcPr>
          <w:p w:rsidR="00D873DB" w:rsidRPr="00087940" w:rsidRDefault="00D873DB"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087940">
              <w:rPr>
                <w:rFonts w:ascii="Times New Roman" w:eastAsia="Times New Roman" w:hAnsi="Times New Roman" w:cs="Times New Roman"/>
                <w:sz w:val="20"/>
                <w:szCs w:val="20"/>
              </w:rPr>
              <w:t>RM4,900</w:t>
            </w:r>
          </w:p>
        </w:tc>
        <w:tc>
          <w:tcPr>
            <w:tcW w:w="2229" w:type="dxa"/>
            <w:shd w:val="clear" w:color="auto" w:fill="auto"/>
          </w:tcPr>
          <w:p w:rsidR="00D873DB" w:rsidRPr="00087940" w:rsidRDefault="00D873DB" w:rsidP="00C51986">
            <w:pPr>
              <w:pStyle w:val="ListParagraph"/>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sidRPr="00087940">
              <w:rPr>
                <w:rFonts w:ascii="Times New Roman" w:eastAsia="Times New Roman" w:hAnsi="Times New Roman" w:cs="Times New Roman"/>
                <w:sz w:val="20"/>
                <w:szCs w:val="20"/>
                <w:lang w:val="en-US"/>
              </w:rPr>
              <w:t>-68.4%</w:t>
            </w:r>
          </w:p>
        </w:tc>
      </w:tr>
      <w:tr w:rsidR="00D873DB" w:rsidRPr="00905595" w:rsidTr="00D873DB">
        <w:trPr>
          <w:trHeight w:val="296"/>
          <w:jc w:val="center"/>
        </w:trPr>
        <w:tc>
          <w:tcPr>
            <w:tcW w:w="2268" w:type="dxa"/>
          </w:tcPr>
          <w:p w:rsidR="00D873DB" w:rsidRPr="00087940" w:rsidRDefault="00D873DB" w:rsidP="00C51986">
            <w:pPr>
              <w:spacing w:after="0" w:line="240" w:lineRule="auto"/>
              <w:ind w:leftChars="0" w:left="2" w:hanging="2"/>
              <w:jc w:val="center"/>
              <w:rPr>
                <w:rFonts w:ascii="Times New Roman" w:eastAsia="Times New Roman" w:hAnsi="Times New Roman" w:cs="Times New Roman"/>
                <w:sz w:val="20"/>
                <w:szCs w:val="20"/>
              </w:rPr>
            </w:pPr>
            <w:r w:rsidRPr="00087940">
              <w:rPr>
                <w:rFonts w:ascii="Times New Roman" w:eastAsia="Times New Roman" w:hAnsi="Times New Roman" w:cs="Times New Roman"/>
                <w:sz w:val="20"/>
                <w:szCs w:val="20"/>
              </w:rPr>
              <w:t>India</w:t>
            </w:r>
          </w:p>
        </w:tc>
        <w:tc>
          <w:tcPr>
            <w:tcW w:w="2410" w:type="dxa"/>
          </w:tcPr>
          <w:p w:rsidR="00D873DB" w:rsidRPr="00087940" w:rsidRDefault="00D873DB"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sz w:val="20"/>
                <w:szCs w:val="20"/>
              </w:rPr>
            </w:pPr>
            <w:r w:rsidRPr="00087940">
              <w:rPr>
                <w:rFonts w:ascii="Times New Roman" w:eastAsia="Times New Roman" w:hAnsi="Times New Roman" w:cs="Times New Roman"/>
                <w:sz w:val="20"/>
                <w:szCs w:val="20"/>
              </w:rPr>
              <w:t>RM25,700</w:t>
            </w:r>
          </w:p>
        </w:tc>
        <w:tc>
          <w:tcPr>
            <w:tcW w:w="2652" w:type="dxa"/>
          </w:tcPr>
          <w:p w:rsidR="00D873DB" w:rsidRPr="00087940" w:rsidRDefault="00D873DB"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sz w:val="20"/>
                <w:szCs w:val="20"/>
              </w:rPr>
            </w:pPr>
            <w:r w:rsidRPr="00087940">
              <w:rPr>
                <w:rFonts w:ascii="Times New Roman" w:eastAsia="Times New Roman" w:hAnsi="Times New Roman" w:cs="Times New Roman"/>
                <w:sz w:val="20"/>
                <w:szCs w:val="20"/>
              </w:rPr>
              <w:t>RM14,900</w:t>
            </w:r>
          </w:p>
        </w:tc>
        <w:tc>
          <w:tcPr>
            <w:tcW w:w="2229" w:type="dxa"/>
          </w:tcPr>
          <w:p w:rsidR="00D873DB" w:rsidRPr="00087940" w:rsidRDefault="00D873DB" w:rsidP="00C51986">
            <w:pPr>
              <w:pStyle w:val="ListParagraph"/>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sz w:val="20"/>
                <w:szCs w:val="20"/>
                <w:lang w:val="en-US"/>
              </w:rPr>
            </w:pPr>
            <w:r w:rsidRPr="00087940">
              <w:rPr>
                <w:rFonts w:ascii="Times New Roman" w:eastAsia="Times New Roman" w:hAnsi="Times New Roman" w:cs="Times New Roman"/>
                <w:sz w:val="20"/>
                <w:szCs w:val="20"/>
                <w:lang w:val="en-US"/>
              </w:rPr>
              <w:t>-42.0%</w:t>
            </w:r>
          </w:p>
        </w:tc>
      </w:tr>
      <w:tr w:rsidR="00D873DB" w:rsidRPr="00905595" w:rsidTr="00087940">
        <w:trPr>
          <w:trHeight w:val="296"/>
          <w:jc w:val="center"/>
        </w:trPr>
        <w:tc>
          <w:tcPr>
            <w:tcW w:w="2268" w:type="dxa"/>
            <w:tcBorders>
              <w:bottom w:val="single" w:sz="4" w:space="0" w:color="auto"/>
            </w:tcBorders>
          </w:tcPr>
          <w:p w:rsidR="00D873DB" w:rsidRPr="00087940" w:rsidRDefault="00D873DB" w:rsidP="00C51986">
            <w:pPr>
              <w:spacing w:after="0" w:line="240" w:lineRule="auto"/>
              <w:ind w:leftChars="0" w:left="2" w:hanging="2"/>
              <w:jc w:val="center"/>
              <w:rPr>
                <w:rFonts w:ascii="Times New Roman" w:eastAsia="Times New Roman" w:hAnsi="Times New Roman" w:cs="Times New Roman"/>
                <w:sz w:val="20"/>
                <w:szCs w:val="20"/>
              </w:rPr>
            </w:pPr>
            <w:r w:rsidRPr="00087940">
              <w:rPr>
                <w:rFonts w:ascii="Times New Roman" w:eastAsia="Times New Roman" w:hAnsi="Times New Roman" w:cs="Times New Roman"/>
                <w:sz w:val="20"/>
                <w:szCs w:val="20"/>
              </w:rPr>
              <w:t>Cina</w:t>
            </w:r>
          </w:p>
        </w:tc>
        <w:tc>
          <w:tcPr>
            <w:tcW w:w="2410" w:type="dxa"/>
            <w:tcBorders>
              <w:bottom w:val="single" w:sz="4" w:space="0" w:color="auto"/>
            </w:tcBorders>
          </w:tcPr>
          <w:p w:rsidR="00D873DB" w:rsidRPr="00087940" w:rsidRDefault="00D873DB"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sz w:val="20"/>
                <w:szCs w:val="20"/>
              </w:rPr>
            </w:pPr>
            <w:r w:rsidRPr="00087940">
              <w:rPr>
                <w:rFonts w:ascii="Times New Roman" w:eastAsia="Times New Roman" w:hAnsi="Times New Roman" w:cs="Times New Roman"/>
                <w:sz w:val="20"/>
                <w:szCs w:val="20"/>
              </w:rPr>
              <w:t>RM45,800</w:t>
            </w:r>
          </w:p>
        </w:tc>
        <w:tc>
          <w:tcPr>
            <w:tcW w:w="2652" w:type="dxa"/>
            <w:tcBorders>
              <w:bottom w:val="single" w:sz="4" w:space="0" w:color="auto"/>
            </w:tcBorders>
          </w:tcPr>
          <w:p w:rsidR="00D873DB" w:rsidRPr="00087940" w:rsidRDefault="00D873DB"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sz w:val="20"/>
                <w:szCs w:val="20"/>
              </w:rPr>
            </w:pPr>
            <w:r w:rsidRPr="00087940">
              <w:rPr>
                <w:rFonts w:ascii="Times New Roman" w:eastAsia="Times New Roman" w:hAnsi="Times New Roman" w:cs="Times New Roman"/>
                <w:sz w:val="20"/>
                <w:szCs w:val="20"/>
              </w:rPr>
              <w:t>RM45,200</w:t>
            </w:r>
          </w:p>
        </w:tc>
        <w:tc>
          <w:tcPr>
            <w:tcW w:w="2229" w:type="dxa"/>
            <w:tcBorders>
              <w:bottom w:val="single" w:sz="4" w:space="0" w:color="auto"/>
            </w:tcBorders>
          </w:tcPr>
          <w:p w:rsidR="00D873DB" w:rsidRPr="00087940" w:rsidRDefault="00D873DB" w:rsidP="00C51986">
            <w:pPr>
              <w:pStyle w:val="ListParagraph"/>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sz w:val="20"/>
                <w:szCs w:val="20"/>
                <w:lang w:val="en-US"/>
              </w:rPr>
            </w:pPr>
            <w:r w:rsidRPr="00087940">
              <w:rPr>
                <w:rFonts w:ascii="Times New Roman" w:eastAsia="Times New Roman" w:hAnsi="Times New Roman" w:cs="Times New Roman"/>
                <w:sz w:val="20"/>
                <w:szCs w:val="20"/>
                <w:lang w:val="en-US"/>
              </w:rPr>
              <w:t>-1.3%</w:t>
            </w:r>
          </w:p>
        </w:tc>
      </w:tr>
    </w:tbl>
    <w:p w:rsidR="008E22AF" w:rsidRDefault="00EE2D81" w:rsidP="00B441D0">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Sumber: </w:t>
      </w:r>
      <w:r w:rsidRPr="00EE2D81">
        <w:rPr>
          <w:rFonts w:ascii="Times New Roman" w:hAnsi="Times New Roman" w:cs="Times New Roman"/>
          <w:sz w:val="20"/>
          <w:szCs w:val="20"/>
          <w:lang w:val="fi-FI"/>
        </w:rPr>
        <w:t>https://www.theedgemarkets.com/node/657796</w:t>
      </w:r>
    </w:p>
    <w:p w:rsidR="00EE2D81" w:rsidRPr="00087940" w:rsidRDefault="00EE2D81"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p>
    <w:p w:rsidR="00C438DC" w:rsidRDefault="00C438DC"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p>
    <w:p w:rsidR="00C438DC" w:rsidRDefault="00C438DC"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p>
    <w:p w:rsidR="00C438DC" w:rsidRDefault="00C438DC"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p>
    <w:p w:rsidR="00C438DC" w:rsidRDefault="00C438DC"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p>
    <w:p w:rsidR="00C438DC" w:rsidRDefault="00C438DC"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p>
    <w:p w:rsidR="00C438DC" w:rsidRDefault="00C438DC"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p>
    <w:p w:rsidR="00C438DC" w:rsidRDefault="00C438DC"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p>
    <w:p w:rsidR="005E4158" w:rsidRDefault="005E4158"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4E4194">
        <w:rPr>
          <w:rFonts w:ascii="Times New Roman" w:eastAsia="Times New Roman" w:hAnsi="Times New Roman" w:cs="Times New Roman"/>
          <w:b/>
          <w:color w:val="000000"/>
          <w:sz w:val="20"/>
          <w:szCs w:val="20"/>
        </w:rPr>
        <w:lastRenderedPageBreak/>
        <w:t xml:space="preserve">Jadual </w:t>
      </w:r>
      <w:r>
        <w:rPr>
          <w:rFonts w:ascii="Times New Roman" w:eastAsia="Times New Roman" w:hAnsi="Times New Roman" w:cs="Times New Roman"/>
          <w:b/>
          <w:color w:val="000000"/>
          <w:sz w:val="20"/>
          <w:szCs w:val="20"/>
        </w:rPr>
        <w:t>4</w:t>
      </w:r>
      <w:r w:rsidR="00EE2D81">
        <w:rPr>
          <w:rFonts w:ascii="Times New Roman" w:eastAsia="Times New Roman" w:hAnsi="Times New Roman" w:cs="Times New Roman"/>
          <w:b/>
          <w:color w:val="000000"/>
          <w:sz w:val="20"/>
          <w:szCs w:val="20"/>
        </w:rPr>
        <w:t>.</w:t>
      </w:r>
      <w:r w:rsidRPr="004E4194">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Simpanan median KWSP berdasarkan pendapatan</w:t>
      </w:r>
    </w:p>
    <w:p w:rsidR="005E4158" w:rsidRDefault="005E4158"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bl>
      <w:tblPr>
        <w:tblW w:w="9559" w:type="dxa"/>
        <w:jc w:val="center"/>
        <w:tblLayout w:type="fixed"/>
        <w:tblLook w:val="0000" w:firstRow="0" w:lastRow="0" w:firstColumn="0" w:lastColumn="0" w:noHBand="0" w:noVBand="0"/>
      </w:tblPr>
      <w:tblGrid>
        <w:gridCol w:w="2268"/>
        <w:gridCol w:w="2410"/>
        <w:gridCol w:w="2652"/>
        <w:gridCol w:w="2229"/>
      </w:tblGrid>
      <w:tr w:rsidR="005E4158" w:rsidTr="00396A08">
        <w:trPr>
          <w:trHeight w:val="275"/>
          <w:jc w:val="center"/>
        </w:trPr>
        <w:tc>
          <w:tcPr>
            <w:tcW w:w="2268" w:type="dxa"/>
            <w:vMerge w:val="restart"/>
            <w:tcBorders>
              <w:top w:val="single" w:sz="4" w:space="0" w:color="000000"/>
            </w:tcBorders>
            <w:shd w:val="clear" w:color="auto" w:fill="BDD6EE"/>
          </w:tcPr>
          <w:p w:rsidR="005E4158" w:rsidRPr="00C9556D" w:rsidRDefault="00BE0043"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Kumpulan e</w:t>
            </w:r>
            <w:r w:rsidR="005E4158">
              <w:rPr>
                <w:rFonts w:ascii="Times New Roman" w:eastAsia="Times New Roman" w:hAnsi="Times New Roman" w:cs="Times New Roman"/>
                <w:b/>
                <w:color w:val="000000"/>
                <w:sz w:val="20"/>
                <w:szCs w:val="20"/>
              </w:rPr>
              <w:t>tnik</w:t>
            </w:r>
          </w:p>
        </w:tc>
        <w:tc>
          <w:tcPr>
            <w:tcW w:w="5062" w:type="dxa"/>
            <w:gridSpan w:val="2"/>
            <w:tcBorders>
              <w:top w:val="single" w:sz="4" w:space="0" w:color="000000"/>
              <w:bottom w:val="single" w:sz="4" w:space="0" w:color="000000"/>
            </w:tcBorders>
            <w:shd w:val="clear" w:color="auto" w:fill="BDD6EE"/>
          </w:tcPr>
          <w:p w:rsidR="005E4158" w:rsidRPr="00C9556D" w:rsidRDefault="00BE0043"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Simpanan m</w:t>
            </w:r>
            <w:r w:rsidR="005E4158">
              <w:rPr>
                <w:rFonts w:ascii="Times New Roman" w:eastAsia="Times New Roman" w:hAnsi="Times New Roman" w:cs="Times New Roman"/>
                <w:b/>
                <w:color w:val="000000"/>
                <w:sz w:val="20"/>
                <w:szCs w:val="20"/>
              </w:rPr>
              <w:t>edian</w:t>
            </w:r>
          </w:p>
        </w:tc>
        <w:tc>
          <w:tcPr>
            <w:tcW w:w="2229" w:type="dxa"/>
            <w:vMerge w:val="restart"/>
            <w:tcBorders>
              <w:top w:val="single" w:sz="4" w:space="0" w:color="000000"/>
            </w:tcBorders>
            <w:shd w:val="clear" w:color="auto" w:fill="BDD6EE"/>
          </w:tcPr>
          <w:p w:rsidR="005E4158" w:rsidRPr="00C9556D" w:rsidRDefault="00BE0043"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Peratusan p</w:t>
            </w:r>
            <w:r w:rsidR="005E4158">
              <w:rPr>
                <w:rFonts w:ascii="Times New Roman" w:eastAsia="Times New Roman" w:hAnsi="Times New Roman" w:cs="Times New Roman"/>
                <w:b/>
                <w:color w:val="000000"/>
                <w:sz w:val="20"/>
                <w:szCs w:val="20"/>
              </w:rPr>
              <w:t>erubahan</w:t>
            </w:r>
          </w:p>
        </w:tc>
      </w:tr>
      <w:tr w:rsidR="005E4158" w:rsidTr="00396A08">
        <w:trPr>
          <w:trHeight w:val="275"/>
          <w:jc w:val="center"/>
        </w:trPr>
        <w:tc>
          <w:tcPr>
            <w:tcW w:w="2268" w:type="dxa"/>
            <w:vMerge/>
            <w:tcBorders>
              <w:bottom w:val="single" w:sz="4" w:space="0" w:color="000000"/>
            </w:tcBorders>
            <w:shd w:val="clear" w:color="auto" w:fill="B8CCE4"/>
          </w:tcPr>
          <w:p w:rsidR="005E4158" w:rsidRDefault="005E4158"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p>
        </w:tc>
        <w:tc>
          <w:tcPr>
            <w:tcW w:w="2410" w:type="dxa"/>
            <w:tcBorders>
              <w:top w:val="single" w:sz="4" w:space="0" w:color="000000"/>
              <w:bottom w:val="single" w:sz="4" w:space="0" w:color="000000"/>
            </w:tcBorders>
            <w:shd w:val="clear" w:color="auto" w:fill="BDD6EE"/>
          </w:tcPr>
          <w:p w:rsidR="005E4158" w:rsidRPr="00C9556D" w:rsidRDefault="005E4158"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April 2020</w:t>
            </w:r>
          </w:p>
        </w:tc>
        <w:tc>
          <w:tcPr>
            <w:tcW w:w="2652" w:type="dxa"/>
            <w:tcBorders>
              <w:top w:val="single" w:sz="4" w:space="0" w:color="000000"/>
              <w:bottom w:val="single" w:sz="4" w:space="0" w:color="000000"/>
            </w:tcBorders>
            <w:shd w:val="clear" w:color="auto" w:fill="BDD6EE"/>
          </w:tcPr>
          <w:p w:rsidR="005E4158" w:rsidRPr="00C9556D" w:rsidRDefault="005E4158"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Disember 2022</w:t>
            </w:r>
          </w:p>
        </w:tc>
        <w:tc>
          <w:tcPr>
            <w:tcW w:w="2229" w:type="dxa"/>
            <w:vMerge/>
            <w:tcBorders>
              <w:bottom w:val="single" w:sz="4" w:space="0" w:color="000000"/>
            </w:tcBorders>
            <w:shd w:val="clear" w:color="auto" w:fill="B8CCE4"/>
          </w:tcPr>
          <w:p w:rsidR="005E4158" w:rsidRPr="00C9556D" w:rsidRDefault="005E4158"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p>
        </w:tc>
      </w:tr>
      <w:tr w:rsidR="005E4158" w:rsidRPr="00905595" w:rsidTr="006E3045">
        <w:trPr>
          <w:trHeight w:val="296"/>
          <w:jc w:val="center"/>
        </w:trPr>
        <w:tc>
          <w:tcPr>
            <w:tcW w:w="2268" w:type="dxa"/>
          </w:tcPr>
          <w:p w:rsidR="005E4158" w:rsidRPr="00087940" w:rsidRDefault="005E4158" w:rsidP="00C51986">
            <w:pPr>
              <w:spacing w:after="0" w:line="240" w:lineRule="auto"/>
              <w:ind w:leftChars="0" w:left="2" w:hanging="2"/>
              <w:jc w:val="center"/>
              <w:rPr>
                <w:rFonts w:ascii="Times New Roman" w:hAnsi="Times New Roman" w:cs="Times New Roman"/>
                <w:sz w:val="20"/>
                <w:szCs w:val="20"/>
              </w:rPr>
            </w:pPr>
            <w:r w:rsidRPr="00087940">
              <w:rPr>
                <w:rFonts w:ascii="Times New Roman" w:eastAsia="Times New Roman" w:hAnsi="Times New Roman" w:cs="Times New Roman"/>
                <w:sz w:val="20"/>
                <w:szCs w:val="20"/>
              </w:rPr>
              <w:t>T20</w:t>
            </w:r>
          </w:p>
        </w:tc>
        <w:tc>
          <w:tcPr>
            <w:tcW w:w="2410" w:type="dxa"/>
          </w:tcPr>
          <w:p w:rsidR="005E4158" w:rsidRPr="00087940" w:rsidRDefault="005E4158"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087940">
              <w:rPr>
                <w:rFonts w:ascii="Times New Roman" w:eastAsia="Times New Roman" w:hAnsi="Times New Roman" w:cs="Times New Roman"/>
                <w:sz w:val="20"/>
                <w:szCs w:val="20"/>
              </w:rPr>
              <w:t>RM140,440</w:t>
            </w:r>
          </w:p>
        </w:tc>
        <w:tc>
          <w:tcPr>
            <w:tcW w:w="2652" w:type="dxa"/>
          </w:tcPr>
          <w:p w:rsidR="005E4158" w:rsidRPr="00087940" w:rsidRDefault="005E4158"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087940">
              <w:rPr>
                <w:rFonts w:ascii="Times New Roman" w:eastAsia="Times New Roman" w:hAnsi="Times New Roman" w:cs="Times New Roman"/>
                <w:sz w:val="20"/>
                <w:szCs w:val="20"/>
              </w:rPr>
              <w:t>RM152,964</w:t>
            </w:r>
          </w:p>
        </w:tc>
        <w:tc>
          <w:tcPr>
            <w:tcW w:w="2229" w:type="dxa"/>
          </w:tcPr>
          <w:p w:rsidR="005E4158" w:rsidRPr="00087940" w:rsidRDefault="005E4158" w:rsidP="00C51986">
            <w:pPr>
              <w:pStyle w:val="ListParagraph"/>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sidRPr="00087940">
              <w:rPr>
                <w:rFonts w:ascii="Times New Roman" w:eastAsia="Times New Roman" w:hAnsi="Times New Roman" w:cs="Times New Roman"/>
                <w:sz w:val="20"/>
                <w:szCs w:val="20"/>
                <w:lang w:val="en-US"/>
              </w:rPr>
              <w:t>8.9%</w:t>
            </w:r>
          </w:p>
        </w:tc>
      </w:tr>
      <w:tr w:rsidR="005E4158" w:rsidRPr="00905595" w:rsidTr="006E3045">
        <w:trPr>
          <w:trHeight w:val="296"/>
          <w:jc w:val="center"/>
        </w:trPr>
        <w:tc>
          <w:tcPr>
            <w:tcW w:w="2268" w:type="dxa"/>
          </w:tcPr>
          <w:p w:rsidR="005E4158" w:rsidRPr="00087940" w:rsidRDefault="005E4158" w:rsidP="00C51986">
            <w:pPr>
              <w:spacing w:after="0" w:line="240" w:lineRule="auto"/>
              <w:ind w:leftChars="0" w:left="2" w:hanging="2"/>
              <w:jc w:val="center"/>
              <w:rPr>
                <w:rFonts w:ascii="Times New Roman" w:eastAsia="Times New Roman" w:hAnsi="Times New Roman" w:cs="Times New Roman"/>
                <w:sz w:val="20"/>
                <w:szCs w:val="20"/>
              </w:rPr>
            </w:pPr>
            <w:r w:rsidRPr="00087940">
              <w:rPr>
                <w:rFonts w:ascii="Times New Roman" w:eastAsia="Times New Roman" w:hAnsi="Times New Roman" w:cs="Times New Roman"/>
                <w:sz w:val="20"/>
                <w:szCs w:val="20"/>
              </w:rPr>
              <w:t>M40</w:t>
            </w:r>
          </w:p>
        </w:tc>
        <w:tc>
          <w:tcPr>
            <w:tcW w:w="2410" w:type="dxa"/>
          </w:tcPr>
          <w:p w:rsidR="005E4158" w:rsidRPr="00087940" w:rsidRDefault="005E4158"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sz w:val="20"/>
                <w:szCs w:val="20"/>
              </w:rPr>
            </w:pPr>
            <w:r w:rsidRPr="00087940">
              <w:rPr>
                <w:rFonts w:ascii="Times New Roman" w:eastAsia="Times New Roman" w:hAnsi="Times New Roman" w:cs="Times New Roman"/>
                <w:sz w:val="20"/>
                <w:szCs w:val="20"/>
              </w:rPr>
              <w:t>RM30,113</w:t>
            </w:r>
          </w:p>
        </w:tc>
        <w:tc>
          <w:tcPr>
            <w:tcW w:w="2652" w:type="dxa"/>
          </w:tcPr>
          <w:p w:rsidR="005E4158" w:rsidRPr="00087940" w:rsidRDefault="005E4158"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sz w:val="20"/>
                <w:szCs w:val="20"/>
              </w:rPr>
            </w:pPr>
            <w:r w:rsidRPr="00087940">
              <w:rPr>
                <w:rFonts w:ascii="Times New Roman" w:eastAsia="Times New Roman" w:hAnsi="Times New Roman" w:cs="Times New Roman"/>
                <w:sz w:val="20"/>
                <w:szCs w:val="20"/>
              </w:rPr>
              <w:t>RM19,926</w:t>
            </w:r>
          </w:p>
        </w:tc>
        <w:tc>
          <w:tcPr>
            <w:tcW w:w="2229" w:type="dxa"/>
          </w:tcPr>
          <w:p w:rsidR="005E4158" w:rsidRPr="00087940" w:rsidRDefault="005E4158" w:rsidP="00C51986">
            <w:pPr>
              <w:pStyle w:val="ListParagraph"/>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sz w:val="20"/>
                <w:szCs w:val="20"/>
                <w:lang w:val="en-US"/>
              </w:rPr>
            </w:pPr>
            <w:r w:rsidRPr="00087940">
              <w:rPr>
                <w:rFonts w:ascii="Times New Roman" w:eastAsia="Times New Roman" w:hAnsi="Times New Roman" w:cs="Times New Roman"/>
                <w:sz w:val="20"/>
                <w:szCs w:val="20"/>
                <w:lang w:val="en-US"/>
              </w:rPr>
              <w:t>-33.8%</w:t>
            </w:r>
          </w:p>
        </w:tc>
      </w:tr>
      <w:tr w:rsidR="005E4158" w:rsidRPr="00905595" w:rsidTr="006E3045">
        <w:trPr>
          <w:trHeight w:val="296"/>
          <w:jc w:val="center"/>
        </w:trPr>
        <w:tc>
          <w:tcPr>
            <w:tcW w:w="2268" w:type="dxa"/>
          </w:tcPr>
          <w:p w:rsidR="005E4158" w:rsidRPr="00087940" w:rsidRDefault="005E4158" w:rsidP="00C51986">
            <w:pPr>
              <w:spacing w:after="0" w:line="240" w:lineRule="auto"/>
              <w:ind w:leftChars="0" w:left="2" w:hanging="2"/>
              <w:jc w:val="center"/>
              <w:rPr>
                <w:rFonts w:ascii="Times New Roman" w:eastAsia="Times New Roman" w:hAnsi="Times New Roman" w:cs="Times New Roman"/>
                <w:sz w:val="20"/>
                <w:szCs w:val="20"/>
              </w:rPr>
            </w:pPr>
            <w:r w:rsidRPr="00087940">
              <w:rPr>
                <w:rFonts w:ascii="Times New Roman" w:eastAsia="Times New Roman" w:hAnsi="Times New Roman" w:cs="Times New Roman"/>
                <w:sz w:val="20"/>
                <w:szCs w:val="20"/>
              </w:rPr>
              <w:t>B40</w:t>
            </w:r>
          </w:p>
        </w:tc>
        <w:tc>
          <w:tcPr>
            <w:tcW w:w="2410" w:type="dxa"/>
          </w:tcPr>
          <w:p w:rsidR="005E4158" w:rsidRPr="00087940" w:rsidRDefault="005E4158"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sz w:val="20"/>
                <w:szCs w:val="20"/>
              </w:rPr>
            </w:pPr>
            <w:r w:rsidRPr="00087940">
              <w:rPr>
                <w:rFonts w:ascii="Times New Roman" w:eastAsia="Times New Roman" w:hAnsi="Times New Roman" w:cs="Times New Roman"/>
                <w:sz w:val="20"/>
                <w:szCs w:val="20"/>
              </w:rPr>
              <w:t>RM2,434</w:t>
            </w:r>
          </w:p>
        </w:tc>
        <w:tc>
          <w:tcPr>
            <w:tcW w:w="2652" w:type="dxa"/>
          </w:tcPr>
          <w:p w:rsidR="005E4158" w:rsidRPr="00087940" w:rsidRDefault="005E4158"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sz w:val="20"/>
                <w:szCs w:val="20"/>
              </w:rPr>
            </w:pPr>
            <w:r w:rsidRPr="00087940">
              <w:rPr>
                <w:rFonts w:ascii="Times New Roman" w:eastAsia="Times New Roman" w:hAnsi="Times New Roman" w:cs="Times New Roman"/>
                <w:sz w:val="20"/>
                <w:szCs w:val="20"/>
              </w:rPr>
              <w:t>RM577</w:t>
            </w:r>
          </w:p>
        </w:tc>
        <w:tc>
          <w:tcPr>
            <w:tcW w:w="2229" w:type="dxa"/>
          </w:tcPr>
          <w:p w:rsidR="005E4158" w:rsidRPr="00087940" w:rsidRDefault="005E4158" w:rsidP="00C51986">
            <w:pPr>
              <w:pStyle w:val="ListParagraph"/>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sz w:val="20"/>
                <w:szCs w:val="20"/>
                <w:lang w:val="en-US"/>
              </w:rPr>
            </w:pPr>
            <w:r w:rsidRPr="00087940">
              <w:rPr>
                <w:rFonts w:ascii="Times New Roman" w:eastAsia="Times New Roman" w:hAnsi="Times New Roman" w:cs="Times New Roman"/>
                <w:sz w:val="20"/>
                <w:szCs w:val="20"/>
                <w:lang w:val="en-US"/>
              </w:rPr>
              <w:t>-76.3%</w:t>
            </w:r>
          </w:p>
        </w:tc>
      </w:tr>
      <w:tr w:rsidR="005E4158" w:rsidTr="006E3045">
        <w:trPr>
          <w:trHeight w:val="296"/>
          <w:jc w:val="center"/>
        </w:trPr>
        <w:tc>
          <w:tcPr>
            <w:tcW w:w="2268" w:type="dxa"/>
            <w:tcBorders>
              <w:top w:val="single" w:sz="4" w:space="0" w:color="000000"/>
            </w:tcBorders>
            <w:shd w:val="clear" w:color="auto" w:fill="auto"/>
          </w:tcPr>
          <w:p w:rsidR="005E4158" w:rsidRPr="00C9556D" w:rsidRDefault="005E4158" w:rsidP="00C51986">
            <w:pPr>
              <w:pBdr>
                <w:top w:val="nil"/>
                <w:left w:val="nil"/>
                <w:bottom w:val="nil"/>
                <w:right w:val="nil"/>
                <w:between w:val="nil"/>
              </w:pBdr>
              <w:spacing w:after="0" w:line="240" w:lineRule="auto"/>
              <w:ind w:leftChars="0" w:left="2" w:hanging="2"/>
              <w:rPr>
                <w:rFonts w:ascii="Times New Roman" w:hAnsi="Times New Roman" w:cs="Times New Roman"/>
                <w:sz w:val="24"/>
                <w:szCs w:val="24"/>
              </w:rPr>
            </w:pPr>
          </w:p>
        </w:tc>
        <w:tc>
          <w:tcPr>
            <w:tcW w:w="2410" w:type="dxa"/>
            <w:tcBorders>
              <w:top w:val="single" w:sz="4" w:space="0" w:color="000000"/>
            </w:tcBorders>
            <w:shd w:val="clear" w:color="auto" w:fill="auto"/>
          </w:tcPr>
          <w:p w:rsidR="005E4158" w:rsidRPr="00C9556D" w:rsidRDefault="005E4158" w:rsidP="00C51986">
            <w:pPr>
              <w:pBdr>
                <w:top w:val="nil"/>
                <w:left w:val="nil"/>
                <w:bottom w:val="nil"/>
                <w:right w:val="nil"/>
                <w:between w:val="nil"/>
              </w:pBdr>
              <w:spacing w:after="0" w:line="240" w:lineRule="auto"/>
              <w:ind w:leftChars="0" w:left="2" w:hanging="2"/>
              <w:jc w:val="center"/>
              <w:rPr>
                <w:rFonts w:ascii="Times New Roman" w:hAnsi="Times New Roman" w:cs="Times New Roman"/>
                <w:sz w:val="20"/>
                <w:szCs w:val="20"/>
              </w:rPr>
            </w:pPr>
          </w:p>
        </w:tc>
        <w:tc>
          <w:tcPr>
            <w:tcW w:w="2652" w:type="dxa"/>
            <w:tcBorders>
              <w:top w:val="single" w:sz="4" w:space="0" w:color="000000"/>
            </w:tcBorders>
            <w:shd w:val="clear" w:color="auto" w:fill="auto"/>
          </w:tcPr>
          <w:p w:rsidR="005E4158" w:rsidRPr="00C9556D" w:rsidRDefault="005E4158" w:rsidP="00C51986">
            <w:pPr>
              <w:pBdr>
                <w:top w:val="nil"/>
                <w:left w:val="nil"/>
                <w:bottom w:val="nil"/>
                <w:right w:val="nil"/>
                <w:between w:val="nil"/>
              </w:pBdr>
              <w:spacing w:after="0" w:line="240" w:lineRule="auto"/>
              <w:ind w:leftChars="0" w:left="2" w:hanging="2"/>
              <w:jc w:val="center"/>
              <w:rPr>
                <w:rFonts w:ascii="Times New Roman" w:hAnsi="Times New Roman" w:cs="Times New Roman"/>
                <w:sz w:val="20"/>
                <w:szCs w:val="20"/>
              </w:rPr>
            </w:pPr>
          </w:p>
        </w:tc>
        <w:tc>
          <w:tcPr>
            <w:tcW w:w="2229" w:type="dxa"/>
            <w:tcBorders>
              <w:top w:val="single" w:sz="4" w:space="0" w:color="000000"/>
            </w:tcBorders>
            <w:shd w:val="clear" w:color="auto" w:fill="auto"/>
          </w:tcPr>
          <w:p w:rsidR="005E4158" w:rsidRPr="00C9556D" w:rsidRDefault="005E4158" w:rsidP="00C51986">
            <w:pPr>
              <w:pBdr>
                <w:top w:val="nil"/>
                <w:left w:val="nil"/>
                <w:bottom w:val="nil"/>
                <w:right w:val="nil"/>
                <w:between w:val="nil"/>
              </w:pBdr>
              <w:spacing w:after="0" w:line="240" w:lineRule="auto"/>
              <w:ind w:leftChars="0" w:left="2" w:hanging="2"/>
              <w:jc w:val="center"/>
              <w:rPr>
                <w:rFonts w:ascii="Times New Roman" w:hAnsi="Times New Roman" w:cs="Times New Roman"/>
                <w:sz w:val="20"/>
                <w:szCs w:val="20"/>
              </w:rPr>
            </w:pPr>
          </w:p>
        </w:tc>
      </w:tr>
    </w:tbl>
    <w:p w:rsidR="003C1A4E" w:rsidRDefault="003C1A4E" w:rsidP="00C51986">
      <w:pPr>
        <w:spacing w:after="0" w:line="240" w:lineRule="auto"/>
        <w:ind w:leftChars="0" w:left="0" w:firstLineChars="0" w:firstLine="720"/>
        <w:jc w:val="both"/>
        <w:rPr>
          <w:rFonts w:ascii="Times New Roman" w:eastAsia="Times New Roman" w:hAnsi="Times New Roman" w:cs="Times New Roman"/>
          <w:sz w:val="24"/>
          <w:szCs w:val="24"/>
        </w:rPr>
      </w:pPr>
      <w:r w:rsidRPr="003C1A4E">
        <w:rPr>
          <w:rFonts w:ascii="Times New Roman" w:eastAsia="Times New Roman" w:hAnsi="Times New Roman" w:cs="Times New Roman"/>
          <w:sz w:val="24"/>
          <w:szCs w:val="24"/>
        </w:rPr>
        <w:t xml:space="preserve">Selain itu, </w:t>
      </w:r>
      <w:r w:rsidR="001F6B99">
        <w:rPr>
          <w:rFonts w:ascii="Times New Roman" w:eastAsia="Times New Roman" w:hAnsi="Times New Roman" w:cs="Times New Roman"/>
          <w:sz w:val="24"/>
          <w:szCs w:val="24"/>
        </w:rPr>
        <w:t xml:space="preserve">skim </w:t>
      </w:r>
      <w:r w:rsidRPr="003C1A4E">
        <w:rPr>
          <w:rFonts w:ascii="Times New Roman" w:eastAsia="Times New Roman" w:hAnsi="Times New Roman" w:cs="Times New Roman"/>
          <w:sz w:val="24"/>
          <w:szCs w:val="24"/>
        </w:rPr>
        <w:t xml:space="preserve">KWSP </w:t>
      </w:r>
      <w:r w:rsidR="001F6B99">
        <w:rPr>
          <w:rFonts w:ascii="Times New Roman" w:eastAsia="Times New Roman" w:hAnsi="Times New Roman" w:cs="Times New Roman"/>
          <w:sz w:val="24"/>
          <w:szCs w:val="24"/>
        </w:rPr>
        <w:t xml:space="preserve">juga </w:t>
      </w:r>
      <w:r w:rsidRPr="003C1A4E">
        <w:rPr>
          <w:rFonts w:ascii="Times New Roman" w:eastAsia="Times New Roman" w:hAnsi="Times New Roman" w:cs="Times New Roman"/>
          <w:sz w:val="24"/>
          <w:szCs w:val="24"/>
        </w:rPr>
        <w:t xml:space="preserve">melaporkan kadar celik kewangan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financial</w:t>
      </w:r>
      <w:r w:rsidR="001F6B99">
        <w:rPr>
          <w:rFonts w:ascii="Times New Roman" w:eastAsia="Times New Roman" w:hAnsi="Times New Roman" w:cs="Times New Roman"/>
          <w:i/>
          <w:sz w:val="24"/>
          <w:szCs w:val="24"/>
        </w:rPr>
        <w:t xml:space="preserve"> l</w:t>
      </w:r>
      <w:r w:rsidRPr="00087940">
        <w:rPr>
          <w:rFonts w:ascii="Times New Roman" w:eastAsia="Times New Roman" w:hAnsi="Times New Roman" w:cs="Times New Roman"/>
          <w:i/>
          <w:sz w:val="24"/>
          <w:szCs w:val="24"/>
        </w:rPr>
        <w:t>iteracy</w:t>
      </w:r>
      <w:r>
        <w:rPr>
          <w:rFonts w:ascii="Times New Roman" w:eastAsia="Times New Roman" w:hAnsi="Times New Roman" w:cs="Times New Roman"/>
          <w:sz w:val="24"/>
          <w:szCs w:val="24"/>
        </w:rPr>
        <w:t xml:space="preserve">) </w:t>
      </w:r>
      <w:r w:rsidRPr="00087940">
        <w:rPr>
          <w:rFonts w:ascii="Times New Roman" w:eastAsia="Times New Roman" w:hAnsi="Times New Roman" w:cs="Times New Roman"/>
          <w:sz w:val="24"/>
          <w:szCs w:val="24"/>
        </w:rPr>
        <w:t>ahli</w:t>
      </w:r>
      <w:r w:rsidRPr="003C1A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KWSP </w:t>
      </w:r>
      <w:r w:rsidRPr="003C1A4E">
        <w:rPr>
          <w:rFonts w:ascii="Times New Roman" w:eastAsia="Times New Roman" w:hAnsi="Times New Roman" w:cs="Times New Roman"/>
          <w:sz w:val="24"/>
          <w:szCs w:val="24"/>
        </w:rPr>
        <w:t xml:space="preserve">berada pada 29 peratus, berbanding purata kadar celik kewangan Malaysia sebanyak 36 peratus. </w:t>
      </w:r>
      <w:r>
        <w:rPr>
          <w:rFonts w:ascii="Times New Roman" w:eastAsia="Times New Roman" w:hAnsi="Times New Roman" w:cs="Times New Roman"/>
          <w:sz w:val="24"/>
          <w:szCs w:val="24"/>
        </w:rPr>
        <w:t xml:space="preserve">Berbanding dengan kadar </w:t>
      </w:r>
      <w:r w:rsidRPr="003C1A4E">
        <w:rPr>
          <w:rFonts w:ascii="Times New Roman" w:eastAsia="Times New Roman" w:hAnsi="Times New Roman" w:cs="Times New Roman"/>
          <w:sz w:val="24"/>
          <w:szCs w:val="24"/>
        </w:rPr>
        <w:t xml:space="preserve">jauh lebih rendah berbanding negara jiran seperti kadar celik kewangan Singapura sebanyak 78 peratus (TheEdgeMarket, 2023). </w:t>
      </w:r>
      <w:r w:rsidR="001F6B99">
        <w:rPr>
          <w:rFonts w:ascii="Times New Roman" w:eastAsia="Times New Roman" w:hAnsi="Times New Roman" w:cs="Times New Roman"/>
          <w:sz w:val="24"/>
          <w:szCs w:val="24"/>
        </w:rPr>
        <w:t xml:space="preserve">Laporan yang membimbangkan ini menyeruh perlunya kajian dan model baru </w:t>
      </w:r>
      <w:r w:rsidRPr="003C1A4E">
        <w:rPr>
          <w:rFonts w:ascii="Times New Roman" w:eastAsia="Times New Roman" w:hAnsi="Times New Roman" w:cs="Times New Roman"/>
          <w:sz w:val="24"/>
          <w:szCs w:val="24"/>
        </w:rPr>
        <w:t xml:space="preserve">keselamatan sosial yang lebih komprehensif untuk melindungi rakyat </w:t>
      </w:r>
      <w:r w:rsidR="001F6B99">
        <w:rPr>
          <w:rFonts w:ascii="Times New Roman" w:eastAsia="Times New Roman" w:hAnsi="Times New Roman" w:cs="Times New Roman"/>
          <w:sz w:val="24"/>
          <w:szCs w:val="24"/>
        </w:rPr>
        <w:t>dalam</w:t>
      </w:r>
      <w:r w:rsidRPr="003C1A4E">
        <w:rPr>
          <w:rFonts w:ascii="Times New Roman" w:eastAsia="Times New Roman" w:hAnsi="Times New Roman" w:cs="Times New Roman"/>
          <w:sz w:val="24"/>
          <w:szCs w:val="24"/>
        </w:rPr>
        <w:t xml:space="preserve"> mencapai daya tahan kewangan. Bagi mengatasi isu rangkuman kewangan</w:t>
      </w:r>
      <w:r w:rsidR="009A6701">
        <w:rPr>
          <w:rFonts w:ascii="Times New Roman" w:eastAsia="Times New Roman" w:hAnsi="Times New Roman" w:cs="Times New Roman"/>
          <w:sz w:val="24"/>
          <w:szCs w:val="24"/>
        </w:rPr>
        <w:t xml:space="preserve"> (</w:t>
      </w:r>
      <w:r w:rsidR="009A6701">
        <w:rPr>
          <w:rFonts w:ascii="Times New Roman" w:eastAsia="Times New Roman" w:hAnsi="Times New Roman" w:cs="Times New Roman"/>
          <w:i/>
          <w:sz w:val="24"/>
          <w:szCs w:val="24"/>
        </w:rPr>
        <w:t>fina</w:t>
      </w:r>
      <w:r w:rsidR="00013BF2">
        <w:rPr>
          <w:rFonts w:ascii="Times New Roman" w:eastAsia="Times New Roman" w:hAnsi="Times New Roman" w:cs="Times New Roman"/>
          <w:i/>
          <w:sz w:val="24"/>
          <w:szCs w:val="24"/>
        </w:rPr>
        <w:t>nc</w:t>
      </w:r>
      <w:r w:rsidR="009A6701">
        <w:rPr>
          <w:rFonts w:ascii="Times New Roman" w:eastAsia="Times New Roman" w:hAnsi="Times New Roman" w:cs="Times New Roman"/>
          <w:i/>
          <w:sz w:val="24"/>
          <w:szCs w:val="24"/>
        </w:rPr>
        <w:t>ial inclusion</w:t>
      </w:r>
      <w:r w:rsidR="009A6701">
        <w:rPr>
          <w:rFonts w:ascii="Times New Roman" w:eastAsia="Times New Roman" w:hAnsi="Times New Roman" w:cs="Times New Roman"/>
          <w:sz w:val="24"/>
          <w:szCs w:val="24"/>
        </w:rPr>
        <w:t>)</w:t>
      </w:r>
      <w:r w:rsidRPr="003C1A4E">
        <w:rPr>
          <w:rFonts w:ascii="Times New Roman" w:eastAsia="Times New Roman" w:hAnsi="Times New Roman" w:cs="Times New Roman"/>
          <w:sz w:val="24"/>
          <w:szCs w:val="24"/>
        </w:rPr>
        <w:t xml:space="preserve">, pihak </w:t>
      </w:r>
      <w:r w:rsidR="009A6701">
        <w:rPr>
          <w:rFonts w:ascii="Times New Roman" w:eastAsia="Times New Roman" w:hAnsi="Times New Roman" w:cs="Times New Roman"/>
          <w:sz w:val="24"/>
          <w:szCs w:val="24"/>
        </w:rPr>
        <w:t>pentadbiran</w:t>
      </w:r>
      <w:r w:rsidRPr="003C1A4E">
        <w:rPr>
          <w:rFonts w:ascii="Times New Roman" w:eastAsia="Times New Roman" w:hAnsi="Times New Roman" w:cs="Times New Roman"/>
          <w:sz w:val="24"/>
          <w:szCs w:val="24"/>
        </w:rPr>
        <w:t xml:space="preserve"> mencadangkan untuk membenarkan dana KWSP sebagai cagaran untuk pinjaman pembiayaan. Oleh itu, kajian ini </w:t>
      </w:r>
      <w:r w:rsidR="009A6701">
        <w:rPr>
          <w:rFonts w:ascii="Times New Roman" w:eastAsia="Times New Roman" w:hAnsi="Times New Roman" w:cs="Times New Roman"/>
          <w:sz w:val="24"/>
          <w:szCs w:val="24"/>
        </w:rPr>
        <w:t xml:space="preserve">berfungsi sebagai </w:t>
      </w:r>
      <w:r w:rsidR="009A6701" w:rsidRPr="009A6701">
        <w:rPr>
          <w:rFonts w:ascii="Times New Roman" w:eastAsia="Times New Roman" w:hAnsi="Times New Roman" w:cs="Times New Roman"/>
          <w:sz w:val="24"/>
          <w:szCs w:val="24"/>
        </w:rPr>
        <w:t>suplemen</w:t>
      </w:r>
      <w:r w:rsidR="009A6701">
        <w:rPr>
          <w:rFonts w:ascii="Times New Roman" w:eastAsia="Times New Roman" w:hAnsi="Times New Roman" w:cs="Times New Roman"/>
          <w:sz w:val="24"/>
          <w:szCs w:val="24"/>
        </w:rPr>
        <w:t xml:space="preserve"> tambahan kepada intiatif tersebut dalam mengatasi isu sosial kewangan, di mana memahami tingkah laku kewangan individu dalam skim persaraan</w:t>
      </w:r>
      <w:r w:rsidR="00013BF2">
        <w:rPr>
          <w:rFonts w:ascii="Times New Roman" w:eastAsia="Times New Roman" w:hAnsi="Times New Roman" w:cs="Times New Roman"/>
          <w:sz w:val="24"/>
          <w:szCs w:val="24"/>
        </w:rPr>
        <w:t xml:space="preserve">, dari </w:t>
      </w:r>
      <w:r w:rsidR="00013BF2" w:rsidRPr="00013BF2">
        <w:rPr>
          <w:rFonts w:ascii="Times New Roman" w:eastAsia="Times New Roman" w:hAnsi="Times New Roman" w:cs="Times New Roman"/>
          <w:sz w:val="24"/>
          <w:szCs w:val="24"/>
        </w:rPr>
        <w:t>perspektif perancangan kewangan</w:t>
      </w:r>
      <w:r w:rsidR="009A6701">
        <w:rPr>
          <w:rFonts w:ascii="Times New Roman" w:eastAsia="Times New Roman" w:hAnsi="Times New Roman" w:cs="Times New Roman"/>
          <w:sz w:val="24"/>
          <w:szCs w:val="24"/>
        </w:rPr>
        <w:t>.</w:t>
      </w:r>
      <w:r w:rsidRPr="003C1A4E">
        <w:rPr>
          <w:rFonts w:ascii="Times New Roman" w:eastAsia="Times New Roman" w:hAnsi="Times New Roman" w:cs="Times New Roman"/>
          <w:sz w:val="24"/>
          <w:szCs w:val="24"/>
        </w:rPr>
        <w:t xml:space="preserve"> </w:t>
      </w:r>
      <w:r w:rsidR="00652563">
        <w:rPr>
          <w:rFonts w:ascii="Times New Roman" w:eastAsia="Times New Roman" w:hAnsi="Times New Roman" w:cs="Times New Roman"/>
          <w:sz w:val="24"/>
          <w:szCs w:val="24"/>
        </w:rPr>
        <w:t>Pemahaman tingkah laku ini</w:t>
      </w:r>
      <w:r w:rsidRPr="003C1A4E">
        <w:rPr>
          <w:rFonts w:ascii="Times New Roman" w:eastAsia="Times New Roman" w:hAnsi="Times New Roman" w:cs="Times New Roman"/>
          <w:sz w:val="24"/>
          <w:szCs w:val="24"/>
        </w:rPr>
        <w:t xml:space="preserve"> sesuai dengan tiga tunjang </w:t>
      </w:r>
      <w:r w:rsidR="00652563">
        <w:rPr>
          <w:rFonts w:ascii="Times New Roman" w:eastAsia="Times New Roman" w:hAnsi="Times New Roman" w:cs="Times New Roman"/>
          <w:sz w:val="24"/>
          <w:szCs w:val="24"/>
        </w:rPr>
        <w:t>Matlamat Pembangunan Lestari Bangsa Bersatu (</w:t>
      </w:r>
      <w:r w:rsidRPr="00087940">
        <w:rPr>
          <w:rFonts w:ascii="Times New Roman" w:eastAsia="Times New Roman" w:hAnsi="Times New Roman" w:cs="Times New Roman"/>
          <w:i/>
          <w:sz w:val="24"/>
          <w:szCs w:val="24"/>
        </w:rPr>
        <w:t>United Nation Sustainable Development Goals</w:t>
      </w:r>
      <w:r w:rsidR="00652563">
        <w:rPr>
          <w:rFonts w:ascii="Times New Roman" w:eastAsia="Times New Roman" w:hAnsi="Times New Roman" w:cs="Times New Roman"/>
          <w:sz w:val="24"/>
          <w:szCs w:val="24"/>
        </w:rPr>
        <w:t xml:space="preserve">) </w:t>
      </w:r>
      <w:r w:rsidRPr="003C1A4E">
        <w:rPr>
          <w:rFonts w:ascii="Times New Roman" w:eastAsia="Times New Roman" w:hAnsi="Times New Roman" w:cs="Times New Roman"/>
          <w:sz w:val="24"/>
          <w:szCs w:val="24"/>
        </w:rPr>
        <w:t>2030</w:t>
      </w:r>
      <w:r w:rsidR="00652563">
        <w:rPr>
          <w:rFonts w:ascii="Times New Roman" w:eastAsia="Times New Roman" w:hAnsi="Times New Roman" w:cs="Times New Roman"/>
          <w:sz w:val="24"/>
          <w:szCs w:val="24"/>
        </w:rPr>
        <w:t xml:space="preserve">, </w:t>
      </w:r>
      <w:r w:rsidRPr="003C1A4E">
        <w:rPr>
          <w:rFonts w:ascii="Times New Roman" w:eastAsia="Times New Roman" w:hAnsi="Times New Roman" w:cs="Times New Roman"/>
          <w:sz w:val="24"/>
          <w:szCs w:val="24"/>
        </w:rPr>
        <w:t xml:space="preserve">iaitu alam </w:t>
      </w:r>
      <w:r w:rsidR="00652563">
        <w:rPr>
          <w:rFonts w:ascii="Times New Roman" w:eastAsia="Times New Roman" w:hAnsi="Times New Roman" w:cs="Times New Roman"/>
          <w:sz w:val="24"/>
          <w:szCs w:val="24"/>
        </w:rPr>
        <w:t>per</w:t>
      </w:r>
      <w:r w:rsidRPr="003C1A4E">
        <w:rPr>
          <w:rFonts w:ascii="Times New Roman" w:eastAsia="Times New Roman" w:hAnsi="Times New Roman" w:cs="Times New Roman"/>
          <w:sz w:val="24"/>
          <w:szCs w:val="24"/>
        </w:rPr>
        <w:t>sekitar</w:t>
      </w:r>
      <w:r w:rsidR="00652563">
        <w:rPr>
          <w:rFonts w:ascii="Times New Roman" w:eastAsia="Times New Roman" w:hAnsi="Times New Roman" w:cs="Times New Roman"/>
          <w:sz w:val="24"/>
          <w:szCs w:val="24"/>
        </w:rPr>
        <w:t>an</w:t>
      </w:r>
      <w:r w:rsidRPr="003C1A4E">
        <w:rPr>
          <w:rFonts w:ascii="Times New Roman" w:eastAsia="Times New Roman" w:hAnsi="Times New Roman" w:cs="Times New Roman"/>
          <w:sz w:val="24"/>
          <w:szCs w:val="24"/>
        </w:rPr>
        <w:t>, ekonomi dan sosial</w:t>
      </w:r>
      <w:r w:rsidR="00652563">
        <w:rPr>
          <w:rFonts w:ascii="Times New Roman" w:eastAsia="Times New Roman" w:hAnsi="Times New Roman" w:cs="Times New Roman"/>
          <w:sz w:val="24"/>
          <w:szCs w:val="24"/>
        </w:rPr>
        <w:t>.</w:t>
      </w:r>
    </w:p>
    <w:p w:rsidR="00214D68" w:rsidRDefault="00214D68"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rsidR="00BE0043" w:rsidRDefault="00BE0043"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rsidR="00303078" w:rsidRDefault="00EA10E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EA10E2">
        <w:rPr>
          <w:rFonts w:ascii="Times New Roman" w:eastAsia="Times New Roman" w:hAnsi="Times New Roman" w:cs="Times New Roman"/>
          <w:b/>
          <w:color w:val="000000"/>
          <w:sz w:val="24"/>
          <w:szCs w:val="24"/>
        </w:rPr>
        <w:t xml:space="preserve">Kesan </w:t>
      </w:r>
      <w:r w:rsidR="005A0BAB">
        <w:rPr>
          <w:rFonts w:ascii="Times New Roman" w:eastAsia="Times New Roman" w:hAnsi="Times New Roman" w:cs="Times New Roman"/>
          <w:b/>
          <w:color w:val="000000"/>
          <w:sz w:val="24"/>
          <w:szCs w:val="24"/>
        </w:rPr>
        <w:t>p</w:t>
      </w:r>
      <w:r w:rsidRPr="00EA10E2">
        <w:rPr>
          <w:rFonts w:ascii="Times New Roman" w:eastAsia="Times New Roman" w:hAnsi="Times New Roman" w:cs="Times New Roman"/>
          <w:b/>
          <w:color w:val="000000"/>
          <w:sz w:val="24"/>
          <w:szCs w:val="24"/>
        </w:rPr>
        <w:t xml:space="preserve">andemik COVID-19 dan </w:t>
      </w:r>
      <w:r w:rsidR="005A0BAB">
        <w:rPr>
          <w:rFonts w:ascii="Times New Roman" w:eastAsia="Times New Roman" w:hAnsi="Times New Roman" w:cs="Times New Roman"/>
          <w:b/>
          <w:color w:val="000000"/>
          <w:sz w:val="24"/>
          <w:szCs w:val="24"/>
        </w:rPr>
        <w:t>p</w:t>
      </w:r>
      <w:r w:rsidRPr="00EA10E2">
        <w:rPr>
          <w:rFonts w:ascii="Times New Roman" w:eastAsia="Times New Roman" w:hAnsi="Times New Roman" w:cs="Times New Roman"/>
          <w:b/>
          <w:color w:val="000000"/>
          <w:sz w:val="24"/>
          <w:szCs w:val="24"/>
        </w:rPr>
        <w:t xml:space="preserve">engeluaran </w:t>
      </w:r>
      <w:r w:rsidR="005A0BAB">
        <w:rPr>
          <w:rFonts w:ascii="Times New Roman" w:eastAsia="Times New Roman" w:hAnsi="Times New Roman" w:cs="Times New Roman"/>
          <w:b/>
          <w:color w:val="000000"/>
          <w:sz w:val="24"/>
          <w:szCs w:val="24"/>
        </w:rPr>
        <w:t>p</w:t>
      </w:r>
      <w:r w:rsidRPr="00EA10E2">
        <w:rPr>
          <w:rFonts w:ascii="Times New Roman" w:eastAsia="Times New Roman" w:hAnsi="Times New Roman" w:cs="Times New Roman"/>
          <w:b/>
          <w:color w:val="000000"/>
          <w:sz w:val="24"/>
          <w:szCs w:val="24"/>
        </w:rPr>
        <w:t>ra-</w:t>
      </w:r>
      <w:r w:rsidR="005A0BAB">
        <w:rPr>
          <w:rFonts w:ascii="Times New Roman" w:eastAsia="Times New Roman" w:hAnsi="Times New Roman" w:cs="Times New Roman"/>
          <w:b/>
          <w:color w:val="000000"/>
          <w:sz w:val="24"/>
          <w:szCs w:val="24"/>
        </w:rPr>
        <w:t>p</w:t>
      </w:r>
      <w:r w:rsidRPr="00EA10E2">
        <w:rPr>
          <w:rFonts w:ascii="Times New Roman" w:eastAsia="Times New Roman" w:hAnsi="Times New Roman" w:cs="Times New Roman"/>
          <w:b/>
          <w:color w:val="000000"/>
          <w:sz w:val="24"/>
          <w:szCs w:val="24"/>
        </w:rPr>
        <w:t>ersaraan</w:t>
      </w:r>
    </w:p>
    <w:p w:rsidR="00303078" w:rsidRDefault="0016729F"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EA10E2" w:rsidRPr="00EA10E2" w:rsidRDefault="00EA10E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EA10E2">
        <w:rPr>
          <w:rFonts w:ascii="Times New Roman" w:eastAsia="Times New Roman" w:hAnsi="Times New Roman" w:cs="Times New Roman"/>
          <w:color w:val="000000"/>
          <w:sz w:val="24"/>
          <w:szCs w:val="24"/>
        </w:rPr>
        <w:t>Pada tahun 2019, seluruh dunia telah digemparkan sejenis virus novel β-coronavirus (2019-nCoV) atau lebih dikenali COVID-19. Pertubuhan Kesihatan Sedunia (WHO) telah mengkenalpasti sebanyak 225 buah negara telah dijangkiti COVID-19 pada April 2020. Ini secara mempergaruhi dan mengubah cara-hidup manusia. Sebenarnya, COVID-19 telah mempengaruhi dan menganggu secara langsung kehidupan manusia, dari aspek kesihatan dan kewangan (</w:t>
      </w:r>
      <w:r w:rsidR="00544333">
        <w:rPr>
          <w:rFonts w:ascii="Times New Roman" w:eastAsia="Times New Roman" w:hAnsi="Times New Roman" w:cs="Times New Roman"/>
          <w:color w:val="000000"/>
          <w:sz w:val="24"/>
          <w:szCs w:val="24"/>
        </w:rPr>
        <w:t>World Bank Research Report, 2020</w:t>
      </w:r>
      <w:r w:rsidRPr="00EA10E2">
        <w:rPr>
          <w:rFonts w:ascii="Times New Roman" w:eastAsia="Times New Roman" w:hAnsi="Times New Roman" w:cs="Times New Roman"/>
          <w:color w:val="000000"/>
          <w:sz w:val="24"/>
          <w:szCs w:val="24"/>
        </w:rPr>
        <w:t xml:space="preserve">). Justera itu, semua negara pusat menghadapi situasi dilemma dan bergelut untuk mengubah kaedah yang terbaik dalam mengurangkan implikasi yang mendadak kehidupan penduduk negara. Dari aspek kesihatan, perintah terkurung (MCO) telah dilaksanakan di Malaysia untuk menghadkan pergerakan fizikal individual daripada penyebaran virus, dan menwajibkan pengunaan MySejahtera untuk mengkesan pergerakan fizikal penduduk. Selain itu, pertubuhan Pusat Rawatan and Rawatan COVID-19 (PKPC) di Taman Ekspo Pertanian Malaysia Serdang (MAEPS) diperluaskan untuk menampung kategori COVID-19 pada tahap peringkat rendah. Hasil daripada polisi yang digunakan telah berjaya mengurangkan jangkitan COVID-19 dalam negara. </w:t>
      </w:r>
    </w:p>
    <w:p w:rsidR="00EA10E2" w:rsidRPr="00EA10E2" w:rsidRDefault="00EA10E2" w:rsidP="00C519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EA10E2">
        <w:rPr>
          <w:rFonts w:ascii="Times New Roman" w:eastAsia="Times New Roman" w:hAnsi="Times New Roman" w:cs="Times New Roman"/>
          <w:color w:val="000000"/>
          <w:sz w:val="24"/>
          <w:szCs w:val="24"/>
        </w:rPr>
        <w:t xml:space="preserve">Sebaliknya, untuk mengatasi aspek kewangan penduduk </w:t>
      </w:r>
      <w:r w:rsidR="002A0031">
        <w:rPr>
          <w:rFonts w:ascii="Times New Roman" w:eastAsia="Times New Roman" w:hAnsi="Times New Roman" w:cs="Times New Roman"/>
          <w:color w:val="000000"/>
          <w:sz w:val="24"/>
          <w:szCs w:val="24"/>
        </w:rPr>
        <w:t xml:space="preserve">yang </w:t>
      </w:r>
      <w:r w:rsidRPr="00EA10E2">
        <w:rPr>
          <w:rFonts w:ascii="Times New Roman" w:eastAsia="Times New Roman" w:hAnsi="Times New Roman" w:cs="Times New Roman"/>
          <w:color w:val="000000"/>
          <w:sz w:val="24"/>
          <w:szCs w:val="24"/>
        </w:rPr>
        <w:t xml:space="preserve">disebabkan </w:t>
      </w:r>
      <w:r w:rsidR="002A0031">
        <w:rPr>
          <w:rFonts w:ascii="Times New Roman" w:eastAsia="Times New Roman" w:hAnsi="Times New Roman" w:cs="Times New Roman"/>
          <w:color w:val="000000"/>
          <w:sz w:val="24"/>
          <w:szCs w:val="24"/>
        </w:rPr>
        <w:t xml:space="preserve">pengangguran </w:t>
      </w:r>
      <w:r w:rsidRPr="00EA10E2">
        <w:rPr>
          <w:rFonts w:ascii="Times New Roman" w:eastAsia="Times New Roman" w:hAnsi="Times New Roman" w:cs="Times New Roman"/>
          <w:color w:val="000000"/>
          <w:sz w:val="24"/>
          <w:szCs w:val="24"/>
        </w:rPr>
        <w:t xml:space="preserve">sewaktu pandemik, pihak kerajaan menyalurkan bantuan secara tidak langsung dan langsung kepada penduduk, di mana kedua-dua </w:t>
      </w:r>
      <w:r w:rsidR="00C27434">
        <w:rPr>
          <w:rFonts w:ascii="Times New Roman" w:eastAsia="Times New Roman" w:hAnsi="Times New Roman" w:cs="Times New Roman"/>
          <w:color w:val="000000"/>
          <w:sz w:val="24"/>
          <w:szCs w:val="24"/>
        </w:rPr>
        <w:t>melalui</w:t>
      </w:r>
      <w:r w:rsidRPr="00EA10E2">
        <w:rPr>
          <w:rFonts w:ascii="Times New Roman" w:eastAsia="Times New Roman" w:hAnsi="Times New Roman" w:cs="Times New Roman"/>
          <w:color w:val="000000"/>
          <w:sz w:val="24"/>
          <w:szCs w:val="24"/>
        </w:rPr>
        <w:t xml:space="preserve"> skim KWSP.</w:t>
      </w:r>
      <w:r w:rsidR="00CC78B2">
        <w:rPr>
          <w:rFonts w:ascii="Times New Roman" w:eastAsia="Times New Roman" w:hAnsi="Times New Roman" w:cs="Times New Roman"/>
          <w:color w:val="000000"/>
          <w:sz w:val="24"/>
          <w:szCs w:val="24"/>
        </w:rPr>
        <w:t xml:space="preserve"> Bagi </w:t>
      </w:r>
      <w:r w:rsidR="00CC78B2" w:rsidRPr="00643F32">
        <w:rPr>
          <w:rFonts w:ascii="Times New Roman" w:eastAsia="Times New Roman" w:hAnsi="Times New Roman" w:cs="Times New Roman"/>
          <w:sz w:val="24"/>
          <w:szCs w:val="24"/>
        </w:rPr>
        <w:t>b</w:t>
      </w:r>
      <w:r w:rsidRPr="00643F32">
        <w:rPr>
          <w:rFonts w:ascii="Times New Roman" w:eastAsia="Times New Roman" w:hAnsi="Times New Roman" w:cs="Times New Roman"/>
          <w:sz w:val="24"/>
          <w:szCs w:val="24"/>
        </w:rPr>
        <w:t>antuan secara tidak langsung</w:t>
      </w:r>
      <w:r w:rsidR="00CC78B2" w:rsidRPr="00643F32">
        <w:rPr>
          <w:rFonts w:ascii="Times New Roman" w:eastAsia="Times New Roman" w:hAnsi="Times New Roman" w:cs="Times New Roman"/>
          <w:sz w:val="24"/>
          <w:szCs w:val="24"/>
        </w:rPr>
        <w:t xml:space="preserve">, initiatif seperti </w:t>
      </w:r>
      <w:r w:rsidRPr="00643F32">
        <w:rPr>
          <w:rFonts w:ascii="Times New Roman" w:eastAsia="Times New Roman" w:hAnsi="Times New Roman" w:cs="Times New Roman"/>
          <w:sz w:val="24"/>
          <w:szCs w:val="24"/>
        </w:rPr>
        <w:t xml:space="preserve">program bantuan majikan COVID-19 (e-CAP) </w:t>
      </w:r>
      <w:r w:rsidR="00CC78B2" w:rsidRPr="00643F32">
        <w:rPr>
          <w:rFonts w:ascii="Times New Roman" w:eastAsia="Times New Roman" w:hAnsi="Times New Roman" w:cs="Times New Roman"/>
          <w:sz w:val="24"/>
          <w:szCs w:val="24"/>
        </w:rPr>
        <w:t>ditujukan kepada</w:t>
      </w:r>
      <w:r w:rsidRPr="00643F32">
        <w:rPr>
          <w:rFonts w:ascii="Times New Roman" w:eastAsia="Times New Roman" w:hAnsi="Times New Roman" w:cs="Times New Roman"/>
          <w:sz w:val="24"/>
          <w:szCs w:val="24"/>
        </w:rPr>
        <w:t xml:space="preserve"> perusahaan kecil dan sederhana (</w:t>
      </w:r>
      <w:r w:rsidR="00CC78B2" w:rsidRPr="00643F32">
        <w:rPr>
          <w:rFonts w:ascii="Times New Roman" w:eastAsia="Times New Roman" w:hAnsi="Times New Roman" w:cs="Times New Roman"/>
          <w:sz w:val="24"/>
          <w:szCs w:val="24"/>
        </w:rPr>
        <w:t>PKS</w:t>
      </w:r>
      <w:r w:rsidRPr="00643F32">
        <w:rPr>
          <w:rFonts w:ascii="Times New Roman" w:eastAsia="Times New Roman" w:hAnsi="Times New Roman" w:cs="Times New Roman"/>
          <w:sz w:val="24"/>
          <w:szCs w:val="24"/>
        </w:rPr>
        <w:t xml:space="preserve">) yang terjejas. </w:t>
      </w:r>
      <w:r w:rsidR="00CC78B2" w:rsidRPr="00643F32">
        <w:rPr>
          <w:rFonts w:ascii="Times New Roman" w:eastAsia="Times New Roman" w:hAnsi="Times New Roman" w:cs="Times New Roman"/>
          <w:sz w:val="24"/>
          <w:szCs w:val="24"/>
        </w:rPr>
        <w:t>Initiatif ini</w:t>
      </w:r>
      <w:r w:rsidRPr="00643F32">
        <w:rPr>
          <w:rFonts w:ascii="Times New Roman" w:eastAsia="Times New Roman" w:hAnsi="Times New Roman" w:cs="Times New Roman"/>
          <w:sz w:val="24"/>
          <w:szCs w:val="24"/>
        </w:rPr>
        <w:t xml:space="preserve"> memberi </w:t>
      </w:r>
      <w:r w:rsidR="00CC78B2" w:rsidRPr="00643F32">
        <w:rPr>
          <w:rFonts w:ascii="Times New Roman" w:eastAsia="Times New Roman" w:hAnsi="Times New Roman" w:cs="Times New Roman"/>
          <w:sz w:val="24"/>
          <w:szCs w:val="24"/>
        </w:rPr>
        <w:t>kebenaran</w:t>
      </w:r>
      <w:r w:rsidRPr="00643F32">
        <w:rPr>
          <w:rFonts w:ascii="Times New Roman" w:eastAsia="Times New Roman" w:hAnsi="Times New Roman" w:cs="Times New Roman"/>
          <w:sz w:val="24"/>
          <w:szCs w:val="24"/>
        </w:rPr>
        <w:t xml:space="preserve"> </w:t>
      </w:r>
      <w:r w:rsidR="00CC78B2" w:rsidRPr="00643F32">
        <w:rPr>
          <w:rFonts w:ascii="Times New Roman" w:eastAsia="Times New Roman" w:hAnsi="Times New Roman" w:cs="Times New Roman"/>
          <w:sz w:val="24"/>
          <w:szCs w:val="24"/>
        </w:rPr>
        <w:t>menangguhan dan penstrukturan semula caruman p</w:t>
      </w:r>
      <w:r w:rsidRPr="00643F32">
        <w:rPr>
          <w:rFonts w:ascii="Times New Roman" w:eastAsia="Times New Roman" w:hAnsi="Times New Roman" w:cs="Times New Roman"/>
          <w:sz w:val="24"/>
          <w:szCs w:val="24"/>
        </w:rPr>
        <w:t xml:space="preserve">ihak majikan </w:t>
      </w:r>
      <w:r w:rsidR="00CC78B2" w:rsidRPr="00643F32">
        <w:rPr>
          <w:rFonts w:ascii="Times New Roman" w:eastAsia="Times New Roman" w:hAnsi="Times New Roman" w:cs="Times New Roman"/>
          <w:sz w:val="24"/>
          <w:szCs w:val="24"/>
        </w:rPr>
        <w:t>PKS</w:t>
      </w:r>
      <w:r w:rsidR="00643F32" w:rsidRPr="00643F32">
        <w:rPr>
          <w:rFonts w:ascii="Times New Roman" w:eastAsia="Times New Roman" w:hAnsi="Times New Roman" w:cs="Times New Roman"/>
          <w:sz w:val="24"/>
          <w:szCs w:val="24"/>
        </w:rPr>
        <w:t xml:space="preserve">, bagi jangka masa antara </w:t>
      </w:r>
      <w:r w:rsidRPr="00643F32">
        <w:rPr>
          <w:rFonts w:ascii="Times New Roman" w:eastAsia="Times New Roman" w:hAnsi="Times New Roman" w:cs="Times New Roman"/>
          <w:sz w:val="24"/>
          <w:szCs w:val="24"/>
        </w:rPr>
        <w:t>bulan April, Mei dan atau June 2020.</w:t>
      </w:r>
      <w:r w:rsidRPr="00EA10E2">
        <w:rPr>
          <w:rFonts w:ascii="Times New Roman" w:eastAsia="Times New Roman" w:hAnsi="Times New Roman" w:cs="Times New Roman"/>
          <w:color w:val="000000"/>
          <w:sz w:val="24"/>
          <w:szCs w:val="24"/>
        </w:rPr>
        <w:t xml:space="preserve"> Jumlah bayaran yang </w:t>
      </w:r>
      <w:r w:rsidR="00C27434">
        <w:rPr>
          <w:rFonts w:ascii="Times New Roman" w:eastAsia="Times New Roman" w:hAnsi="Times New Roman" w:cs="Times New Roman"/>
          <w:color w:val="000000"/>
          <w:sz w:val="24"/>
          <w:szCs w:val="24"/>
        </w:rPr>
        <w:t>tertunggak</w:t>
      </w:r>
      <w:r w:rsidRPr="00EA10E2">
        <w:rPr>
          <w:rFonts w:ascii="Times New Roman" w:eastAsia="Times New Roman" w:hAnsi="Times New Roman" w:cs="Times New Roman"/>
          <w:color w:val="000000"/>
          <w:sz w:val="24"/>
          <w:szCs w:val="24"/>
        </w:rPr>
        <w:t xml:space="preserve"> boleh ditangguhkan dan dijelaskan dalam tempoh maksimum tiga tahun. Tambahan pula, skim e-CAP ini memberi </w:t>
      </w:r>
      <w:r w:rsidR="00643F32">
        <w:rPr>
          <w:rFonts w:ascii="Times New Roman" w:eastAsia="Times New Roman" w:hAnsi="Times New Roman" w:cs="Times New Roman"/>
          <w:color w:val="000000"/>
          <w:sz w:val="24"/>
          <w:szCs w:val="24"/>
        </w:rPr>
        <w:t>kebenaran</w:t>
      </w:r>
      <w:r w:rsidRPr="00EA10E2">
        <w:rPr>
          <w:rFonts w:ascii="Times New Roman" w:eastAsia="Times New Roman" w:hAnsi="Times New Roman" w:cs="Times New Roman"/>
          <w:color w:val="000000"/>
          <w:sz w:val="24"/>
          <w:szCs w:val="24"/>
        </w:rPr>
        <w:t xml:space="preserve"> </w:t>
      </w:r>
      <w:r w:rsidR="00643F32">
        <w:rPr>
          <w:rFonts w:ascii="Times New Roman" w:eastAsia="Times New Roman" w:hAnsi="Times New Roman" w:cs="Times New Roman"/>
          <w:color w:val="000000"/>
          <w:sz w:val="24"/>
          <w:szCs w:val="24"/>
        </w:rPr>
        <w:t xml:space="preserve">mengurangkan </w:t>
      </w:r>
      <w:r w:rsidRPr="00EA10E2">
        <w:rPr>
          <w:rFonts w:ascii="Times New Roman" w:eastAsia="Times New Roman" w:hAnsi="Times New Roman" w:cs="Times New Roman"/>
          <w:color w:val="000000"/>
          <w:sz w:val="24"/>
          <w:szCs w:val="24"/>
        </w:rPr>
        <w:lastRenderedPageBreak/>
        <w:t>caruman pekerja daripada sebelas per</w:t>
      </w:r>
      <w:r w:rsidR="00C27434">
        <w:rPr>
          <w:rFonts w:ascii="Times New Roman" w:eastAsia="Times New Roman" w:hAnsi="Times New Roman" w:cs="Times New Roman"/>
          <w:color w:val="000000"/>
          <w:sz w:val="24"/>
          <w:szCs w:val="24"/>
        </w:rPr>
        <w:t>a</w:t>
      </w:r>
      <w:r w:rsidRPr="00EA10E2">
        <w:rPr>
          <w:rFonts w:ascii="Times New Roman" w:eastAsia="Times New Roman" w:hAnsi="Times New Roman" w:cs="Times New Roman"/>
          <w:color w:val="000000"/>
          <w:sz w:val="24"/>
          <w:szCs w:val="24"/>
        </w:rPr>
        <w:t xml:space="preserve">tus kepada 7 peratus, di mana bertujuan membantu pihak majikan dan pekerja dalam aliran tunai dan seterusnya menyalurkan </w:t>
      </w:r>
      <w:r w:rsidR="00643F32">
        <w:rPr>
          <w:rFonts w:ascii="Times New Roman" w:eastAsia="Times New Roman" w:hAnsi="Times New Roman" w:cs="Times New Roman"/>
          <w:color w:val="000000"/>
          <w:sz w:val="24"/>
          <w:szCs w:val="24"/>
        </w:rPr>
        <w:t>semula</w:t>
      </w:r>
      <w:r w:rsidRPr="00EA10E2">
        <w:rPr>
          <w:rFonts w:ascii="Times New Roman" w:eastAsia="Times New Roman" w:hAnsi="Times New Roman" w:cs="Times New Roman"/>
          <w:color w:val="000000"/>
          <w:sz w:val="24"/>
          <w:szCs w:val="24"/>
        </w:rPr>
        <w:t xml:space="preserve"> aliran tunai ke dalam ekonomi negara</w:t>
      </w:r>
      <w:r w:rsidR="00673003">
        <w:rPr>
          <w:rFonts w:ascii="Times New Roman" w:eastAsia="Times New Roman" w:hAnsi="Times New Roman" w:cs="Times New Roman"/>
          <w:color w:val="000000"/>
          <w:sz w:val="24"/>
          <w:szCs w:val="24"/>
        </w:rPr>
        <w:t>.</w:t>
      </w:r>
      <w:r w:rsidRPr="00EA10E2">
        <w:rPr>
          <w:rFonts w:ascii="Times New Roman" w:eastAsia="Times New Roman" w:hAnsi="Times New Roman" w:cs="Times New Roman"/>
          <w:color w:val="000000"/>
          <w:sz w:val="24"/>
          <w:szCs w:val="24"/>
        </w:rPr>
        <w:t xml:space="preserve"> </w:t>
      </w:r>
    </w:p>
    <w:p w:rsidR="00EA10E2" w:rsidRPr="00087940" w:rsidRDefault="00EA10E2" w:rsidP="00C519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fi-FI"/>
        </w:rPr>
      </w:pPr>
      <w:r w:rsidRPr="00087940">
        <w:rPr>
          <w:rFonts w:ascii="Times New Roman" w:eastAsia="Times New Roman" w:hAnsi="Times New Roman" w:cs="Times New Roman"/>
          <w:color w:val="000000"/>
          <w:sz w:val="24"/>
          <w:szCs w:val="24"/>
          <w:lang w:val="fi-FI"/>
        </w:rPr>
        <w:t>Selain itu, bantuan secara langsung melibatkan bentuk bantun pengeluaran pra-persaraan skim KWSP ahlinya. Sejak pandemik COVID-19 melanda, pihak kerajaan pusat melalui Pakej Perlindungan Rakyat dan Pemulihan Ekonomi (PEMULIH) telah melaksanakan tujuh program</w:t>
      </w:r>
      <w:r w:rsidR="00520502" w:rsidRPr="00087940">
        <w:rPr>
          <w:rFonts w:ascii="Times New Roman" w:eastAsia="Times New Roman" w:hAnsi="Times New Roman" w:cs="Times New Roman"/>
          <w:color w:val="000000"/>
          <w:sz w:val="24"/>
          <w:szCs w:val="24"/>
          <w:lang w:val="fi-FI"/>
        </w:rPr>
        <w:t xml:space="preserve"> initi</w:t>
      </w:r>
      <w:r w:rsidR="00964B69" w:rsidRPr="00087940">
        <w:rPr>
          <w:rFonts w:ascii="Times New Roman" w:eastAsia="Times New Roman" w:hAnsi="Times New Roman" w:cs="Times New Roman"/>
          <w:color w:val="000000"/>
          <w:sz w:val="24"/>
          <w:szCs w:val="24"/>
          <w:lang w:val="fi-FI"/>
        </w:rPr>
        <w:t>a</w:t>
      </w:r>
      <w:r w:rsidR="00520502" w:rsidRPr="00087940">
        <w:rPr>
          <w:rFonts w:ascii="Times New Roman" w:eastAsia="Times New Roman" w:hAnsi="Times New Roman" w:cs="Times New Roman"/>
          <w:color w:val="000000"/>
          <w:sz w:val="24"/>
          <w:szCs w:val="24"/>
          <w:lang w:val="fi-FI"/>
        </w:rPr>
        <w:t>tif</w:t>
      </w:r>
      <w:r w:rsidRPr="00087940">
        <w:rPr>
          <w:rFonts w:ascii="Times New Roman" w:eastAsia="Times New Roman" w:hAnsi="Times New Roman" w:cs="Times New Roman"/>
          <w:color w:val="000000"/>
          <w:sz w:val="24"/>
          <w:szCs w:val="24"/>
          <w:lang w:val="fi-FI"/>
        </w:rPr>
        <w:t xml:space="preserve"> pakej rangsangan yang bernilai sejumlah RM380 billion</w:t>
      </w:r>
      <w:r w:rsidR="00C51986">
        <w:rPr>
          <w:rStyle w:val="EndnoteReference"/>
          <w:rFonts w:ascii="Times New Roman" w:eastAsia="Times New Roman" w:hAnsi="Times New Roman" w:cs="Times New Roman"/>
          <w:color w:val="000000"/>
          <w:sz w:val="24"/>
          <w:szCs w:val="24"/>
        </w:rPr>
        <w:endnoteReference w:id="3"/>
      </w:r>
      <w:r w:rsidR="00C51986" w:rsidRPr="00087940">
        <w:rPr>
          <w:rFonts w:ascii="Times New Roman" w:eastAsia="Times New Roman" w:hAnsi="Times New Roman" w:cs="Times New Roman"/>
          <w:color w:val="000000"/>
          <w:sz w:val="24"/>
          <w:szCs w:val="24"/>
          <w:lang w:val="fi-FI"/>
        </w:rPr>
        <w:t>.</w:t>
      </w:r>
      <w:r w:rsidRPr="00087940">
        <w:rPr>
          <w:rFonts w:ascii="Times New Roman" w:eastAsia="Times New Roman" w:hAnsi="Times New Roman" w:cs="Times New Roman"/>
          <w:color w:val="000000"/>
          <w:sz w:val="24"/>
          <w:szCs w:val="24"/>
          <w:lang w:val="fi-FI"/>
        </w:rPr>
        <w:t xml:space="preserve"> Akan tetapi, masalah kewangan berlanjutan dan menyebabkan pihak pusat terpaksa menperkenalkan kaedah alternatif untuk mengatasi isu kewangan individual, iaitu skim i-Lestari, i-Sinar dan i-Citra, di mana ketiga-tiga kaedah tersebut melibatkan pengeluaran pra-persaraan KWSP. Ketiga-tiga pengeluaran pra-persaraan skim KWSP in telah berjaya meringankan beban sejumlah 7.34 juta ahli skim KWSP, iaitu 58 peratus ahli di bawah 55 tahun</w:t>
      </w:r>
      <w:r w:rsidR="00C51986">
        <w:rPr>
          <w:rStyle w:val="EndnoteReference"/>
          <w:rFonts w:ascii="Times New Roman" w:eastAsia="Times New Roman" w:hAnsi="Times New Roman" w:cs="Times New Roman"/>
          <w:color w:val="000000"/>
          <w:sz w:val="24"/>
          <w:szCs w:val="24"/>
        </w:rPr>
        <w:endnoteReference w:id="4"/>
      </w:r>
      <w:r w:rsidR="00C51986" w:rsidRPr="00087940">
        <w:rPr>
          <w:rFonts w:ascii="Times New Roman" w:eastAsia="Times New Roman" w:hAnsi="Times New Roman" w:cs="Times New Roman"/>
          <w:color w:val="000000"/>
          <w:sz w:val="24"/>
          <w:szCs w:val="24"/>
          <w:lang w:val="fi-FI"/>
        </w:rPr>
        <w:t>.</w:t>
      </w:r>
      <w:r w:rsidRPr="00087940">
        <w:rPr>
          <w:rFonts w:ascii="Times New Roman" w:eastAsia="Times New Roman" w:hAnsi="Times New Roman" w:cs="Times New Roman"/>
          <w:color w:val="000000"/>
          <w:sz w:val="24"/>
          <w:szCs w:val="24"/>
          <w:lang w:val="fi-FI"/>
        </w:rPr>
        <w:t xml:space="preserve"> Kementerian Kewangan merumuskan sejumlah pengeluaran RM101 billion bagi pengeluaran i-Citra berakhir pada Februari 2022. Menurut statistik, pengeluaran pra-persaraaan melalui ketiga-tiga skim ini menyebabkan </w:t>
      </w:r>
      <w:r w:rsidR="00204B9B" w:rsidRPr="00087940">
        <w:rPr>
          <w:rFonts w:ascii="Times New Roman" w:eastAsia="Times New Roman" w:hAnsi="Times New Roman" w:cs="Times New Roman"/>
          <w:color w:val="000000"/>
          <w:sz w:val="24"/>
          <w:szCs w:val="24"/>
          <w:lang w:val="fi-FI"/>
        </w:rPr>
        <w:t xml:space="preserve">bilangan </w:t>
      </w:r>
      <w:r w:rsidRPr="00087940">
        <w:rPr>
          <w:rFonts w:ascii="Times New Roman" w:eastAsia="Times New Roman" w:hAnsi="Times New Roman" w:cs="Times New Roman"/>
          <w:color w:val="000000"/>
          <w:sz w:val="24"/>
          <w:szCs w:val="24"/>
          <w:lang w:val="fi-FI"/>
        </w:rPr>
        <w:t xml:space="preserve">ahli yang </w:t>
      </w:r>
      <w:r w:rsidR="00204B9B" w:rsidRPr="00087940">
        <w:rPr>
          <w:rFonts w:ascii="Times New Roman" w:eastAsia="Times New Roman" w:hAnsi="Times New Roman" w:cs="Times New Roman"/>
          <w:color w:val="000000"/>
          <w:sz w:val="24"/>
          <w:szCs w:val="24"/>
          <w:lang w:val="fi-FI"/>
        </w:rPr>
        <w:t xml:space="preserve">mempunyai RM240,000, iaitu amaun </w:t>
      </w:r>
      <w:r w:rsidRPr="00087940">
        <w:rPr>
          <w:rFonts w:ascii="Times New Roman" w:eastAsia="Times New Roman" w:hAnsi="Times New Roman" w:cs="Times New Roman"/>
          <w:color w:val="000000"/>
          <w:sz w:val="24"/>
          <w:szCs w:val="24"/>
          <w:lang w:val="fi-FI"/>
        </w:rPr>
        <w:t>simpanan asas</w:t>
      </w:r>
      <w:r w:rsidR="00204B9B" w:rsidRPr="00087940">
        <w:rPr>
          <w:rFonts w:ascii="Times New Roman" w:eastAsia="Times New Roman" w:hAnsi="Times New Roman" w:cs="Times New Roman"/>
          <w:color w:val="000000"/>
          <w:sz w:val="24"/>
          <w:szCs w:val="24"/>
          <w:lang w:val="fi-FI"/>
        </w:rPr>
        <w:t>, p</w:t>
      </w:r>
      <w:r w:rsidRPr="00087940">
        <w:rPr>
          <w:rFonts w:ascii="Times New Roman" w:eastAsia="Times New Roman" w:hAnsi="Times New Roman" w:cs="Times New Roman"/>
          <w:color w:val="000000"/>
          <w:sz w:val="24"/>
          <w:szCs w:val="24"/>
          <w:lang w:val="fi-FI"/>
        </w:rPr>
        <w:t>ada usia 55 tahun</w:t>
      </w:r>
      <w:r w:rsidR="00204B9B" w:rsidRPr="00087940">
        <w:rPr>
          <w:rFonts w:ascii="Times New Roman" w:eastAsia="Times New Roman" w:hAnsi="Times New Roman" w:cs="Times New Roman"/>
          <w:color w:val="000000"/>
          <w:sz w:val="24"/>
          <w:szCs w:val="24"/>
          <w:lang w:val="fi-FI"/>
        </w:rPr>
        <w:t xml:space="preserve">. Bilangan ini mengalami penurunan daripada </w:t>
      </w:r>
      <w:r w:rsidRPr="00087940">
        <w:rPr>
          <w:rFonts w:ascii="Times New Roman" w:eastAsia="Times New Roman" w:hAnsi="Times New Roman" w:cs="Times New Roman"/>
          <w:color w:val="000000"/>
          <w:sz w:val="24"/>
          <w:szCs w:val="24"/>
          <w:lang w:val="fi-FI"/>
        </w:rPr>
        <w:t>36 peratus kepada 27 peratus pada tahun 2021</w:t>
      </w:r>
      <w:r w:rsidR="00C51986" w:rsidRPr="00EE6216">
        <w:rPr>
          <w:rStyle w:val="EndnoteReference"/>
          <w:rFonts w:ascii="Times New Roman" w:eastAsia="Times New Roman" w:hAnsi="Times New Roman" w:cs="Times New Roman"/>
          <w:color w:val="000000"/>
          <w:sz w:val="24"/>
          <w:szCs w:val="24"/>
        </w:rPr>
        <w:endnoteReference w:id="5"/>
      </w:r>
      <w:r w:rsidR="00C51986" w:rsidRPr="00087940">
        <w:rPr>
          <w:rFonts w:ascii="Times New Roman" w:eastAsia="Times New Roman" w:hAnsi="Times New Roman" w:cs="Times New Roman"/>
          <w:color w:val="000000"/>
          <w:sz w:val="24"/>
          <w:szCs w:val="24"/>
          <w:lang w:val="fi-FI"/>
        </w:rPr>
        <w:t>.</w:t>
      </w:r>
      <w:r w:rsidRPr="00087940">
        <w:rPr>
          <w:rFonts w:ascii="Times New Roman" w:eastAsia="Times New Roman" w:hAnsi="Times New Roman" w:cs="Times New Roman"/>
          <w:color w:val="000000"/>
          <w:sz w:val="24"/>
          <w:szCs w:val="24"/>
          <w:lang w:val="fi-FI"/>
        </w:rPr>
        <w:t xml:space="preserve"> Menurut jangkaan pihak KWSP, kesan pengeluaran ketiga-tiga pengeluaran ini menyebabkan ahli-ahli skim KWSP perlu </w:t>
      </w:r>
      <w:r w:rsidR="00C27434" w:rsidRPr="00087940">
        <w:rPr>
          <w:rFonts w:ascii="Times New Roman" w:eastAsia="Times New Roman" w:hAnsi="Times New Roman" w:cs="Times New Roman"/>
          <w:color w:val="000000"/>
          <w:sz w:val="24"/>
          <w:szCs w:val="24"/>
          <w:lang w:val="fi-FI"/>
        </w:rPr>
        <w:t>aktif melibatkan diri</w:t>
      </w:r>
      <w:r w:rsidRPr="00087940">
        <w:rPr>
          <w:rFonts w:ascii="Times New Roman" w:eastAsia="Times New Roman" w:hAnsi="Times New Roman" w:cs="Times New Roman"/>
          <w:color w:val="000000"/>
          <w:sz w:val="24"/>
          <w:szCs w:val="24"/>
          <w:lang w:val="fi-FI"/>
        </w:rPr>
        <w:t xml:space="preserve"> </w:t>
      </w:r>
      <w:r w:rsidR="00C27434" w:rsidRPr="00087940">
        <w:rPr>
          <w:rFonts w:ascii="Times New Roman" w:eastAsia="Times New Roman" w:hAnsi="Times New Roman" w:cs="Times New Roman"/>
          <w:color w:val="000000"/>
          <w:sz w:val="24"/>
          <w:szCs w:val="24"/>
          <w:lang w:val="fi-FI"/>
        </w:rPr>
        <w:t xml:space="preserve">di </w:t>
      </w:r>
      <w:r w:rsidRPr="00087940">
        <w:rPr>
          <w:rFonts w:ascii="Times New Roman" w:eastAsia="Times New Roman" w:hAnsi="Times New Roman" w:cs="Times New Roman"/>
          <w:color w:val="000000"/>
          <w:sz w:val="24"/>
          <w:szCs w:val="24"/>
          <w:lang w:val="fi-FI"/>
        </w:rPr>
        <w:t>dalam tenaga buruh kerja</w:t>
      </w:r>
      <w:r w:rsidR="00C27434" w:rsidRPr="00087940">
        <w:rPr>
          <w:rFonts w:ascii="Times New Roman" w:eastAsia="Times New Roman" w:hAnsi="Times New Roman" w:cs="Times New Roman"/>
          <w:color w:val="000000"/>
          <w:sz w:val="24"/>
          <w:szCs w:val="24"/>
          <w:lang w:val="fi-FI"/>
        </w:rPr>
        <w:t xml:space="preserve"> tambahan di</w:t>
      </w:r>
      <w:r w:rsidRPr="00087940">
        <w:rPr>
          <w:rFonts w:ascii="Times New Roman" w:eastAsia="Times New Roman" w:hAnsi="Times New Roman" w:cs="Times New Roman"/>
          <w:color w:val="000000"/>
          <w:sz w:val="24"/>
          <w:szCs w:val="24"/>
          <w:lang w:val="fi-FI"/>
        </w:rPr>
        <w:t xml:space="preserve"> antara </w:t>
      </w:r>
      <w:r w:rsidR="00C27434" w:rsidRPr="00087940">
        <w:rPr>
          <w:rFonts w:ascii="Times New Roman" w:eastAsia="Times New Roman" w:hAnsi="Times New Roman" w:cs="Times New Roman"/>
          <w:color w:val="000000"/>
          <w:sz w:val="24"/>
          <w:szCs w:val="24"/>
          <w:lang w:val="fi-FI"/>
        </w:rPr>
        <w:t xml:space="preserve">tempoh </w:t>
      </w:r>
      <w:r w:rsidRPr="00087940">
        <w:rPr>
          <w:rFonts w:ascii="Times New Roman" w:eastAsia="Times New Roman" w:hAnsi="Times New Roman" w:cs="Times New Roman"/>
          <w:color w:val="000000"/>
          <w:sz w:val="24"/>
          <w:szCs w:val="24"/>
          <w:lang w:val="fi-FI"/>
        </w:rPr>
        <w:t>empat hingga enam tahun</w:t>
      </w:r>
      <w:r w:rsidR="00EE6216" w:rsidRPr="00087940">
        <w:rPr>
          <w:rFonts w:ascii="Times New Roman" w:eastAsia="Times New Roman" w:hAnsi="Times New Roman" w:cs="Times New Roman"/>
          <w:color w:val="000000"/>
          <w:sz w:val="24"/>
          <w:szCs w:val="24"/>
          <w:lang w:val="fi-FI"/>
        </w:rPr>
        <w:t xml:space="preserve"> demi </w:t>
      </w:r>
      <w:r w:rsidRPr="00087940">
        <w:rPr>
          <w:rFonts w:ascii="Times New Roman" w:eastAsia="Times New Roman" w:hAnsi="Times New Roman" w:cs="Times New Roman"/>
          <w:color w:val="000000"/>
          <w:sz w:val="24"/>
          <w:szCs w:val="24"/>
          <w:lang w:val="fi-FI"/>
        </w:rPr>
        <w:t xml:space="preserve">membina semula </w:t>
      </w:r>
      <w:r w:rsidR="00EE6216" w:rsidRPr="00087940">
        <w:rPr>
          <w:rFonts w:ascii="Times New Roman" w:eastAsia="Times New Roman" w:hAnsi="Times New Roman" w:cs="Times New Roman"/>
          <w:color w:val="000000"/>
          <w:sz w:val="24"/>
          <w:szCs w:val="24"/>
          <w:lang w:val="fi-FI"/>
        </w:rPr>
        <w:t>dana persaraaan simpana</w:t>
      </w:r>
      <w:r w:rsidRPr="00087940">
        <w:rPr>
          <w:rFonts w:ascii="Times New Roman" w:eastAsia="Times New Roman" w:hAnsi="Times New Roman" w:cs="Times New Roman"/>
          <w:color w:val="000000"/>
          <w:sz w:val="24"/>
          <w:szCs w:val="24"/>
          <w:lang w:val="fi-FI"/>
        </w:rPr>
        <w:t>n</w:t>
      </w:r>
      <w:r w:rsidR="00C51986">
        <w:rPr>
          <w:rStyle w:val="EndnoteReference"/>
          <w:rFonts w:ascii="Times New Roman" w:eastAsia="Times New Roman" w:hAnsi="Times New Roman" w:cs="Times New Roman"/>
          <w:color w:val="000000"/>
          <w:sz w:val="24"/>
          <w:szCs w:val="24"/>
        </w:rPr>
        <w:endnoteReference w:id="6"/>
      </w:r>
      <w:r w:rsidR="00C51986" w:rsidRPr="00087940">
        <w:rPr>
          <w:rFonts w:ascii="Times New Roman" w:eastAsia="Times New Roman" w:hAnsi="Times New Roman" w:cs="Times New Roman"/>
          <w:color w:val="000000"/>
          <w:sz w:val="24"/>
          <w:szCs w:val="24"/>
          <w:lang w:val="fi-FI"/>
        </w:rPr>
        <w:t>.</w:t>
      </w:r>
      <w:r w:rsidRPr="00087940">
        <w:rPr>
          <w:rFonts w:ascii="Times New Roman" w:eastAsia="Times New Roman" w:hAnsi="Times New Roman" w:cs="Times New Roman"/>
          <w:color w:val="000000"/>
          <w:sz w:val="24"/>
          <w:szCs w:val="24"/>
          <w:lang w:val="fi-FI"/>
        </w:rPr>
        <w:t xml:space="preserve"> Hal ini membimbangkan pihak pengurusan skim persaraaan dan kerajaan pusat untuk kehidupan masa tua penduduk. Oleh itu, pihak kerajaan dan pentadbiran yang berkaitan </w:t>
      </w:r>
      <w:r w:rsidR="005E4509" w:rsidRPr="00087940">
        <w:rPr>
          <w:rFonts w:ascii="Times New Roman" w:eastAsia="Times New Roman" w:hAnsi="Times New Roman" w:cs="Times New Roman"/>
          <w:color w:val="000000"/>
          <w:sz w:val="24"/>
          <w:szCs w:val="24"/>
          <w:lang w:val="fi-FI"/>
        </w:rPr>
        <w:t xml:space="preserve">telah mengambil initiatif baru </w:t>
      </w:r>
      <w:r w:rsidRPr="00087940">
        <w:rPr>
          <w:rFonts w:ascii="Times New Roman" w:eastAsia="Times New Roman" w:hAnsi="Times New Roman" w:cs="Times New Roman"/>
          <w:color w:val="000000"/>
          <w:sz w:val="24"/>
          <w:szCs w:val="24"/>
          <w:lang w:val="fi-FI"/>
        </w:rPr>
        <w:t xml:space="preserve">membina semula </w:t>
      </w:r>
      <w:r w:rsidR="0089226F" w:rsidRPr="00087940">
        <w:rPr>
          <w:rFonts w:ascii="Times New Roman" w:eastAsia="Times New Roman" w:hAnsi="Times New Roman" w:cs="Times New Roman"/>
          <w:color w:val="000000"/>
          <w:sz w:val="24"/>
          <w:szCs w:val="24"/>
          <w:lang w:val="fi-FI"/>
        </w:rPr>
        <w:t>dana</w:t>
      </w:r>
      <w:r w:rsidR="00E2514A" w:rsidRPr="00087940">
        <w:rPr>
          <w:rFonts w:ascii="Times New Roman" w:eastAsia="Times New Roman" w:hAnsi="Times New Roman" w:cs="Times New Roman"/>
          <w:color w:val="000000"/>
          <w:sz w:val="24"/>
          <w:szCs w:val="24"/>
          <w:lang w:val="fi-FI"/>
        </w:rPr>
        <w:t xml:space="preserve"> </w:t>
      </w:r>
      <w:r w:rsidRPr="00087940">
        <w:rPr>
          <w:rFonts w:ascii="Times New Roman" w:eastAsia="Times New Roman" w:hAnsi="Times New Roman" w:cs="Times New Roman"/>
          <w:color w:val="000000"/>
          <w:sz w:val="24"/>
          <w:szCs w:val="24"/>
          <w:lang w:val="fi-FI"/>
        </w:rPr>
        <w:t>persaraan</w:t>
      </w:r>
      <w:r w:rsidR="00E2514A" w:rsidRPr="00087940">
        <w:rPr>
          <w:rFonts w:ascii="Times New Roman" w:eastAsia="Times New Roman" w:hAnsi="Times New Roman" w:cs="Times New Roman"/>
          <w:color w:val="000000"/>
          <w:sz w:val="24"/>
          <w:szCs w:val="24"/>
          <w:lang w:val="fi-FI"/>
        </w:rPr>
        <w:t xml:space="preserve"> ahli</w:t>
      </w:r>
      <w:r w:rsidRPr="00087940">
        <w:rPr>
          <w:rFonts w:ascii="Times New Roman" w:eastAsia="Times New Roman" w:hAnsi="Times New Roman" w:cs="Times New Roman"/>
          <w:color w:val="000000"/>
          <w:sz w:val="24"/>
          <w:szCs w:val="24"/>
          <w:lang w:val="fi-FI"/>
        </w:rPr>
        <w:t xml:space="preserve">, </w:t>
      </w:r>
      <w:r w:rsidR="00E2514A" w:rsidRPr="00087940">
        <w:rPr>
          <w:rFonts w:ascii="Times New Roman" w:eastAsia="Times New Roman" w:hAnsi="Times New Roman" w:cs="Times New Roman"/>
          <w:color w:val="000000"/>
          <w:sz w:val="24"/>
          <w:szCs w:val="24"/>
          <w:lang w:val="fi-FI"/>
        </w:rPr>
        <w:t xml:space="preserve">terutamanya </w:t>
      </w:r>
      <w:r w:rsidRPr="00087940">
        <w:rPr>
          <w:rFonts w:ascii="Times New Roman" w:eastAsia="Times New Roman" w:hAnsi="Times New Roman" w:cs="Times New Roman"/>
          <w:color w:val="000000"/>
          <w:sz w:val="24"/>
          <w:szCs w:val="24"/>
          <w:lang w:val="fi-FI"/>
        </w:rPr>
        <w:t>selepas negara mencapai pasca-pandemik COVID-19</w:t>
      </w:r>
      <w:r w:rsidR="00C51986">
        <w:rPr>
          <w:rStyle w:val="EndnoteReference"/>
          <w:rFonts w:ascii="Times New Roman" w:eastAsia="Times New Roman" w:hAnsi="Times New Roman" w:cs="Times New Roman"/>
          <w:color w:val="000000"/>
          <w:sz w:val="24"/>
          <w:szCs w:val="24"/>
        </w:rPr>
        <w:endnoteReference w:id="7"/>
      </w:r>
      <w:r w:rsidR="00C51986" w:rsidRPr="00087940">
        <w:rPr>
          <w:rFonts w:ascii="Times New Roman" w:eastAsia="Times New Roman" w:hAnsi="Times New Roman" w:cs="Times New Roman"/>
          <w:color w:val="000000"/>
          <w:sz w:val="24"/>
          <w:szCs w:val="24"/>
          <w:lang w:val="fi-FI"/>
        </w:rPr>
        <w:t>.</w:t>
      </w:r>
      <w:r w:rsidRPr="00087940">
        <w:rPr>
          <w:rFonts w:ascii="Times New Roman" w:eastAsia="Times New Roman" w:hAnsi="Times New Roman" w:cs="Times New Roman"/>
          <w:color w:val="000000"/>
          <w:sz w:val="24"/>
          <w:szCs w:val="24"/>
          <w:lang w:val="fi-FI"/>
        </w:rPr>
        <w:t xml:space="preserve"> Dalam mengawal pengeluaran pra-persaraan, skim KWSP menyarankan ahli supaya me</w:t>
      </w:r>
      <w:r w:rsidR="00C27434" w:rsidRPr="00087940">
        <w:rPr>
          <w:rFonts w:ascii="Times New Roman" w:eastAsia="Times New Roman" w:hAnsi="Times New Roman" w:cs="Times New Roman"/>
          <w:color w:val="000000"/>
          <w:sz w:val="24"/>
          <w:szCs w:val="24"/>
          <w:lang w:val="fi-FI"/>
        </w:rPr>
        <w:t>n</w:t>
      </w:r>
      <w:r w:rsidRPr="00087940">
        <w:rPr>
          <w:rFonts w:ascii="Times New Roman" w:eastAsia="Times New Roman" w:hAnsi="Times New Roman" w:cs="Times New Roman"/>
          <w:color w:val="000000"/>
          <w:sz w:val="24"/>
          <w:szCs w:val="24"/>
          <w:lang w:val="fi-FI"/>
        </w:rPr>
        <w:t>dapatkan Khidmat Nasihat Persaraaan</w:t>
      </w:r>
      <w:r w:rsidR="00C51986">
        <w:rPr>
          <w:rStyle w:val="EndnoteReference"/>
          <w:rFonts w:ascii="Times New Roman" w:eastAsia="Times New Roman" w:hAnsi="Times New Roman" w:cs="Times New Roman"/>
          <w:color w:val="000000"/>
          <w:sz w:val="24"/>
          <w:szCs w:val="24"/>
        </w:rPr>
        <w:endnoteReference w:id="8"/>
      </w:r>
      <w:r w:rsidR="00C51986" w:rsidRPr="00087940">
        <w:rPr>
          <w:rFonts w:ascii="Times New Roman" w:eastAsia="Times New Roman" w:hAnsi="Times New Roman" w:cs="Times New Roman"/>
          <w:color w:val="000000"/>
          <w:sz w:val="24"/>
          <w:szCs w:val="24"/>
          <w:lang w:val="fi-FI"/>
        </w:rPr>
        <w:t xml:space="preserve"> </w:t>
      </w:r>
      <w:r w:rsidRPr="00087940">
        <w:rPr>
          <w:rFonts w:ascii="Times New Roman" w:eastAsia="Times New Roman" w:hAnsi="Times New Roman" w:cs="Times New Roman"/>
          <w:color w:val="000000"/>
          <w:sz w:val="24"/>
          <w:szCs w:val="24"/>
          <w:lang w:val="fi-FI"/>
        </w:rPr>
        <w:t>secara percuma untuk memahami kes</w:t>
      </w:r>
      <w:r w:rsidR="00C27434" w:rsidRPr="00087940">
        <w:rPr>
          <w:rFonts w:ascii="Times New Roman" w:eastAsia="Times New Roman" w:hAnsi="Times New Roman" w:cs="Times New Roman"/>
          <w:color w:val="000000"/>
          <w:sz w:val="24"/>
          <w:szCs w:val="24"/>
          <w:lang w:val="fi-FI"/>
        </w:rPr>
        <w:t>a</w:t>
      </w:r>
      <w:r w:rsidRPr="00087940">
        <w:rPr>
          <w:rFonts w:ascii="Times New Roman" w:eastAsia="Times New Roman" w:hAnsi="Times New Roman" w:cs="Times New Roman"/>
          <w:color w:val="000000"/>
          <w:sz w:val="24"/>
          <w:szCs w:val="24"/>
          <w:lang w:val="fi-FI"/>
        </w:rPr>
        <w:t>n pengeluaran pr</w:t>
      </w:r>
      <w:r w:rsidR="00C27434" w:rsidRPr="00087940">
        <w:rPr>
          <w:rFonts w:ascii="Times New Roman" w:eastAsia="Times New Roman" w:hAnsi="Times New Roman" w:cs="Times New Roman"/>
          <w:color w:val="000000"/>
          <w:sz w:val="24"/>
          <w:szCs w:val="24"/>
          <w:lang w:val="fi-FI"/>
        </w:rPr>
        <w:t>a</w:t>
      </w:r>
      <w:r w:rsidRPr="00087940">
        <w:rPr>
          <w:rFonts w:ascii="Times New Roman" w:eastAsia="Times New Roman" w:hAnsi="Times New Roman" w:cs="Times New Roman"/>
          <w:color w:val="000000"/>
          <w:sz w:val="24"/>
          <w:szCs w:val="24"/>
          <w:lang w:val="fi-FI"/>
        </w:rPr>
        <w:t>-persaraan terhadap perancangan persaraan pada masa hadapan</w:t>
      </w:r>
      <w:r w:rsidR="00C51986">
        <w:rPr>
          <w:rStyle w:val="EndnoteReference"/>
          <w:rFonts w:ascii="Times New Roman" w:eastAsia="Times New Roman" w:hAnsi="Times New Roman" w:cs="Times New Roman"/>
          <w:color w:val="000000"/>
          <w:sz w:val="24"/>
          <w:szCs w:val="24"/>
        </w:rPr>
        <w:endnoteReference w:id="9"/>
      </w:r>
      <w:r w:rsidR="00C51986" w:rsidRPr="00087940">
        <w:rPr>
          <w:rFonts w:ascii="Times New Roman" w:eastAsia="Times New Roman" w:hAnsi="Times New Roman" w:cs="Times New Roman"/>
          <w:color w:val="000000"/>
          <w:sz w:val="24"/>
          <w:szCs w:val="24"/>
          <w:lang w:val="fi-FI"/>
        </w:rPr>
        <w:t>.</w:t>
      </w:r>
    </w:p>
    <w:p w:rsidR="00EA10E2" w:rsidRPr="00087940" w:rsidRDefault="00EA10E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p>
    <w:p w:rsidR="00EA10E2" w:rsidRPr="00087940" w:rsidRDefault="005A0BAB"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fi-FI"/>
        </w:rPr>
      </w:pPr>
      <w:r w:rsidRPr="00087940">
        <w:rPr>
          <w:rFonts w:ascii="Times New Roman" w:eastAsia="Times New Roman" w:hAnsi="Times New Roman" w:cs="Times New Roman"/>
          <w:i/>
          <w:color w:val="000000"/>
          <w:sz w:val="24"/>
          <w:szCs w:val="24"/>
          <w:lang w:val="fi-FI"/>
        </w:rPr>
        <w:t xml:space="preserve">Skim </w:t>
      </w:r>
      <w:r w:rsidR="00EA10E2" w:rsidRPr="00087940">
        <w:rPr>
          <w:rFonts w:ascii="Times New Roman" w:eastAsia="Times New Roman" w:hAnsi="Times New Roman" w:cs="Times New Roman"/>
          <w:i/>
          <w:color w:val="000000"/>
          <w:sz w:val="24"/>
          <w:szCs w:val="24"/>
          <w:lang w:val="fi-FI"/>
        </w:rPr>
        <w:t>i-Lestari</w:t>
      </w:r>
    </w:p>
    <w:p w:rsidR="00EA10E2" w:rsidRPr="00087940" w:rsidRDefault="00EA10E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p>
    <w:p w:rsidR="00EA10E2" w:rsidRPr="00087940" w:rsidRDefault="00EA10E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r w:rsidRPr="00087940">
        <w:rPr>
          <w:rFonts w:ascii="Times New Roman" w:eastAsia="Times New Roman" w:hAnsi="Times New Roman" w:cs="Times New Roman"/>
          <w:color w:val="000000"/>
          <w:sz w:val="24"/>
          <w:szCs w:val="24"/>
          <w:lang w:val="fi-FI"/>
        </w:rPr>
        <w:t xml:space="preserve">Pengeluaran pra-persaraan skim i-Lestari merupakan initiatif terawal pihak kerajaan pusat dalam usaha membantu meringankan beban kewangan isi keluarga sewaktu </w:t>
      </w:r>
      <w:r w:rsidR="00CB1E66" w:rsidRPr="00087940">
        <w:rPr>
          <w:rFonts w:ascii="Times New Roman" w:eastAsia="Times New Roman" w:hAnsi="Times New Roman" w:cs="Times New Roman"/>
          <w:color w:val="000000"/>
          <w:sz w:val="24"/>
          <w:szCs w:val="24"/>
          <w:lang w:val="fi-FI"/>
        </w:rPr>
        <w:t>pandemic krisis</w:t>
      </w:r>
      <w:r w:rsidRPr="00087940">
        <w:rPr>
          <w:rFonts w:ascii="Times New Roman" w:eastAsia="Times New Roman" w:hAnsi="Times New Roman" w:cs="Times New Roman"/>
          <w:color w:val="000000"/>
          <w:sz w:val="24"/>
          <w:szCs w:val="24"/>
          <w:lang w:val="fi-FI"/>
        </w:rPr>
        <w:t xml:space="preserve"> COVID-19. Skim ini berkuatkuasa di antara 1 April 2020 sehingga 31 Mac 2021, di mana melibatkan pengeluaran</w:t>
      </w:r>
      <w:r w:rsidR="00CB1E66" w:rsidRPr="00087940">
        <w:rPr>
          <w:rFonts w:ascii="Times New Roman" w:eastAsia="Times New Roman" w:hAnsi="Times New Roman" w:cs="Times New Roman"/>
          <w:color w:val="000000"/>
          <w:sz w:val="24"/>
          <w:szCs w:val="24"/>
          <w:lang w:val="fi-FI"/>
        </w:rPr>
        <w:t xml:space="preserve"> pra-persaraan</w:t>
      </w:r>
      <w:r w:rsidRPr="00087940">
        <w:rPr>
          <w:rFonts w:ascii="Times New Roman" w:eastAsia="Times New Roman" w:hAnsi="Times New Roman" w:cs="Times New Roman"/>
          <w:color w:val="000000"/>
          <w:sz w:val="24"/>
          <w:szCs w:val="24"/>
          <w:lang w:val="fi-FI"/>
        </w:rPr>
        <w:t xml:space="preserve"> skim KWSP akaun 2 sahaja, tertakluk kepada baki </w:t>
      </w:r>
      <w:r w:rsidR="00E2514A" w:rsidRPr="00087940">
        <w:rPr>
          <w:rFonts w:ascii="Times New Roman" w:eastAsia="Times New Roman" w:hAnsi="Times New Roman" w:cs="Times New Roman"/>
          <w:color w:val="000000"/>
          <w:sz w:val="24"/>
          <w:szCs w:val="24"/>
          <w:lang w:val="fi-FI"/>
        </w:rPr>
        <w:t xml:space="preserve">dana </w:t>
      </w:r>
      <w:r w:rsidRPr="00087940">
        <w:rPr>
          <w:rFonts w:ascii="Times New Roman" w:eastAsia="Times New Roman" w:hAnsi="Times New Roman" w:cs="Times New Roman"/>
          <w:color w:val="000000"/>
          <w:sz w:val="24"/>
          <w:szCs w:val="24"/>
          <w:lang w:val="fi-FI"/>
        </w:rPr>
        <w:t xml:space="preserve">simpanan akaun 2. Pengeluaran </w:t>
      </w:r>
      <w:r w:rsidR="00E2514A" w:rsidRPr="00087940">
        <w:rPr>
          <w:rFonts w:ascii="Times New Roman" w:eastAsia="Times New Roman" w:hAnsi="Times New Roman" w:cs="Times New Roman"/>
          <w:color w:val="000000"/>
          <w:sz w:val="24"/>
          <w:szCs w:val="24"/>
          <w:lang w:val="fi-FI"/>
        </w:rPr>
        <w:t xml:space="preserve">dibenarkan dibuat </w:t>
      </w:r>
      <w:r w:rsidRPr="00087940">
        <w:rPr>
          <w:rFonts w:ascii="Times New Roman" w:eastAsia="Times New Roman" w:hAnsi="Times New Roman" w:cs="Times New Roman"/>
          <w:color w:val="000000"/>
          <w:sz w:val="24"/>
          <w:szCs w:val="24"/>
          <w:lang w:val="fi-FI"/>
        </w:rPr>
        <w:t>bulanan dan berulang untuk bulan berikutnya, tetapi dihadkan sehingga 31 Mac 2021. Sebagai contohnya, jika ahli membuat permohoman dan telah diluluskan pada Mei 2020, maka bilangan yang layak membuat pengeluaran adalah selama 11 bulan. Amaun pengeluaran dihadkan di antara RM50 sehingga RM500 sebulan. Amaun RM500 wajar bagi memenuhi keperluan asas untuk sebulan (</w:t>
      </w:r>
      <w:r w:rsidR="00CB1E66" w:rsidRPr="00087940">
        <w:rPr>
          <w:rFonts w:ascii="Times New Roman" w:eastAsia="Times New Roman" w:hAnsi="Times New Roman" w:cs="Times New Roman"/>
          <w:color w:val="000000"/>
          <w:sz w:val="24"/>
          <w:szCs w:val="24"/>
          <w:lang w:val="fi-FI"/>
        </w:rPr>
        <w:t xml:space="preserve">Laporan Tahunan </w:t>
      </w:r>
      <w:r w:rsidRPr="00087940">
        <w:rPr>
          <w:rFonts w:ascii="Times New Roman" w:eastAsia="Times New Roman" w:hAnsi="Times New Roman" w:cs="Times New Roman"/>
          <w:color w:val="000000"/>
          <w:sz w:val="24"/>
          <w:szCs w:val="24"/>
          <w:lang w:val="fi-FI"/>
        </w:rPr>
        <w:t xml:space="preserve">KWSP, 2022). Setakat 27 Februari 2021, sebanyak 5.16 juta ahli </w:t>
      </w:r>
      <w:r w:rsidR="00CB1E66" w:rsidRPr="00087940">
        <w:rPr>
          <w:rFonts w:ascii="Times New Roman" w:eastAsia="Times New Roman" w:hAnsi="Times New Roman" w:cs="Times New Roman"/>
          <w:color w:val="000000"/>
          <w:sz w:val="24"/>
          <w:szCs w:val="24"/>
          <w:lang w:val="fi-FI"/>
        </w:rPr>
        <w:t>telah diluluskan untuk</w:t>
      </w:r>
      <w:r w:rsidRPr="00087940">
        <w:rPr>
          <w:rFonts w:ascii="Times New Roman" w:eastAsia="Times New Roman" w:hAnsi="Times New Roman" w:cs="Times New Roman"/>
          <w:color w:val="000000"/>
          <w:sz w:val="24"/>
          <w:szCs w:val="24"/>
          <w:lang w:val="fi-FI"/>
        </w:rPr>
        <w:t xml:space="preserve"> membuat pengeluaran pra-persaraan menerusi skim i-Lestari</w:t>
      </w:r>
      <w:r w:rsidR="00C51986">
        <w:rPr>
          <w:rStyle w:val="EndnoteReference"/>
          <w:rFonts w:ascii="Times New Roman" w:eastAsia="Times New Roman" w:hAnsi="Times New Roman" w:cs="Times New Roman"/>
          <w:color w:val="000000"/>
          <w:sz w:val="24"/>
          <w:szCs w:val="24"/>
        </w:rPr>
        <w:endnoteReference w:id="10"/>
      </w:r>
      <w:r w:rsidR="00C51986" w:rsidRPr="00087940">
        <w:rPr>
          <w:rFonts w:ascii="Times New Roman" w:eastAsia="Times New Roman" w:hAnsi="Times New Roman" w:cs="Times New Roman"/>
          <w:color w:val="000000"/>
          <w:sz w:val="24"/>
          <w:szCs w:val="24"/>
          <w:lang w:val="fi-FI"/>
        </w:rPr>
        <w:t>.</w:t>
      </w:r>
    </w:p>
    <w:p w:rsidR="00EA10E2" w:rsidRPr="00087940" w:rsidRDefault="00EA10E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p>
    <w:p w:rsidR="00EA10E2" w:rsidRPr="00087940" w:rsidRDefault="005A0BAB"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fi-FI"/>
        </w:rPr>
      </w:pPr>
      <w:r w:rsidRPr="00087940">
        <w:rPr>
          <w:rFonts w:ascii="Times New Roman" w:eastAsia="Times New Roman" w:hAnsi="Times New Roman" w:cs="Times New Roman"/>
          <w:i/>
          <w:color w:val="000000"/>
          <w:sz w:val="24"/>
          <w:szCs w:val="24"/>
          <w:lang w:val="fi-FI"/>
        </w:rPr>
        <w:t xml:space="preserve">Skim </w:t>
      </w:r>
      <w:r w:rsidR="00EA10E2" w:rsidRPr="00087940">
        <w:rPr>
          <w:rFonts w:ascii="Times New Roman" w:eastAsia="Times New Roman" w:hAnsi="Times New Roman" w:cs="Times New Roman"/>
          <w:i/>
          <w:color w:val="000000"/>
          <w:sz w:val="24"/>
          <w:szCs w:val="24"/>
          <w:lang w:val="fi-FI"/>
        </w:rPr>
        <w:t xml:space="preserve">i-Sinar </w:t>
      </w:r>
    </w:p>
    <w:p w:rsidR="00EA10E2" w:rsidRPr="00087940" w:rsidRDefault="00EA10E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fi-FI"/>
        </w:rPr>
      </w:pPr>
    </w:p>
    <w:p w:rsidR="00EA10E2" w:rsidRPr="00EA10E2" w:rsidRDefault="00EA10E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087940">
        <w:rPr>
          <w:rFonts w:ascii="Times New Roman" w:eastAsia="Times New Roman" w:hAnsi="Times New Roman" w:cs="Times New Roman"/>
          <w:color w:val="000000"/>
          <w:sz w:val="24"/>
          <w:szCs w:val="24"/>
          <w:lang w:val="fi-FI"/>
        </w:rPr>
        <w:t>Pengeluaran pra-persaraan skim i-Sinar merupakan initi</w:t>
      </w:r>
      <w:r w:rsidR="00CB1E66" w:rsidRPr="00087940">
        <w:rPr>
          <w:rFonts w:ascii="Times New Roman" w:eastAsia="Times New Roman" w:hAnsi="Times New Roman" w:cs="Times New Roman"/>
          <w:color w:val="000000"/>
          <w:sz w:val="24"/>
          <w:szCs w:val="24"/>
          <w:lang w:val="fi-FI"/>
        </w:rPr>
        <w:t xml:space="preserve">atif </w:t>
      </w:r>
      <w:r w:rsidRPr="00087940">
        <w:rPr>
          <w:rFonts w:ascii="Times New Roman" w:eastAsia="Times New Roman" w:hAnsi="Times New Roman" w:cs="Times New Roman"/>
          <w:color w:val="000000"/>
          <w:sz w:val="24"/>
          <w:szCs w:val="24"/>
          <w:lang w:val="fi-FI"/>
        </w:rPr>
        <w:t xml:space="preserve">pihak kerajaan pusat dalam membuat pengeluaran pra-persaraaan menerusi skim KWSP akaun 1. </w:t>
      </w:r>
      <w:r w:rsidR="00A82461" w:rsidRPr="00087940">
        <w:rPr>
          <w:rFonts w:ascii="Times New Roman" w:eastAsia="Times New Roman" w:hAnsi="Times New Roman" w:cs="Times New Roman"/>
          <w:color w:val="000000"/>
          <w:sz w:val="24"/>
          <w:szCs w:val="24"/>
          <w:lang w:val="fi-FI"/>
        </w:rPr>
        <w:t>A</w:t>
      </w:r>
      <w:r w:rsidRPr="00087940">
        <w:rPr>
          <w:rFonts w:ascii="Times New Roman" w:eastAsia="Times New Roman" w:hAnsi="Times New Roman" w:cs="Times New Roman"/>
          <w:color w:val="000000"/>
          <w:sz w:val="24"/>
          <w:szCs w:val="24"/>
          <w:lang w:val="fi-FI"/>
        </w:rPr>
        <w:t xml:space="preserve">maun </w:t>
      </w:r>
      <w:r w:rsidR="00A82461" w:rsidRPr="00087940">
        <w:rPr>
          <w:rFonts w:ascii="Times New Roman" w:eastAsia="Times New Roman" w:hAnsi="Times New Roman" w:cs="Times New Roman"/>
          <w:color w:val="000000"/>
          <w:sz w:val="24"/>
          <w:szCs w:val="24"/>
          <w:lang w:val="fi-FI"/>
        </w:rPr>
        <w:t xml:space="preserve">pengeluaran </w:t>
      </w:r>
      <w:r w:rsidRPr="00087940">
        <w:rPr>
          <w:rFonts w:ascii="Times New Roman" w:eastAsia="Times New Roman" w:hAnsi="Times New Roman" w:cs="Times New Roman"/>
          <w:color w:val="000000"/>
          <w:sz w:val="24"/>
          <w:szCs w:val="24"/>
          <w:lang w:val="fi-FI"/>
        </w:rPr>
        <w:t xml:space="preserve">yang boleh </w:t>
      </w:r>
      <w:r w:rsidR="00A82461" w:rsidRPr="00087940">
        <w:rPr>
          <w:rFonts w:ascii="Times New Roman" w:eastAsia="Times New Roman" w:hAnsi="Times New Roman" w:cs="Times New Roman"/>
          <w:color w:val="000000"/>
          <w:sz w:val="24"/>
          <w:szCs w:val="24"/>
          <w:lang w:val="fi-FI"/>
        </w:rPr>
        <w:t>dibenarkan</w:t>
      </w:r>
      <w:r w:rsidRPr="00087940">
        <w:rPr>
          <w:rFonts w:ascii="Times New Roman" w:eastAsia="Times New Roman" w:hAnsi="Times New Roman" w:cs="Times New Roman"/>
          <w:color w:val="000000"/>
          <w:sz w:val="24"/>
          <w:szCs w:val="24"/>
          <w:lang w:val="fi-FI"/>
        </w:rPr>
        <w:t xml:space="preserve"> bergantung kepada garis panduan RM100,000 dalam akaun 1. Jika individual mempunyai simpanan kurang dari RM100,000, maka amaun pengeluaran dihad kepada </w:t>
      </w:r>
      <w:r w:rsidRPr="00087940">
        <w:rPr>
          <w:rFonts w:ascii="Times New Roman" w:eastAsia="Times New Roman" w:hAnsi="Times New Roman" w:cs="Times New Roman"/>
          <w:color w:val="000000"/>
          <w:sz w:val="24"/>
          <w:szCs w:val="24"/>
          <w:lang w:val="fi-FI"/>
        </w:rPr>
        <w:lastRenderedPageBreak/>
        <w:t xml:space="preserve">RM10,000, tertakluk kepada baki simpanan. </w:t>
      </w:r>
      <w:r w:rsidRPr="00EA10E2">
        <w:rPr>
          <w:rFonts w:ascii="Times New Roman" w:eastAsia="Times New Roman" w:hAnsi="Times New Roman" w:cs="Times New Roman"/>
          <w:color w:val="000000"/>
          <w:sz w:val="24"/>
          <w:szCs w:val="24"/>
        </w:rPr>
        <w:t xml:space="preserve">Sebaliknya, jika individual mempunyai simpanan melebihi RM100,000, maka pengeluaran sehingga 10 peratus dibenarkan, tertakluk had maximum RM60,000. </w:t>
      </w:r>
      <w:r w:rsidR="00A82461">
        <w:rPr>
          <w:rFonts w:ascii="Times New Roman" w:eastAsia="Times New Roman" w:hAnsi="Times New Roman" w:cs="Times New Roman"/>
          <w:color w:val="000000"/>
          <w:sz w:val="24"/>
          <w:szCs w:val="24"/>
        </w:rPr>
        <w:t>Initiatif ini dibahagikan kepada</w:t>
      </w:r>
      <w:r w:rsidRPr="00EA10E2">
        <w:rPr>
          <w:rFonts w:ascii="Times New Roman" w:eastAsia="Times New Roman" w:hAnsi="Times New Roman" w:cs="Times New Roman"/>
          <w:color w:val="000000"/>
          <w:sz w:val="24"/>
          <w:szCs w:val="24"/>
        </w:rPr>
        <w:t xml:space="preserve"> dua kategori permohonan</w:t>
      </w:r>
      <w:r w:rsidR="00A82461">
        <w:rPr>
          <w:rFonts w:ascii="Times New Roman" w:eastAsia="Times New Roman" w:hAnsi="Times New Roman" w:cs="Times New Roman"/>
          <w:color w:val="000000"/>
          <w:sz w:val="24"/>
          <w:szCs w:val="24"/>
        </w:rPr>
        <w:t>. Pertama, bermula</w:t>
      </w:r>
      <w:r w:rsidRPr="00EA10E2">
        <w:rPr>
          <w:rFonts w:ascii="Times New Roman" w:eastAsia="Times New Roman" w:hAnsi="Times New Roman" w:cs="Times New Roman"/>
          <w:color w:val="000000"/>
          <w:sz w:val="24"/>
          <w:szCs w:val="24"/>
        </w:rPr>
        <w:t xml:space="preserve"> 21 Disember 202</w:t>
      </w:r>
      <w:r w:rsidR="00A82461">
        <w:rPr>
          <w:rFonts w:ascii="Times New Roman" w:eastAsia="Times New Roman" w:hAnsi="Times New Roman" w:cs="Times New Roman"/>
          <w:color w:val="000000"/>
          <w:sz w:val="24"/>
          <w:szCs w:val="24"/>
        </w:rPr>
        <w:t xml:space="preserve">0, di mana </w:t>
      </w:r>
      <w:r w:rsidRPr="00EA10E2">
        <w:rPr>
          <w:rFonts w:ascii="Times New Roman" w:eastAsia="Times New Roman" w:hAnsi="Times New Roman" w:cs="Times New Roman"/>
          <w:color w:val="000000"/>
          <w:sz w:val="24"/>
          <w:szCs w:val="24"/>
        </w:rPr>
        <w:t>melibatkan pekerja swasta yang kehilangan pekerjaan, cuti ta</w:t>
      </w:r>
      <w:r w:rsidR="00CB1E66">
        <w:rPr>
          <w:rFonts w:ascii="Times New Roman" w:eastAsia="Times New Roman" w:hAnsi="Times New Roman" w:cs="Times New Roman"/>
          <w:color w:val="000000"/>
          <w:sz w:val="24"/>
          <w:szCs w:val="24"/>
        </w:rPr>
        <w:t>npa</w:t>
      </w:r>
      <w:r w:rsidRPr="00EA10E2">
        <w:rPr>
          <w:rFonts w:ascii="Times New Roman" w:eastAsia="Times New Roman" w:hAnsi="Times New Roman" w:cs="Times New Roman"/>
          <w:color w:val="000000"/>
          <w:sz w:val="24"/>
          <w:szCs w:val="24"/>
        </w:rPr>
        <w:t xml:space="preserve"> gaji atau mengalami penurunan gaji pokok sebanyak atau melebihi 30 peratus</w:t>
      </w:r>
      <w:r w:rsidR="00A82461">
        <w:rPr>
          <w:rFonts w:ascii="Times New Roman" w:eastAsia="Times New Roman" w:hAnsi="Times New Roman" w:cs="Times New Roman"/>
          <w:color w:val="000000"/>
          <w:sz w:val="24"/>
          <w:szCs w:val="24"/>
        </w:rPr>
        <w:t>. Kedua, bermula</w:t>
      </w:r>
      <w:r w:rsidRPr="00EA10E2">
        <w:rPr>
          <w:rFonts w:ascii="Times New Roman" w:eastAsia="Times New Roman" w:hAnsi="Times New Roman" w:cs="Times New Roman"/>
          <w:color w:val="000000"/>
          <w:sz w:val="24"/>
          <w:szCs w:val="24"/>
        </w:rPr>
        <w:t xml:space="preserve"> 11 Januari 2021</w:t>
      </w:r>
      <w:r w:rsidR="005B203C">
        <w:rPr>
          <w:rFonts w:ascii="Times New Roman" w:eastAsia="Times New Roman" w:hAnsi="Times New Roman" w:cs="Times New Roman"/>
          <w:color w:val="000000"/>
          <w:sz w:val="24"/>
          <w:szCs w:val="24"/>
        </w:rPr>
        <w:t>, di mana</w:t>
      </w:r>
      <w:r w:rsidRPr="00EA10E2">
        <w:rPr>
          <w:rFonts w:ascii="Times New Roman" w:eastAsia="Times New Roman" w:hAnsi="Times New Roman" w:cs="Times New Roman"/>
          <w:color w:val="000000"/>
          <w:sz w:val="24"/>
          <w:szCs w:val="24"/>
        </w:rPr>
        <w:t xml:space="preserve"> melibatkan pekerja swasta dan tidak rasmi yang mengalami sebanyak atau pengurangan pendapatan melebihi 30 peratus yang merangkumi gaji pokok, elaun tetap, elaun tidak tetap, elaun lebih masa dan sumber pendapatan lain. Setakat 14 Ma</w:t>
      </w:r>
      <w:r w:rsidR="005B203C">
        <w:rPr>
          <w:rFonts w:ascii="Times New Roman" w:eastAsia="Times New Roman" w:hAnsi="Times New Roman" w:cs="Times New Roman"/>
          <w:color w:val="000000"/>
          <w:sz w:val="24"/>
          <w:szCs w:val="24"/>
        </w:rPr>
        <w:t>c</w:t>
      </w:r>
      <w:r w:rsidRPr="00EA10E2">
        <w:rPr>
          <w:rFonts w:ascii="Times New Roman" w:eastAsia="Times New Roman" w:hAnsi="Times New Roman" w:cs="Times New Roman"/>
          <w:color w:val="000000"/>
          <w:sz w:val="24"/>
          <w:szCs w:val="24"/>
        </w:rPr>
        <w:t xml:space="preserve"> 2021, sejumlah 5.94 juta ahli telah membuat pengeluaran pra-persaraaan skim i-Sinar, dan sebanyak RM52.48 telah diluluskan serta sebanyak RM32.74 juta telah dikreditkan dalam akaun bank ahli</w:t>
      </w:r>
      <w:r w:rsidR="00C51986">
        <w:rPr>
          <w:rStyle w:val="EndnoteReference"/>
          <w:rFonts w:ascii="Times New Roman" w:eastAsia="Times New Roman" w:hAnsi="Times New Roman" w:cs="Times New Roman"/>
          <w:color w:val="000000"/>
          <w:sz w:val="24"/>
          <w:szCs w:val="24"/>
        </w:rPr>
        <w:endnoteReference w:id="11"/>
      </w:r>
      <w:r w:rsidR="00C51986" w:rsidRPr="00EA10E2">
        <w:rPr>
          <w:rFonts w:ascii="Times New Roman" w:eastAsia="Times New Roman" w:hAnsi="Times New Roman" w:cs="Times New Roman"/>
          <w:color w:val="000000"/>
          <w:sz w:val="24"/>
          <w:szCs w:val="24"/>
        </w:rPr>
        <w:t>.</w:t>
      </w:r>
    </w:p>
    <w:p w:rsidR="00EA10E2" w:rsidRDefault="00EA10E2"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EA10E2" w:rsidRPr="005A0BAB" w:rsidRDefault="005A0BAB"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Skim </w:t>
      </w:r>
      <w:r w:rsidR="00EA10E2" w:rsidRPr="005A0BAB">
        <w:rPr>
          <w:rFonts w:ascii="Times New Roman" w:eastAsia="Times New Roman" w:hAnsi="Times New Roman" w:cs="Times New Roman"/>
          <w:i/>
          <w:color w:val="000000"/>
          <w:sz w:val="24"/>
          <w:szCs w:val="24"/>
        </w:rPr>
        <w:t>i-Citra</w:t>
      </w:r>
    </w:p>
    <w:p w:rsidR="00D6060F" w:rsidRDefault="00D6060F" w:rsidP="00D6060F">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303078" w:rsidRDefault="00EA10E2" w:rsidP="00D6060F">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EA10E2">
        <w:rPr>
          <w:rFonts w:ascii="Times New Roman" w:eastAsia="Times New Roman" w:hAnsi="Times New Roman" w:cs="Times New Roman"/>
          <w:color w:val="000000"/>
          <w:sz w:val="24"/>
          <w:szCs w:val="24"/>
        </w:rPr>
        <w:t xml:space="preserve">Selaras dengan initiatif pakej PEMULIH, pihak kerajaan pusat memutuskan untuk menyambung initiatif i-Sinar, dengan memperkenalkan skim i-Citra. Permohonan skim ini </w:t>
      </w:r>
      <w:r w:rsidR="005B203C">
        <w:rPr>
          <w:rFonts w:ascii="Times New Roman" w:eastAsia="Times New Roman" w:hAnsi="Times New Roman" w:cs="Times New Roman"/>
          <w:color w:val="000000"/>
          <w:sz w:val="24"/>
          <w:szCs w:val="24"/>
        </w:rPr>
        <w:t>dibenarkan dalam tempoh</w:t>
      </w:r>
      <w:r w:rsidRPr="00EA10E2">
        <w:rPr>
          <w:rFonts w:ascii="Times New Roman" w:eastAsia="Times New Roman" w:hAnsi="Times New Roman" w:cs="Times New Roman"/>
          <w:color w:val="000000"/>
          <w:sz w:val="24"/>
          <w:szCs w:val="24"/>
        </w:rPr>
        <w:t xml:space="preserve"> 12 Julai 2021 </w:t>
      </w:r>
      <w:r w:rsidR="000942B1">
        <w:rPr>
          <w:rFonts w:ascii="Times New Roman" w:eastAsia="Times New Roman" w:hAnsi="Times New Roman" w:cs="Times New Roman"/>
          <w:color w:val="000000"/>
          <w:sz w:val="24"/>
          <w:szCs w:val="24"/>
        </w:rPr>
        <w:t>dan</w:t>
      </w:r>
      <w:r w:rsidRPr="00EA10E2">
        <w:rPr>
          <w:rFonts w:ascii="Times New Roman" w:eastAsia="Times New Roman" w:hAnsi="Times New Roman" w:cs="Times New Roman"/>
          <w:color w:val="000000"/>
          <w:sz w:val="24"/>
          <w:szCs w:val="24"/>
        </w:rPr>
        <w:t xml:space="preserve"> 30 September 2021. Jumlah amaun yang boleh dikeluarkan maximum sebanyak RM5,000 melalui bayaran bulanan sehingga lima bulan. Syarat pengeluaran skim ini ialah mempunyai jumlah sekuran-kurangnya RM150 dalam akaun skim KWSP pada tarikh permohonan</w:t>
      </w:r>
    </w:p>
    <w:p w:rsidR="00303078" w:rsidRDefault="0016729F"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BE0043" w:rsidRDefault="00BE0043"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rsidR="001C6DC5" w:rsidRPr="00087940" w:rsidRDefault="001C6DC5" w:rsidP="00C51986">
      <w:pPr>
        <w:spacing w:after="0" w:line="240" w:lineRule="auto"/>
        <w:ind w:leftChars="0" w:left="2" w:hanging="2"/>
        <w:rPr>
          <w:rFonts w:ascii="Times New Roman" w:eastAsia="Times New Roman" w:hAnsi="Times New Roman" w:cs="Times New Roman"/>
          <w:sz w:val="24"/>
          <w:szCs w:val="24"/>
          <w:lang w:val="fi-FI"/>
        </w:rPr>
      </w:pPr>
      <w:r w:rsidRPr="00087940">
        <w:rPr>
          <w:rFonts w:ascii="Times New Roman" w:eastAsia="Times New Roman" w:hAnsi="Times New Roman" w:cs="Times New Roman"/>
          <w:b/>
          <w:sz w:val="24"/>
          <w:szCs w:val="24"/>
          <w:lang w:val="fi-FI"/>
        </w:rPr>
        <w:t>Tingkah laku kewangan dalam pemilihan pengeluaran pra-persaraan: Aplikasi teori</w:t>
      </w:r>
    </w:p>
    <w:p w:rsidR="00BE0043" w:rsidRDefault="00BE0043" w:rsidP="00BE0043">
      <w:pPr>
        <w:spacing w:after="0" w:line="240" w:lineRule="auto"/>
        <w:ind w:leftChars="0" w:left="0" w:firstLineChars="0" w:firstLine="0"/>
        <w:jc w:val="both"/>
        <w:rPr>
          <w:rFonts w:ascii="Times New Roman" w:eastAsia="Times New Roman" w:hAnsi="Times New Roman" w:cs="Times New Roman"/>
          <w:sz w:val="24"/>
          <w:szCs w:val="24"/>
          <w:lang w:val="fi-FI"/>
        </w:rPr>
      </w:pPr>
    </w:p>
    <w:p w:rsidR="00D63CF3" w:rsidRPr="00087940" w:rsidRDefault="00167CC7" w:rsidP="00BE0043">
      <w:pPr>
        <w:spacing w:after="0" w:line="240" w:lineRule="auto"/>
        <w:ind w:leftChars="0" w:left="0" w:firstLineChars="0" w:firstLine="0"/>
        <w:jc w:val="both"/>
        <w:rPr>
          <w:rFonts w:ascii="Times New Roman" w:eastAsia="Times New Roman" w:hAnsi="Times New Roman" w:cs="Times New Roman"/>
          <w:sz w:val="24"/>
          <w:szCs w:val="24"/>
          <w:lang w:val="fi-FI"/>
        </w:rPr>
      </w:pPr>
      <w:r w:rsidRPr="00087940">
        <w:rPr>
          <w:rFonts w:ascii="Times New Roman" w:eastAsia="Times New Roman" w:hAnsi="Times New Roman" w:cs="Times New Roman"/>
          <w:color w:val="000000"/>
          <w:sz w:val="24"/>
          <w:szCs w:val="24"/>
          <w:lang w:val="fi-FI"/>
        </w:rPr>
        <w:t xml:space="preserve">Seksyen ini membincangkan teori dan aplikasi tingkah laku kewangan yang berkaitan semasa pandemik COVID-19. </w:t>
      </w:r>
      <w:r w:rsidR="001C6DC5" w:rsidRPr="00087940">
        <w:rPr>
          <w:rFonts w:ascii="Times New Roman" w:eastAsia="Times New Roman" w:hAnsi="Times New Roman" w:cs="Times New Roman"/>
          <w:sz w:val="24"/>
          <w:szCs w:val="24"/>
          <w:lang w:val="fi-FI"/>
        </w:rPr>
        <w:t xml:space="preserve">Sewaktu krisis pandemik COVID-19, terbuktinya </w:t>
      </w:r>
      <w:r w:rsidR="00D63CF3" w:rsidRPr="00087940">
        <w:rPr>
          <w:rFonts w:ascii="Times New Roman" w:eastAsia="Times New Roman" w:hAnsi="Times New Roman" w:cs="Times New Roman"/>
          <w:sz w:val="24"/>
          <w:szCs w:val="24"/>
          <w:lang w:val="fi-FI"/>
        </w:rPr>
        <w:t xml:space="preserve">signifikasi </w:t>
      </w:r>
      <w:r w:rsidR="001C6DC5" w:rsidRPr="00087940">
        <w:rPr>
          <w:rFonts w:ascii="Times New Roman" w:eastAsia="Times New Roman" w:hAnsi="Times New Roman" w:cs="Times New Roman"/>
          <w:sz w:val="24"/>
          <w:szCs w:val="24"/>
          <w:lang w:val="fi-FI"/>
        </w:rPr>
        <w:t>aplikasi tingkah laku kewangan individual. Teori TJU mendapati individu adalah rasional,</w:t>
      </w:r>
      <w:r w:rsidR="00D63CF3" w:rsidRPr="00087940">
        <w:rPr>
          <w:rFonts w:ascii="Times New Roman" w:eastAsia="Times New Roman" w:hAnsi="Times New Roman" w:cs="Times New Roman"/>
          <w:sz w:val="24"/>
          <w:szCs w:val="24"/>
          <w:lang w:val="fi-FI"/>
        </w:rPr>
        <w:t xml:space="preserve"> di mana</w:t>
      </w:r>
      <w:r w:rsidR="001C6DC5" w:rsidRPr="00087940">
        <w:rPr>
          <w:rFonts w:ascii="Times New Roman" w:eastAsia="Times New Roman" w:hAnsi="Times New Roman" w:cs="Times New Roman"/>
          <w:sz w:val="24"/>
          <w:szCs w:val="24"/>
          <w:lang w:val="fi-FI"/>
        </w:rPr>
        <w:t xml:space="preserve"> individu didapati membuat pemilihan yang rasional dengan memilih kadar pulangan pelaburan yang lebih tinggi. Teori TP</w:t>
      </w:r>
      <w:r w:rsidR="00D63CF3" w:rsidRPr="00087940">
        <w:rPr>
          <w:rFonts w:ascii="Times New Roman" w:eastAsia="Times New Roman" w:hAnsi="Times New Roman" w:cs="Times New Roman"/>
          <w:sz w:val="24"/>
          <w:szCs w:val="24"/>
          <w:lang w:val="fi-FI"/>
        </w:rPr>
        <w:t xml:space="preserve"> pula</w:t>
      </w:r>
      <w:r w:rsidR="001C6DC5" w:rsidRPr="00087940">
        <w:rPr>
          <w:rFonts w:ascii="Times New Roman" w:eastAsia="Times New Roman" w:hAnsi="Times New Roman" w:cs="Times New Roman"/>
          <w:sz w:val="24"/>
          <w:szCs w:val="24"/>
          <w:lang w:val="fi-FI"/>
        </w:rPr>
        <w:t xml:space="preserve"> mencadangkan pilihan alternatif, di mana bergantung </w:t>
      </w:r>
      <w:r w:rsidR="00D63CF3" w:rsidRPr="00087940">
        <w:rPr>
          <w:rFonts w:ascii="Times New Roman" w:eastAsia="Times New Roman" w:hAnsi="Times New Roman" w:cs="Times New Roman"/>
          <w:sz w:val="24"/>
          <w:szCs w:val="24"/>
          <w:lang w:val="fi-FI"/>
        </w:rPr>
        <w:t>ke</w:t>
      </w:r>
      <w:r w:rsidR="001C6DC5" w:rsidRPr="00087940">
        <w:rPr>
          <w:rFonts w:ascii="Times New Roman" w:eastAsia="Times New Roman" w:hAnsi="Times New Roman" w:cs="Times New Roman"/>
          <w:sz w:val="24"/>
          <w:szCs w:val="24"/>
          <w:lang w:val="fi-FI"/>
        </w:rPr>
        <w:t xml:space="preserve">pada situasi semasa dan risiko. Jika berada di situasi ‘untung’, individu cenderung kadar pulangan pelaburan lebih rendah iaitu risiko yang lebih rendah. Justeru itu, kedua-dua teori TJU dan TP digunakan untuk menerangkan fenomena pengeluaran pra-persaraan sewaktu pandemik COVID-19 (Rajah </w:t>
      </w:r>
      <w:r w:rsidR="00D63CF3" w:rsidRPr="00087940">
        <w:rPr>
          <w:rFonts w:ascii="Times New Roman" w:eastAsia="Times New Roman" w:hAnsi="Times New Roman" w:cs="Times New Roman"/>
          <w:sz w:val="24"/>
          <w:szCs w:val="24"/>
          <w:lang w:val="fi-FI"/>
        </w:rPr>
        <w:t>3</w:t>
      </w:r>
      <w:r w:rsidR="001C6DC5" w:rsidRPr="00087940">
        <w:rPr>
          <w:rFonts w:ascii="Times New Roman" w:eastAsia="Times New Roman" w:hAnsi="Times New Roman" w:cs="Times New Roman"/>
          <w:sz w:val="24"/>
          <w:szCs w:val="24"/>
          <w:lang w:val="fi-FI"/>
        </w:rPr>
        <w:t xml:space="preserve">). </w:t>
      </w:r>
    </w:p>
    <w:p w:rsidR="001C6DC5" w:rsidRDefault="001C6DC5" w:rsidP="00C51986">
      <w:pPr>
        <w:spacing w:after="0" w:line="240" w:lineRule="auto"/>
        <w:ind w:leftChars="0" w:left="0" w:firstLineChars="0" w:firstLine="0"/>
        <w:jc w:val="both"/>
        <w:rPr>
          <w:rFonts w:ascii="Times New Roman" w:eastAsia="Times New Roman" w:hAnsi="Times New Roman" w:cs="Times New Roman"/>
          <w:sz w:val="24"/>
          <w:szCs w:val="24"/>
        </w:rPr>
      </w:pPr>
    </w:p>
    <w:p w:rsidR="001C6DC5" w:rsidRDefault="00F16471" w:rsidP="00C51986">
      <w:pPr>
        <w:spacing w:after="0" w:line="240" w:lineRule="auto"/>
        <w:ind w:leftChars="0" w:left="2" w:hanging="2"/>
        <w:jc w:val="both"/>
        <w:rPr>
          <w:rFonts w:ascii="Times New Roman" w:eastAsia="Times New Roman" w:hAnsi="Times New Roman" w:cs="Times New Roman"/>
          <w:sz w:val="24"/>
          <w:szCs w:val="24"/>
        </w:rPr>
      </w:pPr>
      <w:r>
        <w:rPr>
          <w:noProof/>
          <w:lang w:val="en-MY" w:eastAsia="en-MY"/>
        </w:rPr>
        <w:lastRenderedPageBreak/>
        <mc:AlternateContent>
          <mc:Choice Requires="wpc">
            <w:drawing>
              <wp:inline distT="0" distB="0" distL="0" distR="0">
                <wp:extent cx="5953760" cy="2188210"/>
                <wp:effectExtent l="0" t="0" r="8890" b="745490"/>
                <wp:docPr id="59" name="Canvas 2"/>
                <wp:cNvGraphicFramePr>
                  <a:graphicFrameLocks xmlns:a="http://schemas.openxmlformats.org/drawingml/2006/main"/>
                </wp:cNvGraphicFramePr>
                <a:graphic xmlns:a="http://schemas.openxmlformats.org/drawingml/2006/main">
                  <a:graphicData uri="http://schemas.microsoft.com/office/word/2010/wordprocessingCanvas">
                    <wpc:wpc>
                      <wpc:bg/>
                      <wpc:whole>
                        <a:ln>
                          <a:solidFill>
                            <a:schemeClr val="tx1"/>
                          </a:solidFill>
                        </a:ln>
                      </wpc:whole>
                      <wps:wsp>
                        <wps:cNvPr id="12" name="Text Box 12"/>
                        <wps:cNvSpPr txBox="1"/>
                        <wps:spPr>
                          <a:xfrm>
                            <a:off x="467831" y="1116419"/>
                            <a:ext cx="2105247" cy="882502"/>
                          </a:xfrm>
                          <a:prstGeom prst="rect">
                            <a:avLst/>
                          </a:prstGeom>
                          <a:solidFill>
                            <a:sysClr val="window" lastClr="FFFFFF"/>
                          </a:solidFill>
                          <a:ln w="6350">
                            <a:solidFill>
                              <a:prstClr val="black"/>
                            </a:solidFill>
                          </a:ln>
                        </wps:spPr>
                        <wps:txbx>
                          <w:txbxContent>
                            <w:p w:rsidR="001C6DC5" w:rsidRPr="00087940" w:rsidRDefault="001C6DC5" w:rsidP="001C6DC5">
                              <w:pPr>
                                <w:spacing w:after="0" w:line="240" w:lineRule="auto"/>
                                <w:ind w:left="0" w:hanging="2"/>
                                <w:jc w:val="center"/>
                                <w:rPr>
                                  <w:rFonts w:ascii="Times New Roman" w:hAnsi="Times New Roman" w:cs="Times New Roman"/>
                                  <w:b/>
                                  <w:sz w:val="20"/>
                                  <w:szCs w:val="20"/>
                                  <w:lang w:val="fi-FI"/>
                                </w:rPr>
                              </w:pPr>
                              <w:r w:rsidRPr="00087940">
                                <w:rPr>
                                  <w:rFonts w:ascii="Times New Roman" w:hAnsi="Times New Roman" w:cs="Times New Roman"/>
                                  <w:b/>
                                  <w:sz w:val="20"/>
                                  <w:szCs w:val="20"/>
                                  <w:lang w:val="fi-FI"/>
                                </w:rPr>
                                <w:t>Kebenaran membuat pengeluaran pra- persaraan skim KWSP semasa pandemik COVID-19</w:t>
                              </w:r>
                            </w:p>
                            <w:p w:rsidR="001C6DC5" w:rsidRPr="00087940" w:rsidRDefault="001C6DC5" w:rsidP="001C6DC5">
                              <w:pPr>
                                <w:spacing w:after="0" w:line="240" w:lineRule="auto"/>
                                <w:ind w:left="0" w:hanging="2"/>
                                <w:jc w:val="center"/>
                                <w:rPr>
                                  <w:rFonts w:ascii="Times New Roman" w:hAnsi="Times New Roman" w:cs="Times New Roman"/>
                                  <w:sz w:val="20"/>
                                  <w:szCs w:val="20"/>
                                  <w:lang w:val="fi-FI"/>
                                </w:rPr>
                              </w:pPr>
                            </w:p>
                            <w:p w:rsidR="001C6DC5" w:rsidRPr="00B940C5" w:rsidRDefault="001C6DC5" w:rsidP="001C6DC5">
                              <w:pPr>
                                <w:spacing w:after="0" w:line="240" w:lineRule="auto"/>
                                <w:ind w:left="0" w:hanging="2"/>
                                <w:jc w:val="center"/>
                                <w:rPr>
                                  <w:rFonts w:ascii="Times New Roman" w:hAnsi="Times New Roman" w:cs="Times New Roman"/>
                                  <w:sz w:val="20"/>
                                  <w:szCs w:val="20"/>
                                </w:rPr>
                              </w:pPr>
                              <w:r w:rsidRPr="00B940C5">
                                <w:rPr>
                                  <w:rFonts w:ascii="Times New Roman" w:hAnsi="Times New Roman" w:cs="Times New Roman"/>
                                  <w:sz w:val="20"/>
                                  <w:szCs w:val="20"/>
                                </w:rPr>
                                <w:t>Situasi ‘untung’ (Teori Prospek)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12"/>
                        <wps:cNvSpPr txBox="1"/>
                        <wps:spPr>
                          <a:xfrm>
                            <a:off x="3231545" y="211897"/>
                            <a:ext cx="2105025" cy="882015"/>
                          </a:xfrm>
                          <a:prstGeom prst="rect">
                            <a:avLst/>
                          </a:prstGeom>
                          <a:solidFill>
                            <a:sysClr val="window" lastClr="FFFFFF"/>
                          </a:solidFill>
                          <a:ln w="6350">
                            <a:solidFill>
                              <a:prstClr val="black"/>
                            </a:solidFill>
                          </a:ln>
                        </wps:spPr>
                        <wps:txbx>
                          <w:txbxContent>
                            <w:p w:rsidR="001C6DC5" w:rsidRPr="00C51986" w:rsidRDefault="001C6DC5" w:rsidP="001C6DC5">
                              <w:pPr>
                                <w:spacing w:after="0" w:line="240" w:lineRule="auto"/>
                                <w:ind w:left="0" w:right="370" w:hanging="2"/>
                                <w:jc w:val="center"/>
                                <w:rPr>
                                  <w:rFonts w:ascii="Times New Roman" w:eastAsia="Times New Roman" w:hAnsi="Times New Roman" w:cs="Times New Roman"/>
                                  <w:b/>
                                  <w:color w:val="000000"/>
                                  <w:sz w:val="20"/>
                                  <w:szCs w:val="20"/>
                                  <w:lang w:val="fi-FI"/>
                                </w:rPr>
                              </w:pPr>
                              <w:r w:rsidRPr="00C51986">
                                <w:rPr>
                                  <w:rFonts w:ascii="Times New Roman" w:eastAsia="Times New Roman" w:hAnsi="Times New Roman" w:cs="Times New Roman"/>
                                  <w:b/>
                                  <w:color w:val="000000"/>
                                  <w:sz w:val="20"/>
                                  <w:szCs w:val="20"/>
                                  <w:lang w:val="fi-FI"/>
                                </w:rPr>
                                <w:t>Pengeluaran pra-persaraan</w:t>
                              </w:r>
                            </w:p>
                            <w:p w:rsidR="001C6DC5" w:rsidRPr="00C51986" w:rsidRDefault="001C6DC5" w:rsidP="001C6DC5">
                              <w:pPr>
                                <w:spacing w:after="0" w:line="240" w:lineRule="auto"/>
                                <w:ind w:left="0" w:right="370" w:hanging="2"/>
                                <w:jc w:val="center"/>
                                <w:rPr>
                                  <w:rFonts w:ascii="Times New Roman" w:hAnsi="Times New Roman" w:cs="Times New Roman"/>
                                  <w:sz w:val="20"/>
                                  <w:szCs w:val="20"/>
                                  <w:lang w:val="fi-FI"/>
                                </w:rPr>
                              </w:pPr>
                            </w:p>
                            <w:p w:rsidR="001C6DC5" w:rsidRPr="00C51986" w:rsidRDefault="001C6DC5" w:rsidP="001C6DC5">
                              <w:pPr>
                                <w:spacing w:after="0" w:line="240" w:lineRule="auto"/>
                                <w:ind w:left="0" w:right="370" w:hanging="2"/>
                                <w:jc w:val="center"/>
                                <w:rPr>
                                  <w:rFonts w:ascii="Times New Roman" w:eastAsia="Times New Roman" w:hAnsi="Times New Roman" w:cs="Times New Roman"/>
                                  <w:color w:val="000000"/>
                                  <w:sz w:val="20"/>
                                  <w:szCs w:val="20"/>
                                  <w:lang w:val="fi-FI"/>
                                </w:rPr>
                              </w:pPr>
                              <w:r w:rsidRPr="00C51986">
                                <w:rPr>
                                  <w:rFonts w:ascii="Times New Roman" w:eastAsia="Times New Roman" w:hAnsi="Times New Roman" w:cs="Times New Roman"/>
                                  <w:color w:val="000000"/>
                                  <w:sz w:val="20"/>
                                  <w:szCs w:val="20"/>
                                  <w:lang w:val="fi-FI"/>
                                </w:rPr>
                                <w:t xml:space="preserve">(cenderung risiko tinggi) </w:t>
                              </w:r>
                            </w:p>
                            <w:p w:rsidR="001C6DC5" w:rsidRPr="00C51986" w:rsidRDefault="001C6DC5" w:rsidP="001C6DC5">
                              <w:pPr>
                                <w:spacing w:after="0" w:line="240" w:lineRule="auto"/>
                                <w:ind w:left="0" w:right="370" w:hanging="2"/>
                                <w:jc w:val="center"/>
                                <w:rPr>
                                  <w:rFonts w:ascii="Times New Roman" w:hAnsi="Times New Roman" w:cs="Times New Roman"/>
                                  <w:sz w:val="20"/>
                                  <w:szCs w:val="20"/>
                                </w:rPr>
                              </w:pPr>
                              <w:r w:rsidRPr="00C51986">
                                <w:rPr>
                                  <w:rFonts w:ascii="Times New Roman" w:eastAsia="Times New Roman" w:hAnsi="Times New Roman" w:cs="Times New Roman"/>
                                  <w:color w:val="000000"/>
                                  <w:sz w:val="20"/>
                                  <w:szCs w:val="20"/>
                                </w:rPr>
                                <w:t>(Teori Jangkaan-Utiliti)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Text Box 12"/>
                        <wps:cNvSpPr txBox="1"/>
                        <wps:spPr>
                          <a:xfrm>
                            <a:off x="3231545" y="2051330"/>
                            <a:ext cx="2105025" cy="882015"/>
                          </a:xfrm>
                          <a:prstGeom prst="rect">
                            <a:avLst/>
                          </a:prstGeom>
                          <a:solidFill>
                            <a:sysClr val="window" lastClr="FFFFFF"/>
                          </a:solidFill>
                          <a:ln w="6350">
                            <a:solidFill>
                              <a:prstClr val="black"/>
                            </a:solidFill>
                          </a:ln>
                        </wps:spPr>
                        <wps:txbx>
                          <w:txbxContent>
                            <w:p w:rsidR="001C6DC5" w:rsidRPr="0021790A" w:rsidRDefault="001C6DC5" w:rsidP="001C6DC5">
                              <w:pPr>
                                <w:spacing w:after="0" w:line="240" w:lineRule="auto"/>
                                <w:ind w:left="0" w:right="370" w:hanging="2"/>
                                <w:jc w:val="center"/>
                                <w:rPr>
                                  <w:rFonts w:ascii="Times New Roman" w:eastAsia="Times New Roman" w:hAnsi="Times New Roman" w:cs="Times New Roman"/>
                                  <w:b/>
                                  <w:color w:val="000000"/>
                                  <w:sz w:val="20"/>
                                </w:rPr>
                              </w:pPr>
                              <w:r w:rsidRPr="0021790A">
                                <w:rPr>
                                  <w:rFonts w:ascii="Times New Roman" w:eastAsia="Times New Roman" w:hAnsi="Times New Roman" w:cs="Times New Roman"/>
                                  <w:b/>
                                  <w:color w:val="000000"/>
                                  <w:sz w:val="20"/>
                                </w:rPr>
                                <w:t>Terus kekal skim KWSP</w:t>
                              </w:r>
                            </w:p>
                            <w:p w:rsidR="001C6DC5" w:rsidRPr="00C51986" w:rsidRDefault="001C6DC5" w:rsidP="001C6DC5">
                              <w:pPr>
                                <w:spacing w:after="0" w:line="240" w:lineRule="auto"/>
                                <w:ind w:left="0" w:right="370" w:hanging="2"/>
                                <w:jc w:val="center"/>
                                <w:rPr>
                                  <w:rFonts w:ascii="Times New Roman" w:hAnsi="Times New Roman" w:cs="Times New Roman"/>
                                  <w:sz w:val="20"/>
                                  <w:szCs w:val="20"/>
                                </w:rPr>
                              </w:pPr>
                            </w:p>
                            <w:p w:rsidR="001C6DC5" w:rsidRPr="0021790A" w:rsidRDefault="001C6DC5" w:rsidP="001C6DC5">
                              <w:pPr>
                                <w:spacing w:after="0" w:line="240" w:lineRule="auto"/>
                                <w:ind w:left="0" w:right="370" w:hanging="2"/>
                                <w:jc w:val="center"/>
                                <w:rPr>
                                  <w:rFonts w:ascii="Times New Roman" w:eastAsia="Times New Roman" w:hAnsi="Times New Roman" w:cs="Times New Roman"/>
                                  <w:color w:val="000000"/>
                                  <w:sz w:val="20"/>
                                </w:rPr>
                              </w:pPr>
                              <w:r w:rsidRPr="0021790A">
                                <w:rPr>
                                  <w:rFonts w:ascii="Times New Roman" w:eastAsia="Times New Roman" w:hAnsi="Times New Roman" w:cs="Times New Roman"/>
                                  <w:color w:val="000000"/>
                                  <w:sz w:val="20"/>
                                </w:rPr>
                                <w:t xml:space="preserve">(cenderung risiko rendah) </w:t>
                              </w:r>
                            </w:p>
                            <w:p w:rsidR="001C6DC5" w:rsidRPr="0021790A" w:rsidRDefault="001C6DC5" w:rsidP="001C6DC5">
                              <w:pPr>
                                <w:spacing w:after="0" w:line="240" w:lineRule="auto"/>
                                <w:ind w:left="0" w:right="370" w:hanging="2"/>
                                <w:jc w:val="center"/>
                                <w:rPr>
                                  <w:rFonts w:ascii="Times New Roman" w:hAnsi="Times New Roman" w:cs="Times New Roman"/>
                                </w:rPr>
                              </w:pPr>
                              <w:r w:rsidRPr="0021790A">
                                <w:rPr>
                                  <w:rFonts w:ascii="Times New Roman" w:eastAsia="Times New Roman" w:hAnsi="Times New Roman" w:cs="Times New Roman"/>
                                  <w:color w:val="000000"/>
                                  <w:sz w:val="20"/>
                                </w:rPr>
                                <w:t>(Teori Prospek)</w:t>
                              </w:r>
                            </w:p>
                            <w:p w:rsidR="001C6DC5" w:rsidRPr="0021790A" w:rsidRDefault="001C6DC5" w:rsidP="001C6DC5">
                              <w:pPr>
                                <w:pStyle w:val="NormalWeb"/>
                                <w:spacing w:before="0" w:beforeAutospacing="0" w:after="0" w:afterAutospacing="0" w:line="276" w:lineRule="auto"/>
                                <w:ind w:right="374"/>
                              </w:pPr>
                            </w:p>
                            <w:p w:rsidR="001C6DC5" w:rsidRDefault="001C6DC5" w:rsidP="001C6DC5">
                              <w:pPr>
                                <w:ind w:left="0" w:hanging="2"/>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Straight Arrow Connector 17"/>
                        <wps:cNvCnPr>
                          <a:stCxn id="12" idx="3"/>
                          <a:endCxn id="27" idx="1"/>
                        </wps:cNvCnPr>
                        <wps:spPr>
                          <a:xfrm flipV="1">
                            <a:off x="2573078" y="652905"/>
                            <a:ext cx="658467" cy="90476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wps:wsp>
                        <wps:cNvPr id="29" name="Straight Arrow Connector 29"/>
                        <wps:cNvCnPr>
                          <a:stCxn id="12" idx="3"/>
                          <a:endCxn id="28" idx="1"/>
                        </wps:cNvCnPr>
                        <wps:spPr>
                          <a:xfrm>
                            <a:off x="2573078" y="1557670"/>
                            <a:ext cx="658467" cy="934668"/>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wpc:wpc>
                  </a:graphicData>
                </a:graphic>
              </wp:inline>
            </w:drawing>
          </mc:Choice>
          <mc:Fallback>
            <w:pict>
              <v:group id="_x0000_s1045" editas="canvas" style="width:468.8pt;height:172.3pt;mso-position-horizontal-relative:char;mso-position-vertical-relative:line" coordsize="59537,2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">
                <v:shape id="_x0000_s1046" type="#_x0000_t75" style="position:absolute;width:59537;height:21882;visibility:visible;mso-wrap-style:square" stroked="t" strokecolor="black [3213]">
                  <v:fill o:detectmouseclick="t"/>
                  <v:path o:connecttype="none"/>
                </v:shape>
                <v:shape id="Text Box 12" o:spid="_x0000_s1047" type="#_x0000_t202" style="position:absolute;left:4678;top:11164;width:21052;height:8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" fillcolor="window" strokeweight=".5pt">
                  <v:textbox>
                    <w:txbxContent>
                      <w:p w:rsidR="001C6DC5" w:rsidRPr="00087940" w:rsidRDefault="001C6DC5" w:rsidP="001C6DC5">
                        <w:pPr>
                          <w:spacing w:after="0" w:line="240" w:lineRule="auto"/>
                          <w:ind w:left="0" w:hanging="2"/>
                          <w:jc w:val="center"/>
                          <w:rPr>
                            <w:rFonts w:ascii="Times New Roman" w:hAnsi="Times New Roman" w:cs="Times New Roman"/>
                            <w:b/>
                            <w:sz w:val="20"/>
                            <w:szCs w:val="20"/>
                            <w:lang w:val="fi-FI"/>
                          </w:rPr>
                        </w:pPr>
                        <w:r w:rsidRPr="00087940">
                          <w:rPr>
                            <w:rFonts w:ascii="Times New Roman" w:hAnsi="Times New Roman" w:cs="Times New Roman"/>
                            <w:b/>
                            <w:sz w:val="20"/>
                            <w:szCs w:val="20"/>
                            <w:lang w:val="fi-FI"/>
                          </w:rPr>
                          <w:t>Kebenaran membuat pengeluaran pra- persaraan skim KWSP semasa pandemik COVID-19</w:t>
                        </w:r>
                      </w:p>
                      <w:p w:rsidR="001C6DC5" w:rsidRPr="00087940" w:rsidRDefault="001C6DC5" w:rsidP="001C6DC5">
                        <w:pPr>
                          <w:spacing w:after="0" w:line="240" w:lineRule="auto"/>
                          <w:ind w:left="0" w:hanging="2"/>
                          <w:jc w:val="center"/>
                          <w:rPr>
                            <w:rFonts w:ascii="Times New Roman" w:hAnsi="Times New Roman" w:cs="Times New Roman"/>
                            <w:sz w:val="20"/>
                            <w:szCs w:val="20"/>
                            <w:lang w:val="fi-FI"/>
                          </w:rPr>
                        </w:pPr>
                      </w:p>
                      <w:p w:rsidR="001C6DC5" w:rsidRPr="00B940C5" w:rsidRDefault="001C6DC5" w:rsidP="001C6DC5">
                        <w:pPr>
                          <w:spacing w:after="0" w:line="240" w:lineRule="auto"/>
                          <w:ind w:left="0" w:hanging="2"/>
                          <w:jc w:val="center"/>
                          <w:rPr>
                            <w:rFonts w:ascii="Times New Roman" w:hAnsi="Times New Roman" w:cs="Times New Roman"/>
                            <w:sz w:val="20"/>
                            <w:szCs w:val="20"/>
                          </w:rPr>
                        </w:pPr>
                        <w:r w:rsidRPr="00B940C5">
                          <w:rPr>
                            <w:rFonts w:ascii="Times New Roman" w:hAnsi="Times New Roman" w:cs="Times New Roman"/>
                            <w:sz w:val="20"/>
                            <w:szCs w:val="20"/>
                          </w:rPr>
                          <w:t>Situasi ‘untung’ (Teori Prospek)</w:t>
                        </w:r>
                      </w:p>
                    </w:txbxContent>
                  </v:textbox>
                </v:shape>
                <v:shape id="Text Box 12" o:spid="_x0000_s1048" type="#_x0000_t202" style="position:absolute;left:32315;top:2118;width:21050;height:8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" fillcolor="window" strokeweight=".5pt">
                  <v:textbox>
                    <w:txbxContent>
                      <w:p w:rsidR="001C6DC5" w:rsidRPr="00C51986" w:rsidRDefault="001C6DC5" w:rsidP="001C6DC5">
                        <w:pPr>
                          <w:spacing w:after="0" w:line="240" w:lineRule="auto"/>
                          <w:ind w:left="0" w:right="370" w:hanging="2"/>
                          <w:jc w:val="center"/>
                          <w:rPr>
                            <w:rFonts w:ascii="Times New Roman" w:eastAsia="Times New Roman" w:hAnsi="Times New Roman" w:cs="Times New Roman"/>
                            <w:b/>
                            <w:color w:val="000000"/>
                            <w:sz w:val="20"/>
                            <w:szCs w:val="20"/>
                            <w:lang w:val="fi-FI"/>
                          </w:rPr>
                        </w:pPr>
                        <w:r w:rsidRPr="00C51986">
                          <w:rPr>
                            <w:rFonts w:ascii="Times New Roman" w:eastAsia="Times New Roman" w:hAnsi="Times New Roman" w:cs="Times New Roman"/>
                            <w:b/>
                            <w:color w:val="000000"/>
                            <w:sz w:val="20"/>
                            <w:szCs w:val="20"/>
                            <w:lang w:val="fi-FI"/>
                          </w:rPr>
                          <w:t>Pengeluaran pra-persaraan</w:t>
                        </w:r>
                      </w:p>
                      <w:p w:rsidR="001C6DC5" w:rsidRPr="00C51986" w:rsidRDefault="001C6DC5" w:rsidP="001C6DC5">
                        <w:pPr>
                          <w:spacing w:after="0" w:line="240" w:lineRule="auto"/>
                          <w:ind w:left="0" w:right="370" w:hanging="2"/>
                          <w:jc w:val="center"/>
                          <w:rPr>
                            <w:rFonts w:ascii="Times New Roman" w:hAnsi="Times New Roman" w:cs="Times New Roman"/>
                            <w:sz w:val="20"/>
                            <w:szCs w:val="20"/>
                            <w:lang w:val="fi-FI"/>
                          </w:rPr>
                        </w:pPr>
                      </w:p>
                      <w:p w:rsidR="001C6DC5" w:rsidRPr="00C51986" w:rsidRDefault="001C6DC5" w:rsidP="001C6DC5">
                        <w:pPr>
                          <w:spacing w:after="0" w:line="240" w:lineRule="auto"/>
                          <w:ind w:left="0" w:right="370" w:hanging="2"/>
                          <w:jc w:val="center"/>
                          <w:rPr>
                            <w:rFonts w:ascii="Times New Roman" w:eastAsia="Times New Roman" w:hAnsi="Times New Roman" w:cs="Times New Roman"/>
                            <w:color w:val="000000"/>
                            <w:sz w:val="20"/>
                            <w:szCs w:val="20"/>
                            <w:lang w:val="fi-FI"/>
                          </w:rPr>
                        </w:pPr>
                        <w:r w:rsidRPr="00C51986">
                          <w:rPr>
                            <w:rFonts w:ascii="Times New Roman" w:eastAsia="Times New Roman" w:hAnsi="Times New Roman" w:cs="Times New Roman"/>
                            <w:color w:val="000000"/>
                            <w:sz w:val="20"/>
                            <w:szCs w:val="20"/>
                            <w:lang w:val="fi-FI"/>
                          </w:rPr>
                          <w:t xml:space="preserve">(cenderung risiko tinggi) </w:t>
                        </w:r>
                      </w:p>
                      <w:p w:rsidR="001C6DC5" w:rsidRPr="00C51986" w:rsidRDefault="001C6DC5" w:rsidP="001C6DC5">
                        <w:pPr>
                          <w:spacing w:after="0" w:line="240" w:lineRule="auto"/>
                          <w:ind w:left="0" w:right="370" w:hanging="2"/>
                          <w:jc w:val="center"/>
                          <w:rPr>
                            <w:rFonts w:ascii="Times New Roman" w:hAnsi="Times New Roman" w:cs="Times New Roman"/>
                            <w:sz w:val="20"/>
                            <w:szCs w:val="20"/>
                          </w:rPr>
                        </w:pPr>
                        <w:r w:rsidRPr="00C51986">
                          <w:rPr>
                            <w:rFonts w:ascii="Times New Roman" w:eastAsia="Times New Roman" w:hAnsi="Times New Roman" w:cs="Times New Roman"/>
                            <w:color w:val="000000"/>
                            <w:sz w:val="20"/>
                            <w:szCs w:val="20"/>
                          </w:rPr>
                          <w:t>(Teori Jangkaan-Utiliti)</w:t>
                        </w:r>
                      </w:p>
                    </w:txbxContent>
                  </v:textbox>
                </v:shape>
                <v:shape id="Text Box 12" o:spid="_x0000_s1049" type="#_x0000_t202" style="position:absolute;left:32315;top:20513;width:21050;height:8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" fillcolor="window" strokeweight=".5pt">
                  <v:textbox>
                    <w:txbxContent>
                      <w:p w:rsidR="001C6DC5" w:rsidRPr="0021790A" w:rsidRDefault="001C6DC5" w:rsidP="001C6DC5">
                        <w:pPr>
                          <w:spacing w:after="0" w:line="240" w:lineRule="auto"/>
                          <w:ind w:left="0" w:right="370" w:hanging="2"/>
                          <w:jc w:val="center"/>
                          <w:rPr>
                            <w:rFonts w:ascii="Times New Roman" w:eastAsia="Times New Roman" w:hAnsi="Times New Roman" w:cs="Times New Roman"/>
                            <w:b/>
                            <w:color w:val="000000"/>
                            <w:sz w:val="20"/>
                          </w:rPr>
                        </w:pPr>
                        <w:r w:rsidRPr="0021790A">
                          <w:rPr>
                            <w:rFonts w:ascii="Times New Roman" w:eastAsia="Times New Roman" w:hAnsi="Times New Roman" w:cs="Times New Roman"/>
                            <w:b/>
                            <w:color w:val="000000"/>
                            <w:sz w:val="20"/>
                          </w:rPr>
                          <w:t>Terus kekal skim KWSP</w:t>
                        </w:r>
                      </w:p>
                      <w:p w:rsidR="001C6DC5" w:rsidRPr="00C51986" w:rsidRDefault="001C6DC5" w:rsidP="001C6DC5">
                        <w:pPr>
                          <w:spacing w:after="0" w:line="240" w:lineRule="auto"/>
                          <w:ind w:left="0" w:right="370" w:hanging="2"/>
                          <w:jc w:val="center"/>
                          <w:rPr>
                            <w:rFonts w:ascii="Times New Roman" w:hAnsi="Times New Roman" w:cs="Times New Roman"/>
                            <w:sz w:val="20"/>
                            <w:szCs w:val="20"/>
                          </w:rPr>
                        </w:pPr>
                      </w:p>
                      <w:p w:rsidR="001C6DC5" w:rsidRPr="0021790A" w:rsidRDefault="001C6DC5" w:rsidP="001C6DC5">
                        <w:pPr>
                          <w:spacing w:after="0" w:line="240" w:lineRule="auto"/>
                          <w:ind w:left="0" w:right="370" w:hanging="2"/>
                          <w:jc w:val="center"/>
                          <w:rPr>
                            <w:rFonts w:ascii="Times New Roman" w:eastAsia="Times New Roman" w:hAnsi="Times New Roman" w:cs="Times New Roman"/>
                            <w:color w:val="000000"/>
                            <w:sz w:val="20"/>
                          </w:rPr>
                        </w:pPr>
                        <w:r w:rsidRPr="0021790A">
                          <w:rPr>
                            <w:rFonts w:ascii="Times New Roman" w:eastAsia="Times New Roman" w:hAnsi="Times New Roman" w:cs="Times New Roman"/>
                            <w:color w:val="000000"/>
                            <w:sz w:val="20"/>
                          </w:rPr>
                          <w:t xml:space="preserve">(cenderung risiko rendah) </w:t>
                        </w:r>
                      </w:p>
                      <w:p w:rsidR="001C6DC5" w:rsidRPr="0021790A" w:rsidRDefault="001C6DC5" w:rsidP="001C6DC5">
                        <w:pPr>
                          <w:spacing w:after="0" w:line="240" w:lineRule="auto"/>
                          <w:ind w:left="0" w:right="370" w:hanging="2"/>
                          <w:jc w:val="center"/>
                          <w:rPr>
                            <w:rFonts w:ascii="Times New Roman" w:hAnsi="Times New Roman" w:cs="Times New Roman"/>
                          </w:rPr>
                        </w:pPr>
                        <w:r w:rsidRPr="0021790A">
                          <w:rPr>
                            <w:rFonts w:ascii="Times New Roman" w:eastAsia="Times New Roman" w:hAnsi="Times New Roman" w:cs="Times New Roman"/>
                            <w:color w:val="000000"/>
                            <w:sz w:val="20"/>
                          </w:rPr>
                          <w:t>(Teori Prospek)</w:t>
                        </w:r>
                      </w:p>
                      <w:p w:rsidR="001C6DC5" w:rsidRPr="0021790A" w:rsidRDefault="001C6DC5" w:rsidP="001C6DC5">
                        <w:pPr>
                          <w:pStyle w:val="NormalWeb"/>
                          <w:spacing w:before="0" w:beforeAutospacing="0" w:after="0" w:afterAutospacing="0" w:line="276" w:lineRule="auto"/>
                          <w:ind w:right="374"/>
                        </w:pPr>
                      </w:p>
                      <w:p w:rsidR="001C6DC5" w:rsidRDefault="001C6DC5" w:rsidP="001C6DC5">
                        <w:pPr>
                          <w:ind w:left="0" w:hanging="2"/>
                        </w:pPr>
                      </w:p>
                    </w:txbxContent>
                  </v:textbox>
                </v:shape>
                <v:shape id="Straight Arrow Connector 17" o:spid="_x0000_s1050" type="#_x0000_t32" style="position:absolute;left:25730;top:6529;width:6585;height:90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" strokecolor="windowText" strokeweight="2pt">
                  <v:stroke endarrow="block"/>
                  <v:shadow on="t" color="black" opacity="24903f" origin=",.5" offset="0,.55556mm"/>
                </v:shape>
                <v:shape id="Straight Arrow Connector 29" o:spid="_x0000_s1051" type="#_x0000_t32" style="position:absolute;left:25730;top:15576;width:6585;height:9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" strokecolor="windowText" strokeweight="2pt">
                  <v:stroke endarrow="block"/>
                  <v:shadow on="t" color="black" opacity="24903f" origin=",.5" offset="0,.55556mm"/>
                </v:shape>
                <w10:anchorlock/>
              </v:group>
            </w:pict>
          </mc:Fallback>
        </mc:AlternateContent>
      </w:r>
    </w:p>
    <w:p w:rsidR="00C51986" w:rsidRPr="00C51986" w:rsidRDefault="00C51986" w:rsidP="00C51986">
      <w:pPr>
        <w:pBdr>
          <w:top w:val="nil"/>
          <w:left w:val="nil"/>
          <w:bottom w:val="nil"/>
          <w:right w:val="nil"/>
          <w:between w:val="nil"/>
        </w:pBdr>
        <w:spacing w:after="0" w:line="240" w:lineRule="auto"/>
        <w:ind w:leftChars="0" w:left="2" w:hanging="2"/>
        <w:jc w:val="center"/>
        <w:rPr>
          <w:rFonts w:ascii="Times New Roman" w:hAnsi="Times New Roman" w:cs="Times New Roman"/>
          <w:b/>
          <w:sz w:val="16"/>
          <w:szCs w:val="16"/>
        </w:rPr>
      </w:pPr>
    </w:p>
    <w:p w:rsidR="001C6DC5" w:rsidRPr="00C51986" w:rsidRDefault="001C6DC5" w:rsidP="00C519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5A0BAB">
        <w:rPr>
          <w:rFonts w:ascii="Times New Roman" w:hAnsi="Times New Roman" w:cs="Times New Roman"/>
          <w:b/>
          <w:sz w:val="20"/>
          <w:szCs w:val="20"/>
        </w:rPr>
        <w:t>Rajah</w:t>
      </w:r>
      <w:r>
        <w:rPr>
          <w:rFonts w:ascii="Times New Roman" w:hAnsi="Times New Roman" w:cs="Times New Roman"/>
          <w:b/>
          <w:sz w:val="20"/>
          <w:szCs w:val="20"/>
        </w:rPr>
        <w:t xml:space="preserve"> </w:t>
      </w:r>
      <w:r w:rsidR="00DE64C9">
        <w:rPr>
          <w:rFonts w:ascii="Times New Roman" w:hAnsi="Times New Roman" w:cs="Times New Roman"/>
          <w:b/>
          <w:sz w:val="20"/>
          <w:szCs w:val="20"/>
        </w:rPr>
        <w:t>3</w:t>
      </w:r>
      <w:r w:rsidR="00C51986">
        <w:rPr>
          <w:rFonts w:ascii="Times New Roman" w:hAnsi="Times New Roman" w:cs="Times New Roman"/>
          <w:b/>
          <w:sz w:val="20"/>
          <w:szCs w:val="20"/>
        </w:rPr>
        <w:t>.</w:t>
      </w:r>
      <w:r w:rsidRPr="005A0BAB">
        <w:rPr>
          <w:rFonts w:ascii="Times New Roman" w:hAnsi="Times New Roman" w:cs="Times New Roman"/>
          <w:b/>
          <w:sz w:val="20"/>
          <w:szCs w:val="20"/>
        </w:rPr>
        <w:t xml:space="preserve"> </w:t>
      </w:r>
      <w:r w:rsidRPr="00C51986">
        <w:rPr>
          <w:rFonts w:ascii="Times New Roman" w:hAnsi="Times New Roman" w:cs="Times New Roman"/>
          <w:sz w:val="20"/>
          <w:szCs w:val="20"/>
        </w:rPr>
        <w:t>Aplikasi teori-teori tingkah laku kewangan dalam pemilihan terus kekal dalam skim KWSP atau pengeluaran pra-persaraan sewaktu pandemic COVID-19</w:t>
      </w:r>
    </w:p>
    <w:p w:rsidR="001C6DC5" w:rsidRDefault="001C6DC5" w:rsidP="00C519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1C6DC5" w:rsidRDefault="00C51986" w:rsidP="00C519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087940">
        <w:rPr>
          <w:rFonts w:ascii="Times New Roman" w:eastAsia="Times New Roman" w:hAnsi="Times New Roman" w:cs="Times New Roman"/>
          <w:sz w:val="24"/>
          <w:szCs w:val="24"/>
          <w:lang w:val="fi-FI"/>
        </w:rPr>
        <w:t>Sewaktu pandemik, pengeluaran pra-persaraan yang dibenarkan ialah skim i-Lestari, i-Sinar dan i-Citra. Jika individu terus kekal menyimpan dalam skim KWSP, ini menunjukkan tingkah laku kurang aktif dalam perancangan kewangan, di mana mempunyai tahap risiko yang lebih rendah berbanding golongan yang membuat pengeluaran pra-persaraan. Situasi yang selesa ini mendorong golongan ini lebih cenderung tidak memilih pengeluaran pra-persaraan untuk perancangan kewangan (</w:t>
      </w:r>
      <w:r w:rsidRPr="00087940">
        <w:rPr>
          <w:rFonts w:ascii="Times New Roman" w:eastAsia="Times New Roman" w:hAnsi="Times New Roman" w:cs="Times New Roman"/>
          <w:color w:val="000000"/>
          <w:sz w:val="24"/>
          <w:szCs w:val="24"/>
          <w:lang w:val="fi-FI"/>
        </w:rPr>
        <w:t>Ameur &amp; Tkiouat, 2016; Khoong, 2016</w:t>
      </w:r>
      <w:r w:rsidRPr="00087940">
        <w:rPr>
          <w:rFonts w:ascii="Times New Roman" w:eastAsia="Times New Roman" w:hAnsi="Times New Roman" w:cs="Times New Roman"/>
          <w:sz w:val="24"/>
          <w:szCs w:val="24"/>
          <w:lang w:val="fi-FI"/>
        </w:rPr>
        <w:t xml:space="preserve">). Berbanding dengan golongan yang aktif membuat pengeluaran pra-persaraan, dan ini menunjukkan cenderung risiko lebih tinggi dalam perancangan kewangan. Menurut TJU, individu memaximumkan penggunaan aliran dana dengan memilih pengeluaran. Golongan ini mengambil risiko membuat pengeluaran pra-persaraaan, di mana pengeluaran ini mungkin menjejaskan pengumpulan dana persaraan untuk kegunaan sewaktu persaraaan. </w:t>
      </w:r>
      <w:r>
        <w:rPr>
          <w:rFonts w:ascii="Times New Roman" w:eastAsia="Times New Roman" w:hAnsi="Times New Roman" w:cs="Times New Roman"/>
          <w:sz w:val="24"/>
          <w:szCs w:val="24"/>
        </w:rPr>
        <w:t>Perbezaan pmilihan individu ini disebabkan konsep risiko-pulangan (</w:t>
      </w:r>
      <w:r>
        <w:rPr>
          <w:rFonts w:ascii="Times New Roman" w:eastAsia="Times New Roman" w:hAnsi="Times New Roman" w:cs="Times New Roman"/>
          <w:i/>
          <w:sz w:val="24"/>
          <w:szCs w:val="24"/>
        </w:rPr>
        <w:t>risk-return</w:t>
      </w:r>
      <w:r>
        <w:rPr>
          <w:rFonts w:ascii="Times New Roman" w:eastAsia="Times New Roman" w:hAnsi="Times New Roman" w:cs="Times New Roman"/>
          <w:sz w:val="24"/>
          <w:szCs w:val="24"/>
        </w:rPr>
        <w:t xml:space="preserve">) dan </w:t>
      </w:r>
      <w:r w:rsidRPr="0059159A">
        <w:rPr>
          <w:rFonts w:ascii="Times New Roman" w:eastAsia="Times New Roman" w:hAnsi="Times New Roman" w:cs="Times New Roman"/>
          <w:sz w:val="24"/>
          <w:szCs w:val="24"/>
        </w:rPr>
        <w:t>pembingkaian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framing</w:t>
      </w:r>
      <w:r>
        <w:rPr>
          <w:rFonts w:ascii="Times New Roman" w:eastAsia="Times New Roman" w:hAnsi="Times New Roman" w:cs="Times New Roman"/>
          <w:sz w:val="24"/>
          <w:szCs w:val="24"/>
        </w:rPr>
        <w:t xml:space="preserve">). Tingkah laku individu yang rasional bertindak dipengaruhi risiko-pulangan konsep, manakala individu bertindak alternatif dipengaruhi </w:t>
      </w:r>
      <w:r w:rsidRPr="0059159A">
        <w:rPr>
          <w:rFonts w:ascii="Times New Roman" w:eastAsia="Times New Roman" w:hAnsi="Times New Roman" w:cs="Times New Roman"/>
          <w:sz w:val="24"/>
          <w:szCs w:val="24"/>
        </w:rPr>
        <w:t>pembingkaian</w:t>
      </w:r>
      <w:r>
        <w:rPr>
          <w:rFonts w:ascii="Times New Roman" w:eastAsia="Times New Roman" w:hAnsi="Times New Roman" w:cs="Times New Roman"/>
          <w:sz w:val="24"/>
          <w:szCs w:val="24"/>
        </w:rPr>
        <w:t xml:space="preserve"> konsep. Golongan risiko-pulangan mengambil risiko supaya ingin memaximumkan pulangan.</w:t>
      </w:r>
    </w:p>
    <w:p w:rsidR="00C51986" w:rsidRDefault="00C51986" w:rsidP="00C519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p>
    <w:p w:rsidR="00C51986" w:rsidRDefault="00C51986" w:rsidP="00C519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rsidR="00303078" w:rsidRDefault="005A0BAB" w:rsidP="00C51986">
      <w:pPr>
        <w:spacing w:after="0" w:line="240" w:lineRule="auto"/>
        <w:ind w:leftChars="0" w:left="2" w:hanging="2"/>
        <w:rPr>
          <w:rFonts w:ascii="Times New Roman" w:eastAsia="Times New Roman" w:hAnsi="Times New Roman" w:cs="Times New Roman"/>
          <w:sz w:val="24"/>
          <w:szCs w:val="24"/>
        </w:rPr>
      </w:pPr>
      <w:r w:rsidRPr="005A0BAB">
        <w:rPr>
          <w:rFonts w:ascii="Times New Roman" w:eastAsia="Times New Roman" w:hAnsi="Times New Roman" w:cs="Times New Roman"/>
          <w:b/>
          <w:sz w:val="24"/>
          <w:szCs w:val="24"/>
        </w:rPr>
        <w:t>Kesimpulan</w:t>
      </w:r>
      <w:r w:rsidR="0016729F">
        <w:rPr>
          <w:rFonts w:ascii="Times New Roman" w:eastAsia="Times New Roman" w:hAnsi="Times New Roman" w:cs="Times New Roman"/>
          <w:b/>
          <w:sz w:val="24"/>
          <w:szCs w:val="24"/>
        </w:rPr>
        <w:t xml:space="preserve"> </w:t>
      </w:r>
    </w:p>
    <w:p w:rsidR="00303078" w:rsidRDefault="0016729F" w:rsidP="00C51986">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03078" w:rsidRPr="00087940" w:rsidRDefault="005A0BAB" w:rsidP="00C51986">
      <w:pPr>
        <w:spacing w:after="0" w:line="240" w:lineRule="auto"/>
        <w:ind w:leftChars="0" w:left="2" w:hanging="2"/>
        <w:jc w:val="both"/>
        <w:rPr>
          <w:rFonts w:ascii="Times New Roman" w:eastAsia="Times New Roman" w:hAnsi="Times New Roman" w:cs="Times New Roman"/>
          <w:sz w:val="24"/>
          <w:szCs w:val="24"/>
          <w:lang w:val="fi-FI"/>
        </w:rPr>
      </w:pPr>
      <w:r w:rsidRPr="005A0BAB">
        <w:rPr>
          <w:rFonts w:ascii="Times New Roman" w:eastAsia="Times New Roman" w:hAnsi="Times New Roman" w:cs="Times New Roman"/>
          <w:sz w:val="24"/>
          <w:szCs w:val="24"/>
        </w:rPr>
        <w:t>Perbincangan tingkah laku kewangan a</w:t>
      </w:r>
      <w:r w:rsidR="0055486B">
        <w:rPr>
          <w:rFonts w:ascii="Times New Roman" w:eastAsia="Times New Roman" w:hAnsi="Times New Roman" w:cs="Times New Roman"/>
          <w:sz w:val="24"/>
          <w:szCs w:val="24"/>
        </w:rPr>
        <w:t>matlah</w:t>
      </w:r>
      <w:r w:rsidRPr="005A0BAB">
        <w:rPr>
          <w:rFonts w:ascii="Times New Roman" w:eastAsia="Times New Roman" w:hAnsi="Times New Roman" w:cs="Times New Roman"/>
          <w:sz w:val="24"/>
          <w:szCs w:val="24"/>
        </w:rPr>
        <w:t xml:space="preserve"> penting dalam memahami pemilihan kewangan sewaktu krisis. </w:t>
      </w:r>
      <w:r w:rsidRPr="00087940">
        <w:rPr>
          <w:rFonts w:ascii="Times New Roman" w:eastAsia="Times New Roman" w:hAnsi="Times New Roman" w:cs="Times New Roman"/>
          <w:sz w:val="24"/>
          <w:szCs w:val="24"/>
          <w:lang w:val="fi-FI"/>
        </w:rPr>
        <w:t xml:space="preserve">Tambahan pula, situasi ini menjadi lebih </w:t>
      </w:r>
      <w:r w:rsidR="00A63DDB" w:rsidRPr="00087940">
        <w:rPr>
          <w:rFonts w:ascii="Times New Roman" w:eastAsia="Times New Roman" w:hAnsi="Times New Roman" w:cs="Times New Roman"/>
          <w:sz w:val="24"/>
          <w:szCs w:val="24"/>
          <w:lang w:val="fi-FI"/>
        </w:rPr>
        <w:t>ketara jika</w:t>
      </w:r>
      <w:r w:rsidRPr="00087940">
        <w:rPr>
          <w:rFonts w:ascii="Times New Roman" w:eastAsia="Times New Roman" w:hAnsi="Times New Roman" w:cs="Times New Roman"/>
          <w:sz w:val="24"/>
          <w:szCs w:val="24"/>
          <w:lang w:val="fi-FI"/>
        </w:rPr>
        <w:t xml:space="preserve"> pemilihan kewangan </w:t>
      </w:r>
      <w:r w:rsidR="00A63DDB" w:rsidRPr="00087940">
        <w:rPr>
          <w:rFonts w:ascii="Times New Roman" w:eastAsia="Times New Roman" w:hAnsi="Times New Roman" w:cs="Times New Roman"/>
          <w:sz w:val="24"/>
          <w:szCs w:val="24"/>
          <w:lang w:val="fi-FI"/>
        </w:rPr>
        <w:t xml:space="preserve">tersebut </w:t>
      </w:r>
      <w:r w:rsidRPr="00087940">
        <w:rPr>
          <w:rFonts w:ascii="Times New Roman" w:eastAsia="Times New Roman" w:hAnsi="Times New Roman" w:cs="Times New Roman"/>
          <w:sz w:val="24"/>
          <w:szCs w:val="24"/>
          <w:lang w:val="fi-FI"/>
        </w:rPr>
        <w:t xml:space="preserve">melibatkan </w:t>
      </w:r>
      <w:r w:rsidR="00A63DDB" w:rsidRPr="00087940">
        <w:rPr>
          <w:rFonts w:ascii="Times New Roman" w:eastAsia="Times New Roman" w:hAnsi="Times New Roman" w:cs="Times New Roman"/>
          <w:sz w:val="24"/>
          <w:szCs w:val="24"/>
          <w:lang w:val="fi-FI"/>
        </w:rPr>
        <w:t>unsur s</w:t>
      </w:r>
      <w:r w:rsidRPr="00087940">
        <w:rPr>
          <w:rFonts w:ascii="Times New Roman" w:eastAsia="Times New Roman" w:hAnsi="Times New Roman" w:cs="Times New Roman"/>
          <w:sz w:val="24"/>
          <w:szCs w:val="24"/>
          <w:lang w:val="fi-FI"/>
        </w:rPr>
        <w:t xml:space="preserve">kim </w:t>
      </w:r>
      <w:r w:rsidR="00A63DDB" w:rsidRPr="00087940">
        <w:rPr>
          <w:rFonts w:ascii="Times New Roman" w:eastAsia="Times New Roman" w:hAnsi="Times New Roman" w:cs="Times New Roman"/>
          <w:sz w:val="24"/>
          <w:szCs w:val="24"/>
          <w:lang w:val="fi-FI"/>
        </w:rPr>
        <w:t>persaraan.</w:t>
      </w:r>
      <w:r w:rsidRPr="00087940">
        <w:rPr>
          <w:rFonts w:ascii="Times New Roman" w:eastAsia="Times New Roman" w:hAnsi="Times New Roman" w:cs="Times New Roman"/>
          <w:sz w:val="24"/>
          <w:szCs w:val="24"/>
          <w:lang w:val="fi-FI"/>
        </w:rPr>
        <w:t xml:space="preserve"> </w:t>
      </w:r>
      <w:r w:rsidR="00A63DDB" w:rsidRPr="00087940">
        <w:rPr>
          <w:rFonts w:ascii="Times New Roman" w:eastAsia="Times New Roman" w:hAnsi="Times New Roman" w:cs="Times New Roman"/>
          <w:sz w:val="24"/>
          <w:szCs w:val="24"/>
          <w:lang w:val="fi-FI"/>
        </w:rPr>
        <w:t>Dengan pemahaman aplikasi teori-teori kewanag seperti TJU and TP, p</w:t>
      </w:r>
      <w:r w:rsidRPr="00087940">
        <w:rPr>
          <w:rFonts w:ascii="Times New Roman" w:eastAsia="Times New Roman" w:hAnsi="Times New Roman" w:cs="Times New Roman"/>
          <w:sz w:val="24"/>
          <w:szCs w:val="24"/>
          <w:lang w:val="fi-FI"/>
        </w:rPr>
        <w:t xml:space="preserve">emilihan kewangan individu ini </w:t>
      </w:r>
      <w:r w:rsidR="00A63DDB" w:rsidRPr="00087940">
        <w:rPr>
          <w:rFonts w:ascii="Times New Roman" w:eastAsia="Times New Roman" w:hAnsi="Times New Roman" w:cs="Times New Roman"/>
          <w:sz w:val="24"/>
          <w:szCs w:val="24"/>
          <w:lang w:val="fi-FI"/>
        </w:rPr>
        <w:t xml:space="preserve">mampu </w:t>
      </w:r>
      <w:r w:rsidRPr="00087940">
        <w:rPr>
          <w:rFonts w:ascii="Times New Roman" w:eastAsia="Times New Roman" w:hAnsi="Times New Roman" w:cs="Times New Roman"/>
          <w:sz w:val="24"/>
          <w:szCs w:val="24"/>
          <w:lang w:val="fi-FI"/>
        </w:rPr>
        <w:t xml:space="preserve">dijelaskan. Walaupun TJU dan TP adalah berbeza di antara satu sama lain, tetapi mampu menjelaskan fenomena pemilihan yang berlainan dalam </w:t>
      </w:r>
      <w:r w:rsidR="00A63DDB" w:rsidRPr="00087940">
        <w:rPr>
          <w:rFonts w:ascii="Times New Roman" w:eastAsia="Times New Roman" w:hAnsi="Times New Roman" w:cs="Times New Roman"/>
          <w:sz w:val="24"/>
          <w:szCs w:val="24"/>
          <w:lang w:val="fi-FI"/>
        </w:rPr>
        <w:t>unsur</w:t>
      </w:r>
      <w:r w:rsidRPr="00087940">
        <w:rPr>
          <w:rFonts w:ascii="Times New Roman" w:eastAsia="Times New Roman" w:hAnsi="Times New Roman" w:cs="Times New Roman"/>
          <w:sz w:val="24"/>
          <w:szCs w:val="24"/>
          <w:lang w:val="fi-FI"/>
        </w:rPr>
        <w:t xml:space="preserve"> skim persaraan. </w:t>
      </w:r>
      <w:r w:rsidR="00125ADE" w:rsidRPr="00087940">
        <w:rPr>
          <w:rFonts w:ascii="Times New Roman" w:eastAsia="Times New Roman" w:hAnsi="Times New Roman" w:cs="Times New Roman"/>
          <w:sz w:val="24"/>
          <w:szCs w:val="24"/>
          <w:lang w:val="fi-FI"/>
        </w:rPr>
        <w:t>Seterusnya</w:t>
      </w:r>
      <w:r w:rsidRPr="00087940">
        <w:rPr>
          <w:rFonts w:ascii="Times New Roman" w:eastAsia="Times New Roman" w:hAnsi="Times New Roman" w:cs="Times New Roman"/>
          <w:sz w:val="24"/>
          <w:szCs w:val="24"/>
          <w:lang w:val="fi-FI"/>
        </w:rPr>
        <w:t xml:space="preserve">, pemahaman </w:t>
      </w:r>
      <w:r w:rsidR="00125ADE" w:rsidRPr="00087940">
        <w:rPr>
          <w:rFonts w:ascii="Times New Roman" w:eastAsia="Times New Roman" w:hAnsi="Times New Roman" w:cs="Times New Roman"/>
          <w:sz w:val="24"/>
          <w:szCs w:val="24"/>
          <w:lang w:val="fi-FI"/>
        </w:rPr>
        <w:t xml:space="preserve">lebih menyeluruh dalam </w:t>
      </w:r>
      <w:r w:rsidRPr="00087940">
        <w:rPr>
          <w:rFonts w:ascii="Times New Roman" w:eastAsia="Times New Roman" w:hAnsi="Times New Roman" w:cs="Times New Roman"/>
          <w:sz w:val="24"/>
          <w:szCs w:val="24"/>
          <w:lang w:val="fi-FI"/>
        </w:rPr>
        <w:t xml:space="preserve">tingkah laku kewangan individu. Seterusnya, ini </w:t>
      </w:r>
      <w:r w:rsidR="00C14FBF" w:rsidRPr="00087940">
        <w:rPr>
          <w:rFonts w:ascii="Times New Roman" w:eastAsia="Times New Roman" w:hAnsi="Times New Roman" w:cs="Times New Roman"/>
          <w:sz w:val="24"/>
          <w:szCs w:val="24"/>
          <w:lang w:val="fi-FI"/>
        </w:rPr>
        <w:t>mampu</w:t>
      </w:r>
      <w:r w:rsidRPr="00087940">
        <w:rPr>
          <w:rFonts w:ascii="Times New Roman" w:eastAsia="Times New Roman" w:hAnsi="Times New Roman" w:cs="Times New Roman"/>
          <w:sz w:val="24"/>
          <w:szCs w:val="24"/>
          <w:lang w:val="fi-FI"/>
        </w:rPr>
        <w:t xml:space="preserve"> membantu pihak kerajaan pusat dan institu</w:t>
      </w:r>
      <w:r w:rsidR="009864B9" w:rsidRPr="00087940">
        <w:rPr>
          <w:rFonts w:ascii="Times New Roman" w:eastAsia="Times New Roman" w:hAnsi="Times New Roman" w:cs="Times New Roman"/>
          <w:sz w:val="24"/>
          <w:szCs w:val="24"/>
          <w:lang w:val="fi-FI"/>
        </w:rPr>
        <w:t>t</w:t>
      </w:r>
      <w:r w:rsidRPr="00087940">
        <w:rPr>
          <w:rFonts w:ascii="Times New Roman" w:eastAsia="Times New Roman" w:hAnsi="Times New Roman" w:cs="Times New Roman"/>
          <w:sz w:val="24"/>
          <w:szCs w:val="24"/>
          <w:lang w:val="fi-FI"/>
        </w:rPr>
        <w:t>-institu</w:t>
      </w:r>
      <w:r w:rsidR="009864B9" w:rsidRPr="00087940">
        <w:rPr>
          <w:rFonts w:ascii="Times New Roman" w:eastAsia="Times New Roman" w:hAnsi="Times New Roman" w:cs="Times New Roman"/>
          <w:sz w:val="24"/>
          <w:szCs w:val="24"/>
          <w:lang w:val="fi-FI"/>
        </w:rPr>
        <w:t>t</w:t>
      </w:r>
      <w:r w:rsidRPr="00087940">
        <w:rPr>
          <w:rFonts w:ascii="Times New Roman" w:eastAsia="Times New Roman" w:hAnsi="Times New Roman" w:cs="Times New Roman"/>
          <w:sz w:val="24"/>
          <w:szCs w:val="24"/>
          <w:lang w:val="fi-FI"/>
        </w:rPr>
        <w:t xml:space="preserve"> </w:t>
      </w:r>
      <w:r w:rsidRPr="00087940">
        <w:rPr>
          <w:rFonts w:ascii="Times New Roman" w:eastAsia="Times New Roman" w:hAnsi="Times New Roman" w:cs="Times New Roman"/>
          <w:sz w:val="24"/>
          <w:szCs w:val="24"/>
          <w:lang w:val="fi-FI"/>
        </w:rPr>
        <w:lastRenderedPageBreak/>
        <w:t xml:space="preserve">kewangan </w:t>
      </w:r>
      <w:r w:rsidR="00C14FBF" w:rsidRPr="00087940">
        <w:rPr>
          <w:rFonts w:ascii="Times New Roman" w:eastAsia="Times New Roman" w:hAnsi="Times New Roman" w:cs="Times New Roman"/>
          <w:sz w:val="24"/>
          <w:szCs w:val="24"/>
          <w:lang w:val="fi-FI"/>
        </w:rPr>
        <w:t>tertentu lebih cenderung</w:t>
      </w:r>
      <w:r w:rsidRPr="00087940">
        <w:rPr>
          <w:rFonts w:ascii="Times New Roman" w:eastAsia="Times New Roman" w:hAnsi="Times New Roman" w:cs="Times New Roman"/>
          <w:sz w:val="24"/>
          <w:szCs w:val="24"/>
          <w:lang w:val="fi-FI"/>
        </w:rPr>
        <w:t xml:space="preserve"> memahami individu </w:t>
      </w:r>
      <w:r w:rsidR="00C14FBF" w:rsidRPr="00087940">
        <w:rPr>
          <w:rFonts w:ascii="Times New Roman" w:eastAsia="Times New Roman" w:hAnsi="Times New Roman" w:cs="Times New Roman"/>
          <w:sz w:val="24"/>
          <w:szCs w:val="24"/>
          <w:lang w:val="fi-FI"/>
        </w:rPr>
        <w:t>secara</w:t>
      </w:r>
      <w:r w:rsidRPr="00087940">
        <w:rPr>
          <w:rFonts w:ascii="Times New Roman" w:eastAsia="Times New Roman" w:hAnsi="Times New Roman" w:cs="Times New Roman"/>
          <w:sz w:val="24"/>
          <w:szCs w:val="24"/>
          <w:lang w:val="fi-FI"/>
        </w:rPr>
        <w:t xml:space="preserve"> sistematik. Lantaran itu,</w:t>
      </w:r>
      <w:r w:rsidR="00A32B57" w:rsidRPr="00087940">
        <w:rPr>
          <w:rFonts w:ascii="Times New Roman" w:eastAsia="Times New Roman" w:hAnsi="Times New Roman" w:cs="Times New Roman"/>
          <w:sz w:val="24"/>
          <w:szCs w:val="24"/>
          <w:lang w:val="fi-FI"/>
        </w:rPr>
        <w:t xml:space="preserve"> tingkah laku yang berbeza</w:t>
      </w:r>
      <w:r w:rsidRPr="00087940">
        <w:rPr>
          <w:rFonts w:ascii="Times New Roman" w:eastAsia="Times New Roman" w:hAnsi="Times New Roman" w:cs="Times New Roman"/>
          <w:sz w:val="24"/>
          <w:szCs w:val="24"/>
          <w:lang w:val="fi-FI"/>
        </w:rPr>
        <w:t xml:space="preserve"> </w:t>
      </w:r>
      <w:r w:rsidR="00C14FBF" w:rsidRPr="00087940">
        <w:rPr>
          <w:rFonts w:ascii="Times New Roman" w:eastAsia="Times New Roman" w:hAnsi="Times New Roman" w:cs="Times New Roman"/>
          <w:sz w:val="24"/>
          <w:szCs w:val="24"/>
          <w:lang w:val="fi-FI"/>
        </w:rPr>
        <w:t>ini mampu membentuk</w:t>
      </w:r>
      <w:r w:rsidRPr="00087940">
        <w:rPr>
          <w:rFonts w:ascii="Times New Roman" w:eastAsia="Times New Roman" w:hAnsi="Times New Roman" w:cs="Times New Roman"/>
          <w:sz w:val="24"/>
          <w:szCs w:val="24"/>
          <w:lang w:val="fi-FI"/>
        </w:rPr>
        <w:t xml:space="preserve"> model pem</w:t>
      </w:r>
      <w:r w:rsidR="00C14FBF" w:rsidRPr="00087940">
        <w:rPr>
          <w:rFonts w:ascii="Times New Roman" w:eastAsia="Times New Roman" w:hAnsi="Times New Roman" w:cs="Times New Roman"/>
          <w:sz w:val="24"/>
          <w:szCs w:val="24"/>
          <w:lang w:val="fi-FI"/>
        </w:rPr>
        <w:t xml:space="preserve">asaran </w:t>
      </w:r>
      <w:r w:rsidRPr="00087940">
        <w:rPr>
          <w:rFonts w:ascii="Times New Roman" w:eastAsia="Times New Roman" w:hAnsi="Times New Roman" w:cs="Times New Roman"/>
          <w:sz w:val="24"/>
          <w:szCs w:val="24"/>
          <w:lang w:val="fi-FI"/>
        </w:rPr>
        <w:t xml:space="preserve">produk kewangan yang lebih </w:t>
      </w:r>
      <w:r w:rsidR="00C14FBF" w:rsidRPr="00087940">
        <w:rPr>
          <w:rFonts w:ascii="Times New Roman" w:eastAsia="Times New Roman" w:hAnsi="Times New Roman" w:cs="Times New Roman"/>
          <w:sz w:val="24"/>
          <w:szCs w:val="24"/>
          <w:lang w:val="fi-FI"/>
        </w:rPr>
        <w:t>berkesan</w:t>
      </w:r>
      <w:r w:rsidRPr="00087940">
        <w:rPr>
          <w:rFonts w:ascii="Times New Roman" w:eastAsia="Times New Roman" w:hAnsi="Times New Roman" w:cs="Times New Roman"/>
          <w:sz w:val="24"/>
          <w:szCs w:val="24"/>
          <w:lang w:val="fi-FI"/>
        </w:rPr>
        <w:t xml:space="preserve">. </w:t>
      </w:r>
      <w:r w:rsidR="00E86F41" w:rsidRPr="00087940">
        <w:rPr>
          <w:rFonts w:ascii="Times New Roman" w:eastAsia="Times New Roman" w:hAnsi="Times New Roman" w:cs="Times New Roman"/>
          <w:sz w:val="24"/>
          <w:szCs w:val="24"/>
          <w:lang w:val="fi-FI"/>
        </w:rPr>
        <w:t>Sekiranya pihak institu</w:t>
      </w:r>
      <w:r w:rsidR="009864B9" w:rsidRPr="00087940">
        <w:rPr>
          <w:rFonts w:ascii="Times New Roman" w:eastAsia="Times New Roman" w:hAnsi="Times New Roman" w:cs="Times New Roman"/>
          <w:sz w:val="24"/>
          <w:szCs w:val="24"/>
          <w:lang w:val="fi-FI"/>
        </w:rPr>
        <w:t>t</w:t>
      </w:r>
      <w:r w:rsidR="00E86F41" w:rsidRPr="00087940">
        <w:rPr>
          <w:rFonts w:ascii="Times New Roman" w:eastAsia="Times New Roman" w:hAnsi="Times New Roman" w:cs="Times New Roman"/>
          <w:sz w:val="24"/>
          <w:szCs w:val="24"/>
          <w:lang w:val="fi-FI"/>
        </w:rPr>
        <w:t xml:space="preserve"> kewangan mendapati seseorang individu mempunyai tahap risiko yang tinggi, mereka boleh menpengaruhi individu tersebut dengan produk kewangan risiko yang lebih tinggi. Tambahan pula, sekiranya seseorang individu berada dalam situasi ‘rugi’, mak</w:t>
      </w:r>
      <w:r w:rsidR="00094F46" w:rsidRPr="00087940">
        <w:rPr>
          <w:rFonts w:ascii="Times New Roman" w:eastAsia="Times New Roman" w:hAnsi="Times New Roman" w:cs="Times New Roman"/>
          <w:sz w:val="24"/>
          <w:szCs w:val="24"/>
          <w:lang w:val="fi-FI"/>
        </w:rPr>
        <w:t>a</w:t>
      </w:r>
      <w:r w:rsidR="00E86F41" w:rsidRPr="00087940">
        <w:rPr>
          <w:rFonts w:ascii="Times New Roman" w:eastAsia="Times New Roman" w:hAnsi="Times New Roman" w:cs="Times New Roman"/>
          <w:sz w:val="24"/>
          <w:szCs w:val="24"/>
          <w:lang w:val="fi-FI"/>
        </w:rPr>
        <w:t xml:space="preserve"> ini juga mempengaruhi mereka dalam produk kewangan risiko yang tinggi. Akan tetapi, situasi ini perlu dila</w:t>
      </w:r>
      <w:r w:rsidR="00094F46" w:rsidRPr="00087940">
        <w:rPr>
          <w:rFonts w:ascii="Times New Roman" w:eastAsia="Times New Roman" w:hAnsi="Times New Roman" w:cs="Times New Roman"/>
          <w:sz w:val="24"/>
          <w:szCs w:val="24"/>
          <w:lang w:val="fi-FI"/>
        </w:rPr>
        <w:t xml:space="preserve">ksanakan </w:t>
      </w:r>
      <w:r w:rsidR="00E86F41" w:rsidRPr="00087940">
        <w:rPr>
          <w:rFonts w:ascii="Times New Roman" w:eastAsia="Times New Roman" w:hAnsi="Times New Roman" w:cs="Times New Roman"/>
          <w:sz w:val="24"/>
          <w:szCs w:val="24"/>
          <w:lang w:val="fi-FI"/>
        </w:rPr>
        <w:t xml:space="preserve">dengan berhati-hati supaya </w:t>
      </w:r>
      <w:r w:rsidR="00094F46" w:rsidRPr="00087940">
        <w:rPr>
          <w:rFonts w:ascii="Times New Roman" w:eastAsia="Times New Roman" w:hAnsi="Times New Roman" w:cs="Times New Roman"/>
          <w:sz w:val="24"/>
          <w:szCs w:val="24"/>
          <w:lang w:val="fi-FI"/>
        </w:rPr>
        <w:t xml:space="preserve">keputusan </w:t>
      </w:r>
      <w:r w:rsidR="00E86F41" w:rsidRPr="00087940">
        <w:rPr>
          <w:rFonts w:ascii="Times New Roman" w:eastAsia="Times New Roman" w:hAnsi="Times New Roman" w:cs="Times New Roman"/>
          <w:sz w:val="24"/>
          <w:szCs w:val="24"/>
          <w:lang w:val="fi-FI"/>
        </w:rPr>
        <w:t xml:space="preserve">tersebut tidak membebankan individu. </w:t>
      </w:r>
      <w:r w:rsidR="00C14FBF" w:rsidRPr="00087940">
        <w:rPr>
          <w:rFonts w:ascii="Times New Roman" w:eastAsia="Times New Roman" w:hAnsi="Times New Roman" w:cs="Times New Roman"/>
          <w:sz w:val="24"/>
          <w:szCs w:val="24"/>
          <w:lang w:val="fi-FI"/>
        </w:rPr>
        <w:t>K</w:t>
      </w:r>
      <w:r w:rsidRPr="00087940">
        <w:rPr>
          <w:rFonts w:ascii="Times New Roman" w:eastAsia="Times New Roman" w:hAnsi="Times New Roman" w:cs="Times New Roman"/>
          <w:sz w:val="24"/>
          <w:szCs w:val="24"/>
          <w:lang w:val="fi-FI"/>
        </w:rPr>
        <w:t>ajian masa hadapan</w:t>
      </w:r>
      <w:r w:rsidR="00C14FBF" w:rsidRPr="00087940">
        <w:rPr>
          <w:rFonts w:ascii="Times New Roman" w:eastAsia="Times New Roman" w:hAnsi="Times New Roman" w:cs="Times New Roman"/>
          <w:sz w:val="24"/>
          <w:szCs w:val="24"/>
          <w:lang w:val="fi-FI"/>
        </w:rPr>
        <w:t xml:space="preserve"> </w:t>
      </w:r>
      <w:r w:rsidRPr="00087940">
        <w:rPr>
          <w:rFonts w:ascii="Times New Roman" w:eastAsia="Times New Roman" w:hAnsi="Times New Roman" w:cs="Times New Roman"/>
          <w:sz w:val="24"/>
          <w:szCs w:val="24"/>
          <w:lang w:val="fi-FI"/>
        </w:rPr>
        <w:t xml:space="preserve">seharusnya </w:t>
      </w:r>
      <w:r w:rsidR="00C14FBF" w:rsidRPr="00087940">
        <w:rPr>
          <w:rFonts w:ascii="Times New Roman" w:eastAsia="Times New Roman" w:hAnsi="Times New Roman" w:cs="Times New Roman"/>
          <w:sz w:val="24"/>
          <w:szCs w:val="24"/>
          <w:lang w:val="fi-FI"/>
        </w:rPr>
        <w:t xml:space="preserve">cenderung </w:t>
      </w:r>
      <w:r w:rsidRPr="00087940">
        <w:rPr>
          <w:rFonts w:ascii="Times New Roman" w:eastAsia="Times New Roman" w:hAnsi="Times New Roman" w:cs="Times New Roman"/>
          <w:sz w:val="24"/>
          <w:szCs w:val="24"/>
          <w:lang w:val="fi-FI"/>
        </w:rPr>
        <w:t xml:space="preserve">fokus dalam faktor-faktor yang mempengaruhi sewaktu pandemik dan pasca-pandemik </w:t>
      </w:r>
      <w:r w:rsidR="009418BC" w:rsidRPr="00087940">
        <w:rPr>
          <w:rFonts w:ascii="Times New Roman" w:eastAsia="Times New Roman" w:hAnsi="Times New Roman" w:cs="Times New Roman"/>
          <w:sz w:val="24"/>
          <w:szCs w:val="24"/>
          <w:lang w:val="fi-FI"/>
        </w:rPr>
        <w:t xml:space="preserve">krisis </w:t>
      </w:r>
      <w:r w:rsidRPr="00087940">
        <w:rPr>
          <w:rFonts w:ascii="Times New Roman" w:eastAsia="Times New Roman" w:hAnsi="Times New Roman" w:cs="Times New Roman"/>
          <w:sz w:val="24"/>
          <w:szCs w:val="24"/>
          <w:lang w:val="fi-FI"/>
        </w:rPr>
        <w:t>COVID-19</w:t>
      </w:r>
      <w:r w:rsidR="0016729F" w:rsidRPr="00087940">
        <w:rPr>
          <w:rFonts w:ascii="Times New Roman" w:eastAsia="Times New Roman" w:hAnsi="Times New Roman" w:cs="Times New Roman"/>
          <w:sz w:val="24"/>
          <w:szCs w:val="24"/>
          <w:lang w:val="fi-FI"/>
        </w:rPr>
        <w:t xml:space="preserve">. </w:t>
      </w:r>
      <w:r w:rsidR="009418BC" w:rsidRPr="00087940">
        <w:rPr>
          <w:rFonts w:ascii="Times New Roman" w:eastAsia="Times New Roman" w:hAnsi="Times New Roman" w:cs="Times New Roman"/>
          <w:sz w:val="24"/>
          <w:szCs w:val="24"/>
          <w:lang w:val="fi-FI"/>
        </w:rPr>
        <w:t xml:space="preserve">Kajian masa hadapan juga perlu mempertimbang dan memahami golongan yang memerlukan pengeluaran pra-persaraan untuk tujuan mencapai keperluan asas, di mana tingkah laku golongan ini berbeza sewaktu </w:t>
      </w:r>
      <w:r w:rsidR="00036F13" w:rsidRPr="00087940">
        <w:rPr>
          <w:rFonts w:ascii="Times New Roman" w:eastAsia="Times New Roman" w:hAnsi="Times New Roman" w:cs="Times New Roman"/>
          <w:sz w:val="24"/>
          <w:szCs w:val="24"/>
          <w:lang w:val="fi-FI"/>
        </w:rPr>
        <w:t>k</w:t>
      </w:r>
      <w:r w:rsidR="009418BC" w:rsidRPr="00087940">
        <w:rPr>
          <w:rFonts w:ascii="Times New Roman" w:eastAsia="Times New Roman" w:hAnsi="Times New Roman" w:cs="Times New Roman"/>
          <w:sz w:val="24"/>
          <w:szCs w:val="24"/>
          <w:lang w:val="fi-FI"/>
        </w:rPr>
        <w:t>risis berlaku.</w:t>
      </w:r>
    </w:p>
    <w:p w:rsidR="00303078" w:rsidRDefault="005A787D" w:rsidP="00C51986">
      <w:pPr>
        <w:spacing w:after="0" w:line="240" w:lineRule="auto"/>
        <w:ind w:leftChars="0" w:left="2" w:hanging="2"/>
        <w:rPr>
          <w:rFonts w:ascii="Times New Roman" w:eastAsia="Times New Roman" w:hAnsi="Times New Roman" w:cs="Times New Roman"/>
          <w:b/>
          <w:sz w:val="24"/>
          <w:szCs w:val="24"/>
          <w:lang w:val="fi-FI"/>
        </w:rPr>
      </w:pPr>
      <w:r>
        <w:rPr>
          <w:rFonts w:ascii="Times New Roman" w:eastAsia="Times New Roman" w:hAnsi="Times New Roman" w:cs="Times New Roman"/>
          <w:b/>
          <w:sz w:val="24"/>
          <w:szCs w:val="24"/>
          <w:lang w:val="fi-FI"/>
        </w:rPr>
        <w:t xml:space="preserve"> </w:t>
      </w:r>
    </w:p>
    <w:p w:rsidR="005A787D" w:rsidRPr="00087940" w:rsidRDefault="005A787D" w:rsidP="00C51986">
      <w:pPr>
        <w:spacing w:after="0" w:line="240" w:lineRule="auto"/>
        <w:ind w:leftChars="0" w:left="2" w:hanging="2"/>
        <w:rPr>
          <w:rFonts w:ascii="Times New Roman" w:eastAsia="Times New Roman" w:hAnsi="Times New Roman" w:cs="Times New Roman"/>
          <w:sz w:val="24"/>
          <w:szCs w:val="24"/>
          <w:lang w:val="fi-FI"/>
        </w:rPr>
      </w:pPr>
    </w:p>
    <w:p w:rsidR="00303078" w:rsidRPr="00370AB2" w:rsidRDefault="0016729F" w:rsidP="00C51986">
      <w:pPr>
        <w:spacing w:after="0" w:line="240" w:lineRule="auto"/>
        <w:ind w:leftChars="0" w:left="2" w:hanging="2"/>
        <w:rPr>
          <w:rFonts w:ascii="Times New Roman" w:eastAsia="Times New Roman" w:hAnsi="Times New Roman" w:cs="Times New Roman"/>
          <w:sz w:val="24"/>
          <w:szCs w:val="24"/>
        </w:rPr>
      </w:pPr>
      <w:r w:rsidRPr="00370AB2">
        <w:rPr>
          <w:rFonts w:ascii="Times New Roman" w:eastAsia="Times New Roman" w:hAnsi="Times New Roman" w:cs="Times New Roman"/>
          <w:b/>
          <w:sz w:val="24"/>
          <w:szCs w:val="24"/>
        </w:rPr>
        <w:t xml:space="preserve">References </w:t>
      </w:r>
    </w:p>
    <w:p w:rsidR="00303078" w:rsidRDefault="00303078">
      <w:pPr>
        <w:spacing w:after="0" w:line="240" w:lineRule="auto"/>
        <w:ind w:left="0" w:hanging="2"/>
        <w:rPr>
          <w:rFonts w:ascii="Times New Roman" w:eastAsia="Times New Roman" w:hAnsi="Times New Roman" w:cs="Times New Roman"/>
          <w:b/>
          <w:sz w:val="24"/>
          <w:szCs w:val="24"/>
          <w:highlight w:val="yellow"/>
        </w:rPr>
      </w:pPr>
    </w:p>
    <w:p w:rsidR="003B5F79" w:rsidRPr="00BC4B9A" w:rsidRDefault="003B5F79" w:rsidP="003B5F79">
      <w:pPr>
        <w:pStyle w:val="BodyText"/>
        <w:ind w:left="567" w:right="175" w:hanging="567"/>
        <w:jc w:val="both"/>
        <w:rPr>
          <w:sz w:val="24"/>
          <w:szCs w:val="24"/>
        </w:rPr>
      </w:pPr>
      <w:r w:rsidRPr="00B24F73">
        <w:rPr>
          <w:sz w:val="24"/>
          <w:szCs w:val="24"/>
        </w:rPr>
        <w:t xml:space="preserve">Ahmad, Z., A. Z. &amp; Tahir, N.S. (2019). Factors that influence investment decision making among potential individual investors in Malaysia. </w:t>
      </w:r>
      <w:r w:rsidRPr="00B24F73">
        <w:rPr>
          <w:i/>
          <w:sz w:val="24"/>
          <w:szCs w:val="24"/>
        </w:rPr>
        <w:t>Advances in Business Research International Journal, 5</w:t>
      </w:r>
      <w:r w:rsidRPr="00B24F73">
        <w:rPr>
          <w:iCs/>
          <w:sz w:val="24"/>
          <w:szCs w:val="24"/>
        </w:rPr>
        <w:t>(1),</w:t>
      </w:r>
      <w:r w:rsidRPr="00B24F73">
        <w:rPr>
          <w:i/>
          <w:sz w:val="24"/>
          <w:szCs w:val="24"/>
        </w:rPr>
        <w:t xml:space="preserve"> </w:t>
      </w:r>
      <w:r w:rsidRPr="00B24F73">
        <w:rPr>
          <w:sz w:val="24"/>
          <w:szCs w:val="24"/>
        </w:rPr>
        <w:t>9-21.</w:t>
      </w:r>
    </w:p>
    <w:p w:rsidR="003B5F79" w:rsidRDefault="003B5F79" w:rsidP="003B5F79">
      <w:pPr>
        <w:pStyle w:val="BodyText"/>
        <w:ind w:left="567" w:right="175" w:hanging="567"/>
        <w:jc w:val="both"/>
        <w:rPr>
          <w:sz w:val="24"/>
          <w:szCs w:val="24"/>
        </w:rPr>
      </w:pPr>
      <w:r w:rsidRPr="00BC4B9A">
        <w:rPr>
          <w:sz w:val="24"/>
          <w:szCs w:val="24"/>
        </w:rPr>
        <w:t>Akta Kumpulan Wang Persaraan 2007 (Akta 662).</w:t>
      </w:r>
    </w:p>
    <w:p w:rsidR="003B5F79" w:rsidRPr="00B6118A" w:rsidRDefault="003B5F79" w:rsidP="003B5F79">
      <w:pPr>
        <w:pStyle w:val="BodyText"/>
        <w:ind w:left="567" w:right="175" w:hanging="567"/>
        <w:jc w:val="both"/>
        <w:rPr>
          <w:color w:val="000000"/>
          <w:sz w:val="24"/>
          <w:szCs w:val="24"/>
        </w:rPr>
      </w:pPr>
      <w:r>
        <w:rPr>
          <w:color w:val="000000"/>
          <w:sz w:val="24"/>
          <w:szCs w:val="24"/>
        </w:rPr>
        <w:t xml:space="preserve">Al-Fori, A. &amp; Gani, A. (2022). </w:t>
      </w:r>
      <w:r w:rsidRPr="00BF0EAB">
        <w:rPr>
          <w:color w:val="000000"/>
          <w:sz w:val="24"/>
          <w:szCs w:val="24"/>
        </w:rPr>
        <w:t>The effect of Islamic finance on trade in insurance services in selected countries in the Middle East region</w:t>
      </w:r>
      <w:r>
        <w:rPr>
          <w:color w:val="000000"/>
          <w:sz w:val="24"/>
          <w:szCs w:val="24"/>
        </w:rPr>
        <w:t xml:space="preserve">. </w:t>
      </w:r>
      <w:r>
        <w:rPr>
          <w:i/>
          <w:color w:val="000000"/>
          <w:sz w:val="24"/>
          <w:szCs w:val="24"/>
        </w:rPr>
        <w:t xml:space="preserve">Journal of Financial Economic Policy, </w:t>
      </w:r>
      <w:r w:rsidRPr="004429E5">
        <w:rPr>
          <w:i/>
          <w:iCs/>
          <w:color w:val="000000"/>
          <w:sz w:val="24"/>
          <w:szCs w:val="24"/>
        </w:rPr>
        <w:t>14</w:t>
      </w:r>
      <w:r>
        <w:rPr>
          <w:color w:val="000000"/>
          <w:sz w:val="24"/>
          <w:szCs w:val="24"/>
        </w:rPr>
        <w:t>(6), 778-795.</w:t>
      </w:r>
    </w:p>
    <w:p w:rsidR="003B5F79" w:rsidRPr="00BC4B9A" w:rsidRDefault="003B5F79" w:rsidP="003B5F79">
      <w:pPr>
        <w:pStyle w:val="BodyText"/>
        <w:ind w:left="567" w:right="175" w:hanging="567"/>
        <w:jc w:val="both"/>
        <w:rPr>
          <w:sz w:val="24"/>
          <w:szCs w:val="24"/>
        </w:rPr>
      </w:pPr>
      <w:r w:rsidRPr="006F62CD">
        <w:rPr>
          <w:sz w:val="24"/>
          <w:szCs w:val="24"/>
        </w:rPr>
        <w:t xml:space="preserve">Alves, V. D. &amp; Teresa, M. (2020). Do accounting and finance master’s students apply Prospect Theory? </w:t>
      </w:r>
      <w:r w:rsidRPr="006F62CD">
        <w:rPr>
          <w:i/>
          <w:sz w:val="24"/>
          <w:szCs w:val="24"/>
        </w:rPr>
        <w:t>Revista CEA</w:t>
      </w:r>
      <w:r w:rsidRPr="006F62CD">
        <w:rPr>
          <w:sz w:val="24"/>
          <w:szCs w:val="24"/>
        </w:rPr>
        <w:t xml:space="preserve">, </w:t>
      </w:r>
      <w:r w:rsidRPr="006F62CD">
        <w:rPr>
          <w:i/>
          <w:iCs/>
          <w:sz w:val="24"/>
          <w:szCs w:val="24"/>
        </w:rPr>
        <w:t>6</w:t>
      </w:r>
      <w:r w:rsidRPr="006F62CD">
        <w:rPr>
          <w:sz w:val="24"/>
          <w:szCs w:val="24"/>
        </w:rPr>
        <w:t>(11), 45-71.</w:t>
      </w:r>
      <w:r w:rsidRPr="00BC4B9A">
        <w:rPr>
          <w:sz w:val="24"/>
          <w:szCs w:val="24"/>
        </w:rPr>
        <w:t xml:space="preserve"> </w:t>
      </w:r>
    </w:p>
    <w:p w:rsidR="003B5F79" w:rsidRPr="00BC4B9A" w:rsidRDefault="003B5F79" w:rsidP="003B5F79">
      <w:pPr>
        <w:pStyle w:val="BodyText"/>
        <w:ind w:left="567" w:right="175" w:hanging="567"/>
        <w:jc w:val="both"/>
        <w:rPr>
          <w:sz w:val="24"/>
          <w:szCs w:val="24"/>
        </w:rPr>
      </w:pPr>
      <w:r w:rsidRPr="00BC4B9A">
        <w:rPr>
          <w:sz w:val="24"/>
          <w:szCs w:val="24"/>
        </w:rPr>
        <w:t xml:space="preserve">Ameur, F. &amp; Tkiout, M. (2016). A contribution of Expected Utility Theory in taxpayers’ behavior modeling. </w:t>
      </w:r>
      <w:r w:rsidRPr="00BC4B9A">
        <w:rPr>
          <w:i/>
          <w:sz w:val="24"/>
          <w:szCs w:val="24"/>
        </w:rPr>
        <w:t>International Journal of Economics and Financial</w:t>
      </w:r>
      <w:r w:rsidRPr="00BC4B9A">
        <w:rPr>
          <w:sz w:val="24"/>
          <w:szCs w:val="24"/>
        </w:rPr>
        <w:t xml:space="preserve">, </w:t>
      </w:r>
      <w:r w:rsidRPr="006A44C8">
        <w:rPr>
          <w:i/>
          <w:iCs/>
          <w:sz w:val="24"/>
          <w:szCs w:val="24"/>
        </w:rPr>
        <w:t>6</w:t>
      </w:r>
      <w:r w:rsidRPr="00BC4B9A">
        <w:rPr>
          <w:sz w:val="24"/>
          <w:szCs w:val="24"/>
        </w:rPr>
        <w:t>(3), 1217-1224.</w:t>
      </w:r>
    </w:p>
    <w:p w:rsidR="003B5F79" w:rsidRPr="00BC4B9A" w:rsidRDefault="003B5F79" w:rsidP="003B5F79">
      <w:pPr>
        <w:pStyle w:val="BodyText"/>
        <w:ind w:left="567" w:right="175" w:hanging="567"/>
        <w:jc w:val="both"/>
        <w:rPr>
          <w:sz w:val="24"/>
          <w:szCs w:val="24"/>
        </w:rPr>
      </w:pPr>
      <w:r w:rsidRPr="00BC4B9A">
        <w:rPr>
          <w:sz w:val="24"/>
          <w:szCs w:val="24"/>
        </w:rPr>
        <w:t xml:space="preserve">Ascaryan, R. &amp; Timea, G. (2022). Covid-19 pandemic and its impact on household financial behavior in Indonesia. </w:t>
      </w:r>
      <w:r w:rsidRPr="00BC4B9A">
        <w:rPr>
          <w:i/>
          <w:sz w:val="24"/>
          <w:szCs w:val="24"/>
        </w:rPr>
        <w:t>Oradea Journal of Business and Economics, University of Oradea, Faculty of Economic</w:t>
      </w:r>
      <w:r w:rsidRPr="006A44C8">
        <w:rPr>
          <w:i/>
          <w:sz w:val="24"/>
          <w:szCs w:val="24"/>
        </w:rPr>
        <w:t>s, 7</w:t>
      </w:r>
      <w:r w:rsidRPr="00BC4B9A">
        <w:rPr>
          <w:sz w:val="24"/>
          <w:szCs w:val="24"/>
        </w:rPr>
        <w:t>, 77-85.</w:t>
      </w:r>
    </w:p>
    <w:p w:rsidR="003B5F79" w:rsidRPr="00F21745" w:rsidRDefault="003B5F79" w:rsidP="003B5F79">
      <w:pPr>
        <w:pStyle w:val="BodyText"/>
        <w:ind w:left="567" w:right="175" w:hanging="567"/>
        <w:jc w:val="both"/>
        <w:rPr>
          <w:sz w:val="24"/>
          <w:szCs w:val="24"/>
        </w:rPr>
      </w:pPr>
      <w:r w:rsidRPr="00BC4B9A">
        <w:rPr>
          <w:sz w:val="24"/>
          <w:szCs w:val="24"/>
        </w:rPr>
        <w:t xml:space="preserve">Awang, H., Rashid, N. F. A. &amp; Tey, N. P. &amp; Mansor, N. (2020). Factors associated with savings and withdrawals among Employees Provident Fund members. </w:t>
      </w:r>
      <w:r w:rsidRPr="00BC4B9A">
        <w:rPr>
          <w:i/>
          <w:sz w:val="24"/>
          <w:szCs w:val="24"/>
        </w:rPr>
        <w:t xml:space="preserve">Journal of Science &amp; </w:t>
      </w:r>
      <w:r w:rsidRPr="00F21745">
        <w:rPr>
          <w:i/>
          <w:sz w:val="24"/>
          <w:szCs w:val="24"/>
        </w:rPr>
        <w:t xml:space="preserve">Technology Journal of Social Sciences &amp; </w:t>
      </w:r>
      <w:r w:rsidRPr="006A44C8">
        <w:rPr>
          <w:i/>
          <w:sz w:val="24"/>
          <w:szCs w:val="24"/>
        </w:rPr>
        <w:t>Humanities</w:t>
      </w:r>
      <w:r w:rsidRPr="006A44C8">
        <w:rPr>
          <w:sz w:val="24"/>
          <w:szCs w:val="24"/>
        </w:rPr>
        <w:t xml:space="preserve">, </w:t>
      </w:r>
      <w:r w:rsidRPr="006A44C8">
        <w:rPr>
          <w:i/>
          <w:iCs/>
          <w:sz w:val="24"/>
          <w:szCs w:val="24"/>
        </w:rPr>
        <w:t>28</w:t>
      </w:r>
      <w:r w:rsidRPr="00F21745">
        <w:rPr>
          <w:sz w:val="24"/>
          <w:szCs w:val="24"/>
        </w:rPr>
        <w:t>(3), 2239-2263.</w:t>
      </w:r>
    </w:p>
    <w:p w:rsidR="003B5F79" w:rsidRPr="00087940" w:rsidRDefault="003B5F79" w:rsidP="003B5F79">
      <w:pPr>
        <w:pStyle w:val="BodyText"/>
        <w:ind w:left="567" w:right="175" w:hanging="567"/>
        <w:jc w:val="both"/>
        <w:rPr>
          <w:sz w:val="24"/>
          <w:szCs w:val="24"/>
          <w:lang w:val="fi-FI"/>
        </w:rPr>
      </w:pPr>
      <w:r w:rsidRPr="00F21745">
        <w:rPr>
          <w:sz w:val="24"/>
          <w:szCs w:val="24"/>
        </w:rPr>
        <w:t>Bajet Malaysia</w:t>
      </w:r>
      <w:r>
        <w:rPr>
          <w:sz w:val="24"/>
          <w:szCs w:val="24"/>
        </w:rPr>
        <w:t xml:space="preserve"> </w:t>
      </w:r>
      <w:r w:rsidRPr="00F21745">
        <w:rPr>
          <w:sz w:val="24"/>
          <w:szCs w:val="24"/>
        </w:rPr>
        <w:t xml:space="preserve">2015. </w:t>
      </w:r>
      <w:hyperlink r:id="rId9" w:history="1">
        <w:r w:rsidRPr="00087940">
          <w:rPr>
            <w:rStyle w:val="Hyperlink"/>
            <w:color w:val="auto"/>
            <w:sz w:val="24"/>
            <w:szCs w:val="24"/>
            <w:u w:val="none"/>
            <w:lang w:val="fi-FI"/>
          </w:rPr>
          <w:t>https://www.mof.gov.my/portal/arkib/belanjawan/2015/ub15.pdf</w:t>
        </w:r>
      </w:hyperlink>
    </w:p>
    <w:p w:rsidR="003B5F79" w:rsidRPr="00F21745" w:rsidRDefault="003B5F79" w:rsidP="003B5F79">
      <w:pPr>
        <w:pStyle w:val="BodyText"/>
        <w:ind w:left="567" w:right="175" w:hanging="567"/>
        <w:jc w:val="both"/>
        <w:rPr>
          <w:sz w:val="24"/>
          <w:szCs w:val="24"/>
        </w:rPr>
      </w:pPr>
      <w:r w:rsidRPr="00087940">
        <w:rPr>
          <w:sz w:val="24"/>
          <w:szCs w:val="24"/>
          <w:lang w:val="fi-FI"/>
        </w:rPr>
        <w:t xml:space="preserve">Bajet Malaysia 2023. </w:t>
      </w:r>
      <w:r w:rsidR="006B41F7">
        <w:fldChar w:fldCharType="begin"/>
      </w:r>
      <w:r w:rsidR="006B41F7">
        <w:instrText xml:space="preserve"> HYPERLINK "https://budget.mof.gov.my/pdf/2023/ucapan/2023-touchpoint.pdf" </w:instrText>
      </w:r>
      <w:r w:rsidR="006B41F7">
        <w:fldChar w:fldCharType="separate"/>
      </w:r>
      <w:r w:rsidRPr="00F21745">
        <w:rPr>
          <w:rStyle w:val="Hyperlink"/>
          <w:color w:val="auto"/>
          <w:sz w:val="24"/>
          <w:szCs w:val="24"/>
          <w:u w:val="none"/>
        </w:rPr>
        <w:t>https://budget.mof.gov.my/pdf/2023/ucapan/2023-touchpoint.pdf</w:t>
      </w:r>
      <w:r w:rsidR="006B41F7">
        <w:rPr>
          <w:rStyle w:val="Hyperlink"/>
          <w:color w:val="auto"/>
          <w:sz w:val="24"/>
          <w:szCs w:val="24"/>
          <w:u w:val="none"/>
        </w:rPr>
        <w:fldChar w:fldCharType="end"/>
      </w:r>
    </w:p>
    <w:p w:rsidR="003B5F79" w:rsidRPr="00F21745" w:rsidRDefault="003B5F79" w:rsidP="003B5F79">
      <w:pPr>
        <w:pStyle w:val="BodyText"/>
        <w:ind w:left="567" w:right="175" w:hanging="567"/>
        <w:jc w:val="both"/>
        <w:rPr>
          <w:sz w:val="24"/>
          <w:szCs w:val="24"/>
        </w:rPr>
      </w:pPr>
      <w:r w:rsidRPr="00F21745">
        <w:rPr>
          <w:sz w:val="24"/>
          <w:szCs w:val="24"/>
        </w:rPr>
        <w:t xml:space="preserve">Banihani, L. Y. (2020). A study of financial planning and investment of individual. </w:t>
      </w:r>
      <w:r w:rsidRPr="00F21745">
        <w:rPr>
          <w:i/>
          <w:sz w:val="24"/>
          <w:szCs w:val="24"/>
        </w:rPr>
        <w:t>International Journal of Science and Research</w:t>
      </w:r>
      <w:r w:rsidRPr="00F21745">
        <w:rPr>
          <w:sz w:val="24"/>
          <w:szCs w:val="24"/>
        </w:rPr>
        <w:t xml:space="preserve">, </w:t>
      </w:r>
      <w:r w:rsidRPr="006A44C8">
        <w:rPr>
          <w:i/>
          <w:iCs/>
          <w:sz w:val="24"/>
          <w:szCs w:val="24"/>
        </w:rPr>
        <w:t>9</w:t>
      </w:r>
      <w:r w:rsidRPr="00F21745">
        <w:rPr>
          <w:sz w:val="24"/>
          <w:szCs w:val="24"/>
        </w:rPr>
        <w:t>(11), 1268-1272.</w:t>
      </w:r>
    </w:p>
    <w:p w:rsidR="003B5F79" w:rsidRPr="00F21745" w:rsidRDefault="003B5F79" w:rsidP="003B5F79">
      <w:pPr>
        <w:pStyle w:val="BodyText"/>
        <w:ind w:left="567" w:right="175" w:hanging="567"/>
        <w:jc w:val="both"/>
        <w:rPr>
          <w:sz w:val="24"/>
          <w:szCs w:val="24"/>
        </w:rPr>
      </w:pPr>
      <w:r w:rsidRPr="00F21745">
        <w:rPr>
          <w:sz w:val="24"/>
          <w:szCs w:val="24"/>
        </w:rPr>
        <w:t>Bank Negara Malaysia (BNM). (2014). Introduction of New Product. https://www.bnm.gov.my/documents/20124/938039/std_028_5.pdf/ddfb3c29-b09f-0cc1-14e6-caedda7a2b4f?t=1592211098335</w:t>
      </w:r>
    </w:p>
    <w:p w:rsidR="003B5F79" w:rsidRPr="002649AB" w:rsidRDefault="003B5F79" w:rsidP="003B5F79">
      <w:pPr>
        <w:pStyle w:val="BodyText"/>
        <w:ind w:left="567" w:right="175" w:hanging="567"/>
        <w:jc w:val="both"/>
        <w:rPr>
          <w:sz w:val="24"/>
          <w:szCs w:val="24"/>
        </w:rPr>
      </w:pPr>
      <w:bookmarkStart w:id="3" w:name="_Hlk118274069"/>
      <w:r w:rsidRPr="002649AB">
        <w:rPr>
          <w:sz w:val="24"/>
          <w:szCs w:val="24"/>
        </w:rPr>
        <w:t>Bechlioulis, A.P. &amp; Karamanis</w:t>
      </w:r>
      <w:bookmarkEnd w:id="3"/>
      <w:r w:rsidRPr="002649AB">
        <w:rPr>
          <w:sz w:val="24"/>
          <w:szCs w:val="24"/>
        </w:rPr>
        <w:t xml:space="preserve">, D. (2022). Consumers’ changing financial behavior during the COVID-19 lockdown: the case of Internet banking use in Greece. </w:t>
      </w:r>
      <w:r w:rsidRPr="002649AB">
        <w:rPr>
          <w:i/>
          <w:sz w:val="24"/>
          <w:szCs w:val="24"/>
        </w:rPr>
        <w:t>Journal of Financial Services Marketing,</w:t>
      </w:r>
      <w:r w:rsidRPr="002649AB">
        <w:rPr>
          <w:sz w:val="24"/>
          <w:szCs w:val="24"/>
        </w:rPr>
        <w:t xml:space="preserve"> </w:t>
      </w:r>
      <w:hyperlink r:id="rId10" w:history="1">
        <w:r w:rsidRPr="002649AB">
          <w:rPr>
            <w:rStyle w:val="Hyperlink"/>
            <w:color w:val="auto"/>
            <w:sz w:val="24"/>
            <w:szCs w:val="24"/>
            <w:u w:val="none"/>
          </w:rPr>
          <w:t>https://doi.org/10.1057/s41264-022-00159-8</w:t>
        </w:r>
      </w:hyperlink>
    </w:p>
    <w:p w:rsidR="003B5F79" w:rsidRPr="002649AB" w:rsidRDefault="003B5F79" w:rsidP="003B5F79">
      <w:pPr>
        <w:pStyle w:val="BodyText"/>
        <w:ind w:left="567" w:right="175" w:hanging="567"/>
        <w:jc w:val="both"/>
        <w:rPr>
          <w:sz w:val="24"/>
          <w:szCs w:val="24"/>
        </w:rPr>
      </w:pPr>
      <w:r w:rsidRPr="002649AB">
        <w:rPr>
          <w:sz w:val="24"/>
          <w:szCs w:val="24"/>
        </w:rPr>
        <w:t xml:space="preserve">Bettman, J. R. (1973). Perceived risk and its components: A model and empirical test. </w:t>
      </w:r>
      <w:r w:rsidRPr="002649AB">
        <w:rPr>
          <w:i/>
          <w:sz w:val="24"/>
          <w:szCs w:val="24"/>
        </w:rPr>
        <w:t>Journal of Marketing Research</w:t>
      </w:r>
      <w:r w:rsidRPr="002649AB">
        <w:rPr>
          <w:i/>
          <w:iCs/>
          <w:sz w:val="24"/>
          <w:szCs w:val="24"/>
        </w:rPr>
        <w:t>, 10</w:t>
      </w:r>
      <w:r w:rsidRPr="002649AB">
        <w:rPr>
          <w:sz w:val="24"/>
          <w:szCs w:val="24"/>
        </w:rPr>
        <w:t>(2), 184-190.</w:t>
      </w:r>
    </w:p>
    <w:p w:rsidR="003B5F79" w:rsidRPr="00163A44" w:rsidRDefault="003B5F79" w:rsidP="003B5F79">
      <w:pPr>
        <w:pStyle w:val="BodyText"/>
        <w:ind w:left="567" w:right="175" w:hanging="567"/>
        <w:jc w:val="both"/>
        <w:rPr>
          <w:iCs/>
          <w:sz w:val="24"/>
          <w:szCs w:val="24"/>
        </w:rPr>
      </w:pPr>
      <w:r w:rsidRPr="00BD553E">
        <w:rPr>
          <w:sz w:val="24"/>
          <w:szCs w:val="24"/>
        </w:rPr>
        <w:t xml:space="preserve">Biggs, A. T. &amp; Pettijohn, K. A. (2019). Prospect theory and its implications for adversarial decision-making. </w:t>
      </w:r>
      <w:r w:rsidRPr="00BD553E">
        <w:rPr>
          <w:i/>
          <w:iCs/>
          <w:sz w:val="24"/>
          <w:szCs w:val="24"/>
        </w:rPr>
        <w:t xml:space="preserve">The </w:t>
      </w:r>
      <w:r w:rsidRPr="00BD553E">
        <w:rPr>
          <w:i/>
          <w:sz w:val="24"/>
          <w:szCs w:val="24"/>
        </w:rPr>
        <w:t>Journal of Defense Modeling and Simulation, 18</w:t>
      </w:r>
      <w:r w:rsidRPr="00BD553E">
        <w:rPr>
          <w:iCs/>
          <w:sz w:val="24"/>
          <w:szCs w:val="24"/>
        </w:rPr>
        <w:t xml:space="preserve">(2), </w:t>
      </w:r>
      <w:r w:rsidRPr="00BD553E">
        <w:rPr>
          <w:iCs/>
          <w:sz w:val="24"/>
          <w:szCs w:val="24"/>
        </w:rPr>
        <w:lastRenderedPageBreak/>
        <w:t>154851291984044.</w:t>
      </w:r>
    </w:p>
    <w:p w:rsidR="003B5F79" w:rsidRDefault="003B5F79" w:rsidP="003B5F79">
      <w:pPr>
        <w:pStyle w:val="BodyText"/>
        <w:ind w:left="567" w:right="175" w:hanging="567"/>
        <w:jc w:val="both"/>
        <w:rPr>
          <w:sz w:val="24"/>
          <w:szCs w:val="24"/>
        </w:rPr>
      </w:pPr>
      <w:r w:rsidRPr="00BC4B9A">
        <w:rPr>
          <w:sz w:val="24"/>
          <w:szCs w:val="24"/>
        </w:rPr>
        <w:t xml:space="preserve">Cagamas. (2013). </w:t>
      </w:r>
      <w:r w:rsidRPr="003B19F2">
        <w:rPr>
          <w:i/>
          <w:iCs/>
          <w:sz w:val="24"/>
          <w:szCs w:val="24"/>
        </w:rPr>
        <w:t>Housing the nation: Policies, issues and prospects</w:t>
      </w:r>
      <w:r w:rsidRPr="00BC4B9A">
        <w:rPr>
          <w:sz w:val="24"/>
          <w:szCs w:val="24"/>
        </w:rPr>
        <w:t>. Kuala Lumpur: Cagamas Holding Berhad.</w:t>
      </w:r>
    </w:p>
    <w:p w:rsidR="00D90C80" w:rsidRDefault="00D90C80" w:rsidP="00D90C80">
      <w:pPr>
        <w:spacing w:after="0" w:line="240" w:lineRule="auto"/>
        <w:ind w:leftChars="1" w:left="566" w:right="177" w:hangingChars="235" w:hanging="564"/>
        <w:jc w:val="both"/>
        <w:rPr>
          <w:rFonts w:ascii="Times New Roman" w:hAnsi="Times New Roman" w:cs="Times New Roman"/>
          <w:sz w:val="24"/>
          <w:szCs w:val="24"/>
        </w:rPr>
      </w:pPr>
      <w:r w:rsidRPr="00BC4B9A">
        <w:rPr>
          <w:rFonts w:ascii="Times New Roman" w:hAnsi="Times New Roman" w:cs="Times New Roman"/>
          <w:sz w:val="24"/>
          <w:szCs w:val="24"/>
        </w:rPr>
        <w:t xml:space="preserve">Chieffe, N. &amp; Rakes, G. K. (1999). An integrated model for financial planning. </w:t>
      </w:r>
      <w:r w:rsidRPr="00BC4B9A">
        <w:rPr>
          <w:rFonts w:ascii="Times New Roman" w:hAnsi="Times New Roman" w:cs="Times New Roman"/>
          <w:i/>
          <w:sz w:val="24"/>
          <w:szCs w:val="24"/>
        </w:rPr>
        <w:t>Financial Services Review</w:t>
      </w:r>
      <w:r w:rsidRPr="00BC4B9A">
        <w:rPr>
          <w:rFonts w:ascii="Times New Roman" w:hAnsi="Times New Roman" w:cs="Times New Roman"/>
          <w:sz w:val="24"/>
          <w:szCs w:val="24"/>
        </w:rPr>
        <w:t xml:space="preserve">, </w:t>
      </w:r>
      <w:r w:rsidRPr="0075250F">
        <w:rPr>
          <w:rFonts w:ascii="Times New Roman" w:hAnsi="Times New Roman" w:cs="Times New Roman"/>
          <w:i/>
          <w:iCs/>
          <w:sz w:val="24"/>
          <w:szCs w:val="24"/>
        </w:rPr>
        <w:t>8</w:t>
      </w:r>
      <w:r w:rsidRPr="00BC4B9A">
        <w:rPr>
          <w:rFonts w:ascii="Times New Roman" w:hAnsi="Times New Roman" w:cs="Times New Roman"/>
          <w:sz w:val="24"/>
          <w:szCs w:val="24"/>
        </w:rPr>
        <w:t>(4), 261-268.</w:t>
      </w:r>
    </w:p>
    <w:p w:rsidR="003B5F79" w:rsidRDefault="003B5F79" w:rsidP="003B5F79">
      <w:pPr>
        <w:pStyle w:val="BodyText"/>
        <w:ind w:left="567" w:right="175" w:hanging="567"/>
        <w:jc w:val="both"/>
        <w:rPr>
          <w:color w:val="000000"/>
          <w:sz w:val="24"/>
          <w:szCs w:val="24"/>
        </w:rPr>
      </w:pPr>
      <w:r w:rsidRPr="00411B47">
        <w:rPr>
          <w:color w:val="000000"/>
          <w:sz w:val="24"/>
          <w:szCs w:val="24"/>
        </w:rPr>
        <w:t xml:space="preserve">Chow, Y. F. (2023). Financial freedom, final fantasy, ‘formative ageing’: A study of ageing single women and retirement in contemporary China. </w:t>
      </w:r>
      <w:r w:rsidRPr="00411B47">
        <w:rPr>
          <w:i/>
          <w:color w:val="000000"/>
          <w:sz w:val="24"/>
          <w:szCs w:val="24"/>
        </w:rPr>
        <w:t xml:space="preserve">Journal of Agimg Studies, </w:t>
      </w:r>
      <w:r w:rsidRPr="00411B47">
        <w:rPr>
          <w:color w:val="000000"/>
          <w:sz w:val="24"/>
          <w:szCs w:val="24"/>
        </w:rPr>
        <w:t>64, 101096.</w:t>
      </w:r>
    </w:p>
    <w:p w:rsidR="003B5F79" w:rsidRPr="00BC4B9A" w:rsidRDefault="003B5F79" w:rsidP="003B5F79">
      <w:pPr>
        <w:pStyle w:val="BodyText"/>
        <w:ind w:left="567" w:right="175" w:hanging="567"/>
        <w:jc w:val="both"/>
        <w:rPr>
          <w:sz w:val="24"/>
          <w:szCs w:val="24"/>
        </w:rPr>
      </w:pPr>
      <w:r w:rsidRPr="00BC4B9A">
        <w:rPr>
          <w:sz w:val="24"/>
          <w:szCs w:val="24"/>
        </w:rPr>
        <w:t xml:space="preserve">Claudia, E. Y. &amp; Thiago, B. R. (2014). Behavioral Finance in Brazil: applying the prospect theory to potential investors. </w:t>
      </w:r>
      <w:r w:rsidRPr="00BC4B9A">
        <w:rPr>
          <w:i/>
          <w:sz w:val="24"/>
          <w:szCs w:val="24"/>
        </w:rPr>
        <w:t>Review of Business Management,</w:t>
      </w:r>
      <w:r w:rsidRPr="003B19F2">
        <w:rPr>
          <w:i/>
          <w:iCs/>
          <w:sz w:val="24"/>
          <w:szCs w:val="24"/>
        </w:rPr>
        <w:t xml:space="preserve"> 16</w:t>
      </w:r>
      <w:r w:rsidRPr="00BC4B9A">
        <w:rPr>
          <w:sz w:val="24"/>
          <w:szCs w:val="24"/>
        </w:rPr>
        <w:t>(53), 594-615.</w:t>
      </w:r>
    </w:p>
    <w:p w:rsidR="003B5F79" w:rsidRPr="00BC4B9A" w:rsidRDefault="003B5F79" w:rsidP="003B5F79">
      <w:pPr>
        <w:pStyle w:val="BodyText"/>
        <w:ind w:left="567" w:right="175" w:hanging="567"/>
        <w:jc w:val="both"/>
        <w:rPr>
          <w:sz w:val="24"/>
          <w:szCs w:val="24"/>
        </w:rPr>
      </w:pPr>
      <w:r w:rsidRPr="00BC4B9A">
        <w:rPr>
          <w:sz w:val="24"/>
          <w:szCs w:val="24"/>
        </w:rPr>
        <w:t>Croy, G., Gerrans, P. &amp; Speelman, C. (2010). The role and relevance of domain knowledge, perceptions of planning importance, and risk tolerance in predicting savings intentions</w:t>
      </w:r>
      <w:r w:rsidRPr="00BC4B9A">
        <w:rPr>
          <w:i/>
          <w:sz w:val="24"/>
          <w:szCs w:val="24"/>
        </w:rPr>
        <w:t>. Journal of Economic Psychology</w:t>
      </w:r>
      <w:r w:rsidRPr="00BC4B9A">
        <w:rPr>
          <w:sz w:val="24"/>
          <w:szCs w:val="24"/>
        </w:rPr>
        <w:t xml:space="preserve">, </w:t>
      </w:r>
      <w:r w:rsidRPr="003B19F2">
        <w:rPr>
          <w:i/>
          <w:iCs/>
          <w:sz w:val="24"/>
          <w:szCs w:val="24"/>
        </w:rPr>
        <w:t>31</w:t>
      </w:r>
      <w:r w:rsidRPr="00BC4B9A">
        <w:rPr>
          <w:sz w:val="24"/>
          <w:szCs w:val="24"/>
        </w:rPr>
        <w:t>, 860-871.</w:t>
      </w:r>
    </w:p>
    <w:p w:rsidR="003B5F79" w:rsidRPr="00BC4B9A" w:rsidRDefault="003B5F79" w:rsidP="003B5F79">
      <w:pPr>
        <w:pStyle w:val="BodyText"/>
        <w:ind w:left="567" w:right="175" w:hanging="567"/>
        <w:jc w:val="both"/>
        <w:rPr>
          <w:sz w:val="24"/>
          <w:szCs w:val="24"/>
        </w:rPr>
      </w:pPr>
      <w:r w:rsidRPr="00BC4B9A">
        <w:rPr>
          <w:sz w:val="24"/>
          <w:szCs w:val="24"/>
        </w:rPr>
        <w:t xml:space="preserve">Cull, M. (2009). The rise of the financial planning industry. </w:t>
      </w:r>
      <w:r w:rsidRPr="00BC4B9A">
        <w:rPr>
          <w:i/>
          <w:sz w:val="24"/>
          <w:szCs w:val="24"/>
        </w:rPr>
        <w:t>Australasian Accounting Business and Finance Journal</w:t>
      </w:r>
      <w:r w:rsidRPr="003B19F2">
        <w:rPr>
          <w:i/>
          <w:sz w:val="24"/>
          <w:szCs w:val="24"/>
        </w:rPr>
        <w:t>, 3</w:t>
      </w:r>
      <w:r w:rsidRPr="00BC4B9A">
        <w:rPr>
          <w:sz w:val="24"/>
          <w:szCs w:val="24"/>
        </w:rPr>
        <w:t>(1), 26-37.</w:t>
      </w:r>
    </w:p>
    <w:p w:rsidR="003B5F79" w:rsidRPr="00BC4B9A" w:rsidRDefault="003B5F79" w:rsidP="003B5F79">
      <w:pPr>
        <w:pStyle w:val="BodyText"/>
        <w:ind w:left="567" w:right="175" w:hanging="567"/>
        <w:jc w:val="both"/>
        <w:rPr>
          <w:sz w:val="24"/>
          <w:szCs w:val="24"/>
        </w:rPr>
      </w:pPr>
      <w:r w:rsidRPr="00BC4B9A">
        <w:rPr>
          <w:sz w:val="24"/>
          <w:szCs w:val="24"/>
        </w:rPr>
        <w:t xml:space="preserve">Erdogan, H. H. (2020). Does Prospect Theory explain investment decisions: A comparative </w:t>
      </w:r>
      <w:proofErr w:type="gramStart"/>
      <w:r w:rsidRPr="00BC4B9A">
        <w:rPr>
          <w:sz w:val="24"/>
          <w:szCs w:val="24"/>
        </w:rPr>
        <w:t>study.</w:t>
      </w:r>
      <w:proofErr w:type="gramEnd"/>
      <w:r w:rsidRPr="00BC4B9A">
        <w:rPr>
          <w:sz w:val="24"/>
          <w:szCs w:val="24"/>
        </w:rPr>
        <w:t xml:space="preserve"> </w:t>
      </w:r>
      <w:r w:rsidRPr="00BC4B9A">
        <w:rPr>
          <w:i/>
          <w:sz w:val="24"/>
          <w:szCs w:val="24"/>
        </w:rPr>
        <w:t>Journal of Management and Economics Studies</w:t>
      </w:r>
      <w:r w:rsidRPr="003B19F2">
        <w:rPr>
          <w:i/>
          <w:iCs/>
          <w:sz w:val="24"/>
          <w:szCs w:val="24"/>
        </w:rPr>
        <w:t>, 2</w:t>
      </w:r>
      <w:r w:rsidRPr="00BC4B9A">
        <w:rPr>
          <w:sz w:val="24"/>
          <w:szCs w:val="24"/>
        </w:rPr>
        <w:t>(4)</w:t>
      </w:r>
      <w:r>
        <w:rPr>
          <w:sz w:val="24"/>
          <w:szCs w:val="24"/>
        </w:rPr>
        <w:t>,</w:t>
      </w:r>
      <w:r w:rsidRPr="00BC4B9A">
        <w:rPr>
          <w:sz w:val="24"/>
          <w:szCs w:val="24"/>
        </w:rPr>
        <w:t xml:space="preserve"> 188-197.</w:t>
      </w:r>
    </w:p>
    <w:p w:rsidR="003B5F79" w:rsidRDefault="003B5F79" w:rsidP="003B5F79">
      <w:pPr>
        <w:pStyle w:val="BodyText"/>
        <w:ind w:left="567" w:right="175" w:hanging="567"/>
        <w:jc w:val="both"/>
        <w:rPr>
          <w:sz w:val="24"/>
          <w:szCs w:val="24"/>
        </w:rPr>
      </w:pPr>
      <w:r w:rsidRPr="00BC4B9A">
        <w:rPr>
          <w:sz w:val="24"/>
          <w:szCs w:val="24"/>
        </w:rPr>
        <w:t xml:space="preserve">Grozdanovska, V., Bojkovska, K. &amp; Jankulovski, N. (2017). Financial Management and financial planning in the organizations. </w:t>
      </w:r>
      <w:r w:rsidRPr="00BC4B9A">
        <w:rPr>
          <w:i/>
          <w:sz w:val="24"/>
          <w:szCs w:val="24"/>
        </w:rPr>
        <w:t>European Journal of Business and Management</w:t>
      </w:r>
      <w:r w:rsidRPr="00BC4B9A">
        <w:rPr>
          <w:sz w:val="24"/>
          <w:szCs w:val="24"/>
        </w:rPr>
        <w:t xml:space="preserve">, </w:t>
      </w:r>
      <w:r w:rsidRPr="003B19F2">
        <w:rPr>
          <w:i/>
          <w:iCs/>
          <w:sz w:val="24"/>
          <w:szCs w:val="24"/>
        </w:rPr>
        <w:t>9</w:t>
      </w:r>
      <w:r w:rsidRPr="00BC4B9A">
        <w:rPr>
          <w:sz w:val="24"/>
          <w:szCs w:val="24"/>
        </w:rPr>
        <w:t>(2)</w:t>
      </w:r>
      <w:r>
        <w:rPr>
          <w:sz w:val="24"/>
          <w:szCs w:val="24"/>
        </w:rPr>
        <w:t>,</w:t>
      </w:r>
      <w:r w:rsidRPr="00BC4B9A">
        <w:rPr>
          <w:sz w:val="24"/>
          <w:szCs w:val="24"/>
        </w:rPr>
        <w:t xml:space="preserve"> 120-125.</w:t>
      </w:r>
      <w:r>
        <w:rPr>
          <w:sz w:val="24"/>
          <w:szCs w:val="24"/>
        </w:rPr>
        <w:t xml:space="preserve"> </w:t>
      </w:r>
    </w:p>
    <w:p w:rsidR="003B5F79" w:rsidRPr="009E15DE" w:rsidRDefault="003B5F79" w:rsidP="003B5F79">
      <w:pPr>
        <w:pStyle w:val="BodyText"/>
        <w:ind w:left="567" w:right="175" w:hanging="567"/>
        <w:jc w:val="both"/>
        <w:rPr>
          <w:sz w:val="24"/>
          <w:szCs w:val="24"/>
        </w:rPr>
      </w:pPr>
      <w:r w:rsidRPr="009E15DE">
        <w:rPr>
          <w:sz w:val="24"/>
          <w:szCs w:val="24"/>
        </w:rPr>
        <w:t xml:space="preserve">Guerra-Leal, E. M., Arredondo-Trapero, F. G. &amp; Vazques-Parra, J. C. (2023). Financial inclusion and digital banking on an emergent economy. </w:t>
      </w:r>
      <w:r w:rsidRPr="004C04FE">
        <w:rPr>
          <w:i/>
          <w:iCs/>
          <w:sz w:val="24"/>
          <w:szCs w:val="24"/>
        </w:rPr>
        <w:t>Review of Behavioral Finance, 15</w:t>
      </w:r>
      <w:r w:rsidRPr="009E15DE">
        <w:rPr>
          <w:sz w:val="24"/>
          <w:szCs w:val="24"/>
        </w:rPr>
        <w:t>(2), 257-272.</w:t>
      </w:r>
    </w:p>
    <w:p w:rsidR="003B5F79" w:rsidRPr="00F21745" w:rsidRDefault="003B5F79" w:rsidP="003B5F79">
      <w:pPr>
        <w:pStyle w:val="BodyText"/>
        <w:ind w:left="567" w:right="175" w:hanging="567"/>
        <w:jc w:val="both"/>
        <w:rPr>
          <w:sz w:val="24"/>
          <w:szCs w:val="24"/>
        </w:rPr>
      </w:pPr>
      <w:r w:rsidRPr="00EA63DE">
        <w:rPr>
          <w:sz w:val="24"/>
          <w:szCs w:val="24"/>
        </w:rPr>
        <w:t xml:space="preserve">Hua, G., Yang, Z., Peng, Y., Tong, L. &amp; Hong, W. (2022). Does Covid-19 affect household financial behaviors? Fresh evidence from China. </w:t>
      </w:r>
      <w:r w:rsidRPr="00EA63DE">
        <w:rPr>
          <w:i/>
          <w:sz w:val="24"/>
          <w:szCs w:val="24"/>
        </w:rPr>
        <w:t>SAGE Open</w:t>
      </w:r>
      <w:r w:rsidRPr="00EA63DE">
        <w:rPr>
          <w:sz w:val="24"/>
          <w:szCs w:val="24"/>
        </w:rPr>
        <w:t xml:space="preserve">¸ 12(3), 21582440221 </w:t>
      </w:r>
      <w:hyperlink r:id="rId11" w:history="1">
        <w:r w:rsidRPr="00EA63DE">
          <w:rPr>
            <w:rStyle w:val="Hyperlink"/>
            <w:color w:val="auto"/>
            <w:sz w:val="24"/>
            <w:szCs w:val="24"/>
            <w:u w:val="none"/>
          </w:rPr>
          <w:t>https://doi.org/10.1177/21582440221119481</w:t>
        </w:r>
      </w:hyperlink>
    </w:p>
    <w:p w:rsidR="003B5F79" w:rsidRPr="00F21745" w:rsidRDefault="003B5F79" w:rsidP="003B5F79">
      <w:pPr>
        <w:pStyle w:val="BodyText"/>
        <w:ind w:left="567" w:right="175" w:hanging="567"/>
        <w:jc w:val="both"/>
        <w:rPr>
          <w:sz w:val="24"/>
          <w:szCs w:val="24"/>
        </w:rPr>
      </w:pPr>
      <w:r w:rsidRPr="00F21745">
        <w:rPr>
          <w:sz w:val="24"/>
          <w:szCs w:val="24"/>
        </w:rPr>
        <w:t xml:space="preserve">Jabatan Perangkaan Malaysia 2021. </w:t>
      </w:r>
      <w:hyperlink r:id="rId12" w:history="1">
        <w:r w:rsidRPr="00F21745">
          <w:rPr>
            <w:rStyle w:val="Hyperlink"/>
            <w:color w:val="auto"/>
            <w:sz w:val="24"/>
            <w:szCs w:val="24"/>
            <w:u w:val="none"/>
          </w:rPr>
          <w:t>https://www.dosm.gov.my/v1/uploads/files/5_Gallery/2_Media/4_Stats%40media/4-Press_Statement/2021/7.%20Julai/PENERBITAN%20JADUAL%20HAYAT%20RINGKAS%2C%20MALAYSIA%2C%202019-2021-COMBINE.pdf</w:t>
        </w:r>
      </w:hyperlink>
    </w:p>
    <w:p w:rsidR="003B5F79" w:rsidRPr="00087940" w:rsidRDefault="003B5F79" w:rsidP="003B5F79">
      <w:pPr>
        <w:pStyle w:val="BodyText"/>
        <w:ind w:left="567" w:right="175" w:hanging="567"/>
        <w:jc w:val="both"/>
        <w:rPr>
          <w:sz w:val="24"/>
          <w:szCs w:val="24"/>
          <w:lang w:val="fi-FI"/>
        </w:rPr>
      </w:pPr>
      <w:r w:rsidRPr="00087940">
        <w:rPr>
          <w:sz w:val="24"/>
          <w:szCs w:val="24"/>
          <w:lang w:val="fi-FI"/>
        </w:rPr>
        <w:t xml:space="preserve">Jabatan Perangkaan Malaysia 2022. </w:t>
      </w:r>
      <w:hyperlink r:id="rId13" w:history="1">
        <w:r w:rsidRPr="00087940">
          <w:rPr>
            <w:rStyle w:val="Hyperlink"/>
            <w:color w:val="auto"/>
            <w:sz w:val="24"/>
            <w:szCs w:val="24"/>
            <w:u w:val="none"/>
            <w:lang w:val="fi-FI"/>
          </w:rPr>
          <w:t>https://dosm.gov.my/v1/index.php?r=column/cthemeByCat&amp;cat=90&amp;bul_id=QXczQ3l1L0RjNTlrNVFVaXBhand5UT09&amp;menu_id=SjgwNXdiM0JlT3Q2TDBlWXdKdUVldz09</w:t>
        </w:r>
      </w:hyperlink>
    </w:p>
    <w:p w:rsidR="003B5F79" w:rsidRPr="00BC4B9A" w:rsidRDefault="003B5F79" w:rsidP="003B5F79">
      <w:pPr>
        <w:pStyle w:val="BodyText"/>
        <w:ind w:left="567" w:right="175" w:hanging="567"/>
        <w:jc w:val="both"/>
        <w:rPr>
          <w:sz w:val="24"/>
          <w:szCs w:val="24"/>
        </w:rPr>
      </w:pPr>
      <w:r w:rsidRPr="00087940">
        <w:rPr>
          <w:sz w:val="24"/>
          <w:szCs w:val="24"/>
          <w:lang w:val="fi-FI"/>
        </w:rPr>
        <w:t xml:space="preserve">Kamran, H. W., Qaisar, A. &amp; Sultana, N. (2020). </w:t>
      </w:r>
      <w:r w:rsidRPr="00BC4B9A">
        <w:rPr>
          <w:sz w:val="24"/>
          <w:szCs w:val="24"/>
        </w:rPr>
        <w:t>Factors influencing the investor’s decision making: The moderating role of locus of control</w:t>
      </w:r>
      <w:r w:rsidRPr="00BC4B9A">
        <w:rPr>
          <w:i/>
          <w:sz w:val="24"/>
          <w:szCs w:val="24"/>
        </w:rPr>
        <w:t>. Journal of Asian Finance, Economics and Business</w:t>
      </w:r>
      <w:r w:rsidRPr="00BC4B9A">
        <w:rPr>
          <w:sz w:val="24"/>
          <w:szCs w:val="24"/>
        </w:rPr>
        <w:t xml:space="preserve">, </w:t>
      </w:r>
      <w:r w:rsidRPr="004C04FE">
        <w:rPr>
          <w:i/>
          <w:iCs/>
          <w:sz w:val="24"/>
          <w:szCs w:val="24"/>
        </w:rPr>
        <w:t>7</w:t>
      </w:r>
      <w:r w:rsidRPr="00BC4B9A">
        <w:rPr>
          <w:sz w:val="24"/>
          <w:szCs w:val="24"/>
        </w:rPr>
        <w:t>(12), 535-543.</w:t>
      </w:r>
    </w:p>
    <w:p w:rsidR="003B5F79" w:rsidRDefault="003B5F79" w:rsidP="003B5F79">
      <w:pPr>
        <w:pStyle w:val="BodyText"/>
        <w:ind w:left="567" w:right="175" w:hanging="567"/>
        <w:jc w:val="both"/>
        <w:rPr>
          <w:sz w:val="24"/>
          <w:szCs w:val="24"/>
        </w:rPr>
      </w:pPr>
      <w:r w:rsidRPr="00BC4B9A">
        <w:rPr>
          <w:sz w:val="24"/>
          <w:szCs w:val="24"/>
        </w:rPr>
        <w:t xml:space="preserve">Kabra, G., Mishra, P. K. &amp; Dash, M. K. (2010). Factors influencing investment decision of generations in India: An econometric study. </w:t>
      </w:r>
      <w:r w:rsidRPr="00BC4B9A">
        <w:rPr>
          <w:i/>
          <w:sz w:val="24"/>
          <w:szCs w:val="24"/>
        </w:rPr>
        <w:t>Asian Journal of Management Research</w:t>
      </w:r>
      <w:r w:rsidRPr="00BC4B9A">
        <w:rPr>
          <w:sz w:val="24"/>
          <w:szCs w:val="24"/>
        </w:rPr>
        <w:t xml:space="preserve">, </w:t>
      </w:r>
      <w:r w:rsidRPr="004C04FE">
        <w:rPr>
          <w:i/>
          <w:iCs/>
          <w:sz w:val="24"/>
          <w:szCs w:val="24"/>
        </w:rPr>
        <w:t>1</w:t>
      </w:r>
      <w:r w:rsidRPr="00BC4B9A">
        <w:rPr>
          <w:sz w:val="24"/>
          <w:szCs w:val="24"/>
        </w:rPr>
        <w:t>(1), 15-26.</w:t>
      </w:r>
    </w:p>
    <w:p w:rsidR="003B5F79" w:rsidRDefault="003B5F79" w:rsidP="003B5F79">
      <w:pPr>
        <w:pStyle w:val="BodyText"/>
        <w:ind w:left="567" w:right="175" w:hanging="567"/>
        <w:jc w:val="both"/>
        <w:rPr>
          <w:sz w:val="24"/>
          <w:szCs w:val="24"/>
        </w:rPr>
      </w:pPr>
      <w:r w:rsidRPr="00BC4B9A">
        <w:rPr>
          <w:sz w:val="24"/>
          <w:szCs w:val="24"/>
        </w:rPr>
        <w:t xml:space="preserve">Khoong, T. W. (2014). A practical comparison between conventional housing loans and Islamic home financing. </w:t>
      </w:r>
      <w:r w:rsidRPr="00BC4B9A">
        <w:rPr>
          <w:i/>
          <w:sz w:val="24"/>
          <w:szCs w:val="24"/>
        </w:rPr>
        <w:t xml:space="preserve">Journal of Wealth Management &amp; Financial Planning, </w:t>
      </w:r>
      <w:r w:rsidRPr="004C04FE">
        <w:rPr>
          <w:i/>
          <w:iCs/>
          <w:sz w:val="24"/>
          <w:szCs w:val="24"/>
        </w:rPr>
        <w:t>1</w:t>
      </w:r>
      <w:r w:rsidRPr="00BC4B9A">
        <w:rPr>
          <w:sz w:val="24"/>
          <w:szCs w:val="24"/>
        </w:rPr>
        <w:t>, 4-11.</w:t>
      </w:r>
    </w:p>
    <w:p w:rsidR="003B5F79" w:rsidRDefault="003B5F79" w:rsidP="003B5F79">
      <w:pPr>
        <w:pStyle w:val="BodyText"/>
        <w:ind w:left="567" w:right="175" w:hanging="567"/>
        <w:jc w:val="both"/>
        <w:rPr>
          <w:sz w:val="24"/>
          <w:szCs w:val="24"/>
        </w:rPr>
      </w:pPr>
      <w:r w:rsidRPr="00BC4B9A">
        <w:rPr>
          <w:sz w:val="24"/>
          <w:szCs w:val="24"/>
        </w:rPr>
        <w:t xml:space="preserve">Khoong, T.W. (2015). Evidence of behavioral finance theory in financial planning: An empirical study of the Employees Provident Fund (EPF) retirement scheme in Malaysia. </w:t>
      </w:r>
      <w:r w:rsidRPr="00BC4B9A">
        <w:rPr>
          <w:i/>
          <w:sz w:val="24"/>
          <w:szCs w:val="24"/>
        </w:rPr>
        <w:t xml:space="preserve">Journal of Wealth Management &amp; Financial Planning, </w:t>
      </w:r>
      <w:r w:rsidRPr="00BC4B9A">
        <w:rPr>
          <w:sz w:val="24"/>
          <w:szCs w:val="24"/>
        </w:rPr>
        <w:t>2,</w:t>
      </w:r>
      <w:r w:rsidRPr="00BC4B9A">
        <w:rPr>
          <w:b/>
          <w:spacing w:val="-4"/>
          <w:sz w:val="24"/>
          <w:szCs w:val="24"/>
        </w:rPr>
        <w:t xml:space="preserve"> </w:t>
      </w:r>
      <w:r w:rsidRPr="00BC4B9A">
        <w:rPr>
          <w:sz w:val="24"/>
          <w:szCs w:val="24"/>
        </w:rPr>
        <w:t>3-16.</w:t>
      </w:r>
    </w:p>
    <w:p w:rsidR="003B5F79" w:rsidRDefault="003B5F79" w:rsidP="003B5F79">
      <w:pPr>
        <w:pStyle w:val="BodyText"/>
        <w:ind w:left="567" w:right="175" w:hanging="567"/>
        <w:jc w:val="both"/>
        <w:rPr>
          <w:sz w:val="24"/>
          <w:szCs w:val="24"/>
        </w:rPr>
      </w:pPr>
      <w:r w:rsidRPr="00BC4B9A">
        <w:rPr>
          <w:sz w:val="24"/>
          <w:szCs w:val="24"/>
        </w:rPr>
        <w:t xml:space="preserve">Khoong, T. W. (2016). Perancangan kewangan dan aplikasi teori tingkah laku kewangan dan </w:t>
      </w:r>
      <w:r w:rsidRPr="00BC4B9A">
        <w:rPr>
          <w:sz w:val="24"/>
          <w:szCs w:val="24"/>
        </w:rPr>
        <w:lastRenderedPageBreak/>
        <w:t xml:space="preserve">teori keperluan Maslow: Kajian kes KWSP di Malaysia. </w:t>
      </w:r>
      <w:r w:rsidRPr="004C04FE">
        <w:rPr>
          <w:i/>
          <w:sz w:val="24"/>
          <w:szCs w:val="24"/>
        </w:rPr>
        <w:t>GEOGRAFIA Online Malaysian Journal of Society and Space, 12</w:t>
      </w:r>
      <w:r w:rsidRPr="00BC4B9A">
        <w:rPr>
          <w:sz w:val="24"/>
          <w:szCs w:val="24"/>
        </w:rPr>
        <w:t>(8), 10-21.</w:t>
      </w:r>
    </w:p>
    <w:p w:rsidR="003B5F79" w:rsidRPr="00BC4B9A" w:rsidRDefault="003B5F79" w:rsidP="003B5F79">
      <w:pPr>
        <w:pStyle w:val="BodyText"/>
        <w:ind w:left="567" w:right="175" w:hanging="567"/>
        <w:jc w:val="both"/>
        <w:rPr>
          <w:sz w:val="24"/>
          <w:szCs w:val="24"/>
        </w:rPr>
      </w:pPr>
      <w:r w:rsidRPr="00BC4B9A">
        <w:rPr>
          <w:sz w:val="24"/>
          <w:szCs w:val="24"/>
        </w:rPr>
        <w:t>Jabatan Kebajikan Masyarakat. (2014) Dasar Warga Emas Negara. http://www.jkm.gov.my/file/file/pdf/dasar_warga_emas_negara.pdf</w:t>
      </w:r>
    </w:p>
    <w:p w:rsidR="003B5F79" w:rsidRPr="00087940" w:rsidRDefault="003B5F79" w:rsidP="003B5F79">
      <w:pPr>
        <w:spacing w:after="0" w:line="240" w:lineRule="auto"/>
        <w:ind w:leftChars="1" w:left="566" w:right="177" w:hangingChars="235" w:hanging="564"/>
        <w:jc w:val="both"/>
        <w:rPr>
          <w:rFonts w:ascii="Times New Roman" w:hAnsi="Times New Roman" w:cs="Times New Roman"/>
          <w:sz w:val="24"/>
          <w:szCs w:val="24"/>
          <w:lang w:val="fi-FI"/>
        </w:rPr>
      </w:pPr>
      <w:r w:rsidRPr="00087940">
        <w:rPr>
          <w:rFonts w:ascii="Times New Roman" w:hAnsi="Times New Roman" w:cs="Times New Roman"/>
          <w:sz w:val="24"/>
          <w:szCs w:val="24"/>
          <w:lang w:val="fi-FI"/>
        </w:rPr>
        <w:t xml:space="preserve">Laporan Jabatan Kebajikan Malaysia. (2018) </w:t>
      </w:r>
      <w:hyperlink r:id="rId14" w:history="1">
        <w:r w:rsidRPr="00087940">
          <w:rPr>
            <w:rStyle w:val="Hyperlink"/>
            <w:rFonts w:ascii="Times New Roman" w:hAnsi="Times New Roman" w:cs="Times New Roman"/>
            <w:color w:val="auto"/>
            <w:sz w:val="24"/>
            <w:szCs w:val="24"/>
            <w:u w:val="none"/>
            <w:lang w:val="fi-FI"/>
          </w:rPr>
          <w:t>https://www.jkm.gov.my/jkm/index.php?r=portal%2Flist&amp;id=R3FNa05sRjVTWUc5dy80VEUxU2VNQT09&amp;title=warga+emas&amp;year=&amp;month</w:t>
        </w:r>
      </w:hyperlink>
      <w:r w:rsidRPr="00087940">
        <w:rPr>
          <w:rFonts w:ascii="Times New Roman" w:hAnsi="Times New Roman" w:cs="Times New Roman"/>
          <w:sz w:val="24"/>
          <w:szCs w:val="24"/>
          <w:lang w:val="fi-FI"/>
        </w:rPr>
        <w:t>=</w:t>
      </w:r>
    </w:p>
    <w:p w:rsidR="003B5F79" w:rsidRPr="00087940" w:rsidRDefault="003B5F79" w:rsidP="003B5F79">
      <w:pPr>
        <w:spacing w:after="0" w:line="240" w:lineRule="auto"/>
        <w:ind w:leftChars="1" w:left="566" w:right="177" w:hangingChars="235" w:hanging="564"/>
        <w:jc w:val="both"/>
        <w:rPr>
          <w:rFonts w:ascii="Times New Roman" w:hAnsi="Times New Roman" w:cs="Times New Roman"/>
          <w:sz w:val="24"/>
          <w:szCs w:val="24"/>
          <w:lang w:val="fi-FI"/>
        </w:rPr>
      </w:pPr>
      <w:r w:rsidRPr="00087940">
        <w:rPr>
          <w:rFonts w:ascii="Times New Roman" w:hAnsi="Times New Roman" w:cs="Times New Roman"/>
          <w:sz w:val="24"/>
          <w:szCs w:val="24"/>
          <w:lang w:val="fi-FI"/>
        </w:rPr>
        <w:t xml:space="preserve">Laporan Tahunan Skim KWSP 2021. </w:t>
      </w:r>
      <w:hyperlink r:id="rId15" w:history="1">
        <w:r w:rsidRPr="00087940">
          <w:rPr>
            <w:rStyle w:val="Hyperlink"/>
            <w:rFonts w:ascii="Times New Roman" w:hAnsi="Times New Roman" w:cs="Times New Roman"/>
            <w:color w:val="auto"/>
            <w:sz w:val="24"/>
            <w:szCs w:val="24"/>
            <w:u w:val="none"/>
            <w:lang w:val="fi-FI"/>
          </w:rPr>
          <w:t>https://www.kwsp.gov.my/documents/20126/f65f3022-919b-6d0f-5567-05e531526f7f</w:t>
        </w:r>
      </w:hyperlink>
    </w:p>
    <w:p w:rsidR="003B5F79" w:rsidRPr="00087940" w:rsidRDefault="003B5F79" w:rsidP="003B5F79">
      <w:pPr>
        <w:spacing w:after="0" w:line="240" w:lineRule="auto"/>
        <w:ind w:leftChars="1" w:left="566" w:right="177" w:hangingChars="235" w:hanging="564"/>
        <w:jc w:val="both"/>
        <w:rPr>
          <w:rFonts w:ascii="Times New Roman" w:hAnsi="Times New Roman" w:cs="Times New Roman"/>
          <w:sz w:val="24"/>
          <w:szCs w:val="24"/>
          <w:lang w:val="fi-FI"/>
        </w:rPr>
      </w:pPr>
      <w:r w:rsidRPr="00087940">
        <w:rPr>
          <w:rFonts w:ascii="Times New Roman" w:hAnsi="Times New Roman" w:cs="Times New Roman"/>
          <w:sz w:val="24"/>
          <w:szCs w:val="24"/>
          <w:lang w:val="fi-FI"/>
        </w:rPr>
        <w:t xml:space="preserve">Laporan Tahunan Skim KWAP 2019. </w:t>
      </w:r>
      <w:hyperlink r:id="rId16" w:history="1">
        <w:r w:rsidRPr="00087940">
          <w:rPr>
            <w:rStyle w:val="Hyperlink"/>
            <w:rFonts w:ascii="Times New Roman" w:hAnsi="Times New Roman" w:cs="Times New Roman"/>
            <w:color w:val="auto"/>
            <w:sz w:val="24"/>
            <w:szCs w:val="24"/>
            <w:u w:val="none"/>
            <w:lang w:val="fi-FI"/>
          </w:rPr>
          <w:t>https://www.kwap.gov.my/documents/publications/annual-reports/KWAP_Laporan_Tahunan_2019.pdf</w:t>
        </w:r>
      </w:hyperlink>
    </w:p>
    <w:p w:rsidR="003B5F79" w:rsidRPr="00087940" w:rsidRDefault="003B5F79" w:rsidP="003B5F79">
      <w:pPr>
        <w:spacing w:after="0" w:line="240" w:lineRule="auto"/>
        <w:ind w:leftChars="1" w:left="566" w:right="177" w:hangingChars="235" w:hanging="564"/>
        <w:jc w:val="both"/>
        <w:rPr>
          <w:rStyle w:val="Hyperlink"/>
          <w:rFonts w:ascii="Times New Roman" w:hAnsi="Times New Roman" w:cs="Times New Roman"/>
          <w:color w:val="auto"/>
          <w:sz w:val="24"/>
          <w:szCs w:val="24"/>
          <w:u w:val="none"/>
          <w:lang w:val="fi-FI"/>
        </w:rPr>
      </w:pPr>
      <w:r w:rsidRPr="00087940">
        <w:rPr>
          <w:rFonts w:ascii="Times New Roman" w:hAnsi="Times New Roman" w:cs="Times New Roman"/>
          <w:sz w:val="24"/>
          <w:szCs w:val="24"/>
          <w:lang w:val="fi-FI"/>
        </w:rPr>
        <w:t xml:space="preserve">Laporan Tahunan Skim LTAT 2019. </w:t>
      </w:r>
      <w:hyperlink r:id="rId17" w:history="1">
        <w:r w:rsidRPr="00087940">
          <w:rPr>
            <w:rStyle w:val="Hyperlink"/>
            <w:rFonts w:ascii="Times New Roman" w:hAnsi="Times New Roman" w:cs="Times New Roman"/>
            <w:color w:val="auto"/>
            <w:sz w:val="24"/>
            <w:szCs w:val="24"/>
            <w:u w:val="none"/>
            <w:lang w:val="fi-FI"/>
          </w:rPr>
          <w:t>https://www.ltat.org.my/wp-content/uploads/2021/12/LAPORAN-TAHUNAN-2019-LTAT.pdf</w:t>
        </w:r>
      </w:hyperlink>
    </w:p>
    <w:p w:rsidR="003B5F79" w:rsidRPr="00087940" w:rsidRDefault="003B5F79" w:rsidP="003B5F79">
      <w:pPr>
        <w:spacing w:after="0" w:line="240" w:lineRule="auto"/>
        <w:ind w:leftChars="1" w:left="566" w:right="177" w:hangingChars="235" w:hanging="564"/>
        <w:rPr>
          <w:rFonts w:ascii="Times New Roman" w:hAnsi="Times New Roman" w:cs="Times New Roman"/>
          <w:sz w:val="24"/>
          <w:szCs w:val="24"/>
        </w:rPr>
      </w:pPr>
      <w:r>
        <w:rPr>
          <w:rFonts w:ascii="Times New Roman" w:hAnsi="Times New Roman" w:cs="Times New Roman"/>
          <w:sz w:val="24"/>
          <w:szCs w:val="24"/>
        </w:rPr>
        <w:t xml:space="preserve">Lee, D., Arumugam, D. &amp; Arifin, N. (2019). A study of factors influencing personal financial planning among young working adults in Kuala Lumpur, Malaysia. </w:t>
      </w:r>
      <w:r>
        <w:rPr>
          <w:rFonts w:ascii="Times New Roman" w:hAnsi="Times New Roman" w:cs="Times New Roman"/>
          <w:i/>
          <w:sz w:val="24"/>
          <w:szCs w:val="24"/>
        </w:rPr>
        <w:t>International Journal of Recent Techonology and Engineering,</w:t>
      </w:r>
      <w:r w:rsidRPr="004C04FE">
        <w:rPr>
          <w:rFonts w:ascii="Times New Roman" w:hAnsi="Times New Roman" w:cs="Times New Roman"/>
          <w:i/>
          <w:iCs/>
          <w:sz w:val="24"/>
          <w:szCs w:val="24"/>
        </w:rPr>
        <w:t xml:space="preserve"> 7</w:t>
      </w:r>
      <w:r>
        <w:rPr>
          <w:rFonts w:ascii="Times New Roman" w:hAnsi="Times New Roman" w:cs="Times New Roman"/>
          <w:sz w:val="24"/>
          <w:szCs w:val="24"/>
        </w:rPr>
        <w:t>(5S), 114-119.</w:t>
      </w:r>
    </w:p>
    <w:p w:rsidR="003B5F79" w:rsidRDefault="003B5F79" w:rsidP="003B5F79">
      <w:pPr>
        <w:spacing w:after="0" w:line="240" w:lineRule="auto"/>
        <w:ind w:leftChars="1" w:left="566" w:right="177" w:hangingChars="235" w:hanging="564"/>
        <w:jc w:val="both"/>
        <w:rPr>
          <w:rFonts w:ascii="Times New Roman" w:hAnsi="Times New Roman" w:cs="Times New Roman"/>
          <w:sz w:val="24"/>
          <w:szCs w:val="24"/>
        </w:rPr>
      </w:pPr>
      <w:r w:rsidRPr="00F21745">
        <w:rPr>
          <w:rFonts w:ascii="Times New Roman" w:hAnsi="Times New Roman" w:cs="Times New Roman"/>
          <w:sz w:val="24"/>
          <w:szCs w:val="24"/>
        </w:rPr>
        <w:t xml:space="preserve">Loxton, M., Truskett, R., Scarf, B., Sindone, L., Baldry, G. &amp; Zhao, Y. (2022). Consumer behaviour during crises: Preliminary research on how coronavirus has manifested consumer panic buying, herd mentality, changing discretionary spending and the role of the media in influencing behaviour. </w:t>
      </w:r>
      <w:r w:rsidRPr="00F21745">
        <w:rPr>
          <w:rFonts w:ascii="Times New Roman" w:hAnsi="Times New Roman" w:cs="Times New Roman"/>
          <w:i/>
          <w:sz w:val="24"/>
          <w:szCs w:val="24"/>
        </w:rPr>
        <w:t>Journal of Risk and Financial Management,</w:t>
      </w:r>
      <w:r w:rsidRPr="00F21745">
        <w:rPr>
          <w:rFonts w:ascii="Times New Roman" w:hAnsi="Times New Roman" w:cs="Times New Roman"/>
          <w:sz w:val="24"/>
          <w:szCs w:val="24"/>
        </w:rPr>
        <w:t xml:space="preserve"> </w:t>
      </w:r>
      <w:r w:rsidRPr="004C04FE">
        <w:rPr>
          <w:rFonts w:ascii="Times New Roman" w:hAnsi="Times New Roman" w:cs="Times New Roman"/>
          <w:i/>
          <w:iCs/>
          <w:sz w:val="24"/>
          <w:szCs w:val="24"/>
        </w:rPr>
        <w:t>13</w:t>
      </w:r>
      <w:r w:rsidRPr="00F21745">
        <w:rPr>
          <w:rFonts w:ascii="Times New Roman" w:hAnsi="Times New Roman" w:cs="Times New Roman"/>
          <w:sz w:val="24"/>
          <w:szCs w:val="24"/>
        </w:rPr>
        <w:t xml:space="preserve">(166), 1-21 </w:t>
      </w:r>
      <w:hyperlink r:id="rId18" w:history="1">
        <w:r w:rsidRPr="00F21745">
          <w:rPr>
            <w:rStyle w:val="Hyperlink"/>
            <w:rFonts w:ascii="Times New Roman" w:hAnsi="Times New Roman" w:cs="Times New Roman"/>
            <w:color w:val="auto"/>
            <w:sz w:val="24"/>
            <w:szCs w:val="24"/>
            <w:u w:val="none"/>
          </w:rPr>
          <w:t>https://doi.org/10.3390/jrfm13080166</w:t>
        </w:r>
      </w:hyperlink>
      <w:r w:rsidRPr="00F21745">
        <w:rPr>
          <w:rFonts w:ascii="Times New Roman" w:hAnsi="Times New Roman" w:cs="Times New Roman"/>
          <w:sz w:val="24"/>
          <w:szCs w:val="24"/>
        </w:rPr>
        <w:t>.</w:t>
      </w:r>
    </w:p>
    <w:p w:rsidR="003B5F79" w:rsidRDefault="003B5F79" w:rsidP="003B5F79">
      <w:pPr>
        <w:spacing w:after="0" w:line="240" w:lineRule="auto"/>
        <w:ind w:leftChars="1" w:left="566" w:right="177" w:hangingChars="235" w:hanging="564"/>
        <w:jc w:val="both"/>
        <w:rPr>
          <w:rFonts w:ascii="Times New Roman" w:hAnsi="Times New Roman" w:cs="Times New Roman"/>
          <w:sz w:val="24"/>
          <w:szCs w:val="24"/>
        </w:rPr>
      </w:pPr>
      <w:r>
        <w:rPr>
          <w:rFonts w:ascii="Times New Roman" w:hAnsi="Times New Roman" w:cs="Times New Roman"/>
          <w:sz w:val="24"/>
          <w:szCs w:val="24"/>
        </w:rPr>
        <w:t>Malaysian Financial Planning Council (MFPC). (2019). Module one notes.</w:t>
      </w:r>
    </w:p>
    <w:p w:rsidR="003B5F79" w:rsidRPr="00F21745" w:rsidRDefault="003B5F79" w:rsidP="003B5F79">
      <w:pPr>
        <w:spacing w:after="0" w:line="240" w:lineRule="auto"/>
        <w:ind w:leftChars="1" w:left="566" w:right="177" w:hangingChars="235" w:hanging="564"/>
        <w:jc w:val="both"/>
        <w:rPr>
          <w:rFonts w:ascii="Times New Roman" w:hAnsi="Times New Roman" w:cs="Times New Roman"/>
          <w:sz w:val="24"/>
          <w:szCs w:val="24"/>
        </w:rPr>
      </w:pPr>
      <w:r w:rsidRPr="00BC4B9A">
        <w:rPr>
          <w:rFonts w:ascii="Times New Roman" w:hAnsi="Times New Roman" w:cs="Times New Roman"/>
          <w:sz w:val="24"/>
          <w:szCs w:val="24"/>
        </w:rPr>
        <w:t xml:space="preserve">Mbaluka, P., Muthama, C. &amp; Kalunda, E. (2012). Prospect Theory: Test on framing and loss aversion effects on investors decision-making process at the Nairobi Securities Exchange, Kenya. </w:t>
      </w:r>
      <w:r w:rsidRPr="00BC4B9A">
        <w:rPr>
          <w:rFonts w:ascii="Times New Roman" w:hAnsi="Times New Roman" w:cs="Times New Roman"/>
          <w:i/>
          <w:sz w:val="24"/>
          <w:szCs w:val="24"/>
        </w:rPr>
        <w:t>Research Journal of Finance and Accounting</w:t>
      </w:r>
      <w:r>
        <w:rPr>
          <w:rFonts w:ascii="Times New Roman" w:hAnsi="Times New Roman" w:cs="Times New Roman"/>
          <w:i/>
          <w:sz w:val="24"/>
          <w:szCs w:val="24"/>
        </w:rPr>
        <w:t>, 3</w:t>
      </w:r>
      <w:r w:rsidRPr="00BC4B9A">
        <w:rPr>
          <w:rFonts w:ascii="Times New Roman" w:hAnsi="Times New Roman" w:cs="Times New Roman"/>
          <w:sz w:val="24"/>
          <w:szCs w:val="24"/>
        </w:rPr>
        <w:t>(9), 31-41.</w:t>
      </w:r>
    </w:p>
    <w:p w:rsidR="003B5F79" w:rsidRDefault="003B5F79" w:rsidP="003B5F79">
      <w:pPr>
        <w:spacing w:after="0" w:line="240" w:lineRule="auto"/>
        <w:ind w:leftChars="1" w:left="566" w:right="177" w:hangingChars="235" w:hanging="564"/>
        <w:jc w:val="both"/>
        <w:rPr>
          <w:rFonts w:ascii="Times New Roman" w:hAnsi="Times New Roman" w:cs="Times New Roman"/>
          <w:sz w:val="24"/>
          <w:szCs w:val="24"/>
        </w:rPr>
      </w:pPr>
      <w:r w:rsidRPr="00F21745">
        <w:rPr>
          <w:rFonts w:ascii="Times New Roman" w:hAnsi="Times New Roman" w:cs="Times New Roman"/>
          <w:sz w:val="24"/>
          <w:szCs w:val="24"/>
        </w:rPr>
        <w:t xml:space="preserve">Mehta, S., Saxena, T. &amp; Purohit, N. (2022). The new consumer behaviour paradigm amid </w:t>
      </w:r>
      <w:r w:rsidRPr="00BC4B9A">
        <w:rPr>
          <w:rFonts w:ascii="Times New Roman" w:hAnsi="Times New Roman" w:cs="Times New Roman"/>
          <w:sz w:val="24"/>
          <w:szCs w:val="24"/>
        </w:rPr>
        <w:t xml:space="preserve">COVID-19: Permanent or transient? </w:t>
      </w:r>
      <w:r w:rsidRPr="00B812CD">
        <w:rPr>
          <w:rFonts w:ascii="Times New Roman" w:hAnsi="Times New Roman" w:cs="Times New Roman"/>
          <w:i/>
          <w:iCs/>
          <w:sz w:val="24"/>
          <w:szCs w:val="24"/>
        </w:rPr>
        <w:t>Journal of Health Management, 22</w:t>
      </w:r>
      <w:r w:rsidRPr="00BC4B9A">
        <w:rPr>
          <w:rFonts w:ascii="Times New Roman" w:hAnsi="Times New Roman" w:cs="Times New Roman"/>
          <w:sz w:val="24"/>
          <w:szCs w:val="24"/>
        </w:rPr>
        <w:t>(2), 291-301. doi:10.1177/0972063420940834</w:t>
      </w:r>
    </w:p>
    <w:p w:rsidR="003B5F79" w:rsidRPr="00BC4B9A" w:rsidRDefault="003B5F79" w:rsidP="003B5F79">
      <w:pPr>
        <w:spacing w:after="0" w:line="240" w:lineRule="auto"/>
        <w:ind w:leftChars="1" w:left="566" w:right="177" w:hangingChars="235" w:hanging="564"/>
        <w:jc w:val="both"/>
        <w:rPr>
          <w:rFonts w:ascii="Times New Roman" w:hAnsi="Times New Roman" w:cs="Times New Roman"/>
          <w:sz w:val="24"/>
          <w:szCs w:val="24"/>
        </w:rPr>
      </w:pPr>
      <w:r w:rsidRPr="00BC4B9A">
        <w:rPr>
          <w:rFonts w:ascii="Times New Roman" w:hAnsi="Times New Roman" w:cs="Times New Roman"/>
          <w:sz w:val="24"/>
          <w:szCs w:val="24"/>
        </w:rPr>
        <w:t xml:space="preserve">Mohammed, F. N. H, Ghazali, P. L., Mamat, M. Salleh, F., Guci, D. A., Syed, J. S. A., Afthanorhan, A., Omar, L. &amp; Yazid, A. S. (2018). Analysis of private sector retiree's decision towards EPF retirement benefit of annuity-based option. </w:t>
      </w:r>
      <w:r w:rsidRPr="00BC4B9A">
        <w:rPr>
          <w:rFonts w:ascii="Times New Roman" w:hAnsi="Times New Roman" w:cs="Times New Roman"/>
          <w:i/>
          <w:sz w:val="24"/>
          <w:szCs w:val="24"/>
        </w:rPr>
        <w:t>International Journal of Engineering &amp; Technology</w:t>
      </w:r>
      <w:r w:rsidRPr="00BC4B9A">
        <w:rPr>
          <w:rFonts w:ascii="Times New Roman" w:hAnsi="Times New Roman" w:cs="Times New Roman"/>
          <w:sz w:val="24"/>
          <w:szCs w:val="24"/>
        </w:rPr>
        <w:t xml:space="preserve">, </w:t>
      </w:r>
      <w:r w:rsidRPr="0075250F">
        <w:rPr>
          <w:rFonts w:ascii="Times New Roman" w:hAnsi="Times New Roman" w:cs="Times New Roman"/>
          <w:i/>
          <w:iCs/>
          <w:sz w:val="24"/>
          <w:szCs w:val="24"/>
        </w:rPr>
        <w:t>7</w:t>
      </w:r>
      <w:r w:rsidRPr="00BC4B9A">
        <w:rPr>
          <w:rFonts w:ascii="Times New Roman" w:hAnsi="Times New Roman" w:cs="Times New Roman"/>
          <w:sz w:val="24"/>
          <w:szCs w:val="24"/>
        </w:rPr>
        <w:t xml:space="preserve">(3.28). 185-188. </w:t>
      </w:r>
    </w:p>
    <w:p w:rsidR="003B5F79" w:rsidRPr="00BC4B9A" w:rsidRDefault="003B5F79" w:rsidP="003B5F79">
      <w:pPr>
        <w:spacing w:after="0" w:line="240" w:lineRule="auto"/>
        <w:ind w:leftChars="1" w:left="566" w:right="177" w:hangingChars="235" w:hanging="564"/>
        <w:jc w:val="both"/>
        <w:rPr>
          <w:rFonts w:ascii="Times New Roman" w:hAnsi="Times New Roman" w:cs="Times New Roman"/>
          <w:sz w:val="24"/>
          <w:szCs w:val="24"/>
        </w:rPr>
      </w:pPr>
      <w:r w:rsidRPr="00BC4B9A">
        <w:rPr>
          <w:rFonts w:ascii="Times New Roman" w:hAnsi="Times New Roman" w:cs="Times New Roman"/>
          <w:sz w:val="24"/>
          <w:szCs w:val="24"/>
        </w:rPr>
        <w:t xml:space="preserve">Nagy, R. A. &amp; Obenberger, R. W. (1994). Factors influencing individual investor behaviour. </w:t>
      </w:r>
      <w:r w:rsidRPr="00BC4B9A">
        <w:rPr>
          <w:rFonts w:ascii="Times New Roman" w:hAnsi="Times New Roman" w:cs="Times New Roman"/>
          <w:i/>
          <w:sz w:val="24"/>
          <w:szCs w:val="24"/>
        </w:rPr>
        <w:t>Financial Analyst Journal</w:t>
      </w:r>
      <w:r w:rsidRPr="00BC4B9A">
        <w:rPr>
          <w:rFonts w:ascii="Times New Roman" w:hAnsi="Times New Roman" w:cs="Times New Roman"/>
          <w:sz w:val="24"/>
          <w:szCs w:val="24"/>
        </w:rPr>
        <w:t xml:space="preserve">, </w:t>
      </w:r>
      <w:r w:rsidRPr="0075250F">
        <w:rPr>
          <w:rFonts w:ascii="Times New Roman" w:hAnsi="Times New Roman" w:cs="Times New Roman"/>
          <w:i/>
          <w:iCs/>
          <w:sz w:val="24"/>
          <w:szCs w:val="24"/>
        </w:rPr>
        <w:t>50</w:t>
      </w:r>
      <w:r w:rsidRPr="00BC4B9A">
        <w:rPr>
          <w:rFonts w:ascii="Times New Roman" w:hAnsi="Times New Roman" w:cs="Times New Roman"/>
          <w:sz w:val="24"/>
          <w:szCs w:val="24"/>
        </w:rPr>
        <w:t>(4), 63-69.</w:t>
      </w:r>
    </w:p>
    <w:p w:rsidR="003B5F79" w:rsidRPr="003C66AD" w:rsidRDefault="003B5F79" w:rsidP="003B5F79">
      <w:pPr>
        <w:spacing w:after="0" w:line="240" w:lineRule="auto"/>
        <w:ind w:leftChars="1" w:left="566" w:right="177" w:hangingChars="235" w:hanging="564"/>
        <w:jc w:val="both"/>
        <w:rPr>
          <w:rFonts w:ascii="Times New Roman" w:hAnsi="Times New Roman" w:cs="Times New Roman"/>
          <w:sz w:val="24"/>
          <w:szCs w:val="24"/>
        </w:rPr>
      </w:pPr>
      <w:r>
        <w:rPr>
          <w:rFonts w:ascii="Times New Roman" w:hAnsi="Times New Roman" w:cs="Times New Roman"/>
          <w:sz w:val="24"/>
          <w:szCs w:val="24"/>
        </w:rPr>
        <w:t xml:space="preserve">Parkinson, S., Rowley, S., Stone, W., James, A., Spinney, A. &amp; Reynolds, M. (2019). </w:t>
      </w:r>
      <w:r w:rsidRPr="00B90071">
        <w:rPr>
          <w:rFonts w:ascii="Times New Roman" w:hAnsi="Times New Roman" w:cs="Times New Roman"/>
          <w:sz w:val="24"/>
          <w:szCs w:val="24"/>
        </w:rPr>
        <w:t>Young Australians and the housing aspirations gap</w:t>
      </w:r>
      <w:r>
        <w:rPr>
          <w:rFonts w:ascii="Times New Roman" w:hAnsi="Times New Roman" w:cs="Times New Roman"/>
          <w:sz w:val="24"/>
          <w:szCs w:val="24"/>
        </w:rPr>
        <w:t xml:space="preserve">. </w:t>
      </w:r>
      <w:r w:rsidRPr="00087940">
        <w:rPr>
          <w:rFonts w:ascii="Times New Roman" w:hAnsi="Times New Roman" w:cs="Times New Roman"/>
          <w:sz w:val="24"/>
          <w:szCs w:val="24"/>
        </w:rPr>
        <w:t xml:space="preserve">AHURI Final Report No 318. </w:t>
      </w:r>
      <w:r w:rsidRPr="003C66AD">
        <w:rPr>
          <w:rFonts w:ascii="Times New Roman" w:hAnsi="Times New Roman" w:cs="Times New Roman"/>
          <w:sz w:val="24"/>
          <w:szCs w:val="24"/>
        </w:rPr>
        <w:t>Australian Housing and Urban Research Institute Limited, Melbourne, https://www.ahuri.edu.au/research/final-reports/318, doi:10.18408/ahuri-5117101.</w:t>
      </w:r>
    </w:p>
    <w:p w:rsidR="003B5F79" w:rsidRPr="00BC4B9A" w:rsidRDefault="003B5F79" w:rsidP="003B5F79">
      <w:pPr>
        <w:spacing w:after="0" w:line="240" w:lineRule="auto"/>
        <w:ind w:leftChars="1" w:left="566" w:right="177" w:hangingChars="235" w:hanging="564"/>
        <w:jc w:val="both"/>
        <w:rPr>
          <w:rFonts w:ascii="Times New Roman" w:hAnsi="Times New Roman" w:cs="Times New Roman"/>
          <w:sz w:val="24"/>
          <w:szCs w:val="24"/>
        </w:rPr>
      </w:pPr>
      <w:r w:rsidRPr="00BC4B9A">
        <w:rPr>
          <w:rFonts w:ascii="Times New Roman" w:hAnsi="Times New Roman" w:cs="Times New Roman"/>
          <w:sz w:val="24"/>
          <w:szCs w:val="24"/>
        </w:rPr>
        <w:t xml:space="preserve">Pravita, M. D., Chaoyi, X. &amp; Akwetteh, N. (2020). Financial behavior during COVID-19: Cognitive rrors that can define financial future. </w:t>
      </w:r>
      <w:r w:rsidRPr="00BC4B9A">
        <w:rPr>
          <w:rFonts w:ascii="Times New Roman" w:hAnsi="Times New Roman" w:cs="Times New Roman"/>
          <w:i/>
          <w:sz w:val="24"/>
          <w:szCs w:val="24"/>
        </w:rPr>
        <w:t>Open Journal of Social Sciences</w:t>
      </w:r>
      <w:r w:rsidRPr="00BC4B9A">
        <w:rPr>
          <w:rFonts w:ascii="Times New Roman" w:hAnsi="Times New Roman" w:cs="Times New Roman"/>
          <w:sz w:val="24"/>
          <w:szCs w:val="24"/>
        </w:rPr>
        <w:t xml:space="preserve">, </w:t>
      </w:r>
      <w:r w:rsidRPr="0075250F">
        <w:rPr>
          <w:rFonts w:ascii="Times New Roman" w:hAnsi="Times New Roman" w:cs="Times New Roman"/>
          <w:i/>
          <w:iCs/>
          <w:sz w:val="24"/>
          <w:szCs w:val="24"/>
        </w:rPr>
        <w:t>8</w:t>
      </w:r>
      <w:r w:rsidRPr="00BC4B9A">
        <w:rPr>
          <w:rFonts w:ascii="Times New Roman" w:hAnsi="Times New Roman" w:cs="Times New Roman"/>
          <w:sz w:val="24"/>
          <w:szCs w:val="24"/>
        </w:rPr>
        <w:t>, 259-269.</w:t>
      </w:r>
    </w:p>
    <w:p w:rsidR="003B5F79" w:rsidRPr="00BC4B9A" w:rsidRDefault="003B5F79" w:rsidP="003B5F79">
      <w:pPr>
        <w:spacing w:after="0" w:line="240" w:lineRule="auto"/>
        <w:ind w:leftChars="1" w:left="566" w:right="177" w:hangingChars="235" w:hanging="564"/>
        <w:jc w:val="both"/>
        <w:rPr>
          <w:rFonts w:ascii="Times New Roman" w:hAnsi="Times New Roman" w:cs="Times New Roman"/>
          <w:sz w:val="24"/>
          <w:szCs w:val="24"/>
        </w:rPr>
      </w:pPr>
      <w:r w:rsidRPr="00BC4B9A">
        <w:rPr>
          <w:rFonts w:ascii="Times New Roman" w:hAnsi="Times New Roman" w:cs="Times New Roman"/>
          <w:sz w:val="24"/>
          <w:szCs w:val="24"/>
        </w:rPr>
        <w:t>Private Pension Admistration (PRS). (2022). https://www.ppa.my/ms/</w:t>
      </w:r>
    </w:p>
    <w:p w:rsidR="003B5F79" w:rsidRPr="00BC4B9A" w:rsidRDefault="003B5F79" w:rsidP="003B5F79">
      <w:pPr>
        <w:spacing w:after="0" w:line="240" w:lineRule="auto"/>
        <w:ind w:leftChars="1" w:left="566" w:right="177" w:hangingChars="235" w:hanging="564"/>
        <w:jc w:val="both"/>
        <w:rPr>
          <w:rFonts w:ascii="Times New Roman" w:hAnsi="Times New Roman" w:cs="Times New Roman"/>
          <w:sz w:val="24"/>
          <w:szCs w:val="24"/>
        </w:rPr>
      </w:pPr>
      <w:r w:rsidRPr="00087940">
        <w:rPr>
          <w:rFonts w:ascii="Times New Roman" w:hAnsi="Times New Roman" w:cs="Times New Roman"/>
          <w:sz w:val="24"/>
          <w:szCs w:val="24"/>
          <w:lang w:val="fi-FI"/>
        </w:rPr>
        <w:t xml:space="preserve">Putri, M., Xu, C. &amp; Akwetteh, L. (2020). </w:t>
      </w:r>
      <w:r w:rsidRPr="00BC4B9A">
        <w:rPr>
          <w:rFonts w:ascii="Times New Roman" w:hAnsi="Times New Roman" w:cs="Times New Roman"/>
          <w:sz w:val="24"/>
          <w:szCs w:val="24"/>
        </w:rPr>
        <w:t xml:space="preserve">Financial behavior during COVID-19: Cognitive errors that can define financial future. </w:t>
      </w:r>
      <w:r w:rsidRPr="00BC4B9A">
        <w:rPr>
          <w:rFonts w:ascii="Times New Roman" w:hAnsi="Times New Roman" w:cs="Times New Roman"/>
          <w:i/>
          <w:sz w:val="24"/>
          <w:szCs w:val="24"/>
        </w:rPr>
        <w:t>Open Journal of Social Sciences</w:t>
      </w:r>
      <w:r w:rsidRPr="00BC4B9A">
        <w:rPr>
          <w:rFonts w:ascii="Times New Roman" w:hAnsi="Times New Roman" w:cs="Times New Roman"/>
          <w:sz w:val="24"/>
          <w:szCs w:val="24"/>
        </w:rPr>
        <w:t xml:space="preserve">, </w:t>
      </w:r>
      <w:r w:rsidRPr="000379FE">
        <w:rPr>
          <w:rFonts w:ascii="Times New Roman" w:hAnsi="Times New Roman" w:cs="Times New Roman"/>
          <w:i/>
          <w:iCs/>
          <w:sz w:val="24"/>
          <w:szCs w:val="24"/>
        </w:rPr>
        <w:t>8,</w:t>
      </w:r>
      <w:r w:rsidRPr="00BC4B9A">
        <w:rPr>
          <w:rFonts w:ascii="Times New Roman" w:hAnsi="Times New Roman" w:cs="Times New Roman"/>
          <w:sz w:val="24"/>
          <w:szCs w:val="24"/>
        </w:rPr>
        <w:t xml:space="preserve"> 259-269.</w:t>
      </w:r>
    </w:p>
    <w:p w:rsidR="003B5F79" w:rsidRPr="00BC4B9A" w:rsidRDefault="003B5F79" w:rsidP="003B5F79">
      <w:pPr>
        <w:spacing w:after="0" w:line="240" w:lineRule="auto"/>
        <w:ind w:leftChars="1" w:left="566" w:right="177" w:hangingChars="235" w:hanging="564"/>
        <w:jc w:val="both"/>
        <w:rPr>
          <w:rFonts w:ascii="Times New Roman" w:hAnsi="Times New Roman" w:cs="Times New Roman"/>
          <w:sz w:val="24"/>
          <w:szCs w:val="24"/>
        </w:rPr>
      </w:pPr>
      <w:r w:rsidRPr="00BC4B9A">
        <w:rPr>
          <w:rFonts w:ascii="Times New Roman" w:hAnsi="Times New Roman" w:cs="Times New Roman"/>
          <w:sz w:val="24"/>
          <w:szCs w:val="24"/>
        </w:rPr>
        <w:lastRenderedPageBreak/>
        <w:t xml:space="preserve">Sabri, M. F., Said, M. A., Magli, A.S., Pin, T. M., Rizal, H., Thangiah, N., Ithnin, M., Abdul, M. H., Ismail, R., Su, T. T., Husniyah, A. R. Exploring the relationships of financial literacy and financial behaviour with Health-Related Quality of Life (HRQOL) among the low-income working population in Malaysia during the COVID-19 pandemic. (2022). </w:t>
      </w:r>
      <w:r w:rsidRPr="000379FE">
        <w:rPr>
          <w:rFonts w:ascii="Times New Roman" w:hAnsi="Times New Roman" w:cs="Times New Roman"/>
          <w:i/>
          <w:iCs/>
          <w:sz w:val="24"/>
          <w:szCs w:val="24"/>
        </w:rPr>
        <w:t>International Journal of Environment Research and Public Health</w:t>
      </w:r>
      <w:r>
        <w:rPr>
          <w:rFonts w:ascii="Times New Roman" w:hAnsi="Times New Roman" w:cs="Times New Roman"/>
          <w:i/>
          <w:iCs/>
          <w:sz w:val="24"/>
          <w:szCs w:val="24"/>
        </w:rPr>
        <w:t>, 1</w:t>
      </w:r>
      <w:r w:rsidRPr="000379FE">
        <w:rPr>
          <w:rFonts w:ascii="Times New Roman" w:hAnsi="Times New Roman" w:cs="Times New Roman"/>
          <w:i/>
          <w:iCs/>
          <w:sz w:val="24"/>
          <w:szCs w:val="24"/>
        </w:rPr>
        <w:t>9</w:t>
      </w:r>
      <w:r w:rsidRPr="00BC4B9A">
        <w:rPr>
          <w:rFonts w:ascii="Times New Roman" w:hAnsi="Times New Roman" w:cs="Times New Roman"/>
          <w:sz w:val="24"/>
          <w:szCs w:val="24"/>
        </w:rPr>
        <w:t>, 1-15. doi: 10.3390/ijerph191912520. PMID: 36231818; PMCID: PMC9566270.</w:t>
      </w:r>
    </w:p>
    <w:p w:rsidR="003B5F79" w:rsidRPr="00BC4B9A" w:rsidRDefault="003B5F79" w:rsidP="003B5F79">
      <w:pPr>
        <w:spacing w:after="0" w:line="240" w:lineRule="auto"/>
        <w:ind w:leftChars="1" w:left="566" w:right="177" w:hangingChars="235" w:hanging="564"/>
        <w:jc w:val="both"/>
        <w:rPr>
          <w:rFonts w:ascii="Times New Roman" w:hAnsi="Times New Roman" w:cs="Times New Roman"/>
          <w:sz w:val="24"/>
          <w:szCs w:val="24"/>
        </w:rPr>
      </w:pPr>
      <w:r w:rsidRPr="00BC4B9A">
        <w:rPr>
          <w:rFonts w:ascii="Times New Roman" w:hAnsi="Times New Roman" w:cs="Times New Roman"/>
          <w:sz w:val="24"/>
          <w:szCs w:val="24"/>
        </w:rPr>
        <w:t xml:space="preserve">Seth, R. &amp; Chowdary, B. A. (2017). Behavioural finance: A re-examination of Prospect Theory. </w:t>
      </w:r>
      <w:r w:rsidRPr="00BC4B9A">
        <w:rPr>
          <w:rFonts w:ascii="Times New Roman" w:hAnsi="Times New Roman" w:cs="Times New Roman"/>
          <w:i/>
          <w:sz w:val="24"/>
          <w:szCs w:val="24"/>
        </w:rPr>
        <w:t>Theoretical Economics Letter</w:t>
      </w:r>
      <w:r w:rsidRPr="00BC4B9A">
        <w:rPr>
          <w:rFonts w:ascii="Times New Roman" w:hAnsi="Times New Roman" w:cs="Times New Roman"/>
          <w:sz w:val="24"/>
          <w:szCs w:val="24"/>
        </w:rPr>
        <w:t xml:space="preserve">, </w:t>
      </w:r>
      <w:r w:rsidRPr="000379FE">
        <w:rPr>
          <w:rFonts w:ascii="Times New Roman" w:hAnsi="Times New Roman" w:cs="Times New Roman"/>
          <w:i/>
          <w:iCs/>
          <w:sz w:val="24"/>
          <w:szCs w:val="24"/>
        </w:rPr>
        <w:t>7,</w:t>
      </w:r>
      <w:r w:rsidRPr="00BC4B9A">
        <w:rPr>
          <w:rFonts w:ascii="Times New Roman" w:hAnsi="Times New Roman" w:cs="Times New Roman"/>
          <w:sz w:val="24"/>
          <w:szCs w:val="24"/>
        </w:rPr>
        <w:t xml:space="preserve"> 1134-1149.</w:t>
      </w:r>
    </w:p>
    <w:p w:rsidR="003B5F79" w:rsidRPr="00BC4B9A" w:rsidRDefault="003B5F79" w:rsidP="003B5F79">
      <w:pPr>
        <w:spacing w:after="0" w:line="240" w:lineRule="auto"/>
        <w:ind w:leftChars="1" w:left="566" w:right="177" w:hangingChars="235" w:hanging="564"/>
        <w:jc w:val="both"/>
        <w:rPr>
          <w:rFonts w:ascii="Times New Roman" w:hAnsi="Times New Roman" w:cs="Times New Roman"/>
          <w:sz w:val="24"/>
          <w:szCs w:val="24"/>
        </w:rPr>
      </w:pPr>
      <w:r w:rsidRPr="00BC4B9A">
        <w:rPr>
          <w:rFonts w:ascii="Times New Roman" w:hAnsi="Times New Roman" w:cs="Times New Roman"/>
          <w:sz w:val="24"/>
          <w:szCs w:val="24"/>
        </w:rPr>
        <w:t xml:space="preserve">Sabri, M. F. &amp; Teo, T. J. (2014). The effects of financial literacy, financial management and savings motives on financial well-being among working women. </w:t>
      </w:r>
      <w:r w:rsidRPr="00BC4B9A">
        <w:rPr>
          <w:rFonts w:ascii="Times New Roman" w:hAnsi="Times New Roman" w:cs="Times New Roman"/>
          <w:i/>
          <w:sz w:val="24"/>
          <w:szCs w:val="24"/>
        </w:rPr>
        <w:t xml:space="preserve">Journal of Wealth Management &amp; Financial Planning, </w:t>
      </w:r>
      <w:r w:rsidRPr="000379FE">
        <w:rPr>
          <w:rFonts w:ascii="Times New Roman" w:hAnsi="Times New Roman" w:cs="Times New Roman"/>
          <w:i/>
          <w:iCs/>
          <w:sz w:val="24"/>
          <w:szCs w:val="24"/>
        </w:rPr>
        <w:t>1</w:t>
      </w:r>
      <w:r w:rsidRPr="00BC4B9A">
        <w:rPr>
          <w:rFonts w:ascii="Times New Roman" w:hAnsi="Times New Roman" w:cs="Times New Roman"/>
          <w:sz w:val="24"/>
          <w:szCs w:val="24"/>
        </w:rPr>
        <w:t>, 20-32.</w:t>
      </w:r>
    </w:p>
    <w:p w:rsidR="003B5F79" w:rsidRPr="00BC4B9A" w:rsidRDefault="003B5F79" w:rsidP="003B5F79">
      <w:pPr>
        <w:spacing w:after="0" w:line="240" w:lineRule="auto"/>
        <w:ind w:leftChars="1" w:left="566" w:right="177" w:hangingChars="235" w:hanging="564"/>
        <w:jc w:val="both"/>
        <w:rPr>
          <w:rFonts w:ascii="Times New Roman" w:hAnsi="Times New Roman" w:cs="Times New Roman"/>
          <w:sz w:val="24"/>
          <w:szCs w:val="24"/>
        </w:rPr>
      </w:pPr>
      <w:r w:rsidRPr="00BC4B9A">
        <w:rPr>
          <w:rFonts w:ascii="Times New Roman" w:hAnsi="Times New Roman" w:cs="Times New Roman"/>
          <w:sz w:val="24"/>
          <w:szCs w:val="24"/>
        </w:rPr>
        <w:t xml:space="preserve">Silinskas, G., Ranta, M. &amp; Wilska, T. A. (2021). Financial behaviour under economic strain in different age groups: Predictors and change across 20 years. </w:t>
      </w:r>
      <w:r w:rsidRPr="00BC4B9A">
        <w:rPr>
          <w:rFonts w:ascii="Times New Roman" w:hAnsi="Times New Roman" w:cs="Times New Roman"/>
          <w:i/>
          <w:sz w:val="24"/>
          <w:szCs w:val="24"/>
        </w:rPr>
        <w:t>Journal of Consumer Policy</w:t>
      </w:r>
      <w:r w:rsidRPr="00BC4B9A">
        <w:rPr>
          <w:rFonts w:ascii="Times New Roman" w:hAnsi="Times New Roman" w:cs="Times New Roman"/>
          <w:sz w:val="24"/>
          <w:szCs w:val="24"/>
        </w:rPr>
        <w:t xml:space="preserve">, </w:t>
      </w:r>
      <w:r w:rsidRPr="000379FE">
        <w:rPr>
          <w:rFonts w:ascii="Times New Roman" w:hAnsi="Times New Roman" w:cs="Times New Roman"/>
          <w:i/>
          <w:iCs/>
          <w:sz w:val="24"/>
          <w:szCs w:val="24"/>
        </w:rPr>
        <w:t>44,</w:t>
      </w:r>
      <w:r w:rsidRPr="00BC4B9A">
        <w:rPr>
          <w:rFonts w:ascii="Times New Roman" w:hAnsi="Times New Roman" w:cs="Times New Roman"/>
          <w:sz w:val="24"/>
          <w:szCs w:val="24"/>
        </w:rPr>
        <w:t xml:space="preserve"> 235-257.</w:t>
      </w:r>
    </w:p>
    <w:p w:rsidR="003B5F79" w:rsidRDefault="003B5F79" w:rsidP="003B5F79">
      <w:pPr>
        <w:spacing w:after="0" w:line="240" w:lineRule="auto"/>
        <w:ind w:leftChars="1" w:left="566" w:right="177" w:hangingChars="235" w:hanging="564"/>
        <w:jc w:val="both"/>
        <w:rPr>
          <w:rFonts w:ascii="Times New Roman" w:hAnsi="Times New Roman" w:cs="Times New Roman"/>
          <w:sz w:val="24"/>
          <w:szCs w:val="24"/>
        </w:rPr>
      </w:pPr>
      <w:r w:rsidRPr="00BC4B9A">
        <w:rPr>
          <w:rFonts w:ascii="Times New Roman" w:hAnsi="Times New Roman" w:cs="Times New Roman"/>
          <w:sz w:val="24"/>
          <w:szCs w:val="24"/>
        </w:rPr>
        <w:t xml:space="preserve">Tan, H. B., Hoe, S. Y. &amp; Hung, W. T. (2011). Financial literacy and personal financial planning in Klang Valley, Malaysia. </w:t>
      </w:r>
      <w:r w:rsidRPr="00BC4B9A">
        <w:rPr>
          <w:rFonts w:ascii="Times New Roman" w:hAnsi="Times New Roman" w:cs="Times New Roman"/>
          <w:i/>
          <w:sz w:val="24"/>
          <w:szCs w:val="24"/>
        </w:rPr>
        <w:t xml:space="preserve">International Journal of Economics and Management, </w:t>
      </w:r>
      <w:r w:rsidRPr="000379FE">
        <w:rPr>
          <w:rFonts w:ascii="Times New Roman" w:hAnsi="Times New Roman" w:cs="Times New Roman"/>
          <w:i/>
          <w:iCs/>
          <w:sz w:val="24"/>
          <w:szCs w:val="24"/>
        </w:rPr>
        <w:t>5</w:t>
      </w:r>
      <w:r w:rsidRPr="00BC4B9A">
        <w:rPr>
          <w:rFonts w:ascii="Times New Roman" w:hAnsi="Times New Roman" w:cs="Times New Roman"/>
          <w:sz w:val="24"/>
          <w:szCs w:val="24"/>
        </w:rPr>
        <w:t>(1), 149-168.</w:t>
      </w:r>
    </w:p>
    <w:p w:rsidR="003B5F79" w:rsidRPr="00BC4B9A" w:rsidRDefault="003B5F79" w:rsidP="003B5F79">
      <w:pPr>
        <w:spacing w:after="0" w:line="240" w:lineRule="auto"/>
        <w:ind w:leftChars="1" w:left="566" w:right="177" w:hangingChars="235" w:hanging="564"/>
        <w:jc w:val="both"/>
        <w:rPr>
          <w:rFonts w:ascii="Times New Roman" w:hAnsi="Times New Roman" w:cs="Times New Roman"/>
          <w:sz w:val="24"/>
          <w:szCs w:val="24"/>
        </w:rPr>
      </w:pPr>
      <w:r>
        <w:rPr>
          <w:rFonts w:ascii="Times New Roman" w:hAnsi="Times New Roman" w:cs="Times New Roman"/>
          <w:sz w:val="24"/>
          <w:szCs w:val="24"/>
        </w:rPr>
        <w:t xml:space="preserve">TheEdgeMarkets. (4 May 2023). </w:t>
      </w:r>
      <w:r w:rsidRPr="00F62833">
        <w:rPr>
          <w:rFonts w:ascii="Times New Roman" w:hAnsi="Times New Roman" w:cs="Times New Roman"/>
          <w:sz w:val="24"/>
          <w:szCs w:val="24"/>
        </w:rPr>
        <w:t>Pandemic-era withdrawals significantly eroded savings levels of Bumiputera and Indian EPF members, says fund's CEO</w:t>
      </w:r>
      <w:r>
        <w:rPr>
          <w:rFonts w:ascii="Times New Roman" w:hAnsi="Times New Roman" w:cs="Times New Roman"/>
          <w:sz w:val="24"/>
          <w:szCs w:val="24"/>
        </w:rPr>
        <w:t xml:space="preserve">. </w:t>
      </w:r>
      <w:r w:rsidRPr="00F62833">
        <w:rPr>
          <w:rFonts w:ascii="Times New Roman" w:hAnsi="Times New Roman" w:cs="Times New Roman"/>
          <w:sz w:val="24"/>
          <w:szCs w:val="24"/>
        </w:rPr>
        <w:t>https://www.theedgemarkets.com/node/657796</w:t>
      </w:r>
    </w:p>
    <w:p w:rsidR="003B5F79" w:rsidRPr="00BC4B9A" w:rsidRDefault="003B5F79" w:rsidP="003B5F79">
      <w:pPr>
        <w:spacing w:after="0" w:line="240" w:lineRule="auto"/>
        <w:ind w:leftChars="1" w:left="566" w:right="177" w:hangingChars="235" w:hanging="564"/>
        <w:jc w:val="both"/>
        <w:rPr>
          <w:rFonts w:ascii="Times New Roman" w:hAnsi="Times New Roman" w:cs="Times New Roman"/>
          <w:sz w:val="24"/>
          <w:szCs w:val="24"/>
        </w:rPr>
      </w:pPr>
      <w:r w:rsidRPr="00BC4B9A">
        <w:rPr>
          <w:rFonts w:ascii="Times New Roman" w:hAnsi="Times New Roman" w:cs="Times New Roman"/>
          <w:sz w:val="24"/>
          <w:szCs w:val="24"/>
        </w:rPr>
        <w:t xml:space="preserve">Wang, S. S. &amp; Young, V. R. (1998). Ordering risks: Expected utility theory versus Yaari's dual theory of risk. </w:t>
      </w:r>
      <w:r w:rsidRPr="00BC4B9A">
        <w:rPr>
          <w:rFonts w:ascii="Times New Roman" w:hAnsi="Times New Roman" w:cs="Times New Roman"/>
          <w:i/>
          <w:sz w:val="24"/>
          <w:szCs w:val="24"/>
        </w:rPr>
        <w:t>Insurance: Mathematics and Economics</w:t>
      </w:r>
      <w:r w:rsidRPr="00BC4B9A">
        <w:rPr>
          <w:rFonts w:ascii="Times New Roman" w:hAnsi="Times New Roman" w:cs="Times New Roman"/>
          <w:sz w:val="24"/>
          <w:szCs w:val="24"/>
        </w:rPr>
        <w:t xml:space="preserve">, </w:t>
      </w:r>
      <w:r w:rsidRPr="000379FE">
        <w:rPr>
          <w:rFonts w:ascii="Times New Roman" w:hAnsi="Times New Roman" w:cs="Times New Roman"/>
          <w:i/>
          <w:iCs/>
          <w:sz w:val="24"/>
          <w:szCs w:val="24"/>
        </w:rPr>
        <w:t>22</w:t>
      </w:r>
      <w:r w:rsidRPr="00BC4B9A">
        <w:rPr>
          <w:rFonts w:ascii="Times New Roman" w:hAnsi="Times New Roman" w:cs="Times New Roman"/>
          <w:sz w:val="24"/>
          <w:szCs w:val="24"/>
        </w:rPr>
        <w:t>(2), 145-161.</w:t>
      </w:r>
    </w:p>
    <w:p w:rsidR="003B5F79" w:rsidRPr="00BC4B9A" w:rsidRDefault="003B5F79" w:rsidP="003B5F79">
      <w:pPr>
        <w:spacing w:after="0" w:line="240" w:lineRule="auto"/>
        <w:ind w:leftChars="1" w:left="566" w:right="177" w:hangingChars="235" w:hanging="564"/>
        <w:jc w:val="both"/>
        <w:rPr>
          <w:rFonts w:ascii="Times New Roman" w:hAnsi="Times New Roman" w:cs="Times New Roman"/>
          <w:sz w:val="24"/>
          <w:szCs w:val="24"/>
        </w:rPr>
      </w:pPr>
      <w:r w:rsidRPr="00BC4B9A">
        <w:rPr>
          <w:rFonts w:ascii="Times New Roman" w:hAnsi="Times New Roman" w:cs="Times New Roman"/>
          <w:sz w:val="24"/>
          <w:szCs w:val="24"/>
        </w:rPr>
        <w:t xml:space="preserve">World Bank Research Report. (2020). A silver lining: Productive and inclusive aging in Malaysia. </w:t>
      </w:r>
      <w:hyperlink r:id="rId19" w:history="1">
        <w:r w:rsidRPr="00F21745">
          <w:rPr>
            <w:rStyle w:val="Hyperlink"/>
            <w:rFonts w:ascii="Times New Roman" w:hAnsi="Times New Roman" w:cs="Times New Roman"/>
            <w:color w:val="auto"/>
            <w:sz w:val="24"/>
            <w:szCs w:val="24"/>
            <w:u w:val="none"/>
          </w:rPr>
          <w:t>https://documents1.worldbank.org/curated/en/287981606116408851/pdf/A-Silver-Lining-Productive-and-Inclusive-Aging-for-Malaysia.pdf</w:t>
        </w:r>
      </w:hyperlink>
    </w:p>
    <w:p w:rsidR="003B5F79" w:rsidRPr="00BC4B9A" w:rsidRDefault="003B5F79" w:rsidP="003B5F79">
      <w:pPr>
        <w:spacing w:after="0" w:line="240" w:lineRule="auto"/>
        <w:ind w:leftChars="1" w:left="566" w:right="177" w:hangingChars="235" w:hanging="564"/>
        <w:jc w:val="both"/>
        <w:rPr>
          <w:rFonts w:ascii="Times New Roman" w:hAnsi="Times New Roman" w:cs="Times New Roman"/>
          <w:sz w:val="24"/>
          <w:szCs w:val="24"/>
        </w:rPr>
      </w:pPr>
      <w:r w:rsidRPr="00BC4B9A">
        <w:rPr>
          <w:rFonts w:ascii="Times New Roman" w:hAnsi="Times New Roman" w:cs="Times New Roman"/>
          <w:sz w:val="24"/>
          <w:szCs w:val="24"/>
        </w:rPr>
        <w:t xml:space="preserve">Zafar, Z. &amp; Siddiqui, D. A. (2020). Behavioral finance perspectives on Pakistan stock market efficiency: Assessing the Prospect Theory empirically with an adaptive pattern of efficiency across military and democratic regimes. </w:t>
      </w:r>
      <w:r w:rsidRPr="00BC4B9A">
        <w:rPr>
          <w:rFonts w:ascii="Times New Roman" w:hAnsi="Times New Roman" w:cs="Times New Roman"/>
          <w:i/>
          <w:sz w:val="24"/>
          <w:szCs w:val="24"/>
        </w:rPr>
        <w:t>International Journal of Organizational Leadership</w:t>
      </w:r>
      <w:r w:rsidRPr="00BC4B9A">
        <w:rPr>
          <w:rFonts w:ascii="Times New Roman" w:hAnsi="Times New Roman" w:cs="Times New Roman"/>
          <w:sz w:val="24"/>
          <w:szCs w:val="24"/>
        </w:rPr>
        <w:t xml:space="preserve">, </w:t>
      </w:r>
      <w:r w:rsidRPr="000379FE">
        <w:rPr>
          <w:rFonts w:ascii="Times New Roman" w:hAnsi="Times New Roman" w:cs="Times New Roman"/>
          <w:i/>
          <w:iCs/>
          <w:sz w:val="24"/>
          <w:szCs w:val="24"/>
        </w:rPr>
        <w:t>9,</w:t>
      </w:r>
      <w:r w:rsidRPr="00BC4B9A">
        <w:rPr>
          <w:rFonts w:ascii="Times New Roman" w:hAnsi="Times New Roman" w:cs="Times New Roman"/>
          <w:sz w:val="24"/>
          <w:szCs w:val="24"/>
        </w:rPr>
        <w:t xml:space="preserve"> 20-38.</w:t>
      </w:r>
    </w:p>
    <w:p w:rsidR="00370AB2" w:rsidRPr="005A0BAB" w:rsidRDefault="00370AB2" w:rsidP="00D6060F">
      <w:pPr>
        <w:spacing w:after="0" w:line="240" w:lineRule="auto"/>
        <w:ind w:leftChars="0" w:left="564" w:hangingChars="235" w:hanging="564"/>
        <w:rPr>
          <w:rFonts w:ascii="Times New Roman" w:eastAsia="Times New Roman" w:hAnsi="Times New Roman" w:cs="Times New Roman"/>
          <w:sz w:val="24"/>
          <w:szCs w:val="24"/>
          <w:highlight w:val="yellow"/>
        </w:rPr>
      </w:pPr>
    </w:p>
    <w:sectPr w:rsidR="00370AB2" w:rsidRPr="005A0BAB" w:rsidSect="00C438D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8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1F7" w:rsidRDefault="006B41F7">
      <w:pPr>
        <w:spacing w:after="0" w:line="240" w:lineRule="auto"/>
        <w:ind w:left="0" w:hanging="2"/>
      </w:pPr>
      <w:r>
        <w:separator/>
      </w:r>
    </w:p>
  </w:endnote>
  <w:endnote w:type="continuationSeparator" w:id="0">
    <w:p w:rsidR="006B41F7" w:rsidRDefault="006B41F7">
      <w:pPr>
        <w:spacing w:after="0" w:line="240" w:lineRule="auto"/>
        <w:ind w:left="0" w:hanging="2"/>
      </w:pPr>
      <w:r>
        <w:continuationSeparator/>
      </w:r>
    </w:p>
  </w:endnote>
  <w:endnote w:id="1">
    <w:p w:rsidR="00C51986" w:rsidRPr="005F0451" w:rsidRDefault="00C51986" w:rsidP="00C51986">
      <w:pPr>
        <w:pStyle w:val="EndnoteText"/>
        <w:ind w:left="0" w:hanging="2"/>
        <w:rPr>
          <w:rFonts w:ascii="Times New Roman" w:hAnsi="Times New Roman" w:cs="Times New Roman"/>
          <w:sz w:val="24"/>
          <w:szCs w:val="24"/>
          <w:lang w:val="fi-FI"/>
        </w:rPr>
      </w:pPr>
      <w:r w:rsidRPr="005F0451">
        <w:rPr>
          <w:rStyle w:val="EndnoteReference"/>
          <w:rFonts w:ascii="Times New Roman" w:hAnsi="Times New Roman" w:cs="Times New Roman"/>
          <w:sz w:val="24"/>
          <w:szCs w:val="24"/>
        </w:rPr>
        <w:endnoteRef/>
      </w:r>
      <w:r w:rsidRPr="005F0451">
        <w:rPr>
          <w:rFonts w:ascii="Times New Roman" w:hAnsi="Times New Roman" w:cs="Times New Roman"/>
          <w:sz w:val="24"/>
          <w:szCs w:val="24"/>
          <w:lang w:val="fi-FI"/>
        </w:rPr>
        <w:t xml:space="preserve"> </w:t>
      </w:r>
      <w:r w:rsidRPr="005F0451">
        <w:rPr>
          <w:rFonts w:ascii="Times New Roman" w:eastAsia="Times New Roman" w:hAnsi="Times New Roman" w:cs="Times New Roman"/>
          <w:color w:val="000000"/>
          <w:sz w:val="24"/>
          <w:szCs w:val="24"/>
          <w:lang w:val="fi-FI"/>
        </w:rPr>
        <w:t>Di antara kesemua jenis pengeluaran skim KWSP, pengeluaran pra-persaraan pelaburan dan pembiayaan perumahan yang mencapai objektif perancangan kewangan</w:t>
      </w:r>
    </w:p>
  </w:endnote>
  <w:endnote w:id="2">
    <w:p w:rsidR="00C51986" w:rsidRPr="005F0451" w:rsidRDefault="00C51986" w:rsidP="00C51986">
      <w:pPr>
        <w:pStyle w:val="EndnoteText"/>
        <w:ind w:left="0" w:hanging="2"/>
        <w:rPr>
          <w:rFonts w:ascii="Times New Roman" w:hAnsi="Times New Roman" w:cs="Times New Roman"/>
          <w:sz w:val="24"/>
          <w:szCs w:val="24"/>
          <w:lang w:val="fi-FI"/>
        </w:rPr>
      </w:pPr>
      <w:r w:rsidRPr="005F0451">
        <w:rPr>
          <w:rStyle w:val="EndnoteReference"/>
          <w:rFonts w:ascii="Times New Roman" w:hAnsi="Times New Roman" w:cs="Times New Roman"/>
          <w:sz w:val="24"/>
          <w:szCs w:val="24"/>
        </w:rPr>
        <w:endnoteRef/>
      </w:r>
      <w:r w:rsidRPr="005F0451">
        <w:rPr>
          <w:rFonts w:ascii="Times New Roman" w:hAnsi="Times New Roman" w:cs="Times New Roman"/>
          <w:sz w:val="24"/>
          <w:szCs w:val="24"/>
          <w:lang w:val="fi-FI"/>
        </w:rPr>
        <w:t xml:space="preserve"> </w:t>
      </w:r>
      <w:r w:rsidRPr="005F0451">
        <w:rPr>
          <w:rFonts w:ascii="Times New Roman" w:hAnsi="Times New Roman" w:cs="Times New Roman"/>
          <w:sz w:val="24"/>
          <w:szCs w:val="24"/>
          <w:lang w:val="fi-FI"/>
        </w:rPr>
        <w:t xml:space="preserve">Untuk tujuan pengiraan, 20 tahun selepas bersara digunakan dari </w:t>
      </w:r>
      <w:bookmarkStart w:id="2" w:name="_Hlk118281242"/>
      <w:r w:rsidRPr="005F0451">
        <w:rPr>
          <w:rFonts w:ascii="Times New Roman" w:hAnsi="Times New Roman" w:cs="Times New Roman"/>
          <w:sz w:val="24"/>
          <w:szCs w:val="24"/>
          <w:lang w:val="fi-FI"/>
        </w:rPr>
        <w:t xml:space="preserve">persepsi </w:t>
      </w:r>
      <w:bookmarkEnd w:id="2"/>
      <w:r w:rsidRPr="005F0451">
        <w:rPr>
          <w:rFonts w:ascii="Times New Roman" w:hAnsi="Times New Roman" w:cs="Times New Roman"/>
          <w:sz w:val="24"/>
          <w:szCs w:val="24"/>
          <w:lang w:val="fi-FI"/>
        </w:rPr>
        <w:t>perancangan kewangan.</w:t>
      </w:r>
    </w:p>
  </w:endnote>
  <w:endnote w:id="3">
    <w:p w:rsidR="00C51986" w:rsidRPr="005F0451" w:rsidRDefault="00C51986" w:rsidP="00C519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fi-FI"/>
        </w:rPr>
      </w:pPr>
      <w:r w:rsidRPr="005F0451">
        <w:rPr>
          <w:rStyle w:val="EndnoteReference"/>
          <w:rFonts w:ascii="Times New Roman" w:hAnsi="Times New Roman" w:cs="Times New Roman"/>
          <w:sz w:val="24"/>
          <w:szCs w:val="24"/>
        </w:rPr>
        <w:endnoteRef/>
      </w:r>
      <w:r w:rsidRPr="005F0451">
        <w:rPr>
          <w:rFonts w:ascii="Times New Roman" w:hAnsi="Times New Roman" w:cs="Times New Roman"/>
          <w:sz w:val="24"/>
          <w:szCs w:val="24"/>
          <w:lang w:val="fi-FI"/>
        </w:rPr>
        <w:t xml:space="preserve"> </w:t>
      </w:r>
      <w:r w:rsidRPr="005F0451">
        <w:rPr>
          <w:rFonts w:ascii="Times New Roman" w:eastAsia="Times New Roman" w:hAnsi="Times New Roman" w:cs="Times New Roman"/>
          <w:color w:val="000000"/>
          <w:sz w:val="24"/>
          <w:szCs w:val="24"/>
          <w:lang w:val="fi-FI"/>
        </w:rPr>
        <w:t>https://belanjawan2021.treasury.gov.my/pdf/pemulih/teks-ucapan-pemulih.pdf</w:t>
      </w:r>
    </w:p>
  </w:endnote>
  <w:endnote w:id="4">
    <w:p w:rsidR="00C51986" w:rsidRPr="005F0451" w:rsidRDefault="00C51986" w:rsidP="00C519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fi-FI"/>
        </w:rPr>
      </w:pPr>
      <w:r w:rsidRPr="005F0451">
        <w:rPr>
          <w:rStyle w:val="EndnoteReference"/>
          <w:rFonts w:ascii="Times New Roman" w:hAnsi="Times New Roman" w:cs="Times New Roman"/>
          <w:sz w:val="24"/>
          <w:szCs w:val="24"/>
        </w:rPr>
        <w:endnoteRef/>
      </w:r>
      <w:r w:rsidRPr="005F0451">
        <w:rPr>
          <w:rFonts w:ascii="Times New Roman" w:hAnsi="Times New Roman" w:cs="Times New Roman"/>
          <w:sz w:val="24"/>
          <w:szCs w:val="24"/>
          <w:lang w:val="fi-FI"/>
        </w:rPr>
        <w:t xml:space="preserve"> </w:t>
      </w:r>
      <w:r w:rsidRPr="005F0451">
        <w:rPr>
          <w:rFonts w:ascii="Times New Roman" w:eastAsia="Times New Roman" w:hAnsi="Times New Roman" w:cs="Times New Roman"/>
          <w:color w:val="000000"/>
          <w:sz w:val="24"/>
          <w:szCs w:val="24"/>
          <w:lang w:val="fi-FI"/>
        </w:rPr>
        <w:t>https://www.hmetro.com.my/mutakhir/2022/03/816778/tiga-pengeluaran-khas-kwsp-manfaatkan-734-juta-ahli-kementerian-kewangan</w:t>
      </w:r>
    </w:p>
  </w:endnote>
  <w:endnote w:id="5">
    <w:p w:rsidR="00C51986" w:rsidRPr="005F0451" w:rsidRDefault="00C51986" w:rsidP="00C519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fi-FI"/>
        </w:rPr>
      </w:pPr>
      <w:r w:rsidRPr="005F0451">
        <w:rPr>
          <w:rStyle w:val="EndnoteReference"/>
          <w:rFonts w:ascii="Times New Roman" w:hAnsi="Times New Roman" w:cs="Times New Roman"/>
          <w:sz w:val="24"/>
          <w:szCs w:val="24"/>
        </w:rPr>
        <w:endnoteRef/>
      </w:r>
      <w:r w:rsidRPr="005F0451">
        <w:rPr>
          <w:rFonts w:ascii="Times New Roman" w:hAnsi="Times New Roman" w:cs="Times New Roman"/>
          <w:sz w:val="24"/>
          <w:szCs w:val="24"/>
          <w:lang w:val="fi-FI"/>
        </w:rPr>
        <w:t xml:space="preserve"> </w:t>
      </w:r>
      <w:r w:rsidRPr="005F0451">
        <w:rPr>
          <w:rFonts w:ascii="Times New Roman" w:eastAsia="Times New Roman" w:hAnsi="Times New Roman" w:cs="Times New Roman"/>
          <w:color w:val="000000"/>
          <w:sz w:val="24"/>
          <w:szCs w:val="24"/>
          <w:lang w:val="fi-FI"/>
        </w:rPr>
        <w:t>https://www.utusan.com.my/berita/2021/10/pengeluar-i-lestari-i-sinar-i-citra-perlu-4-6-tahun-untuk-bina-semula-simpanan/</w:t>
      </w:r>
    </w:p>
  </w:endnote>
  <w:endnote w:id="6">
    <w:p w:rsidR="00C51986" w:rsidRPr="005F0451" w:rsidRDefault="00C51986" w:rsidP="00C519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fi-FI"/>
        </w:rPr>
      </w:pPr>
      <w:r w:rsidRPr="005F0451">
        <w:rPr>
          <w:rStyle w:val="EndnoteReference"/>
          <w:rFonts w:ascii="Times New Roman" w:hAnsi="Times New Roman" w:cs="Times New Roman"/>
          <w:sz w:val="24"/>
          <w:szCs w:val="24"/>
        </w:rPr>
        <w:endnoteRef/>
      </w:r>
      <w:r w:rsidRPr="005F0451">
        <w:rPr>
          <w:rFonts w:ascii="Times New Roman" w:hAnsi="Times New Roman" w:cs="Times New Roman"/>
          <w:sz w:val="24"/>
          <w:szCs w:val="24"/>
          <w:lang w:val="fi-FI"/>
        </w:rPr>
        <w:t xml:space="preserve"> </w:t>
      </w:r>
      <w:r w:rsidRPr="005F0451">
        <w:rPr>
          <w:rFonts w:ascii="Times New Roman" w:eastAsia="Times New Roman" w:hAnsi="Times New Roman" w:cs="Times New Roman"/>
          <w:color w:val="000000"/>
          <w:sz w:val="24"/>
          <w:szCs w:val="24"/>
          <w:lang w:val="fi-FI"/>
        </w:rPr>
        <w:t>https://www.utusan.com.my/berita/2021/10/pengeluar-i-lestari-i-sinar-i-citra-perlu-4-6-tahun-untuk-bina-semula-simpanan/</w:t>
      </w:r>
    </w:p>
  </w:endnote>
  <w:endnote w:id="7">
    <w:p w:rsidR="00C51986" w:rsidRPr="005F0451" w:rsidRDefault="00C51986" w:rsidP="00C51986">
      <w:pPr>
        <w:pStyle w:val="EndnoteText"/>
        <w:ind w:left="0" w:hanging="2"/>
        <w:rPr>
          <w:rFonts w:ascii="Times New Roman" w:eastAsia="Times New Roman" w:hAnsi="Times New Roman" w:cs="Times New Roman"/>
          <w:color w:val="000000"/>
          <w:sz w:val="24"/>
          <w:szCs w:val="24"/>
          <w:lang w:val="fi-FI"/>
        </w:rPr>
      </w:pPr>
      <w:r w:rsidRPr="005F0451">
        <w:rPr>
          <w:rStyle w:val="EndnoteReference"/>
          <w:rFonts w:ascii="Times New Roman" w:hAnsi="Times New Roman" w:cs="Times New Roman"/>
          <w:sz w:val="24"/>
          <w:szCs w:val="24"/>
        </w:rPr>
        <w:endnoteRef/>
      </w:r>
      <w:r w:rsidRPr="005F0451">
        <w:rPr>
          <w:rFonts w:ascii="Times New Roman" w:hAnsi="Times New Roman" w:cs="Times New Roman"/>
          <w:sz w:val="24"/>
          <w:szCs w:val="24"/>
          <w:lang w:val="fi-FI"/>
        </w:rPr>
        <w:t xml:space="preserve"> </w:t>
      </w:r>
      <w:r w:rsidRPr="005F0451">
        <w:rPr>
          <w:rFonts w:ascii="Times New Roman" w:eastAsia="Times New Roman" w:hAnsi="Times New Roman" w:cs="Times New Roman"/>
          <w:color w:val="000000"/>
          <w:sz w:val="24"/>
          <w:szCs w:val="24"/>
          <w:lang w:val="fi-FI"/>
        </w:rPr>
        <w:t>https://www.hmetro.com.my/mutakhir/2022/03/816778/tiga-pengeluaran-khas-kwsp-manfaatkan-734-juta-ahli-kementerian-kewangan</w:t>
      </w:r>
    </w:p>
  </w:endnote>
  <w:endnote w:id="8">
    <w:p w:rsidR="00C51986" w:rsidRPr="005F0451" w:rsidRDefault="00C51986" w:rsidP="00C51986">
      <w:pPr>
        <w:pStyle w:val="EndnoteText"/>
        <w:ind w:left="0" w:hanging="2"/>
        <w:rPr>
          <w:rFonts w:ascii="Times New Roman" w:eastAsia="Times New Roman" w:hAnsi="Times New Roman" w:cs="Times New Roman"/>
          <w:color w:val="000000"/>
          <w:sz w:val="24"/>
          <w:szCs w:val="24"/>
          <w:lang w:val="fi-FI"/>
        </w:rPr>
      </w:pPr>
      <w:r w:rsidRPr="005F0451">
        <w:rPr>
          <w:rStyle w:val="EndnoteReference"/>
          <w:rFonts w:ascii="Times New Roman" w:hAnsi="Times New Roman" w:cs="Times New Roman"/>
          <w:sz w:val="24"/>
          <w:szCs w:val="24"/>
        </w:rPr>
        <w:endnoteRef/>
      </w:r>
      <w:r w:rsidRPr="005F0451">
        <w:rPr>
          <w:rFonts w:ascii="Times New Roman" w:hAnsi="Times New Roman" w:cs="Times New Roman"/>
          <w:sz w:val="24"/>
          <w:szCs w:val="24"/>
          <w:lang w:val="fi-FI"/>
        </w:rPr>
        <w:t xml:space="preserve"> </w:t>
      </w:r>
      <w:r w:rsidRPr="005F0451">
        <w:rPr>
          <w:rFonts w:ascii="Times New Roman" w:eastAsia="Times New Roman" w:hAnsi="Times New Roman" w:cs="Times New Roman"/>
          <w:color w:val="000000"/>
          <w:sz w:val="24"/>
          <w:szCs w:val="24"/>
          <w:lang w:val="fi-FI"/>
        </w:rPr>
        <w:t>https://www.kwsp.gov.my/ms/member/retirement-advisory-service</w:t>
      </w:r>
    </w:p>
  </w:endnote>
  <w:endnote w:id="9">
    <w:p w:rsidR="00C51986" w:rsidRPr="005F0451" w:rsidRDefault="00C51986" w:rsidP="00C51986">
      <w:pPr>
        <w:pStyle w:val="EndnoteText"/>
        <w:ind w:left="0" w:hanging="2"/>
        <w:rPr>
          <w:rFonts w:ascii="Times New Roman" w:eastAsia="Times New Roman" w:hAnsi="Times New Roman" w:cs="Times New Roman"/>
          <w:color w:val="000000"/>
          <w:sz w:val="24"/>
          <w:szCs w:val="24"/>
          <w:lang w:val="fi-FI"/>
        </w:rPr>
      </w:pPr>
      <w:r w:rsidRPr="005F0451">
        <w:rPr>
          <w:rStyle w:val="EndnoteReference"/>
          <w:rFonts w:ascii="Times New Roman" w:hAnsi="Times New Roman" w:cs="Times New Roman"/>
          <w:sz w:val="24"/>
          <w:szCs w:val="24"/>
        </w:rPr>
        <w:endnoteRef/>
      </w:r>
      <w:r w:rsidRPr="005F0451">
        <w:rPr>
          <w:rFonts w:ascii="Times New Roman" w:hAnsi="Times New Roman" w:cs="Times New Roman"/>
          <w:sz w:val="24"/>
          <w:szCs w:val="24"/>
          <w:lang w:val="fi-FI"/>
        </w:rPr>
        <w:t xml:space="preserve"> </w:t>
      </w:r>
      <w:r w:rsidRPr="005F0451">
        <w:rPr>
          <w:rFonts w:ascii="Times New Roman" w:eastAsia="Times New Roman" w:hAnsi="Times New Roman" w:cs="Times New Roman"/>
          <w:color w:val="000000"/>
          <w:sz w:val="24"/>
          <w:szCs w:val="24"/>
          <w:lang w:val="fi-FI"/>
        </w:rPr>
        <w:t>https://www.astroawani.com/berita-malaysia/rm1945-bilion-pengeluaran-ilestari-rm5248-bilion-isinar-diluluskan-tengku-zafrul-289811</w:t>
      </w:r>
    </w:p>
  </w:endnote>
  <w:endnote w:id="10">
    <w:p w:rsidR="00C51986" w:rsidRPr="005F0451" w:rsidRDefault="00C51986" w:rsidP="00C51986">
      <w:pPr>
        <w:pStyle w:val="EndnoteText"/>
        <w:ind w:left="0" w:hanging="2"/>
        <w:rPr>
          <w:rFonts w:ascii="Times New Roman" w:hAnsi="Times New Roman" w:cs="Times New Roman"/>
          <w:sz w:val="24"/>
          <w:szCs w:val="24"/>
          <w:lang w:val="fi-FI"/>
        </w:rPr>
      </w:pPr>
      <w:r w:rsidRPr="005F0451">
        <w:rPr>
          <w:rStyle w:val="EndnoteReference"/>
          <w:rFonts w:ascii="Times New Roman" w:hAnsi="Times New Roman" w:cs="Times New Roman"/>
          <w:sz w:val="24"/>
          <w:szCs w:val="24"/>
        </w:rPr>
        <w:endnoteRef/>
      </w:r>
      <w:r w:rsidRPr="005F0451">
        <w:rPr>
          <w:rFonts w:ascii="Times New Roman" w:hAnsi="Times New Roman" w:cs="Times New Roman"/>
          <w:sz w:val="24"/>
          <w:szCs w:val="24"/>
          <w:lang w:val="fi-FI"/>
        </w:rPr>
        <w:t xml:space="preserve"> </w:t>
      </w:r>
      <w:r w:rsidRPr="005F0451">
        <w:rPr>
          <w:rFonts w:ascii="Times New Roman" w:eastAsia="Times New Roman" w:hAnsi="Times New Roman" w:cs="Times New Roman"/>
          <w:color w:val="000000"/>
          <w:sz w:val="24"/>
          <w:szCs w:val="24"/>
          <w:lang w:val="fi-FI"/>
        </w:rPr>
        <w:t>https://www.bharian.com.my/berita/nasional/2021/02/790777/pengeluaran-i-lestari-rm181-bilion-kwsp</w:t>
      </w:r>
    </w:p>
  </w:endnote>
  <w:endnote w:id="11">
    <w:p w:rsidR="00C51986" w:rsidRPr="00087940" w:rsidRDefault="00C51986" w:rsidP="00C51986">
      <w:pPr>
        <w:pBdr>
          <w:top w:val="nil"/>
          <w:left w:val="nil"/>
          <w:bottom w:val="nil"/>
          <w:right w:val="nil"/>
          <w:between w:val="nil"/>
        </w:pBdr>
        <w:spacing w:after="0" w:line="240" w:lineRule="auto"/>
        <w:ind w:left="0" w:hanging="2"/>
        <w:rPr>
          <w:rFonts w:eastAsia="Times New Roman"/>
          <w:color w:val="000000"/>
          <w:sz w:val="20"/>
          <w:szCs w:val="20"/>
          <w:lang w:val="fi-FI"/>
        </w:rPr>
      </w:pPr>
      <w:r w:rsidRPr="005F0451">
        <w:rPr>
          <w:rStyle w:val="EndnoteReference"/>
          <w:rFonts w:ascii="Times New Roman" w:hAnsi="Times New Roman" w:cs="Times New Roman"/>
          <w:sz w:val="24"/>
          <w:szCs w:val="24"/>
        </w:rPr>
        <w:endnoteRef/>
      </w:r>
      <w:r w:rsidRPr="005F0451">
        <w:rPr>
          <w:rFonts w:ascii="Times New Roman" w:hAnsi="Times New Roman" w:cs="Times New Roman"/>
          <w:sz w:val="24"/>
          <w:szCs w:val="24"/>
          <w:lang w:val="fi-FI"/>
        </w:rPr>
        <w:t xml:space="preserve"> </w:t>
      </w:r>
      <w:r w:rsidRPr="005F0451">
        <w:rPr>
          <w:rFonts w:ascii="Times New Roman" w:eastAsia="Times New Roman" w:hAnsi="Times New Roman" w:cs="Times New Roman"/>
          <w:color w:val="000000"/>
          <w:sz w:val="24"/>
          <w:szCs w:val="24"/>
          <w:lang w:val="fi-FI"/>
        </w:rPr>
        <w:t>https://www.astroawani.com/berita-malaysia/rm1945-bilion-pengeluaran-ilestari-rm5248-bilion-isinar-diluluskan-tengku-zafrul-289811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1CA" w:rsidRDefault="005E51CA">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1CA" w:rsidRDefault="005E51CA">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1CA" w:rsidRDefault="005E51CA">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1F7" w:rsidRDefault="006B41F7">
      <w:pPr>
        <w:spacing w:after="0" w:line="240" w:lineRule="auto"/>
        <w:ind w:left="0" w:hanging="2"/>
      </w:pPr>
      <w:r>
        <w:separator/>
      </w:r>
    </w:p>
  </w:footnote>
  <w:footnote w:type="continuationSeparator" w:id="0">
    <w:p w:rsidR="006B41F7" w:rsidRDefault="006B41F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1CA" w:rsidRDefault="005E51CA">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8DC" w:rsidRPr="00C438DC" w:rsidRDefault="00C438DC" w:rsidP="002B2BE6">
    <w:pPr>
      <w:tabs>
        <w:tab w:val="left" w:pos="720"/>
        <w:tab w:val="center" w:pos="4680"/>
        <w:tab w:val="right" w:pos="9360"/>
      </w:tabs>
      <w:spacing w:after="0" w:line="240" w:lineRule="auto"/>
      <w:ind w:left="0" w:hanging="2"/>
      <w:jc w:val="both"/>
      <w:rPr>
        <w:rFonts w:ascii="Times New Roman" w:eastAsia="Times New Roman" w:hAnsi="Times New Roman" w:cs="Times New Roman"/>
        <w:position w:val="0"/>
        <w:sz w:val="18"/>
        <w:szCs w:val="18"/>
        <w:lang w:val="en-GB" w:eastAsia="en-GB"/>
      </w:rPr>
    </w:pPr>
    <w:bookmarkStart w:id="4" w:name="_GoBack"/>
    <w:r w:rsidRPr="00C438DC">
      <w:rPr>
        <w:rFonts w:ascii="Times New Roman" w:eastAsia="Times New Roman" w:hAnsi="Times New Roman" w:cs="Times New Roman"/>
        <w:sz w:val="18"/>
        <w:szCs w:val="18"/>
      </w:rPr>
      <w:t>Geografia-Malaysian Journal of Society and Space</w:t>
    </w:r>
    <w:r w:rsidRPr="00C438DC">
      <w:rPr>
        <w:rFonts w:ascii="Times New Roman" w:eastAsia="Times New Roman" w:hAnsi="Times New Roman" w:cs="Times New Roman"/>
        <w:b/>
        <w:sz w:val="18"/>
        <w:szCs w:val="18"/>
      </w:rPr>
      <w:t xml:space="preserve"> </w:t>
    </w:r>
    <w:r w:rsidRPr="00C438DC">
      <w:rPr>
        <w:rFonts w:ascii="Times New Roman" w:eastAsia="Times New Roman" w:hAnsi="Times New Roman" w:cs="Times New Roman"/>
        <w:sz w:val="18"/>
        <w:szCs w:val="18"/>
      </w:rPr>
      <w:t>19 issue</w:t>
    </w:r>
    <w:r w:rsidRPr="00C438DC">
      <w:rPr>
        <w:rFonts w:ascii="Times New Roman" w:eastAsia="Times New Roman" w:hAnsi="Times New Roman" w:cs="Times New Roman"/>
        <w:b/>
        <w:sz w:val="18"/>
        <w:szCs w:val="18"/>
      </w:rPr>
      <w:t xml:space="preserve"> </w:t>
    </w:r>
    <w:r w:rsidRPr="00C438DC">
      <w:rPr>
        <w:rFonts w:ascii="Times New Roman" w:eastAsia="Times New Roman" w:hAnsi="Times New Roman" w:cs="Times New Roman"/>
        <w:sz w:val="18"/>
        <w:szCs w:val="18"/>
      </w:rPr>
      <w:t>2</w:t>
    </w:r>
    <w:r w:rsidRPr="00C438DC">
      <w:rPr>
        <w:rFonts w:ascii="Times New Roman" w:eastAsia="Times New Roman" w:hAnsi="Times New Roman" w:cs="Times New Roman"/>
        <w:b/>
        <w:sz w:val="18"/>
        <w:szCs w:val="18"/>
      </w:rPr>
      <w:t xml:space="preserve"> </w:t>
    </w:r>
    <w:r w:rsidRPr="00C438DC">
      <w:rPr>
        <w:rFonts w:ascii="Times New Roman" w:eastAsia="Times New Roman" w:hAnsi="Times New Roman" w:cs="Times New Roman"/>
        <w:sz w:val="18"/>
        <w:szCs w:val="18"/>
      </w:rPr>
      <w:t>(</w:t>
    </w:r>
    <w:r w:rsidR="00AB7D89">
      <w:rPr>
        <w:rFonts w:ascii="Times New Roman" w:eastAsia="Times New Roman" w:hAnsi="Times New Roman" w:cs="Times New Roman"/>
        <w:sz w:val="18"/>
        <w:szCs w:val="18"/>
      </w:rPr>
      <w:t>181-199</w:t>
    </w:r>
    <w:r w:rsidRPr="00C438DC">
      <w:rPr>
        <w:rFonts w:ascii="Times New Roman" w:eastAsia="Times New Roman" w:hAnsi="Times New Roman" w:cs="Times New Roman"/>
        <w:sz w:val="18"/>
        <w:szCs w:val="18"/>
      </w:rPr>
      <w:t>)</w:t>
    </w:r>
  </w:p>
  <w:p w:rsidR="00C438DC" w:rsidRPr="00C438DC" w:rsidRDefault="00C438DC" w:rsidP="002B2BE6">
    <w:pPr>
      <w:pStyle w:val="Header"/>
      <w:spacing w:after="0" w:line="240" w:lineRule="auto"/>
      <w:ind w:left="0" w:hanging="2"/>
      <w:rPr>
        <w:rFonts w:ascii="Times New Roman" w:hAnsi="Times New Roman" w:cs="Times New Roman"/>
        <w:sz w:val="18"/>
        <w:szCs w:val="18"/>
      </w:rPr>
    </w:pPr>
    <w:r w:rsidRPr="00C438DC">
      <w:rPr>
        <w:rFonts w:ascii="Times New Roman" w:eastAsia="Times New Roman" w:hAnsi="Times New Roman" w:cs="Times New Roman"/>
        <w:sz w:val="18"/>
        <w:szCs w:val="18"/>
      </w:rPr>
      <w:t xml:space="preserve">© 2023, e-ISSN 2682-7727  </w:t>
    </w:r>
    <w:hyperlink r:id="rId1" w:history="1">
      <w:r w:rsidRPr="00AB7D89">
        <w:rPr>
          <w:rStyle w:val="Hyperlink"/>
          <w:rFonts w:ascii="Times New Roman" w:hAnsi="Times New Roman" w:cs="Times New Roman"/>
          <w:color w:val="auto"/>
          <w:sz w:val="18"/>
          <w:szCs w:val="18"/>
          <w:u w:val="none"/>
        </w:rPr>
        <w:t>https://doi.org/10.17576/geo-2023-1902-13</w:t>
      </w:r>
    </w:hyperlink>
    <w:bookmarkEnd w:id="4"/>
    <w:sdt>
      <w:sdtPr>
        <w:rPr>
          <w:rFonts w:ascii="Times New Roman" w:hAnsi="Times New Roman" w:cs="Times New Roman"/>
          <w:sz w:val="18"/>
          <w:szCs w:val="18"/>
        </w:rPr>
        <w:id w:val="-655305708"/>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C438DC">
          <w:rPr>
            <w:rFonts w:ascii="Times New Roman" w:hAnsi="Times New Roman" w:cs="Times New Roman"/>
            <w:sz w:val="18"/>
            <w:szCs w:val="18"/>
          </w:rPr>
          <w:fldChar w:fldCharType="begin"/>
        </w:r>
        <w:r w:rsidRPr="00C438DC">
          <w:rPr>
            <w:rFonts w:ascii="Times New Roman" w:hAnsi="Times New Roman" w:cs="Times New Roman"/>
            <w:sz w:val="18"/>
            <w:szCs w:val="18"/>
          </w:rPr>
          <w:instrText xml:space="preserve"> PAGE   \* MERGEFORMAT </w:instrText>
        </w:r>
        <w:r w:rsidRPr="00C438DC">
          <w:rPr>
            <w:rFonts w:ascii="Times New Roman" w:hAnsi="Times New Roman" w:cs="Times New Roman"/>
            <w:sz w:val="18"/>
            <w:szCs w:val="18"/>
          </w:rPr>
          <w:fldChar w:fldCharType="separate"/>
        </w:r>
        <w:r w:rsidR="002B2BE6">
          <w:rPr>
            <w:rFonts w:ascii="Times New Roman" w:hAnsi="Times New Roman" w:cs="Times New Roman"/>
            <w:noProof/>
            <w:sz w:val="18"/>
            <w:szCs w:val="18"/>
          </w:rPr>
          <w:t>199</w:t>
        </w:r>
        <w:r w:rsidRPr="00C438DC">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1CA" w:rsidRDefault="005E51CA">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01AFA"/>
    <w:multiLevelType w:val="hybridMultilevel"/>
    <w:tmpl w:val="42B0D5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69FF3661"/>
    <w:multiLevelType w:val="hybridMultilevel"/>
    <w:tmpl w:val="8C4CA9B0"/>
    <w:lvl w:ilvl="0" w:tplc="44090001">
      <w:start w:val="1"/>
      <w:numFmt w:val="bullet"/>
      <w:lvlText w:val=""/>
      <w:lvlJc w:val="left"/>
      <w:pPr>
        <w:ind w:left="718" w:hanging="360"/>
      </w:pPr>
      <w:rPr>
        <w:rFonts w:ascii="Symbol" w:hAnsi="Symbol"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abstractNum w:abstractNumId="2" w15:restartNumberingAfterBreak="0">
    <w:nsid w:val="71260812"/>
    <w:multiLevelType w:val="hybridMultilevel"/>
    <w:tmpl w:val="964432F2"/>
    <w:lvl w:ilvl="0" w:tplc="44090001">
      <w:start w:val="1"/>
      <w:numFmt w:val="bullet"/>
      <w:lvlText w:val=""/>
      <w:lvlJc w:val="left"/>
      <w:pPr>
        <w:ind w:left="718" w:hanging="360"/>
      </w:pPr>
      <w:rPr>
        <w:rFonts w:ascii="Symbol" w:hAnsi="Symbol"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abstractNum w:abstractNumId="3" w15:restartNumberingAfterBreak="0">
    <w:nsid w:val="7ECF1682"/>
    <w:multiLevelType w:val="multilevel"/>
    <w:tmpl w:val="77BAB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078"/>
    <w:rsid w:val="00004C39"/>
    <w:rsid w:val="00013BF2"/>
    <w:rsid w:val="000259CF"/>
    <w:rsid w:val="00025B13"/>
    <w:rsid w:val="000304AB"/>
    <w:rsid w:val="00032C28"/>
    <w:rsid w:val="00036F13"/>
    <w:rsid w:val="000403A3"/>
    <w:rsid w:val="000450B7"/>
    <w:rsid w:val="000459D8"/>
    <w:rsid w:val="00045CE5"/>
    <w:rsid w:val="00045EC6"/>
    <w:rsid w:val="000579A9"/>
    <w:rsid w:val="00065150"/>
    <w:rsid w:val="00082659"/>
    <w:rsid w:val="00087940"/>
    <w:rsid w:val="00091D20"/>
    <w:rsid w:val="000942B1"/>
    <w:rsid w:val="00094F46"/>
    <w:rsid w:val="00097F32"/>
    <w:rsid w:val="000A0E62"/>
    <w:rsid w:val="000A6599"/>
    <w:rsid w:val="000B706B"/>
    <w:rsid w:val="000C1AF4"/>
    <w:rsid w:val="000D1065"/>
    <w:rsid w:val="000E1602"/>
    <w:rsid w:val="00100B08"/>
    <w:rsid w:val="00100F89"/>
    <w:rsid w:val="00103772"/>
    <w:rsid w:val="001245B7"/>
    <w:rsid w:val="00125ADE"/>
    <w:rsid w:val="00131580"/>
    <w:rsid w:val="001446EC"/>
    <w:rsid w:val="00155BC4"/>
    <w:rsid w:val="001623DC"/>
    <w:rsid w:val="001646C9"/>
    <w:rsid w:val="00164FB5"/>
    <w:rsid w:val="0016729F"/>
    <w:rsid w:val="00167CC7"/>
    <w:rsid w:val="001719B6"/>
    <w:rsid w:val="0017277C"/>
    <w:rsid w:val="0017407D"/>
    <w:rsid w:val="00176038"/>
    <w:rsid w:val="00192502"/>
    <w:rsid w:val="00195D8E"/>
    <w:rsid w:val="001A42FF"/>
    <w:rsid w:val="001A6D41"/>
    <w:rsid w:val="001A7617"/>
    <w:rsid w:val="001B133A"/>
    <w:rsid w:val="001C6B90"/>
    <w:rsid w:val="001C6DC5"/>
    <w:rsid w:val="001D7250"/>
    <w:rsid w:val="001F2F7D"/>
    <w:rsid w:val="001F6B99"/>
    <w:rsid w:val="00204B9B"/>
    <w:rsid w:val="00211F2A"/>
    <w:rsid w:val="00214D68"/>
    <w:rsid w:val="0021607A"/>
    <w:rsid w:val="002165AA"/>
    <w:rsid w:val="0021790A"/>
    <w:rsid w:val="00234208"/>
    <w:rsid w:val="00241789"/>
    <w:rsid w:val="00243F24"/>
    <w:rsid w:val="00244019"/>
    <w:rsid w:val="00256020"/>
    <w:rsid w:val="00263ACB"/>
    <w:rsid w:val="00271E20"/>
    <w:rsid w:val="002742E5"/>
    <w:rsid w:val="002916F6"/>
    <w:rsid w:val="00293AE5"/>
    <w:rsid w:val="002A0031"/>
    <w:rsid w:val="002A0D4F"/>
    <w:rsid w:val="002A1C84"/>
    <w:rsid w:val="002B2403"/>
    <w:rsid w:val="002B2BE6"/>
    <w:rsid w:val="002E1875"/>
    <w:rsid w:val="002F19A1"/>
    <w:rsid w:val="00301509"/>
    <w:rsid w:val="00303078"/>
    <w:rsid w:val="00306765"/>
    <w:rsid w:val="003069F4"/>
    <w:rsid w:val="00307480"/>
    <w:rsid w:val="003107D9"/>
    <w:rsid w:val="00311634"/>
    <w:rsid w:val="00312E44"/>
    <w:rsid w:val="00321BD6"/>
    <w:rsid w:val="003270D0"/>
    <w:rsid w:val="003408CC"/>
    <w:rsid w:val="0034096A"/>
    <w:rsid w:val="00340CF2"/>
    <w:rsid w:val="0034133B"/>
    <w:rsid w:val="00356951"/>
    <w:rsid w:val="0036611F"/>
    <w:rsid w:val="00366168"/>
    <w:rsid w:val="00370A0B"/>
    <w:rsid w:val="00370AB2"/>
    <w:rsid w:val="00386C72"/>
    <w:rsid w:val="00390088"/>
    <w:rsid w:val="00393188"/>
    <w:rsid w:val="00396A08"/>
    <w:rsid w:val="00396C0A"/>
    <w:rsid w:val="003A2A08"/>
    <w:rsid w:val="003B5F79"/>
    <w:rsid w:val="003C1A4E"/>
    <w:rsid w:val="003C380C"/>
    <w:rsid w:val="003C5174"/>
    <w:rsid w:val="003C66AD"/>
    <w:rsid w:val="003D1689"/>
    <w:rsid w:val="003D25CB"/>
    <w:rsid w:val="003E7071"/>
    <w:rsid w:val="003F62F1"/>
    <w:rsid w:val="00412928"/>
    <w:rsid w:val="00414CC1"/>
    <w:rsid w:val="00420F0D"/>
    <w:rsid w:val="0043254D"/>
    <w:rsid w:val="004420F0"/>
    <w:rsid w:val="00442172"/>
    <w:rsid w:val="004437F5"/>
    <w:rsid w:val="00447ABA"/>
    <w:rsid w:val="00450900"/>
    <w:rsid w:val="004577D6"/>
    <w:rsid w:val="00464BB1"/>
    <w:rsid w:val="004703A1"/>
    <w:rsid w:val="00471B97"/>
    <w:rsid w:val="0047571D"/>
    <w:rsid w:val="004770B9"/>
    <w:rsid w:val="00477F7F"/>
    <w:rsid w:val="00481C1B"/>
    <w:rsid w:val="00481C32"/>
    <w:rsid w:val="00492A61"/>
    <w:rsid w:val="004A4CE1"/>
    <w:rsid w:val="004B04C1"/>
    <w:rsid w:val="004B33F7"/>
    <w:rsid w:val="004C7783"/>
    <w:rsid w:val="004D2702"/>
    <w:rsid w:val="004D646C"/>
    <w:rsid w:val="004E0554"/>
    <w:rsid w:val="004E1699"/>
    <w:rsid w:val="004E4194"/>
    <w:rsid w:val="004E685F"/>
    <w:rsid w:val="004E6CC8"/>
    <w:rsid w:val="004F7B3F"/>
    <w:rsid w:val="005039BF"/>
    <w:rsid w:val="00503BFE"/>
    <w:rsid w:val="005077BA"/>
    <w:rsid w:val="005119C4"/>
    <w:rsid w:val="00511CB4"/>
    <w:rsid w:val="00512604"/>
    <w:rsid w:val="00514E9D"/>
    <w:rsid w:val="0051745B"/>
    <w:rsid w:val="00520502"/>
    <w:rsid w:val="00544333"/>
    <w:rsid w:val="005445ED"/>
    <w:rsid w:val="00545616"/>
    <w:rsid w:val="0055315F"/>
    <w:rsid w:val="0055486B"/>
    <w:rsid w:val="005656ED"/>
    <w:rsid w:val="00567DEA"/>
    <w:rsid w:val="005706ED"/>
    <w:rsid w:val="00570A02"/>
    <w:rsid w:val="005737B6"/>
    <w:rsid w:val="005742A9"/>
    <w:rsid w:val="0059159A"/>
    <w:rsid w:val="005A0BAB"/>
    <w:rsid w:val="005A787D"/>
    <w:rsid w:val="005B157D"/>
    <w:rsid w:val="005B203C"/>
    <w:rsid w:val="005C417C"/>
    <w:rsid w:val="005C6E30"/>
    <w:rsid w:val="005D1C37"/>
    <w:rsid w:val="005D649A"/>
    <w:rsid w:val="005E4158"/>
    <w:rsid w:val="005E4509"/>
    <w:rsid w:val="005E51CA"/>
    <w:rsid w:val="005F0451"/>
    <w:rsid w:val="006114D3"/>
    <w:rsid w:val="00624697"/>
    <w:rsid w:val="00626CC3"/>
    <w:rsid w:val="00630DE3"/>
    <w:rsid w:val="006372C6"/>
    <w:rsid w:val="00643F32"/>
    <w:rsid w:val="00644C36"/>
    <w:rsid w:val="00652563"/>
    <w:rsid w:val="00654F89"/>
    <w:rsid w:val="00673003"/>
    <w:rsid w:val="0067577B"/>
    <w:rsid w:val="00681140"/>
    <w:rsid w:val="00682272"/>
    <w:rsid w:val="006A104A"/>
    <w:rsid w:val="006B3538"/>
    <w:rsid w:val="006B41F7"/>
    <w:rsid w:val="006B6491"/>
    <w:rsid w:val="006D1208"/>
    <w:rsid w:val="006E3045"/>
    <w:rsid w:val="006E4A23"/>
    <w:rsid w:val="00703CB9"/>
    <w:rsid w:val="00717D95"/>
    <w:rsid w:val="007241D1"/>
    <w:rsid w:val="00724658"/>
    <w:rsid w:val="00727CD9"/>
    <w:rsid w:val="00767F7D"/>
    <w:rsid w:val="00790D20"/>
    <w:rsid w:val="00791A74"/>
    <w:rsid w:val="007943A8"/>
    <w:rsid w:val="007B4945"/>
    <w:rsid w:val="007B5D96"/>
    <w:rsid w:val="007C020C"/>
    <w:rsid w:val="007D0078"/>
    <w:rsid w:val="007D5950"/>
    <w:rsid w:val="007E3193"/>
    <w:rsid w:val="007E361C"/>
    <w:rsid w:val="007F7E45"/>
    <w:rsid w:val="00804DAA"/>
    <w:rsid w:val="008052A2"/>
    <w:rsid w:val="00814828"/>
    <w:rsid w:val="008213C0"/>
    <w:rsid w:val="00831276"/>
    <w:rsid w:val="00832510"/>
    <w:rsid w:val="00834AC4"/>
    <w:rsid w:val="00857EDE"/>
    <w:rsid w:val="00860DA0"/>
    <w:rsid w:val="00866088"/>
    <w:rsid w:val="00876E7C"/>
    <w:rsid w:val="00890A0D"/>
    <w:rsid w:val="0089226F"/>
    <w:rsid w:val="00893D42"/>
    <w:rsid w:val="008967C2"/>
    <w:rsid w:val="008A208D"/>
    <w:rsid w:val="008A44E9"/>
    <w:rsid w:val="008A4ECD"/>
    <w:rsid w:val="008B7E34"/>
    <w:rsid w:val="008C139A"/>
    <w:rsid w:val="008D35B4"/>
    <w:rsid w:val="008E22AF"/>
    <w:rsid w:val="008F16D2"/>
    <w:rsid w:val="00902242"/>
    <w:rsid w:val="00905595"/>
    <w:rsid w:val="009200A0"/>
    <w:rsid w:val="00932C86"/>
    <w:rsid w:val="009365FF"/>
    <w:rsid w:val="009418BC"/>
    <w:rsid w:val="00945014"/>
    <w:rsid w:val="009608A9"/>
    <w:rsid w:val="009618D3"/>
    <w:rsid w:val="009622BE"/>
    <w:rsid w:val="00962ED8"/>
    <w:rsid w:val="00964B69"/>
    <w:rsid w:val="00982637"/>
    <w:rsid w:val="009858E7"/>
    <w:rsid w:val="009864B9"/>
    <w:rsid w:val="0099148D"/>
    <w:rsid w:val="009955C7"/>
    <w:rsid w:val="009A0E1B"/>
    <w:rsid w:val="009A4892"/>
    <w:rsid w:val="009A6701"/>
    <w:rsid w:val="009B6468"/>
    <w:rsid w:val="009C3725"/>
    <w:rsid w:val="009D0217"/>
    <w:rsid w:val="009E15DE"/>
    <w:rsid w:val="009F0E76"/>
    <w:rsid w:val="00A0524E"/>
    <w:rsid w:val="00A12406"/>
    <w:rsid w:val="00A160B6"/>
    <w:rsid w:val="00A21E16"/>
    <w:rsid w:val="00A32B57"/>
    <w:rsid w:val="00A32D6C"/>
    <w:rsid w:val="00A4531A"/>
    <w:rsid w:val="00A63DDB"/>
    <w:rsid w:val="00A74E08"/>
    <w:rsid w:val="00A82461"/>
    <w:rsid w:val="00A8275A"/>
    <w:rsid w:val="00A918D7"/>
    <w:rsid w:val="00A95D3D"/>
    <w:rsid w:val="00AA078F"/>
    <w:rsid w:val="00AA185E"/>
    <w:rsid w:val="00AA435A"/>
    <w:rsid w:val="00AB03EA"/>
    <w:rsid w:val="00AB1398"/>
    <w:rsid w:val="00AB640A"/>
    <w:rsid w:val="00AB6ED3"/>
    <w:rsid w:val="00AB7D89"/>
    <w:rsid w:val="00AC3BE6"/>
    <w:rsid w:val="00AE0632"/>
    <w:rsid w:val="00AE4D9F"/>
    <w:rsid w:val="00AF1320"/>
    <w:rsid w:val="00B0008E"/>
    <w:rsid w:val="00B15204"/>
    <w:rsid w:val="00B26EE0"/>
    <w:rsid w:val="00B308CC"/>
    <w:rsid w:val="00B32B6D"/>
    <w:rsid w:val="00B441D0"/>
    <w:rsid w:val="00B44B7D"/>
    <w:rsid w:val="00B46D2C"/>
    <w:rsid w:val="00B47723"/>
    <w:rsid w:val="00B51F6C"/>
    <w:rsid w:val="00B5644F"/>
    <w:rsid w:val="00B5791A"/>
    <w:rsid w:val="00B61C86"/>
    <w:rsid w:val="00B64A7F"/>
    <w:rsid w:val="00B757D1"/>
    <w:rsid w:val="00B75C1D"/>
    <w:rsid w:val="00B90071"/>
    <w:rsid w:val="00B90581"/>
    <w:rsid w:val="00B940C5"/>
    <w:rsid w:val="00BB4100"/>
    <w:rsid w:val="00BB5E51"/>
    <w:rsid w:val="00BC6F09"/>
    <w:rsid w:val="00BC7FF5"/>
    <w:rsid w:val="00BE0043"/>
    <w:rsid w:val="00BE1497"/>
    <w:rsid w:val="00BE30E8"/>
    <w:rsid w:val="00BE4EBF"/>
    <w:rsid w:val="00BF0EAB"/>
    <w:rsid w:val="00BF5386"/>
    <w:rsid w:val="00BF72B3"/>
    <w:rsid w:val="00C12ACD"/>
    <w:rsid w:val="00C149B4"/>
    <w:rsid w:val="00C14FBF"/>
    <w:rsid w:val="00C1583B"/>
    <w:rsid w:val="00C17EFD"/>
    <w:rsid w:val="00C25964"/>
    <w:rsid w:val="00C26988"/>
    <w:rsid w:val="00C27434"/>
    <w:rsid w:val="00C438DC"/>
    <w:rsid w:val="00C43AA9"/>
    <w:rsid w:val="00C51986"/>
    <w:rsid w:val="00C6440A"/>
    <w:rsid w:val="00C65419"/>
    <w:rsid w:val="00C90C2D"/>
    <w:rsid w:val="00C914C5"/>
    <w:rsid w:val="00C9556D"/>
    <w:rsid w:val="00C965E6"/>
    <w:rsid w:val="00CA4778"/>
    <w:rsid w:val="00CB0CF8"/>
    <w:rsid w:val="00CB1E66"/>
    <w:rsid w:val="00CC3B9A"/>
    <w:rsid w:val="00CC78B2"/>
    <w:rsid w:val="00CE1BEA"/>
    <w:rsid w:val="00CF3D51"/>
    <w:rsid w:val="00CF7167"/>
    <w:rsid w:val="00CF7EDB"/>
    <w:rsid w:val="00D014D4"/>
    <w:rsid w:val="00D02853"/>
    <w:rsid w:val="00D12D40"/>
    <w:rsid w:val="00D22792"/>
    <w:rsid w:val="00D25F01"/>
    <w:rsid w:val="00D26B65"/>
    <w:rsid w:val="00D277C0"/>
    <w:rsid w:val="00D31552"/>
    <w:rsid w:val="00D31AA6"/>
    <w:rsid w:val="00D32B48"/>
    <w:rsid w:val="00D32FCB"/>
    <w:rsid w:val="00D360D2"/>
    <w:rsid w:val="00D367BD"/>
    <w:rsid w:val="00D450DB"/>
    <w:rsid w:val="00D518EB"/>
    <w:rsid w:val="00D6060F"/>
    <w:rsid w:val="00D63CF3"/>
    <w:rsid w:val="00D665E1"/>
    <w:rsid w:val="00D66BDB"/>
    <w:rsid w:val="00D7304A"/>
    <w:rsid w:val="00D80923"/>
    <w:rsid w:val="00D873DB"/>
    <w:rsid w:val="00D90C80"/>
    <w:rsid w:val="00DA7593"/>
    <w:rsid w:val="00DB4F31"/>
    <w:rsid w:val="00DD23C9"/>
    <w:rsid w:val="00DE64C9"/>
    <w:rsid w:val="00DE69CE"/>
    <w:rsid w:val="00DE7C4D"/>
    <w:rsid w:val="00E2514A"/>
    <w:rsid w:val="00E3017F"/>
    <w:rsid w:val="00E40827"/>
    <w:rsid w:val="00E4252B"/>
    <w:rsid w:val="00E5239B"/>
    <w:rsid w:val="00E52A00"/>
    <w:rsid w:val="00E54F6D"/>
    <w:rsid w:val="00E65B81"/>
    <w:rsid w:val="00E6649A"/>
    <w:rsid w:val="00E7132D"/>
    <w:rsid w:val="00E72713"/>
    <w:rsid w:val="00E86F41"/>
    <w:rsid w:val="00E90445"/>
    <w:rsid w:val="00E964F2"/>
    <w:rsid w:val="00E97C3E"/>
    <w:rsid w:val="00EA10E2"/>
    <w:rsid w:val="00EA3046"/>
    <w:rsid w:val="00EA3750"/>
    <w:rsid w:val="00EB47BE"/>
    <w:rsid w:val="00EC116F"/>
    <w:rsid w:val="00EE2D81"/>
    <w:rsid w:val="00EE6216"/>
    <w:rsid w:val="00F101E0"/>
    <w:rsid w:val="00F114CF"/>
    <w:rsid w:val="00F11838"/>
    <w:rsid w:val="00F16471"/>
    <w:rsid w:val="00F204A7"/>
    <w:rsid w:val="00F21745"/>
    <w:rsid w:val="00F25DB7"/>
    <w:rsid w:val="00F50237"/>
    <w:rsid w:val="00F50380"/>
    <w:rsid w:val="00F62833"/>
    <w:rsid w:val="00F74C56"/>
    <w:rsid w:val="00F97852"/>
    <w:rsid w:val="00FA6FAC"/>
    <w:rsid w:val="00FB2460"/>
    <w:rsid w:val="00FB7003"/>
    <w:rsid w:val="00FB77EB"/>
    <w:rsid w:val="00FC4511"/>
    <w:rsid w:val="00FC76EF"/>
    <w:rsid w:val="00FE7687"/>
    <w:rsid w:val="00FF201D"/>
    <w:rsid w:val="00FF612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FB99"/>
  <w15:docId w15:val="{9C68597C-4979-43EE-86FF-6DE8346D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Direction w:val="btLr"/>
      <w:textAlignment w:val="top"/>
      <w:outlineLvl w:val="0"/>
    </w:pPr>
    <w:rPr>
      <w:position w:val="-1"/>
      <w:sz w:val="22"/>
      <w:szCs w:val="22"/>
      <w:lang w:val="en-US"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uiPriority w:val="99"/>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uiPriority w:val="99"/>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uiPriority w:val="99"/>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table" w:styleId="TableGrid">
    <w:name w:val="Table Grid"/>
    <w:basedOn w:val="TableNormal"/>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lang w:val="en-US" w:eastAsia="en-US"/>
    </w:rPr>
  </w:style>
  <w:style w:type="paragraph" w:customStyle="1" w:styleId="TableStyle2">
    <w:name w:val="Table Style 2"/>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B940C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 w:type="paragraph" w:styleId="BodyText">
    <w:name w:val="Body Text"/>
    <w:basedOn w:val="Normal"/>
    <w:link w:val="BodyTextChar"/>
    <w:uiPriority w:val="1"/>
    <w:qFormat/>
    <w:rsid w:val="00370AB2"/>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rPr>
  </w:style>
  <w:style w:type="character" w:customStyle="1" w:styleId="BodyTextChar">
    <w:name w:val="Body Text Char"/>
    <w:link w:val="BodyText"/>
    <w:uiPriority w:val="1"/>
    <w:rsid w:val="00370AB2"/>
    <w:rPr>
      <w:rFonts w:ascii="Times New Roman" w:eastAsia="Times New Roman" w:hAnsi="Times New Roman" w:cs="Times New Roman"/>
      <w:lang w:eastAsia="en-US"/>
    </w:rPr>
  </w:style>
  <w:style w:type="paragraph" w:styleId="Revision">
    <w:name w:val="Revision"/>
    <w:hidden/>
    <w:uiPriority w:val="99"/>
    <w:semiHidden/>
    <w:rsid w:val="00097F32"/>
    <w:rPr>
      <w:position w:val="-1"/>
      <w:sz w:val="22"/>
      <w:szCs w:val="22"/>
      <w:lang w:val="en-US" w:eastAsia="en-US"/>
    </w:rPr>
  </w:style>
  <w:style w:type="table" w:styleId="PlainTable3">
    <w:name w:val="Plain Table 3"/>
    <w:basedOn w:val="TableNormal"/>
    <w:uiPriority w:val="43"/>
    <w:rsid w:val="00C1583B"/>
    <w:rPr>
      <w:rFonts w:cs="Times New Roman"/>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885226">
      <w:bodyDiv w:val="1"/>
      <w:marLeft w:val="0"/>
      <w:marRight w:val="0"/>
      <w:marTop w:val="0"/>
      <w:marBottom w:val="0"/>
      <w:divBdr>
        <w:top w:val="none" w:sz="0" w:space="0" w:color="auto"/>
        <w:left w:val="none" w:sz="0" w:space="0" w:color="auto"/>
        <w:bottom w:val="none" w:sz="0" w:space="0" w:color="auto"/>
        <w:right w:val="none" w:sz="0" w:space="0" w:color="auto"/>
      </w:divBdr>
    </w:div>
    <w:div w:id="1517571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sm.gov.my/v1/index.php?r=column/cthemeByCat&amp;cat=90&amp;bul_id=QXczQ3l1L0RjNTlrNVFVaXBhand5UT09&amp;menu_id=SjgwNXdiM0JlT3Q2TDBlWXdKdUVldz09" TargetMode="External"/><Relationship Id="rId18" Type="http://schemas.openxmlformats.org/officeDocument/2006/relationships/hyperlink" Target="https://doi.org/10.3390/jrfm13080166"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dosm.gov.my/v1/uploads/files/5_Gallery/2_Media/4_Stats%40media/4-Press_Statement/2021/7.%20Julai/PENERBITAN%20JADUAL%20HAYAT%20RINGKAS%2C%20MALAYSIA%2C%202019-2021-COMBINE.pdf" TargetMode="External"/><Relationship Id="rId17" Type="http://schemas.openxmlformats.org/officeDocument/2006/relationships/hyperlink" Target="https://www.ltat.org.my/wp-content/uploads/2021/12/LAPORAN-TAHUNAN-2019-LTAT.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kwap.gov.my/documents/publications/annual-reports/KWAP_Laporan_Tahunan_2019.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77/21582440221119481"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kwsp.gov.my/documents/20126/f65f3022-919b-6d0f-5567-05e531526f7f" TargetMode="External"/><Relationship Id="rId23" Type="http://schemas.openxmlformats.org/officeDocument/2006/relationships/footer" Target="footer2.xml"/><Relationship Id="rId10" Type="http://schemas.openxmlformats.org/officeDocument/2006/relationships/hyperlink" Target="https://doi.org/10.1057/s41264-022-00159-8" TargetMode="External"/><Relationship Id="rId19" Type="http://schemas.openxmlformats.org/officeDocument/2006/relationships/hyperlink" Target="https://documents1.worldbank.org/curated/en/287981606116408851/pdf/A-Silver-Lining-Productive-and-Inclusive-Aging-for-Malaysia.pdf" TargetMode="External"/><Relationship Id="rId4" Type="http://schemas.openxmlformats.org/officeDocument/2006/relationships/styles" Target="styles.xml"/><Relationship Id="rId9" Type="http://schemas.openxmlformats.org/officeDocument/2006/relationships/hyperlink" Target="https://www.mof.gov.my/portal/arkib/belanjawan/2015/ub15.pdf" TargetMode="External"/><Relationship Id="rId14" Type="http://schemas.openxmlformats.org/officeDocument/2006/relationships/hyperlink" Target="https://www.jkm.gov.my/jkm/index.php?r=portal%2Flist&amp;id=R3FNa05sRjVTWUc5dy80VEUxU2VNQT09&amp;title=warga+emas&amp;year=&amp;month"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3-190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CDBE72-0108-45C0-A62B-32A1780BD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7987</Words>
  <Characters>45530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53411</CharactersWithSpaces>
  <SharedDoc>false</SharedDoc>
  <HLinks>
    <vt:vector size="72" baseType="variant">
      <vt:variant>
        <vt:i4>3407914</vt:i4>
      </vt:variant>
      <vt:variant>
        <vt:i4>42</vt:i4>
      </vt:variant>
      <vt:variant>
        <vt:i4>0</vt:i4>
      </vt:variant>
      <vt:variant>
        <vt:i4>5</vt:i4>
      </vt:variant>
      <vt:variant>
        <vt:lpwstr>https://documents1.worldbank.org/curated/en/287981606116408851/pdf/A-Silver-Lining-Productive-and-Inclusive-Aging-for-Malaysia.pdf</vt:lpwstr>
      </vt:variant>
      <vt:variant>
        <vt:lpwstr/>
      </vt:variant>
      <vt:variant>
        <vt:i4>720978</vt:i4>
      </vt:variant>
      <vt:variant>
        <vt:i4>39</vt:i4>
      </vt:variant>
      <vt:variant>
        <vt:i4>0</vt:i4>
      </vt:variant>
      <vt:variant>
        <vt:i4>5</vt:i4>
      </vt:variant>
      <vt:variant>
        <vt:lpwstr>https://doi.org/10.3390/jrfm13080166</vt:lpwstr>
      </vt:variant>
      <vt:variant>
        <vt:lpwstr/>
      </vt:variant>
      <vt:variant>
        <vt:i4>6029401</vt:i4>
      </vt:variant>
      <vt:variant>
        <vt:i4>36</vt:i4>
      </vt:variant>
      <vt:variant>
        <vt:i4>0</vt:i4>
      </vt:variant>
      <vt:variant>
        <vt:i4>5</vt:i4>
      </vt:variant>
      <vt:variant>
        <vt:lpwstr>https://www.ltat.org.my/wp-content/uploads/2021/12/LAPORAN-TAHUNAN-2019-LTAT.pdf</vt:lpwstr>
      </vt:variant>
      <vt:variant>
        <vt:lpwstr/>
      </vt:variant>
      <vt:variant>
        <vt:i4>6946907</vt:i4>
      </vt:variant>
      <vt:variant>
        <vt:i4>33</vt:i4>
      </vt:variant>
      <vt:variant>
        <vt:i4>0</vt:i4>
      </vt:variant>
      <vt:variant>
        <vt:i4>5</vt:i4>
      </vt:variant>
      <vt:variant>
        <vt:lpwstr>https://www.kwap.gov.my/documents/publications/annual-reports/KWAP_Laporan_Tahunan_2019.pdf</vt:lpwstr>
      </vt:variant>
      <vt:variant>
        <vt:lpwstr/>
      </vt:variant>
      <vt:variant>
        <vt:i4>4522075</vt:i4>
      </vt:variant>
      <vt:variant>
        <vt:i4>30</vt:i4>
      </vt:variant>
      <vt:variant>
        <vt:i4>0</vt:i4>
      </vt:variant>
      <vt:variant>
        <vt:i4>5</vt:i4>
      </vt:variant>
      <vt:variant>
        <vt:lpwstr>https://www.kwsp.gov.my/documents/20126/f65f3022-919b-6d0f-5567-05e531526f7f</vt:lpwstr>
      </vt:variant>
      <vt:variant>
        <vt:lpwstr/>
      </vt:variant>
      <vt:variant>
        <vt:i4>5242945</vt:i4>
      </vt:variant>
      <vt:variant>
        <vt:i4>27</vt:i4>
      </vt:variant>
      <vt:variant>
        <vt:i4>0</vt:i4>
      </vt:variant>
      <vt:variant>
        <vt:i4>5</vt:i4>
      </vt:variant>
      <vt:variant>
        <vt:lpwstr>https://www.jkm.gov.my/jkm/index.php?r=portal%2Flist&amp;id=R3FNa05sRjVTWUc5dy80VEUxU2VNQT09&amp;title=warga+emas&amp;year=&amp;month</vt:lpwstr>
      </vt:variant>
      <vt:variant>
        <vt:lpwstr/>
      </vt:variant>
      <vt:variant>
        <vt:i4>7995493</vt:i4>
      </vt:variant>
      <vt:variant>
        <vt:i4>24</vt:i4>
      </vt:variant>
      <vt:variant>
        <vt:i4>0</vt:i4>
      </vt:variant>
      <vt:variant>
        <vt:i4>5</vt:i4>
      </vt:variant>
      <vt:variant>
        <vt:lpwstr>https://dosm.gov.my/v1/index.php?r=column/cthemeByCat&amp;cat=90&amp;bul_id=QXczQ3l1L0RjNTlrNVFVaXBhand5UT09&amp;menu_id=SjgwNXdiM0JlT3Q2TDBlWXdKdUVldz09</vt:lpwstr>
      </vt:variant>
      <vt:variant>
        <vt:lpwstr/>
      </vt:variant>
      <vt:variant>
        <vt:i4>3342387</vt:i4>
      </vt:variant>
      <vt:variant>
        <vt:i4>21</vt:i4>
      </vt:variant>
      <vt:variant>
        <vt:i4>0</vt:i4>
      </vt:variant>
      <vt:variant>
        <vt:i4>5</vt:i4>
      </vt:variant>
      <vt:variant>
        <vt:lpwstr>https://www.dosm.gov.my/v1/uploads/files/5_Gallery/2_Media/4_Stats%40media/4-Press_Statement/2021/7. Julai/PENERBITAN JADUAL HAYAT RINGKAS%2C MALAYSIA%2C 2019-2021-COMBINE.pdf</vt:lpwstr>
      </vt:variant>
      <vt:variant>
        <vt:lpwstr/>
      </vt:variant>
      <vt:variant>
        <vt:i4>1769563</vt:i4>
      </vt:variant>
      <vt:variant>
        <vt:i4>18</vt:i4>
      </vt:variant>
      <vt:variant>
        <vt:i4>0</vt:i4>
      </vt:variant>
      <vt:variant>
        <vt:i4>5</vt:i4>
      </vt:variant>
      <vt:variant>
        <vt:lpwstr>https://doi.org/10.1177/21582440221119481</vt:lpwstr>
      </vt:variant>
      <vt:variant>
        <vt:lpwstr/>
      </vt:variant>
      <vt:variant>
        <vt:i4>2490419</vt:i4>
      </vt:variant>
      <vt:variant>
        <vt:i4>15</vt:i4>
      </vt:variant>
      <vt:variant>
        <vt:i4>0</vt:i4>
      </vt:variant>
      <vt:variant>
        <vt:i4>5</vt:i4>
      </vt:variant>
      <vt:variant>
        <vt:lpwstr>https://doi.org/10.1057/s41264-022-00159-8</vt:lpwstr>
      </vt:variant>
      <vt:variant>
        <vt:lpwstr/>
      </vt:variant>
      <vt:variant>
        <vt:i4>1835020</vt:i4>
      </vt:variant>
      <vt:variant>
        <vt:i4>12</vt:i4>
      </vt:variant>
      <vt:variant>
        <vt:i4>0</vt:i4>
      </vt:variant>
      <vt:variant>
        <vt:i4>5</vt:i4>
      </vt:variant>
      <vt:variant>
        <vt:lpwstr>https://budget.mof.gov.my/pdf/2023/ucapan/2023-touchpoint.pdf</vt:lpwstr>
      </vt:variant>
      <vt:variant>
        <vt:lpwstr/>
      </vt:variant>
      <vt:variant>
        <vt:i4>5439555</vt:i4>
      </vt:variant>
      <vt:variant>
        <vt:i4>9</vt:i4>
      </vt:variant>
      <vt:variant>
        <vt:i4>0</vt:i4>
      </vt:variant>
      <vt:variant>
        <vt:i4>5</vt:i4>
      </vt:variant>
      <vt:variant>
        <vt:lpwstr>https://www.mof.gov.my/portal/arkib/belanjawan/2015/ub15.pdf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4</cp:revision>
  <cp:lastPrinted>2023-05-31T02:20:00Z</cp:lastPrinted>
  <dcterms:created xsi:type="dcterms:W3CDTF">2023-05-31T02:18:00Z</dcterms:created>
  <dcterms:modified xsi:type="dcterms:W3CDTF">2023-05-31T02:21:00Z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759d765ee81d46f1342e1d571044676d569068b7a3ecd7b6013e66fc42ed4108</vt:lpwstr>
  </property>
</Properties>
</file>