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B8DFD" w14:textId="77777777" w:rsidR="00A807B2" w:rsidRDefault="00894076" w:rsidP="00463488">
      <w:pPr>
        <w:spacing w:after="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r w:rsidR="00463488">
        <w:rPr>
          <w:rFonts w:ascii="Times New Roman" w:eastAsia="Times New Roman" w:hAnsi="Times New Roman" w:cs="Times New Roman"/>
          <w:b/>
          <w:sz w:val="28"/>
          <w:szCs w:val="28"/>
        </w:rPr>
        <w:t>relationship between neighborhood environment and physical activity</w:t>
      </w:r>
      <w:r>
        <w:rPr>
          <w:rFonts w:ascii="Times New Roman" w:eastAsia="Times New Roman" w:hAnsi="Times New Roman" w:cs="Times New Roman"/>
          <w:b/>
          <w:sz w:val="28"/>
          <w:szCs w:val="28"/>
        </w:rPr>
        <w:t xml:space="preserve">: A Case </w:t>
      </w:r>
      <w:r w:rsidR="00463488">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tudy in USJ, Subang Jaya, Selangor, Malaysia</w:t>
      </w:r>
    </w:p>
    <w:p w14:paraId="03430213" w14:textId="77777777" w:rsidR="00A807B2" w:rsidRPr="00463488" w:rsidRDefault="00A807B2" w:rsidP="00463488">
      <w:pPr>
        <w:spacing w:after="0" w:line="240" w:lineRule="auto"/>
        <w:ind w:left="0" w:hanging="2"/>
        <w:jc w:val="center"/>
        <w:rPr>
          <w:rFonts w:ascii="Times New Roman" w:eastAsia="Times New Roman" w:hAnsi="Times New Roman" w:cs="Times New Roman"/>
          <w:color w:val="000000"/>
        </w:rPr>
      </w:pPr>
    </w:p>
    <w:p w14:paraId="3CB33A3D" w14:textId="62852BA3" w:rsidR="00A807B2" w:rsidRDefault="00894076" w:rsidP="00463488">
      <w:pPr>
        <w:spacing w:after="0" w:line="240" w:lineRule="auto"/>
        <w:ind w:leftChars="128" w:left="284" w:right="288" w:hanging="2"/>
        <w:jc w:val="center"/>
        <w:rPr>
          <w:rFonts w:ascii="Times New Roman" w:hAnsi="Times New Roman" w:cs="Times New Roman"/>
        </w:rPr>
      </w:pPr>
      <w:proofErr w:type="spellStart"/>
      <w:r w:rsidRPr="00463488">
        <w:rPr>
          <w:rFonts w:ascii="Times New Roman" w:hAnsi="Times New Roman" w:cs="Times New Roman"/>
        </w:rPr>
        <w:t>Siti</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Nur</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Afiqah</w:t>
      </w:r>
      <w:proofErr w:type="spellEnd"/>
      <w:r w:rsidRPr="00463488">
        <w:rPr>
          <w:rFonts w:ascii="Times New Roman" w:hAnsi="Times New Roman" w:cs="Times New Roman"/>
        </w:rPr>
        <w:t xml:space="preserve"> Mohamed </w:t>
      </w:r>
      <w:proofErr w:type="spellStart"/>
      <w:r w:rsidRPr="00463488">
        <w:rPr>
          <w:rFonts w:ascii="Times New Roman" w:hAnsi="Times New Roman" w:cs="Times New Roman"/>
        </w:rPr>
        <w:t>Musthafa</w:t>
      </w:r>
      <w:proofErr w:type="spellEnd"/>
      <w:r w:rsidRPr="00463488">
        <w:rPr>
          <w:rFonts w:ascii="Times New Roman" w:hAnsi="Times New Roman" w:cs="Times New Roman"/>
        </w:rPr>
        <w:t xml:space="preserve">, Oliver Ling </w:t>
      </w:r>
      <w:proofErr w:type="spellStart"/>
      <w:r w:rsidRPr="00463488">
        <w:rPr>
          <w:rFonts w:ascii="Times New Roman" w:hAnsi="Times New Roman" w:cs="Times New Roman"/>
        </w:rPr>
        <w:t>Hoon</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Leh</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Marlyana</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Azzayati</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Marzukhi</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Yusfida</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Ayu</w:t>
      </w:r>
      <w:proofErr w:type="spellEnd"/>
      <w:r w:rsidRPr="00463488">
        <w:rPr>
          <w:rFonts w:ascii="Times New Roman" w:hAnsi="Times New Roman" w:cs="Times New Roman"/>
        </w:rPr>
        <w:t xml:space="preserve"> Abdullah</w:t>
      </w:r>
    </w:p>
    <w:p w14:paraId="42CE1DDD" w14:textId="77777777" w:rsidR="00463488" w:rsidRPr="00463488" w:rsidRDefault="00463488" w:rsidP="00463488">
      <w:pPr>
        <w:spacing w:after="0" w:line="240" w:lineRule="auto"/>
        <w:ind w:leftChars="128" w:left="284" w:right="288" w:hanging="2"/>
        <w:jc w:val="center"/>
        <w:rPr>
          <w:rFonts w:ascii="Times New Roman" w:hAnsi="Times New Roman" w:cs="Times New Roman"/>
        </w:rPr>
      </w:pPr>
    </w:p>
    <w:p w14:paraId="785C80BF" w14:textId="77777777" w:rsidR="00A807B2" w:rsidRPr="00463488" w:rsidRDefault="00894076" w:rsidP="00463488">
      <w:pPr>
        <w:spacing w:after="0" w:line="240" w:lineRule="auto"/>
        <w:ind w:left="0" w:hanging="2"/>
        <w:jc w:val="center"/>
        <w:rPr>
          <w:rFonts w:ascii="Times New Roman" w:hAnsi="Times New Roman" w:cs="Times New Roman"/>
        </w:rPr>
      </w:pPr>
      <w:r w:rsidRPr="00463488">
        <w:rPr>
          <w:rFonts w:ascii="Times New Roman" w:hAnsi="Times New Roman" w:cs="Times New Roman"/>
        </w:rPr>
        <w:t>Environmental and Social Health Research Group (ESH Group),</w:t>
      </w:r>
    </w:p>
    <w:p w14:paraId="0FC41AF2" w14:textId="77777777" w:rsidR="00A807B2" w:rsidRPr="00463488" w:rsidRDefault="00894076" w:rsidP="00463488">
      <w:pPr>
        <w:spacing w:after="0" w:line="240" w:lineRule="auto"/>
        <w:ind w:left="0" w:hanging="2"/>
        <w:jc w:val="center"/>
        <w:rPr>
          <w:rFonts w:ascii="Times New Roman" w:hAnsi="Times New Roman" w:cs="Times New Roman"/>
        </w:rPr>
      </w:pPr>
      <w:r w:rsidRPr="00463488">
        <w:rPr>
          <w:rFonts w:ascii="Times New Roman" w:hAnsi="Times New Roman" w:cs="Times New Roman"/>
        </w:rPr>
        <w:t>College of Built Environment,</w:t>
      </w:r>
    </w:p>
    <w:p w14:paraId="714A7D9E" w14:textId="77777777" w:rsidR="00A807B2" w:rsidRPr="00463488" w:rsidRDefault="00894076" w:rsidP="00463488">
      <w:pPr>
        <w:spacing w:after="0" w:line="240" w:lineRule="auto"/>
        <w:ind w:left="0" w:hanging="2"/>
        <w:jc w:val="center"/>
        <w:rPr>
          <w:rFonts w:ascii="Times New Roman" w:hAnsi="Times New Roman" w:cs="Times New Roman"/>
        </w:rPr>
      </w:pPr>
      <w:proofErr w:type="spellStart"/>
      <w:r w:rsidRPr="00463488">
        <w:rPr>
          <w:rFonts w:ascii="Times New Roman" w:hAnsi="Times New Roman" w:cs="Times New Roman"/>
        </w:rPr>
        <w:t>Universiti</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Teknologi</w:t>
      </w:r>
      <w:proofErr w:type="spellEnd"/>
      <w:r w:rsidRPr="00463488">
        <w:rPr>
          <w:rFonts w:ascii="Times New Roman" w:hAnsi="Times New Roman" w:cs="Times New Roman"/>
        </w:rPr>
        <w:t xml:space="preserve"> Mara (</w:t>
      </w:r>
      <w:proofErr w:type="spellStart"/>
      <w:r w:rsidRPr="00463488">
        <w:rPr>
          <w:rFonts w:ascii="Times New Roman" w:hAnsi="Times New Roman" w:cs="Times New Roman"/>
        </w:rPr>
        <w:t>UiTM</w:t>
      </w:r>
      <w:proofErr w:type="spellEnd"/>
      <w:r w:rsidRPr="00463488">
        <w:rPr>
          <w:rFonts w:ascii="Times New Roman" w:hAnsi="Times New Roman" w:cs="Times New Roman"/>
        </w:rPr>
        <w:t>),</w:t>
      </w:r>
    </w:p>
    <w:p w14:paraId="51C21015" w14:textId="77777777" w:rsidR="00A807B2" w:rsidRPr="00463488" w:rsidRDefault="00894076" w:rsidP="00463488">
      <w:pPr>
        <w:spacing w:after="0" w:line="240" w:lineRule="auto"/>
        <w:ind w:left="0" w:hanging="2"/>
        <w:jc w:val="center"/>
        <w:rPr>
          <w:rFonts w:ascii="Times New Roman" w:hAnsi="Times New Roman" w:cs="Times New Roman"/>
        </w:rPr>
      </w:pPr>
      <w:r w:rsidRPr="00463488">
        <w:rPr>
          <w:rFonts w:ascii="Times New Roman" w:hAnsi="Times New Roman" w:cs="Times New Roman"/>
        </w:rPr>
        <w:t xml:space="preserve">42300 </w:t>
      </w:r>
      <w:proofErr w:type="spellStart"/>
      <w:r w:rsidRPr="00463488">
        <w:rPr>
          <w:rFonts w:ascii="Times New Roman" w:hAnsi="Times New Roman" w:cs="Times New Roman"/>
        </w:rPr>
        <w:t>Puncak</w:t>
      </w:r>
      <w:proofErr w:type="spellEnd"/>
      <w:r w:rsidRPr="00463488">
        <w:rPr>
          <w:rFonts w:ascii="Times New Roman" w:hAnsi="Times New Roman" w:cs="Times New Roman"/>
        </w:rPr>
        <w:t xml:space="preserve"> </w:t>
      </w:r>
      <w:proofErr w:type="spellStart"/>
      <w:r w:rsidRPr="00463488">
        <w:rPr>
          <w:rFonts w:ascii="Times New Roman" w:hAnsi="Times New Roman" w:cs="Times New Roman"/>
        </w:rPr>
        <w:t>Alam</w:t>
      </w:r>
      <w:proofErr w:type="spellEnd"/>
      <w:r w:rsidRPr="00463488">
        <w:rPr>
          <w:rFonts w:ascii="Times New Roman" w:hAnsi="Times New Roman" w:cs="Times New Roman"/>
        </w:rPr>
        <w:t>, Selangor, Malaysia.</w:t>
      </w:r>
    </w:p>
    <w:p w14:paraId="1CEFCEDF" w14:textId="77777777" w:rsidR="00A807B2" w:rsidRPr="00463488" w:rsidRDefault="00A807B2" w:rsidP="00463488">
      <w:pPr>
        <w:spacing w:after="0" w:line="240" w:lineRule="auto"/>
        <w:ind w:left="0" w:hanging="2"/>
        <w:jc w:val="center"/>
        <w:rPr>
          <w:rFonts w:ascii="Times New Roman" w:eastAsia="Times New Roman" w:hAnsi="Times New Roman" w:cs="Times New Roman"/>
          <w:color w:val="000000"/>
        </w:rPr>
      </w:pPr>
    </w:p>
    <w:p w14:paraId="36E0014D" w14:textId="77777777" w:rsidR="00A807B2" w:rsidRPr="00463488" w:rsidRDefault="00894076" w:rsidP="00463488">
      <w:pPr>
        <w:spacing w:after="0" w:line="240" w:lineRule="auto"/>
        <w:ind w:left="0" w:hanging="2"/>
        <w:jc w:val="center"/>
        <w:rPr>
          <w:rFonts w:ascii="Times New Roman" w:eastAsia="Times New Roman" w:hAnsi="Times New Roman" w:cs="Times New Roman"/>
          <w:color w:val="000000"/>
        </w:rPr>
      </w:pPr>
      <w:r w:rsidRPr="00463488">
        <w:rPr>
          <w:rFonts w:ascii="Times New Roman" w:eastAsia="Times New Roman" w:hAnsi="Times New Roman" w:cs="Times New Roman"/>
          <w:color w:val="000000"/>
        </w:rPr>
        <w:t xml:space="preserve">Correspondence: </w:t>
      </w:r>
      <w:r w:rsidRPr="00463488">
        <w:rPr>
          <w:rFonts w:ascii="Times New Roman" w:hAnsi="Times New Roman" w:cs="Times New Roman"/>
        </w:rPr>
        <w:t>Oliver Ling Hoon Leh</w:t>
      </w:r>
      <w:r w:rsidRPr="00463488">
        <w:rPr>
          <w:rFonts w:ascii="Times New Roman" w:eastAsia="Times New Roman" w:hAnsi="Times New Roman" w:cs="Times New Roman"/>
          <w:color w:val="000000"/>
        </w:rPr>
        <w:t xml:space="preserve"> (email: oliverling.my@gmail.com)</w:t>
      </w:r>
    </w:p>
    <w:p w14:paraId="4A9EBAF8" w14:textId="77777777" w:rsidR="00A807B2" w:rsidRPr="00463488" w:rsidRDefault="00A807B2" w:rsidP="00A27D1E">
      <w:pPr>
        <w:spacing w:after="0" w:line="240" w:lineRule="auto"/>
        <w:ind w:leftChars="0" w:left="0" w:firstLineChars="0" w:firstLine="0"/>
        <w:rPr>
          <w:rFonts w:ascii="Times New Roman" w:eastAsia="Times New Roman" w:hAnsi="Times New Roman" w:cs="Times New Roman"/>
        </w:rPr>
      </w:pPr>
    </w:p>
    <w:p w14:paraId="46778752" w14:textId="77777777" w:rsidR="001A729E" w:rsidRPr="00BA112B" w:rsidRDefault="001A729E" w:rsidP="001A729E">
      <w:pPr>
        <w:spacing w:after="0" w:line="240" w:lineRule="auto"/>
        <w:ind w:left="0" w:hanging="2"/>
        <w:jc w:val="both"/>
        <w:rPr>
          <w:rFonts w:ascii="Times New Roman" w:eastAsia="Times New Roman" w:hAnsi="Times New Roman"/>
          <w:lang w:val="en-GB"/>
        </w:rPr>
      </w:pPr>
      <w:r w:rsidRPr="00BA112B">
        <w:rPr>
          <w:rFonts w:ascii="Times New Roman" w:eastAsia="Times New Roman" w:hAnsi="Times New Roman"/>
          <w:lang w:val="en-GB"/>
        </w:rPr>
        <w:t xml:space="preserve">Received: </w:t>
      </w:r>
      <w:r>
        <w:rPr>
          <w:rFonts w:ascii="Times New Roman" w:eastAsia="Times New Roman" w:hAnsi="Times New Roman"/>
        </w:rPr>
        <w:t>25</w:t>
      </w:r>
      <w:r w:rsidRPr="00BA112B">
        <w:rPr>
          <w:rFonts w:ascii="Times New Roman" w:eastAsia="Times New Roman" w:hAnsi="Times New Roman"/>
        </w:rPr>
        <w:t xml:space="preserve"> </w:t>
      </w:r>
      <w:r w:rsidR="00AC1712">
        <w:rPr>
          <w:rFonts w:ascii="Times New Roman" w:eastAsia="Times New Roman" w:hAnsi="Times New Roman"/>
        </w:rPr>
        <w:t>February</w:t>
      </w:r>
      <w:r>
        <w:rPr>
          <w:rFonts w:ascii="Times New Roman" w:eastAsia="Times New Roman" w:hAnsi="Times New Roman"/>
        </w:rPr>
        <w:t xml:space="preserve"> 2023</w:t>
      </w:r>
      <w:r w:rsidRPr="00BA112B">
        <w:rPr>
          <w:rFonts w:ascii="Times New Roman" w:eastAsia="Times New Roman" w:hAnsi="Times New Roman"/>
          <w:lang w:val="en-GB"/>
        </w:rPr>
        <w:t xml:space="preserve">; Accepted: </w:t>
      </w:r>
      <w:r>
        <w:rPr>
          <w:rFonts w:ascii="Times New Roman" w:eastAsia="Times New Roman" w:hAnsi="Times New Roman"/>
          <w:lang w:val="en-GB"/>
        </w:rPr>
        <w:t>16</w:t>
      </w:r>
      <w:r w:rsidRPr="00BA112B">
        <w:rPr>
          <w:rFonts w:ascii="Times New Roman" w:eastAsia="Times New Roman" w:hAnsi="Times New Roman"/>
        </w:rPr>
        <w:t xml:space="preserve"> </w:t>
      </w:r>
      <w:r>
        <w:rPr>
          <w:rFonts w:ascii="Times New Roman" w:eastAsia="Times New Roman" w:hAnsi="Times New Roman"/>
        </w:rPr>
        <w:t>May</w:t>
      </w:r>
      <w:r w:rsidRPr="00BA112B">
        <w:rPr>
          <w:rFonts w:ascii="Times New Roman" w:eastAsia="Times New Roman" w:hAnsi="Times New Roman"/>
        </w:rPr>
        <w:t xml:space="preserve"> 2023</w:t>
      </w:r>
      <w:r w:rsidRPr="00BA112B">
        <w:rPr>
          <w:rFonts w:ascii="Times New Roman" w:eastAsia="Times New Roman" w:hAnsi="Times New Roman"/>
          <w:lang w:val="en-GB"/>
        </w:rPr>
        <w:t xml:space="preserve">; Published: </w:t>
      </w:r>
      <w:r w:rsidRPr="00BA112B">
        <w:rPr>
          <w:rFonts w:ascii="Times New Roman" w:eastAsia="Times New Roman" w:hAnsi="Times New Roman"/>
        </w:rPr>
        <w:t>31 May 2023</w:t>
      </w:r>
    </w:p>
    <w:p w14:paraId="728F3CB6" w14:textId="77777777" w:rsidR="00A807B2" w:rsidRPr="00463488" w:rsidRDefault="00A807B2" w:rsidP="00463488">
      <w:pPr>
        <w:spacing w:after="0" w:line="240" w:lineRule="auto"/>
        <w:ind w:left="0" w:hanging="2"/>
        <w:jc w:val="both"/>
        <w:rPr>
          <w:rFonts w:ascii="Times New Roman" w:eastAsia="Times New Roman" w:hAnsi="Times New Roman" w:cs="Times New Roman"/>
          <w:color w:val="000000"/>
        </w:rPr>
      </w:pPr>
    </w:p>
    <w:p w14:paraId="7C190FD8" w14:textId="77777777" w:rsidR="00A807B2" w:rsidRPr="00463488" w:rsidRDefault="00894076" w:rsidP="00463488">
      <w:pPr>
        <w:spacing w:after="0" w:line="240" w:lineRule="auto"/>
        <w:ind w:left="0" w:hanging="2"/>
        <w:jc w:val="both"/>
        <w:rPr>
          <w:rFonts w:ascii="Times New Roman" w:eastAsia="Times New Roman" w:hAnsi="Times New Roman" w:cs="Times New Roman"/>
          <w:color w:val="000000"/>
        </w:rPr>
      </w:pPr>
      <w:r w:rsidRPr="00463488">
        <w:rPr>
          <w:rFonts w:ascii="Times New Roman" w:eastAsia="Times New Roman" w:hAnsi="Times New Roman" w:cs="Times New Roman"/>
          <w:b/>
          <w:color w:val="000000"/>
        </w:rPr>
        <w:t xml:space="preserve"> </w:t>
      </w:r>
    </w:p>
    <w:p w14:paraId="6881C9E0" w14:textId="77777777" w:rsidR="00A807B2" w:rsidRPr="001955EF" w:rsidRDefault="00894076" w:rsidP="001955EF">
      <w:pPr>
        <w:spacing w:after="0" w:line="240" w:lineRule="auto"/>
        <w:ind w:left="0" w:hanging="2"/>
        <w:jc w:val="both"/>
        <w:rPr>
          <w:rFonts w:ascii="Times New Roman" w:eastAsia="Times New Roman" w:hAnsi="Times New Roman" w:cs="Times New Roman"/>
          <w:color w:val="000000"/>
          <w:sz w:val="24"/>
          <w:szCs w:val="24"/>
        </w:rPr>
      </w:pPr>
      <w:r w:rsidRPr="001955EF">
        <w:rPr>
          <w:rFonts w:ascii="Times New Roman" w:eastAsia="Times New Roman" w:hAnsi="Times New Roman" w:cs="Times New Roman"/>
          <w:b/>
          <w:color w:val="000000"/>
          <w:sz w:val="24"/>
          <w:szCs w:val="24"/>
        </w:rPr>
        <w:t xml:space="preserve">Abstract </w:t>
      </w:r>
    </w:p>
    <w:p w14:paraId="562A92AE" w14:textId="77777777" w:rsidR="00A807B2" w:rsidRPr="001955EF" w:rsidRDefault="00894076" w:rsidP="001955EF">
      <w:pPr>
        <w:spacing w:after="0" w:line="240" w:lineRule="auto"/>
        <w:ind w:left="0" w:hanging="2"/>
        <w:jc w:val="both"/>
        <w:rPr>
          <w:rFonts w:ascii="Times New Roman" w:eastAsia="Times New Roman" w:hAnsi="Times New Roman" w:cs="Times New Roman"/>
          <w:color w:val="000000"/>
          <w:sz w:val="24"/>
          <w:szCs w:val="24"/>
        </w:rPr>
      </w:pPr>
      <w:r w:rsidRPr="001955EF">
        <w:rPr>
          <w:rFonts w:ascii="Times New Roman" w:eastAsia="Times New Roman" w:hAnsi="Times New Roman" w:cs="Times New Roman"/>
          <w:b/>
          <w:color w:val="000000"/>
          <w:sz w:val="24"/>
          <w:szCs w:val="24"/>
        </w:rPr>
        <w:t xml:space="preserve"> </w:t>
      </w:r>
    </w:p>
    <w:p w14:paraId="3A4A042A" w14:textId="77777777" w:rsidR="00A807B2" w:rsidRPr="001955EF" w:rsidRDefault="00894076" w:rsidP="001955EF">
      <w:pPr>
        <w:spacing w:after="0" w:line="240" w:lineRule="auto"/>
        <w:ind w:left="0" w:hanging="2"/>
        <w:jc w:val="both"/>
        <w:rPr>
          <w:rFonts w:ascii="Times New Roman" w:hAnsi="Times New Roman" w:cs="Times New Roman"/>
          <w:sz w:val="24"/>
          <w:szCs w:val="24"/>
        </w:rPr>
      </w:pPr>
      <w:r w:rsidRPr="001955EF">
        <w:rPr>
          <w:rFonts w:ascii="Times New Roman" w:hAnsi="Times New Roman" w:cs="Times New Roman"/>
          <w:sz w:val="24"/>
          <w:szCs w:val="24"/>
        </w:rPr>
        <w:t xml:space="preserve">Human health and well-being have the potential to be improved through contact with nature and green exercise or outdoor activity. Thus, one of the important contributions of environmental health to human well-being lies in the provision of safe resources (water, air, food) and a safe environment (home/neighborhood, work, leisure) within which society and individuals can thrive. This paper discusses the association between the USJ residents’ perception of their neighborhood’s (outdoor) environment and their physical activity involvement. </w:t>
      </w:r>
      <w:r w:rsidRPr="001955EF">
        <w:rPr>
          <w:rFonts w:ascii="Times New Roman" w:hAnsi="Times New Roman" w:cs="Times New Roman"/>
          <w:bCs/>
          <w:sz w:val="24"/>
          <w:szCs w:val="24"/>
        </w:rPr>
        <w:t xml:space="preserve">The </w:t>
      </w:r>
      <w:r w:rsidRPr="001955EF">
        <w:rPr>
          <w:rFonts w:ascii="Times New Roman" w:hAnsi="Times New Roman" w:cs="Times New Roman"/>
          <w:sz w:val="24"/>
          <w:szCs w:val="24"/>
        </w:rPr>
        <w:t>neighborhood environment</w:t>
      </w:r>
      <w:r w:rsidRPr="001955EF">
        <w:rPr>
          <w:rFonts w:ascii="Times New Roman" w:hAnsi="Times New Roman" w:cs="Times New Roman"/>
          <w:bCs/>
          <w:sz w:val="24"/>
          <w:szCs w:val="24"/>
        </w:rPr>
        <w:t xml:space="preserve"> and physical activity involvement were identified through a questionnaire survey</w:t>
      </w:r>
      <w:r w:rsidRPr="001955EF">
        <w:rPr>
          <w:rFonts w:ascii="Times New Roman" w:hAnsi="Times New Roman" w:cs="Times New Roman"/>
          <w:sz w:val="24"/>
          <w:szCs w:val="24"/>
        </w:rPr>
        <w:t>. A stratified</w:t>
      </w:r>
      <w:r w:rsidRPr="001955EF">
        <w:rPr>
          <w:rFonts w:ascii="Times New Roman" w:hAnsi="Times New Roman" w:cs="Times New Roman"/>
          <w:bCs/>
          <w:sz w:val="24"/>
          <w:szCs w:val="24"/>
        </w:rPr>
        <w:t xml:space="preserve"> random sampling technique was used with 385 respondents from a total of 156,011 numbers of the population in Subang Jaya. The data were analyzed using frequency and regression analysis and it showed that the neighborhood’s environment has no significant effect on the involvement of physical activity among the residents in USJ (</w:t>
      </w:r>
      <w:r w:rsidRPr="001955EF">
        <w:rPr>
          <w:rFonts w:ascii="Times New Roman" w:hAnsi="Times New Roman" w:cs="Times New Roman"/>
          <w:sz w:val="24"/>
          <w:szCs w:val="24"/>
        </w:rPr>
        <w:t>respondents)</w:t>
      </w:r>
      <w:r w:rsidRPr="001955EF">
        <w:rPr>
          <w:rFonts w:ascii="Times New Roman" w:hAnsi="Times New Roman" w:cs="Times New Roman"/>
          <w:bCs/>
          <w:sz w:val="24"/>
          <w:szCs w:val="24"/>
        </w:rPr>
        <w:t xml:space="preserve">. The result was the opposite of the other researchers who have found links between the neighborhood’s built-environment characteristics and physical activity (such as mixed land use, which indicates having destinations such as restaurants and shops nearby). This may be because the respondents were exposed to the neighborhood’s environment more frequently when engaging in physical activity, which increased their unhappiness with the neighborhood’s quality. Furthermore, the majority of respondents indicated that they typically engaged in indoor physical exercise. </w:t>
      </w:r>
      <w:r w:rsidRPr="001955EF">
        <w:rPr>
          <w:rFonts w:ascii="Times New Roman" w:hAnsi="Times New Roman" w:cs="Times New Roman"/>
          <w:bCs/>
          <w:sz w:val="24"/>
          <w:szCs w:val="24"/>
          <w:lang w:val="en-GB"/>
        </w:rPr>
        <w:t>It is hoped that through this study, park managers and developers may come out with more exciting features or concepts in their future development to help encourage more physical activity involvement among the residents toward better health.</w:t>
      </w:r>
    </w:p>
    <w:p w14:paraId="448E88C3" w14:textId="77777777" w:rsidR="00A807B2" w:rsidRPr="001955EF" w:rsidRDefault="00894076" w:rsidP="001955EF">
      <w:pPr>
        <w:spacing w:after="0" w:line="240" w:lineRule="auto"/>
        <w:ind w:left="0" w:hanging="2"/>
        <w:jc w:val="both"/>
        <w:rPr>
          <w:rFonts w:ascii="Times New Roman" w:eastAsia="Times New Roman" w:hAnsi="Times New Roman" w:cs="Times New Roman"/>
          <w:sz w:val="24"/>
          <w:szCs w:val="24"/>
        </w:rPr>
      </w:pPr>
      <w:r w:rsidRPr="001955EF">
        <w:rPr>
          <w:rFonts w:ascii="Times New Roman" w:eastAsia="Times New Roman" w:hAnsi="Times New Roman" w:cs="Times New Roman"/>
          <w:b/>
          <w:sz w:val="24"/>
          <w:szCs w:val="24"/>
        </w:rPr>
        <w:t xml:space="preserve"> </w:t>
      </w:r>
    </w:p>
    <w:p w14:paraId="2B2181F3" w14:textId="77777777" w:rsidR="00A807B2" w:rsidRPr="001955EF" w:rsidRDefault="00894076" w:rsidP="001955EF">
      <w:pPr>
        <w:spacing w:after="0" w:line="240" w:lineRule="auto"/>
        <w:ind w:left="0" w:hanging="2"/>
        <w:jc w:val="both"/>
        <w:rPr>
          <w:rFonts w:ascii="Times New Roman" w:hAnsi="Times New Roman" w:cs="Times New Roman"/>
          <w:sz w:val="24"/>
          <w:szCs w:val="24"/>
        </w:rPr>
      </w:pPr>
      <w:bookmarkStart w:id="0" w:name="_heading=h.gjdgxs" w:colFirst="0" w:colLast="0"/>
      <w:bookmarkEnd w:id="0"/>
      <w:r w:rsidRPr="001955EF">
        <w:rPr>
          <w:rFonts w:ascii="Times New Roman" w:eastAsia="Times New Roman" w:hAnsi="Times New Roman" w:cs="Times New Roman"/>
          <w:b/>
          <w:sz w:val="24"/>
          <w:szCs w:val="24"/>
        </w:rPr>
        <w:t xml:space="preserve">Keywords: </w:t>
      </w:r>
      <w:r w:rsidRPr="001955EF">
        <w:rPr>
          <w:rFonts w:ascii="Times New Roman" w:eastAsia="Times New Roman" w:hAnsi="Times New Roman" w:cs="Times New Roman"/>
          <w:sz w:val="24"/>
          <w:szCs w:val="24"/>
        </w:rPr>
        <w:t>E</w:t>
      </w:r>
      <w:r w:rsidRPr="001955EF">
        <w:rPr>
          <w:rFonts w:ascii="Times New Roman" w:hAnsi="Times New Roman" w:cs="Times New Roman"/>
          <w:sz w:val="24"/>
          <w:szCs w:val="24"/>
        </w:rPr>
        <w:t xml:space="preserve">nvironment, </w:t>
      </w:r>
      <w:r w:rsidR="008E370A" w:rsidRPr="001955EF">
        <w:rPr>
          <w:rFonts w:ascii="Times New Roman" w:hAnsi="Times New Roman" w:cs="Times New Roman"/>
          <w:sz w:val="24"/>
          <w:szCs w:val="24"/>
        </w:rPr>
        <w:t>exercise</w:t>
      </w:r>
      <w:r w:rsidR="008E370A">
        <w:rPr>
          <w:rFonts w:ascii="Times New Roman" w:hAnsi="Times New Roman" w:cs="Times New Roman"/>
          <w:sz w:val="24"/>
          <w:szCs w:val="24"/>
        </w:rPr>
        <w:t xml:space="preserve">, </w:t>
      </w:r>
      <w:r w:rsidRPr="001955EF">
        <w:rPr>
          <w:rFonts w:ascii="Times New Roman" w:hAnsi="Times New Roman" w:cs="Times New Roman"/>
          <w:sz w:val="24"/>
          <w:szCs w:val="24"/>
        </w:rPr>
        <w:t>health, neighborhood, physical activity</w:t>
      </w:r>
    </w:p>
    <w:p w14:paraId="3F830A57" w14:textId="77777777" w:rsidR="00A807B2" w:rsidRDefault="00894076" w:rsidP="001955EF">
      <w:pPr>
        <w:spacing w:after="0" w:line="240" w:lineRule="auto"/>
        <w:ind w:left="0" w:hanging="2"/>
        <w:jc w:val="both"/>
        <w:rPr>
          <w:rFonts w:ascii="Times New Roman" w:eastAsia="Times New Roman" w:hAnsi="Times New Roman" w:cs="Times New Roman"/>
          <w:b/>
          <w:color w:val="000000"/>
          <w:sz w:val="24"/>
          <w:szCs w:val="24"/>
        </w:rPr>
      </w:pPr>
      <w:r w:rsidRPr="001955EF">
        <w:rPr>
          <w:rFonts w:ascii="Times New Roman" w:eastAsia="Times New Roman" w:hAnsi="Times New Roman" w:cs="Times New Roman"/>
          <w:b/>
          <w:color w:val="000000"/>
          <w:sz w:val="24"/>
          <w:szCs w:val="24"/>
        </w:rPr>
        <w:t xml:space="preserve"> </w:t>
      </w:r>
    </w:p>
    <w:p w14:paraId="213074E3" w14:textId="77777777" w:rsidR="008E370A" w:rsidRPr="001955EF" w:rsidRDefault="008E370A" w:rsidP="001955EF">
      <w:pPr>
        <w:spacing w:after="0" w:line="240" w:lineRule="auto"/>
        <w:ind w:left="0" w:hanging="2"/>
        <w:jc w:val="both"/>
        <w:rPr>
          <w:rFonts w:ascii="Times New Roman" w:eastAsia="Times New Roman" w:hAnsi="Times New Roman" w:cs="Times New Roman"/>
          <w:b/>
          <w:color w:val="000000"/>
          <w:sz w:val="24"/>
          <w:szCs w:val="24"/>
        </w:rPr>
      </w:pPr>
    </w:p>
    <w:p w14:paraId="5B00F4AA" w14:textId="77777777" w:rsidR="00A807B2" w:rsidRPr="001955EF" w:rsidRDefault="00894076" w:rsidP="001955EF">
      <w:pPr>
        <w:spacing w:after="0" w:line="240" w:lineRule="auto"/>
        <w:ind w:left="0" w:hanging="2"/>
        <w:jc w:val="both"/>
        <w:rPr>
          <w:rFonts w:ascii="Times New Roman" w:eastAsia="Times New Roman" w:hAnsi="Times New Roman" w:cs="Times New Roman"/>
          <w:color w:val="000000"/>
          <w:sz w:val="24"/>
          <w:szCs w:val="24"/>
        </w:rPr>
      </w:pPr>
      <w:r w:rsidRPr="001955EF">
        <w:rPr>
          <w:rFonts w:ascii="Times New Roman" w:eastAsia="Times New Roman" w:hAnsi="Times New Roman" w:cs="Times New Roman"/>
          <w:b/>
          <w:color w:val="000000"/>
          <w:sz w:val="24"/>
          <w:szCs w:val="24"/>
        </w:rPr>
        <w:t xml:space="preserve">Introduction  </w:t>
      </w:r>
    </w:p>
    <w:p w14:paraId="4EB7138B" w14:textId="77777777" w:rsidR="00A807B2" w:rsidRPr="001955EF" w:rsidRDefault="00A807B2" w:rsidP="001955EF">
      <w:pPr>
        <w:spacing w:after="0" w:line="240" w:lineRule="auto"/>
        <w:ind w:left="0" w:hanging="2"/>
        <w:jc w:val="both"/>
        <w:rPr>
          <w:rFonts w:ascii="Times New Roman" w:hAnsi="Times New Roman" w:cs="Times New Roman"/>
          <w:sz w:val="24"/>
          <w:szCs w:val="24"/>
        </w:rPr>
      </w:pPr>
    </w:p>
    <w:p w14:paraId="6075AA03" w14:textId="77777777" w:rsidR="00A807B2" w:rsidRPr="001955EF" w:rsidRDefault="00894076" w:rsidP="001955EF">
      <w:pPr>
        <w:spacing w:after="0" w:line="240" w:lineRule="auto"/>
        <w:ind w:left="0" w:hanging="2"/>
        <w:jc w:val="both"/>
        <w:rPr>
          <w:rFonts w:ascii="Times New Roman" w:hAnsi="Times New Roman" w:cs="Times New Roman"/>
          <w:sz w:val="24"/>
          <w:szCs w:val="24"/>
        </w:rPr>
      </w:pPr>
      <w:r w:rsidRPr="001955EF">
        <w:rPr>
          <w:rFonts w:ascii="Times New Roman" w:hAnsi="Times New Roman" w:cs="Times New Roman"/>
          <w:sz w:val="24"/>
          <w:szCs w:val="24"/>
        </w:rPr>
        <w:t xml:space="preserve">Globally, little research has been carried out concerning urban or neighborhood development (or the design), physical activity, and health or well-being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{"citationItems":[{"id":"ITEM-1","itemData":{"DOI":"10.1016/j.puhe.2013.01.004","ISSN":"1476-5616","PMID":"23587672","abstract":"OBJECTIVES: Local availability of green space has been associated with a wide range of health benefits. Possible causative mechanisms underpinning the green space and health relationship include the provision of physical activity opportunities, the stress-relieving effects of nature and the facilitation of social contacts. This study sought to investigate whether urban green space was related to individual-level health outcomes, and whether levels of physical activity were likely to be a mediating factor in any relationships found.\n\nSTUDY DESIGN: Cross-sectional analysis of anonymized individual health survey responses.\n\nMETHODS: Neighbourhood-level green space availability was linked to 8157 respondents to the New Zealand Health Survey 2006/07 on the basis of their place of residence. Adjusted multilevel models were constructed for four health outcomes which are plausibly related to green space via physical activity: cardiovascular disease; overweight; poor general health; and poor mental health (Short Form 36).\n\nRESULTS: The greenest neighbourhoods had the lowest risks of poor mental health [odds ratio (OR) 0.81, 95% confidence interval (CI) 0.66-1.00]. Cardiovascular disease risk was reduced in all neighbourhoods with &gt;15% green space availability (e.g. OR 0.80, 95% CI 0.64-0.99 for those with 33-70% green space), However, a dose-response relationship was not found. Green space availability was not related to overweight or poor general health. Overall, levels of physical activity were higher in greener neighbourhoods, but adjustment for this only slightly attenuated the green space and health relationships.\n\nCONCLUSIONS: Neighbourhood green space was related to better cardiovascular and mental health in a New Zealand Health Survey, independent of individual risk factors. Although physical activity was higher in greener neighbourhoods, it did not fully explain the green space and health relationship.","author":[{"dropping-particle":"","family":"Richardson","given":"E a","non-dropping-particle":"","parse-names":false,"suffix":""},{"dropping-particle":"","family":"Pearce","given":"J","non-dropping-particle":"","parse-names":false,"suffix":""},{"dropping-particle":"","family":"Mitchell","given":"R","non-dropping-particle":"","parse-names":false,"suffix":""},{"dropping-particle":"","family":"Kingham","given":"S","non-dropping-particle":"","parse-names":false,"suffix":""}],"container-title":"Public health","id":"ITEM-1","issue":"4","issued":{"date-parts":[["2013","4"]]},"page":"318-24","title":"Role of physical activity in the relationship between urban green space and health.","type":"article-journal","volume":"127"},"uris":["http://www.mendeley.com/documents/?uuid=ed1f65dc-aa90-4ae6-aefc-b7e58cfd3db7"]}],"mendeley":{"formattedCitation":"(Richardson et al., 2013)","plainTextFormattedCitation":"(Richardson et al., 2013)","previouslyFormattedCitation":"(Richardson et al., 2013)"},"properties":{"noteIndex":0},"schema":"https://github.com/citation-style-language/schema/raw/master/csl-citation.json"}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(Richardson et al., 2013)</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By referring to the neighborhood design and land use patterns in New Zealand, residents of the greenest urban </w:t>
      </w:r>
      <w:r w:rsidRPr="001955EF">
        <w:rPr>
          <w:rFonts w:ascii="Times New Roman" w:hAnsi="Times New Roman" w:cs="Times New Roman"/>
          <w:sz w:val="24"/>
          <w:szCs w:val="24"/>
        </w:rPr>
        <w:lastRenderedPageBreak/>
        <w:t xml:space="preserve">neighborhoods had significantly lower risks of having poor mental health than those in the least green areas, and the results suggested a dose-response relationship. Accordingly, individuals residing in neighborhoods with more than 15% green space coverage had reduced cardiovascular disease (CVD) risks. Meanwhile, the least green neighborhoods have other *(particular / specific) characteristics (e.g., high population density, or urban centers) that are also related to CVD risk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{"citationItems":[{"id":"ITEM-1","itemData":{"DOI":"10.1016/j.puhe.2013.01.004","ISSN":"1476-5616","PMID":"23587672","abstract":"OBJECTIVES: Local availability of green space has been associated with a wide range of health benefits. Possible causative mechanisms underpinning the green space and health relationship include the provision of physical activity opportunities, the stress-relieving effects of nature and the facilitation of social contacts. This study sought to investigate whether urban green space was related to individual-level health outcomes, and whether levels of physical activity were likely to be a mediating factor in any relationships found.\n\nSTUDY DESIGN: Cross-sectional analysis of anonymized individual health survey responses.\n\nMETHODS: Neighbourhood-level green space availability was linked to 8157 respondents to the New Zealand Health Survey 2006/07 on the basis of their place of residence. Adjusted multilevel models were constructed for four health outcomes which are plausibly related to green space via physical activity: cardiovascular disease; overweight; poor general health; and poor mental health (Short Form 36).\n\nRESULTS: The greenest neighbourhoods had the lowest risks of poor mental health [odds ratio (OR) 0.81, 95% confidence interval (CI) 0.66-1.00]. Cardiovascular disease risk was reduced in all neighbourhoods with &gt;15% green space availability (e.g. OR 0.80, 95% CI 0.64-0.99 for those with 33-70% green space), However, a dose-response relationship was not found. Green space availability was not related to overweight or poor general health. Overall, levels of physical activity were higher in greener neighbourhoods, but adjustment for this only slightly attenuated the green space and health relationships.\n\nCONCLUSIONS: Neighbourhood green space was related to better cardiovascular and mental health in a New Zealand Health Survey, independent of individual risk factors. Although physical activity was higher in greener neighbourhoods, it did not fully explain the green space and health relationship.","author":[{"dropping-particle":"","family":"Richardson","given":"E a","non-dropping-particle":"","parse-names":false,"suffix":""},{"dropping-particle":"","family":"Pearce","given":"J","non-dropping-particle":"","parse-names":false,"suffix":""},{"dropping-particle":"","family":"Mitchell","given":"R","non-dropping-particle":"","parse-names":false,"suffix":""},{"dropping-particle":"","family":"Kingham","given":"S","non-dropping-particle":"","parse-names":false,"suffix":""}],"container-title":"Public health","id":"ITEM-1","issue":"4","issued":{"date-parts":[["2013","4"]]},"page":"318-24","title":"Role of physical activity in the relationship between urban green space and health.","type":"article-journal","volume":"127"},"uris":["http://www.mendeley.com/documents/?uuid=ed1f65dc-aa90-4ae6-aefc-b7e58cfd3db7"]}],"mendeley":{"formattedCitation":"(Richardson et al., 2013)","plainTextFormattedCitation":"(Richardson et al., 2013)","previouslyFormattedCitation":"(Richardson et al., 2013)"},"properties":{"noteIndex":0},"schema":"https://github.com/citation-style-language/schema/raw/master/csl-citation.json"}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(Richardson et al., 2013)</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Thus, human health especially NCD is related to the human lifestyle including physical activities. The human lifestyle, especially physical activity is much related to urbanization and neighborhood design or land use patterns. The beneficial effects of physical activity are well known in developed countries. The epidemiological evidence of the positive effects of physical activity on health has recently been widely and globally reported and confirmed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{"citationItems":[{"id":"ITEM-1","itemData":{"abstract":"REVISION DE LAS MEJORES PRACTICAS E INTERVENCIONES PARA PROMOVER LA ACTIVIDAD FÍSICA EN PAISES EN DESARROLLO","author":[{"dropping-particle":"","family":"World Health Organization","given":"","non-dropping-particle":"","parse-names":false,"suffix":""}],"container-title":"WHO Workshop on Physical Activity and Public Health, Beijing, China, held on 24–27 October 2005","id":"ITEM-1","issued":{"date-parts":[["2005"]]},"title":"Review of Best Practice in Interventions to Promote Physical Activity in Developing Countries","type":"article-journal"},"uris":["http://www.mendeley.com/documents/?uuid=23dfb8eb-7fe5-4023-87cc-d7be489ddb2d"]}],"mendeley":{"formattedCitation":"(World Health Organization, 2005)","plainTextFormattedCitation":"(World Health Organization, 2005)","previouslyFormattedCitation":"(World Health Organization, 2005)"},"properties":{"noteIndex":0},"schema":"https://github.com/citation-style-language/schema/raw/master/csl-citation.json"}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(World Health Organization, 2005)</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w:t>
      </w:r>
    </w:p>
    <w:p w14:paraId="1D083239" w14:textId="7001A376" w:rsidR="00A807B2" w:rsidRPr="001955EF" w:rsidRDefault="00894076" w:rsidP="001955EF">
      <w:pPr>
        <w:spacing w:after="0" w:line="240" w:lineRule="auto"/>
        <w:ind w:leftChars="0" w:left="0" w:firstLineChars="0" w:firstLine="720"/>
        <w:jc w:val="both"/>
        <w:rPr>
          <w:rFonts w:ascii="Times New Roman" w:hAnsi="Times New Roman" w:cs="Times New Roman"/>
          <w:sz w:val="24"/>
          <w:szCs w:val="24"/>
        </w:rPr>
      </w:pPr>
      <w:r w:rsidRPr="001955EF">
        <w:rPr>
          <w:rFonts w:ascii="Times New Roman" w:hAnsi="Times New Roman" w:cs="Times New Roman"/>
          <w:sz w:val="24"/>
          <w:szCs w:val="24"/>
        </w:rPr>
        <w:t xml:space="preserve">People who live in areas with high ‘walkability’ are more likely to engage in active transport and access neighborhood amenities such as shops and parks, both of which will also stimulate active travel: individuals who live in neighborhoods with high walkability participate for approximately 30 minutes and are more active in using transport each week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{"citationItems":[{"id":"ITEM-1","itemData":{"author":[{"dropping-particle":"","family":"C3 Collaborating for Health","given":"","non-dropping-particle":"","parse-names":false,"suffix":""}],"id":"ITEM-1","issue":"October","issued":{"date-parts":[["2012"]]},"title":"Review The benefits of physical activity for health and well ‐ being","type":"article-journal"},"uris":["http://www.mendeley.com/documents/?uuid=a6d9b52e-d862-4eda-97d9-b7d27a216d6a"]}],"mendeley":{"formattedCitation":"(C3 Collaborating for Health, 2012)","plainTextFormattedCitation":"(C3 Collaborating for Health, 2012)","previouslyFormattedCitation":"(C3 Collaborating for Health, 2012)"},"properties":{"noteIndex":0},"schema":"https://github.com/citation-style-language/schema/raw/master/csl-citation.json"}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(C3 Collaborating for Health, 2012)</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Nevertheless, there is a lack of research that focuses on the relationship between the neighborhood environment and physical activity in Malaysian neighborhoods. Thus, this study is carried out to investigate the relationship between neighborhood environment and physical activity in USJ, which is one of the Malaysian neighborhood areas. </w:t>
      </w:r>
      <w:r w:rsidRPr="001955EF">
        <w:rPr>
          <w:rFonts w:ascii="Times New Roman" w:hAnsi="Times New Roman" w:cs="Times New Roman"/>
          <w:sz w:val="24"/>
          <w:szCs w:val="24"/>
          <w:lang w:val="en-GB"/>
        </w:rPr>
        <w:t xml:space="preserve">This research helps in furthering the knowledge of the researcher on the topic related to </w:t>
      </w:r>
      <w:r w:rsidR="0009642D" w:rsidRPr="001955EF">
        <w:rPr>
          <w:rFonts w:ascii="Times New Roman" w:hAnsi="Times New Roman" w:cs="Times New Roman"/>
          <w:sz w:val="24"/>
          <w:szCs w:val="24"/>
          <w:lang w:val="en-GB"/>
        </w:rPr>
        <w:t>neighbourhood’s</w:t>
      </w:r>
      <w:r w:rsidRPr="001955EF">
        <w:rPr>
          <w:rFonts w:ascii="Times New Roman" w:hAnsi="Times New Roman" w:cs="Times New Roman"/>
          <w:sz w:val="24"/>
          <w:szCs w:val="24"/>
          <w:lang w:val="en-GB"/>
        </w:rPr>
        <w:t xml:space="preserve"> environment and physical activity. Besides that, it is intended that the findings of this research will help the government, planner or designer, and the developer to improve the urban planning quality toward a healthier urban environment for the public. Furthermore, healthier citizens lower the government or public expenses on medical or health care. Besides, quality urban planning helps to improve the productivity of citizens due to having good health (physical and mental health). Moreover, the plan is the national agenda specifically the Economic Transformation Programme (ETP) for a Greater Kuala Lumpur or Klang Valley, i.e., the aim is to improve or achieve ‘liveability’ of a Greater Kuala Lumpur or Klang Valley.</w:t>
      </w:r>
    </w:p>
    <w:p w14:paraId="5E7B7538" w14:textId="77777777" w:rsidR="00A807B2" w:rsidRDefault="00A807B2" w:rsidP="001955EF">
      <w:pPr>
        <w:spacing w:after="0" w:line="240" w:lineRule="auto"/>
        <w:ind w:left="0" w:hanging="2"/>
        <w:jc w:val="both"/>
        <w:rPr>
          <w:rFonts w:ascii="Times New Roman" w:eastAsia="Times New Roman" w:hAnsi="Times New Roman" w:cs="Times New Roman"/>
          <w:b/>
          <w:color w:val="000000"/>
          <w:sz w:val="24"/>
          <w:szCs w:val="24"/>
        </w:rPr>
      </w:pPr>
    </w:p>
    <w:p w14:paraId="414CCE3E" w14:textId="77777777" w:rsidR="008E370A" w:rsidRPr="001955EF" w:rsidRDefault="008E370A" w:rsidP="001955EF">
      <w:pPr>
        <w:spacing w:after="0" w:line="240" w:lineRule="auto"/>
        <w:ind w:left="0" w:hanging="2"/>
        <w:jc w:val="both"/>
        <w:rPr>
          <w:rFonts w:ascii="Times New Roman" w:eastAsia="Times New Roman" w:hAnsi="Times New Roman" w:cs="Times New Roman"/>
          <w:color w:val="000000"/>
          <w:sz w:val="24"/>
          <w:szCs w:val="24"/>
        </w:rPr>
      </w:pPr>
    </w:p>
    <w:p w14:paraId="3A9105C1" w14:textId="77777777" w:rsidR="00A807B2" w:rsidRPr="001955EF" w:rsidRDefault="00894076" w:rsidP="001955EF">
      <w:pPr>
        <w:spacing w:after="0" w:line="240" w:lineRule="auto"/>
        <w:ind w:left="0" w:hanging="2"/>
        <w:jc w:val="both"/>
        <w:rPr>
          <w:rFonts w:ascii="Times New Roman" w:eastAsia="Times New Roman" w:hAnsi="Times New Roman" w:cs="Times New Roman"/>
          <w:color w:val="000000"/>
          <w:sz w:val="24"/>
          <w:szCs w:val="24"/>
        </w:rPr>
      </w:pPr>
      <w:r w:rsidRPr="001955EF">
        <w:rPr>
          <w:rFonts w:ascii="Times New Roman" w:eastAsia="Times New Roman" w:hAnsi="Times New Roman" w:cs="Times New Roman"/>
          <w:b/>
          <w:color w:val="000000"/>
          <w:sz w:val="24"/>
          <w:szCs w:val="24"/>
        </w:rPr>
        <w:t xml:space="preserve">Literature review  </w:t>
      </w:r>
    </w:p>
    <w:p w14:paraId="68967FCC" w14:textId="77777777" w:rsidR="00A807B2" w:rsidRPr="001955EF" w:rsidRDefault="00894076" w:rsidP="001955EF">
      <w:pPr>
        <w:spacing w:after="0" w:line="240" w:lineRule="auto"/>
        <w:ind w:left="0" w:hanging="2"/>
        <w:jc w:val="both"/>
        <w:rPr>
          <w:rFonts w:ascii="Times New Roman" w:eastAsia="Times New Roman" w:hAnsi="Times New Roman" w:cs="Times New Roman"/>
          <w:color w:val="000000"/>
          <w:sz w:val="24"/>
          <w:szCs w:val="24"/>
        </w:rPr>
      </w:pPr>
      <w:r w:rsidRPr="001955EF">
        <w:rPr>
          <w:rFonts w:ascii="Times New Roman" w:eastAsia="Times New Roman" w:hAnsi="Times New Roman" w:cs="Times New Roman"/>
          <w:b/>
          <w:color w:val="000000"/>
          <w:sz w:val="24"/>
          <w:szCs w:val="24"/>
        </w:rPr>
        <w:t xml:space="preserve"> </w:t>
      </w:r>
    </w:p>
    <w:p w14:paraId="70B1A846" w14:textId="77777777" w:rsidR="00A807B2" w:rsidRPr="001955EF" w:rsidRDefault="00894076" w:rsidP="001955EF">
      <w:pPr>
        <w:spacing w:after="0" w:line="240" w:lineRule="auto"/>
        <w:ind w:left="0" w:hanging="2"/>
        <w:jc w:val="both"/>
        <w:rPr>
          <w:rFonts w:ascii="Times New Roman" w:hAnsi="Times New Roman" w:cs="Times New Roman"/>
          <w:sz w:val="24"/>
          <w:szCs w:val="24"/>
        </w:rPr>
      </w:pPr>
      <w:r w:rsidRPr="001955EF">
        <w:rPr>
          <w:rFonts w:ascii="Times New Roman" w:hAnsi="Times New Roman" w:cs="Times New Roman"/>
          <w:sz w:val="24"/>
          <w:szCs w:val="24"/>
        </w:rPr>
        <w:t xml:space="preserve">Due to the increasing nature of sedentary jobs and an increased reliance on motorized transport, leisure-time physical activity may be important in fulfilling recommended physical activity levels. Leisure-time physical activity can be conducted in a variety of community environments, such as local parks, which are often accessible to citizens at low or no cost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{"citationItems":[{"id":"ITEM-1","itemData":{"DOI":"10.1016/j.ampre.2004.10.024","ISBN":"0749-3797 (Print)\\r0749-3797 (Linking)","ISSN":"07493797","PMID":"15694524","abstract":"Park-based physical activity is a promising means to satisfy current physical activity requirements. However, there is little research concerning what park environmental and policy characteristics might enhance physical activity levels. This study proposes a conceptual model to guide thinking and suggest hypotheses. This framework describes the relationships between park benefits, park use, and physical activity, and the antecedents/correlates of park use. In this classification scheme, the discussion focuses on park environmental characteristics that could be related to physical activity, including park features, condition, access, aesthetics, safety, and policies. Data for these categories should be collected within specific geographic areas in or around the park, including activity areas, supporting areas, the overall park, and the surrounding neighborhood. Future research should focus on how to operationalize specific measures and methodologies for collecting data, as well as measuring associations between individual physical activity levels and specific park characteristics. Collaboration among many disciplines is needed.","author":[{"dropping-particle":"","family":"Bedimo-Rung","given":"Ariane L","non-dropping-particle":"","parse-names":false,"suffix":""}],"container-title":"American Journal of Preventive Medicine","id":"ITEM-1","issue":"2S2","issued":{"date-parts":[["2005"]]},"page":"159-168","title":"The Significance of Parks to Physical Activity and","type":"article-journal","volume":"28"},"uris":["http://www.mendeley.com/documents/?uuid=99448266-1de3-4025-9267-b10f28a6bf08"]}],"mendeley":{"formattedCitation":"(Bedimo-Rung, 2005)","plainTextFormattedCitation":"(Bedimo-Rung, 2005)","previouslyFormattedCitation":"(Bedimo-Rung, 2005)"},"properties":{"noteIndex":0},"schema":"https://github.com/citation-style-language/schema/raw/master/csl-citation.json"}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(Bedimo-Rung, 2005)</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However, due to the lack of detailed study by the town planner to determine a clear contribution of urban parameters (urban planning factors such as the allocation and location of recreation area in relation to the housing location) for the human health, an effective revolution of an urban planning concept or design standards toward healthier urban environments is unable to be carried out.</w:t>
      </w:r>
    </w:p>
    <w:p w14:paraId="6A91663C" w14:textId="77777777" w:rsidR="00A807B2" w:rsidRPr="001955EF" w:rsidRDefault="00894076" w:rsidP="001955EF">
      <w:pPr>
        <w:spacing w:after="0" w:line="240" w:lineRule="auto"/>
        <w:ind w:leftChars="0" w:left="0" w:firstLineChars="0" w:firstLine="720"/>
        <w:jc w:val="both"/>
        <w:rPr>
          <w:rFonts w:ascii="Times New Roman" w:hAnsi="Times New Roman" w:cs="Times New Roman"/>
          <w:sz w:val="24"/>
          <w:szCs w:val="24"/>
        </w:rPr>
      </w:pPr>
      <w:r w:rsidRPr="001955EF">
        <w:rPr>
          <w:rFonts w:ascii="Times New Roman" w:hAnsi="Times New Roman" w:cs="Times New Roman"/>
          <w:sz w:val="24"/>
          <w:szCs w:val="24"/>
        </w:rPr>
        <w:t xml:space="preserve">Furthermore, some of the factors in the built-environment discourage active living which include a lack of quality lighting, a lack of access to open spaces and to sports and recreation facilities, rundown houses and neighborhoods, poor aesthetics, and locked stairwells in workplaces and public buildings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{"citationItems":[{"id":"ITEM-1","itemData":{"ISBN":"9289021810","abstract":"People’s participation in physical activity is influenced by the built, natural and social environments in which they live as well as by personal factors such as sex and age and ability, time and motivation. Local governments have a crucial role to play in creating environments that promote opportuni- ties for physical activity and active living. This booklet concisely overviews the best available evidence on physical activity in the urban environment and makes suggestions for policy and practice based on that evidence.","author":[{"dropping-particle":"","family":"Edwards","given":"Peggy","non-dropping-particle":"","parse-names":false,"suffix":""},{"dropping-particle":"","family":"Tsouros","given":"Agis","non-dropping-particle":"","parse-names":false,"suffix":""}],"container-title":"World Health","id":"ITEM-1","issued":{"date-parts":[["2006"]]},"number-of-pages":"66","title":"FACTS Promoting physical activity and active living in urban environments","type":"book"},"uris":["http://www.mendeley.com/documents/?uuid=ea72f421-acae-4076-8f50-0e6c2b0f4ac6"]}],"mendeley":{"formattedCitation":"(Edwards &amp; Tsouros, 2006)","plainTextFormattedCitation":"(Edwards &amp; Tsouros, 2006)","previouslyFormattedCitation":"(Edwards &amp; Tsouros, 2006)"},"properties":{"noteIndex":0},"schema":"https://github.com/citation-style-language/schema/raw/master/csl-citation.json"}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(Edwards &amp; Tsouros, 2006)</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The urbanization has been associated with a decreasing population in walking levels as a means of transport, e.g., in Cameroon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{"citationItems":[{"id":"ITEM-1","itemData":{"abstract":"REVISION DE LAS MEJORES PRACTICAS E INTERVENCIONES PARA PROMOVER LA ACTIVIDAD FÍSICA EN PAISES EN DESARROLLO","author":[{"dropping-particle":"","family":"World Health Organization","given":"","non-dropping-particle":"","parse-names":false,"suffix":""}],"container-title":"WHO Workshop on Physical Activity and Public Health, Beijing, China, held on 24–27 October 2005","id":"ITEM-1","issued":{"date-parts":[["2005"]]},"title":"Review of Best Practice in Interventions to Promote Physical Activity in Developing Countries","type":"article-journal"},"uris":["http://www.mendeley.com/documents/?uuid=23dfb8eb-7fe5-4023-87cc-d7be489ddb2d"]}],"mendeley":{"formattedCitation":"(World Health Organization, 2005)","plainTextFormattedCitation":"(World Health Organization, 2005)","previouslyFormattedCitation":"(World Health Organization, 2005)"},"properties":{"noteIndex":0},"schema":"https://github.com/citation-style-language/schema/raw/master/csl-citation.json"}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 xml:space="preserve">(World Health </w:t>
      </w:r>
      <w:r w:rsidRPr="001955EF">
        <w:rPr>
          <w:rFonts w:ascii="Times New Roman" w:hAnsi="Times New Roman" w:cs="Times New Roman"/>
          <w:sz w:val="24"/>
          <w:szCs w:val="24"/>
        </w:rPr>
        <w:lastRenderedPageBreak/>
        <w:t>Organization, 2005)</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The physical inactivity has been identified as the fourth leading risk factor for global mortality (6% of deaths globally)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a…","author":[{"dropping-particle":"","family":"World Health Organization","given":"","non-dropping-particle":"","parse-names":false,"suffix":""}],"container-title":"Geneva: World Health Organization","id":"ITEM-1","issued":{"date-parts":[["2010"]]},"title":"Global Recoomendations on Physical Activity for Health","type":"article-journal"},"uris":["http://www.mendeley.com/documents/?uuid=d52dc386-515a-407c-beae-ea434f5be44b"]}],"mendeley":{"formattedCitation":"(World Health Organization, 2010)","plainTextFormattedCitation":"(World Health Organization, 2010)","previouslyFormattedCitation":"(World Health Organization, 2010)"},"properties":{"noteIndex":0},"schema":"https://github.com/citation-style-language/schema/raw/master/csl-citation.json"}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(World Health Organization, 2010)</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w:t>
      </w:r>
    </w:p>
    <w:p w14:paraId="670BFFB5" w14:textId="77777777" w:rsidR="00A807B2" w:rsidRPr="001955EF" w:rsidRDefault="00894076" w:rsidP="001955EF">
      <w:pPr>
        <w:spacing w:after="0" w:line="240" w:lineRule="auto"/>
        <w:ind w:leftChars="0" w:left="0" w:firstLineChars="0" w:firstLine="720"/>
        <w:jc w:val="both"/>
        <w:rPr>
          <w:rFonts w:ascii="Times New Roman" w:hAnsi="Times New Roman" w:cs="Times New Roman"/>
          <w:sz w:val="24"/>
          <w:szCs w:val="24"/>
        </w:rPr>
      </w:pPr>
      <w:r w:rsidRPr="001955EF">
        <w:rPr>
          <w:rFonts w:ascii="Times New Roman" w:hAnsi="Times New Roman" w:cs="Times New Roman"/>
          <w:sz w:val="24"/>
          <w:szCs w:val="24"/>
        </w:rPr>
        <w:t xml:space="preserve">Regular physical activity has been shown to reduce morbidity and mortality by decreasing heart disease, diabetes, high blood pressure, colon cancer, feelings of depression or anxiety, and weight (non-communicable diseases, Noncommunicable Disease (NCD), while building and maintaining healthy bones, muscles, and joints. According to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{"citationItems":[{"id":"ITEM-1","itemData":{"DOI":"10.1056/NEJMra1109345","ISSN":"0028-4793","PMID":"24088093","abstract":"Cardiovascular disease, cancer, chronic pulmonary disease, and diabetes are conditions that, to a large extent, do not result directly from infection. The toll from these noncommunicable diseases is the subject of this review in the Global Health series.","author":[{"dropping-particle":"","family":"Hunter","given":"David J","non-dropping-particle":"","parse-names":false,"suffix":""},{"dropping-particle":"","family":"Reddy","given":"K. Srinath","non-dropping-particle":"","parse-names":false,"suffix":""}],"container-title":"New England Journal of Medicine","id":"ITEM-1","issue":"14","issued":{"date-parts":[["2013"]]},"page":"1336-1343","title":"Noncommunicable Diseases","type":"article-journal","volume":"369"},"uris":["http://www.mendeley.com/documents/?uuid=c2a73674-b7a9-3fe4-a9cd-a9351a831980"]}],"mendeley":{"formattedCitation":"(Hunter &amp; Reddy, 2013)","plainTextFormattedCitation":"(Hunter &amp; Reddy, 2013)","previouslyFormattedCitation":"(Hunter &amp; Reddy, 2013)"},"properties":{"noteIndex":0},"schema":"https://github.com/citation-style-language/schema/raw/master/csl-citation.json"}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(Hunter &amp; Reddy, 2013)</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tobacco use, excessive alcohol consumption, poor diet, and a lack of physical activity contribute to the development of NCD. </w:t>
      </w:r>
    </w:p>
    <w:p w14:paraId="525DC2E1" w14:textId="77777777" w:rsidR="00A807B2" w:rsidRPr="001955EF" w:rsidRDefault="00894076" w:rsidP="001955EF">
      <w:pPr>
        <w:spacing w:after="0" w:line="240" w:lineRule="auto"/>
        <w:ind w:leftChars="0" w:left="0" w:firstLineChars="0" w:firstLine="720"/>
        <w:jc w:val="both"/>
        <w:rPr>
          <w:rFonts w:ascii="Times New Roman" w:hAnsi="Times New Roman" w:cs="Times New Roman"/>
          <w:sz w:val="24"/>
          <w:szCs w:val="24"/>
        </w:rPr>
      </w:pPr>
      <w:r w:rsidRPr="001955EF">
        <w:rPr>
          <w:rFonts w:ascii="Times New Roman" w:hAnsi="Times New Roman" w:cs="Times New Roman"/>
          <w:sz w:val="24"/>
          <w:szCs w:val="24"/>
        </w:rPr>
        <w:t xml:space="preserve">When looking at the association between green area and physical activity, there is a study indicating that residents of the greenest regions have a higher likelihood of being obese which raise the possibility that green space may not be as crucial for encouraging physical activity as previously believed. In support of this, it should be noted that the majority of adult physical activity takes place at home, on the way to work, or at work, with just a small portion participating recreationally. This may indicate that associations with overall physical activity will be weak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{"citationItems":[{"id":"ITEM-1","itemData":{"DOI":"10.1016/j.healthplace.2012.06.003","ISSN":"18732054","PMID":"22795498","abstract":"Past studies have suggested that a link between health outcomes and green space is due to increased levels of physical activity of individuals living in areas with more green space. We found a positive association between green space and physical activity levels. The odds of achieving the recommended amount of physical activity was 1.27 (95% CI: 1.13-1.44) for people living in the greenest quintile in England compared to those living in the least green quintile, after controlling for individual and environmental factors. However, no association was found between green space and types of physical activity normally associated with green space. An association was found with other types of physical activity (gardening and do-it-yourself, and occupational physical activity). These findings suggest that although there is a positive association between physical activity and green space it may not be explained by individuals using green space for recreation. © 2012 Elsevier Ltd.","author":[{"dropping-particle":"","family":"Mytton","given":"Oliver T.","non-dropping-particle":"","parse-names":false,"suffix":""},{"dropping-particle":"","family":"Townsend","given":"Nick","non-dropping-particle":"","parse-names":false,"suffix":""},{"dropping-particle":"","family":"Rutter","given":"Harry","non-dropping-particle":"","parse-names":false,"suffix":""},{"dropping-particle":"","family":"Foster","given":"Charlie","non-dropping-particle":"","parse-names":false,"suffix":""}],"container-title":"Health and Place","id":"ITEM-1","issue":"5","issued":{"date-parts":[["2012"]]},"page":"1034-1041","publisher":"Elsevier","title":"Green space and physical activity: An observational study using Health Survey for England data","type":"article-journal","volume":"18"},"uris":["http://www.mendeley.com/documents/?uuid=941eb0ee-dd76-4f09-bb81-c1561b2e8230"]}],"mendeley":{"formattedCitation":"(Mytton et al., 2012)","plainTextFormattedCitation":"(Mytton et al., 2012)","previouslyFormattedCitation":"(Mytton et al., 2012)"},"properties":{"noteIndex":0},"schema":"https://github.com/citation-style-language/schema/raw/master/csl-citation.json"}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(Mytton et al., 2012)</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w:t>
      </w:r>
    </w:p>
    <w:p w14:paraId="720A22CD" w14:textId="77777777" w:rsidR="00A807B2" w:rsidRPr="001955EF" w:rsidRDefault="00894076" w:rsidP="001955EF">
      <w:pPr>
        <w:spacing w:after="0" w:line="240" w:lineRule="auto"/>
        <w:ind w:leftChars="0" w:left="0" w:firstLineChars="0" w:firstLine="720"/>
        <w:jc w:val="both"/>
        <w:rPr>
          <w:rFonts w:ascii="Times New Roman" w:hAnsi="Times New Roman" w:cs="Times New Roman"/>
          <w:sz w:val="24"/>
          <w:szCs w:val="24"/>
        </w:rPr>
      </w:pPr>
      <w:r w:rsidRPr="001955EF">
        <w:rPr>
          <w:rFonts w:ascii="Times New Roman" w:hAnsi="Times New Roman" w:cs="Times New Roman"/>
          <w:sz w:val="24"/>
          <w:szCs w:val="24"/>
        </w:rPr>
        <w:t xml:space="preserve">Neighborhood environment on the other hand has been associated with better or worse health status for mental and physical health outcomes resulting from the perspectives of housing quality, area deprivation, safety or crime, industrial pollutants, and other factors which recent systematic reviews have identified as robust correlates of older adults' physical activity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{"citationItems":[{"id":"ITEM-1","itemData":{"author":[{"dropping-particle":"","family":"Sahl","given":"Michelle J.","non-dropping-particle":"","parse-names":false,"suffix":""}],"id":"ITEM-1","issued":{"date-parts":[["2009"]]},"title":"Urban Neighborhoods as Determinants of Health Status","type":"article-journal"},"uris":["http://www.mendeley.com/documents/?uuid=863929ce-213f-4999-9a92-d2a749b1bfb1"]},{"id":"ITEM-2","itemData":{"DOI":"10.1016/j.healthplace.2019.05.015","ISSN":"18732054","PMID":"31176106","abstract":"This systematic review included 23 quantitative studies that estimated associations between aspects of the neighbourhood built environment and physical function among adults aged ≥45 years. Findings were analysed according to nine aspects of the neighbourhood built environment: walkability, residential density, street connectivity, land use mix, public transport, pedestrian infrastructure, aesthetics, safety and traffic. Evidence was found for a positive association of pedestrian infrastructure and aesthetics with physical function, while weaker evidence was found for land use mix, and safety from crime and traffic. There was an insufficient number of studies for walkability, residential density, street connectivity and access to public transport.","author":[{"dropping-particle":"","family":"Rachele","given":"Jerome N.","non-dropping-particle":"","parse-names":false,"suffix":""},{"dropping-particle":"","family":"Sugiyama","given":"Takemi","non-dropping-particle":"","parse-names":false,"suffix":""},{"dropping-particle":"","family":"Davies","given":"Sasha","non-dropping-particle":"","parse-names":false,"suffix":""},{"dropping-particle":"","family":"Loh","given":"Venurs H.Y.","non-dropping-particle":"","parse-names":false,"suffix":""},{"dropping-particle":"","family":"Turrell","given":"Gavin","non-dropping-particle":"","parse-names":false,"suffix":""},{"dropping-particle":"","family":"Carver","given":"Alison","non-dropping-particle":"","parse-names":false,"suffix":""},{"dropping-particle":"","family":"Cerin","given":"Ester","non-dropping-particle":"","parse-names":false,"suffix":""}],"container-title":"Health and Place","id":"ITEM-2","issue":"October 2018","issued":{"date-parts":[["2019"]]},"page":"102137","publisher":"Elsevier Ltd","title":"Neighbourhood built environment and physical function among mid-to-older aged adults: A systematic review","type":"article-journal","volume":"58"},"uris":["http://www.mendeley.com/documents/?uuid=54eb5158-1a9d-4079-b2aa-abdeba4c939d"]}],"mendeley":{"formattedCitation":"(Rachele et al., 2019; Sahl, 2009)","plainTextFormattedCitation":"(Rachele et al., 2019; Sahl, 2009)","previouslyFormattedCitation":"(Rachele et al., 2019; Sahl, 2009)"},"properties":{"noteIndex":0},"schema":"https://github.com/citation-style-language/schema/raw/master/csl-citation.json"}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(Rachele et al., 2019; Sahl, 2009)</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The neighborhood’s built-environment characteristics are important for supporting the different types of neighborhoods based on physical activity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{"citationItems":[{"id":"ITEM-1","itemData":{"DOI":"10.24095/hpcdp.37.6.01","ISSN":"2368738X","PMID":"28614045","abstract":"Introduction: The aim of this study was to estimate the associations between neighbourhood built environment characteristics and transportation walking (TW), recreational walking (RW), and moderate-intensity (MPA) and vigorous-intensity physical activity (VPA) in adults independent of sociodemographic characteristics and residential self-selection (i.e. the reasons related to physical activity associated with a person’s choice of neighbourhood). Methods: In 2007 and 2008, 4423 Calgary adults completed land-based telephone interviews capturing physical activity, sociodemographic characteristics and reasons for residential self-selection. Using spatial data, we estimated population density, proportion of green space, path/cycleway length, business density, bus stop density, city-managed tree density, sidewalk length, park type mix and recreational destination mix within a 1.6 km street network distance from the participants’ geolocated residential postal code. Generalized linear models estimated the associations between neighbourhood built environment characteristics and weekly neighbourhood-based physical activity participation (≥ 10 minutes/week; odds ratios [ORs]) and, among those who reported participation, duration of activity (unstandardized beta coefficients [B]). Results: The sample included more women (59.7%) than men (40.3%) and the mean (standard deviation) age was 47.1 (15.6) years. TW participation was associated with intersection (OR = 1.11; 95% CI: 1.03 to 1.20) and business (OR = 1.52; 1.29 to 1.78) density, and sidewalk length (OR = 1.19; 1.09 to 1.29), while TW minutes was associated with business (B = 19.24 minutes/week; 11.28 to 27.20) and tree (B = 6.51; 2.29 to 10.72 minutes/week) density, and recreational destination mix (B = -8.88 minutes/week; -12.49 to -5.28). RW participation was associated with path/cycleway length (OR = 1.17; 1.05 to 1.31). MPA participation was associated with recreational destination mix (OR = 1.09; 1.01 to 1.17) and sidewalk length (OR = 1.10; 1.02 to 1.19); however, MPA minutes was negatively associated with population density (B = -8.65 minutes/week; -15.32 to -1.98). VPA participation was associated with sidewalk length (OR = 1.11; 1.02 to 1.20), path/cycleway length (OR = 1.12; 1.02 to 1.24) and proportion of neighbourhood green space (OR = 0.89; 0.82 to 0.98). VPA minutes was associated with tree density (B = 7.28 minutes/week; 0.39 to 14.17). Conclusion: Some neighbourhood built environment characteri…","author":[{"dropping-particle":"","family":"McCormack","given":"Gavin R.","non-dropping-particle":"","parse-names":false,"suffix":""}],"container-title":"Health Promotion and Chronic Disease Prevention in Canada","id":"ITEM-1","issue":"6","issued":{"date-parts":[["2017"]]},"page":"175-185","title":"Neighbourhood built environment characteristics associated with different types of physical activity in Canadian adults","type":"article-journal","volume":"37"},"uris":["http://www.mendeley.com/documents/?uuid=8da913b8-a3bf-4043-b97c-196e5309ed3c"]}],"mendeley":{"formattedCitation":"(McCormack, 2017)","plainTextFormattedCitation":"(McCormack, 2017)","previouslyFormattedCitation":"(McCormack, 2017)"},"properties":{"noteIndex":0},"schema":"https://github.com/citation-style-language/schema/raw/master/csl-citation.json"}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(McCormack, 2017)</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In her review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{"citationItems":[{"id":"ITEM-1","itemData":{"author":[{"dropping-particle":"","family":"Anderson","given":"Jesse","non-dropping-particle":"","parse-names":false,"suffix":""}],"id":"ITEM-1","issued":{"date-parts":[["2021"]]},"number-of-pages":"106","publisher":"Massey University, Palmerston North, New Zealand","title":"Neighbourhood Environment and the effect on Well-being , Physical Activity , and Social Connectedness","type":"thesis"},"uris":["http://www.mendeley.com/documents/?uuid=2b8e8042-4411-4dff-9a42-6dc44af29532"]}],"mendeley":{"formattedCitation":"(Anderson, 2021)","manualFormatting":"Anderson (2021)","plainTextFormattedCitation":"(Anderson, 2021)","previouslyFormattedCitation":"(Anderson, 2021)"},"properties":{"noteIndex":0},"schema":"https://github.com/citation-style-language/schema/raw/master/csl-citation.json"}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Anderson (2021)</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identifies that the neighborhood’s environmental factors can be considered to have both a direct and indirect impact on well-being through physical activity and social connectedness. However, </w:t>
      </w:r>
      <w:r w:rsidRPr="001955EF">
        <w:rPr>
          <w:rFonts w:ascii="Times New Roman" w:hAnsi="Times New Roman" w:cs="Times New Roman"/>
          <w:sz w:val="24"/>
          <w:szCs w:val="24"/>
        </w:rPr>
        <w:fldChar w:fldCharType="begin" w:fldLock="1"/>
      </w:r>
      <w:r w:rsidRPr="001955EF">
        <w:rPr>
          <w:rFonts w:ascii="Times New Roman" w:hAnsi="Times New Roman" w:cs="Times New Roman"/>
          <w:sz w:val="24"/>
          <w:szCs w:val="24"/>
        </w:rPr>
        <w:instrText>ADDIN CSL_CITATION {"citationItems":[{"id":"ITEM-1","itemData":{"DOI":"10.1016/j.socscimed.2008.09.001","ISSN":"02779536","PMID":"18835074","abstract":"This article explores the environmental influences on physical activity in an English city. The cross-sectional design of this study allowed us to determine whether perceptions of the local environment and access to facilities were associated with activity in a sample of urban residents (n = 401). Logistic regression analysis revealed that respondents who rated their neighbourhood as being of high walkability also tended to report higher levels of overall physical activity. Neighbourhood perceptions were also associated with higher reporting of aerobic activity and walking, although these observations did not reach statistical significance. There is a need for further studies to clarify the respective roles that social and environmental factors play in determining observed variations in physical activity. © 2008 Elsevier Ltd. All rights reserved.","author":[{"dropping-particle":"","family":"Panter","given":"Jenna R.","non-dropping-particle":"","parse-names":false,"suffix":""},{"dropping-particle":"","family":"Jones","given":"Andrew P.","non-dropping-particle":"","parse-names":false,"suffix":""}],"container-title":"Social Science and Medicine","id":"ITEM-1","issue":"11","issued":{"date-parts":[["2008"]]},"page":"1917-1923","publisher":"Elsevier Ltd","title":"Associations between physical activity, perceptions of the neighbourhood environment and access to facilities in an English city","type":"article-journal","volume":"67"},"uris":["http://www.mendeley.com/documents/?uuid=50251afd-68d1-412e-b530-b61fc8b8b1ba"]}],"mendeley":{"formattedCitation":"(Panter &amp; Jones, 2008)","manualFormatting":"Panter &amp; Jones, (2008)","plainTextFormattedCitation":"(Panter &amp; Jones, 2008)","previouslyFormattedCitation":"(Panter &amp; Jones, 2008)"},"properties":{"noteIndex":0},"schema":"https://github.com/citation-style-language/schema/raw/master/csl-citation.json"}</w:instrText>
      </w:r>
      <w:r w:rsidRPr="001955EF">
        <w:rPr>
          <w:rFonts w:ascii="Times New Roman" w:hAnsi="Times New Roman" w:cs="Times New Roman"/>
          <w:sz w:val="24"/>
          <w:szCs w:val="24"/>
        </w:rPr>
        <w:fldChar w:fldCharType="separate"/>
      </w:r>
      <w:r w:rsidRPr="001955EF">
        <w:rPr>
          <w:rFonts w:ascii="Times New Roman" w:hAnsi="Times New Roman" w:cs="Times New Roman"/>
          <w:sz w:val="24"/>
          <w:szCs w:val="24"/>
        </w:rPr>
        <w:t>Panter and Jones, (2008)</w:t>
      </w:r>
      <w:r w:rsidRPr="001955EF">
        <w:rPr>
          <w:rFonts w:ascii="Times New Roman" w:hAnsi="Times New Roman" w:cs="Times New Roman"/>
          <w:sz w:val="24"/>
          <w:szCs w:val="24"/>
        </w:rPr>
        <w:fldChar w:fldCharType="end"/>
      </w:r>
      <w:r w:rsidRPr="001955EF">
        <w:rPr>
          <w:rFonts w:ascii="Times New Roman" w:hAnsi="Times New Roman" w:cs="Times New Roman"/>
          <w:sz w:val="24"/>
          <w:szCs w:val="24"/>
        </w:rPr>
        <w:t xml:space="preserve"> have found no significant correlation between reported frequency of physical activity and the distance from the facilities, despite the lack of a direct measure of facility that is used in the study. In contrast, a Canadian study discovered that shorter distances to facilities were linked to higher levels of overall walking. This study aims </w:t>
      </w:r>
      <w:r w:rsidRPr="001955EF">
        <w:rPr>
          <w:rFonts w:ascii="Times New Roman" w:eastAsia="MS Mincho" w:hAnsi="Times New Roman" w:cs="Times New Roman"/>
          <w:position w:val="0"/>
          <w:sz w:val="24"/>
          <w:szCs w:val="24"/>
        </w:rPr>
        <w:t>to identify the cause and effect of the level of physical activities and neighborhood environment of the residents in USJ.</w:t>
      </w:r>
    </w:p>
    <w:p w14:paraId="09E6165A" w14:textId="77777777" w:rsidR="00A807B2" w:rsidRDefault="00A807B2" w:rsidP="001955EF">
      <w:pPr>
        <w:spacing w:after="0" w:line="240" w:lineRule="auto"/>
        <w:ind w:left="0" w:hanging="2"/>
        <w:jc w:val="both"/>
        <w:rPr>
          <w:rFonts w:ascii="Times New Roman" w:eastAsia="Times New Roman" w:hAnsi="Times New Roman" w:cs="Times New Roman"/>
          <w:color w:val="000000"/>
          <w:sz w:val="24"/>
          <w:szCs w:val="24"/>
        </w:rPr>
      </w:pPr>
    </w:p>
    <w:p w14:paraId="5AF4222E" w14:textId="77777777" w:rsidR="001955EF" w:rsidRPr="001955EF" w:rsidRDefault="001955EF" w:rsidP="001955EF">
      <w:pPr>
        <w:spacing w:after="0" w:line="240" w:lineRule="auto"/>
        <w:ind w:left="0" w:hanging="2"/>
        <w:jc w:val="both"/>
        <w:rPr>
          <w:rFonts w:ascii="Times New Roman" w:eastAsia="Times New Roman" w:hAnsi="Times New Roman" w:cs="Times New Roman"/>
          <w:color w:val="000000"/>
          <w:sz w:val="24"/>
          <w:szCs w:val="24"/>
        </w:rPr>
      </w:pPr>
    </w:p>
    <w:p w14:paraId="62D03459" w14:textId="77777777" w:rsidR="00A807B2" w:rsidRDefault="0089407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Methodology   </w:t>
      </w:r>
    </w:p>
    <w:p w14:paraId="68751AEA" w14:textId="77777777" w:rsidR="00A807B2" w:rsidRDefault="00A807B2">
      <w:pPr>
        <w:spacing w:after="0" w:line="240" w:lineRule="auto"/>
        <w:ind w:left="0" w:hanging="2"/>
        <w:jc w:val="both"/>
        <w:rPr>
          <w:rFonts w:ascii="Times New Roman" w:eastAsia="Times New Roman" w:hAnsi="Times New Roman" w:cs="Times New Roman"/>
          <w:b/>
          <w:color w:val="000000"/>
          <w:sz w:val="24"/>
          <w:szCs w:val="24"/>
        </w:rPr>
      </w:pPr>
    </w:p>
    <w:p w14:paraId="6F966204"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This study focuses on the neighborhood environment affecting the level of physical activities of Malaysian neighborhood residents in USJ. Three aspects were used to measure the neighborhood’s environment satisfaction level by the users, such as facilities provision, safety from crime and surrounding environment. In regards with physical activity involvement among the residents of USJ (respondents), it was divided into vigorous physical activity and moderate physical activity involvement that included the frequency, duration, location, and areas. </w:t>
      </w:r>
    </w:p>
    <w:p w14:paraId="773B1994" w14:textId="77777777" w:rsidR="00A807B2" w:rsidRDefault="00A807B2" w:rsidP="00885B0E">
      <w:pPr>
        <w:autoSpaceDE w:val="0"/>
        <w:autoSpaceDN w:val="0"/>
        <w:adjustRightInd w:val="0"/>
        <w:spacing w:after="0" w:line="240" w:lineRule="auto"/>
        <w:ind w:leftChars="0" w:left="0" w:firstLineChars="0" w:firstLine="0"/>
        <w:jc w:val="both"/>
        <w:rPr>
          <w:rFonts w:ascii="Times New Roman" w:hAnsi="Times New Roman" w:cs="Times New Roman"/>
          <w:sz w:val="24"/>
          <w:szCs w:val="24"/>
        </w:rPr>
      </w:pPr>
    </w:p>
    <w:p w14:paraId="315132C9" w14:textId="77777777" w:rsidR="00A807B2" w:rsidRDefault="00894076">
      <w:pPr>
        <w:autoSpaceDE w:val="0"/>
        <w:autoSpaceDN w:val="0"/>
        <w:adjustRightInd w:val="0"/>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 xml:space="preserve">Questionnaire </w:t>
      </w:r>
      <w:r w:rsidR="00E636FD">
        <w:rPr>
          <w:rFonts w:ascii="Times New Roman" w:hAnsi="Times New Roman" w:cs="Times New Roman"/>
          <w:i/>
          <w:sz w:val="24"/>
          <w:szCs w:val="24"/>
        </w:rPr>
        <w:t>survey and sampling of respondents</w:t>
      </w:r>
    </w:p>
    <w:p w14:paraId="131611C7" w14:textId="77777777" w:rsidR="00A807B2" w:rsidRDefault="00A807B2">
      <w:pPr>
        <w:autoSpaceDE w:val="0"/>
        <w:autoSpaceDN w:val="0"/>
        <w:adjustRightInd w:val="0"/>
        <w:spacing w:after="0" w:line="240" w:lineRule="auto"/>
        <w:ind w:left="0" w:hanging="2"/>
        <w:jc w:val="both"/>
        <w:rPr>
          <w:rFonts w:ascii="Times New Roman" w:hAnsi="Times New Roman" w:cs="Times New Roman"/>
          <w:i/>
          <w:sz w:val="24"/>
          <w:szCs w:val="24"/>
        </w:rPr>
      </w:pPr>
    </w:p>
    <w:p w14:paraId="1C345BAB" w14:textId="73CAD23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bookmarkStart w:id="1" w:name="_Hlk113306657"/>
      <w:r>
        <w:rPr>
          <w:rFonts w:ascii="Times New Roman" w:hAnsi="Times New Roman" w:cs="Times New Roman"/>
          <w:bCs/>
          <w:sz w:val="24"/>
          <w:szCs w:val="24"/>
        </w:rPr>
        <w:t xml:space="preserve">The </w:t>
      </w:r>
      <w:r>
        <w:rPr>
          <w:rFonts w:ascii="Times New Roman" w:hAnsi="Times New Roman" w:cs="Times New Roman"/>
          <w:sz w:val="24"/>
          <w:szCs w:val="24"/>
        </w:rPr>
        <w:t>neighborhood (outdoor) environment</w:t>
      </w:r>
      <w:r>
        <w:rPr>
          <w:rFonts w:ascii="Times New Roman" w:hAnsi="Times New Roman" w:cs="Times New Roman"/>
          <w:bCs/>
          <w:sz w:val="24"/>
          <w:szCs w:val="24"/>
        </w:rPr>
        <w:t xml:space="preserve"> and physical activity involvement were identified through a questionnaire survey</w:t>
      </w:r>
      <w:r>
        <w:rPr>
          <w:rFonts w:ascii="Times New Roman" w:eastAsia="MS Mincho" w:hAnsi="Times New Roman" w:cs="Times New Roman"/>
          <w:color w:val="000000"/>
          <w:sz w:val="24"/>
          <w:szCs w:val="24"/>
        </w:rPr>
        <w:t>. U</w:t>
      </w:r>
      <w:r>
        <w:rPr>
          <w:rFonts w:ascii="Times New Roman" w:hAnsi="Times New Roman" w:cs="Times New Roman"/>
          <w:bCs/>
          <w:sz w:val="24"/>
          <w:szCs w:val="24"/>
        </w:rPr>
        <w:t>sing the stratified random sampling technique, 385 respondents from a total of 156,011 numbers of the population in Subang Jaya were chosen</w:t>
      </w:r>
      <w:bookmarkEnd w:id="1"/>
      <w:r>
        <w:rPr>
          <w:rFonts w:ascii="Times New Roman" w:hAnsi="Times New Roman" w:cs="Times New Roman"/>
          <w:sz w:val="24"/>
          <w:szCs w:val="24"/>
        </w:rPr>
        <w:t xml:space="preserve">. The population </w:t>
      </w:r>
      <w:r>
        <w:rPr>
          <w:rFonts w:ascii="Times New Roman" w:hAnsi="Times New Roman" w:cs="Times New Roman"/>
          <w:sz w:val="24"/>
          <w:szCs w:val="24"/>
        </w:rPr>
        <w:lastRenderedPageBreak/>
        <w:t xml:space="preserve">sample size is determined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{"citationItems":[{"id":"ITEM-1","itemData":{"DOI":"10.1177/001316447003000308","ISSN":"0013-1644","abstract":"The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 available for ready, easy reference which could have been constructed using the following formula.","author":[{"dropping-particle":"V.","family":"Krejcie","given":"Robert","non-dropping-particle":"","parse-names":false,"suffix":""},{"dropping-particle":"","family":"Morgan","given":"Daryle W.","non-dropping-particle":"","parse-names":false,"suffix":""}],"container-title":"Educational and Psychological Measurement","id":"ITEM-1","issue":"3","issued":{"date-parts":[["1970"]]},"page":"607-610","title":"Determining Sample Size for Research Activities","type":"article-journal","volume":"30"},"uris":["http://www.mendeley.com/documents/?uuid=8478c700-a503-4ddb-873a-4b6d60434df0"]}],"mendeley":{"formattedCitation":"(Krejcie &amp; Morgan, 1970)","plainTextFormattedCitation":"(Krejcie &amp; Morgan, 1970)","previouslyFormattedCitation":"(Krejcie &amp; Morgan, 1970)"},"properties":{"noteIndex":0},"schema":"https://github.com/citation-style-language/schema/raw/master/csl-citation.json"}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(Krejcie &amp; Morgan, 1970)</w:t>
      </w:r>
      <w:r>
        <w:rPr>
          <w:rFonts w:ascii="Times New Roman" w:hAnsi="Times New Roman" w:cs="Times New Roman"/>
          <w:sz w:val="24"/>
          <w:szCs w:val="24"/>
        </w:rPr>
        <w:fldChar w:fldCharType="end"/>
      </w:r>
      <w:r>
        <w:rPr>
          <w:rFonts w:ascii="Times New Roman" w:hAnsi="Times New Roman" w:cs="Times New Roman"/>
          <w:sz w:val="24"/>
          <w:szCs w:val="24"/>
        </w:rPr>
        <w:t xml:space="preserve"> with 95% confidence level and an error of 5%.</w:t>
      </w:r>
      <w:r w:rsidR="0009642D">
        <w:rPr>
          <w:rFonts w:ascii="Times New Roman" w:hAnsi="Times New Roman" w:cs="Times New Roman"/>
          <w:sz w:val="24"/>
          <w:szCs w:val="24"/>
        </w:rPr>
        <w:t xml:space="preserve"> </w:t>
      </w:r>
      <w:r>
        <w:rPr>
          <w:rFonts w:ascii="Times New Roman" w:hAnsi="Times New Roman" w:cs="Times New Roman"/>
          <w:sz w:val="24"/>
          <w:szCs w:val="24"/>
        </w:rPr>
        <w:t>Formula for determining sample size</w:t>
      </w:r>
      <w:r w:rsidR="0009642D">
        <w:rPr>
          <w:rFonts w:ascii="Times New Roman" w:hAnsi="Times New Roman" w:cs="Times New Roman"/>
          <w:sz w:val="24"/>
          <w:szCs w:val="24"/>
        </w:rPr>
        <w:t>:</w:t>
      </w:r>
    </w:p>
    <w:p w14:paraId="5CC7A154" w14:textId="77777777" w:rsidR="0009642D" w:rsidRDefault="0009642D" w:rsidP="0009642D">
      <w:pPr>
        <w:autoSpaceDE w:val="0"/>
        <w:autoSpaceDN w:val="0"/>
        <w:adjustRightInd w:val="0"/>
        <w:spacing w:after="0" w:line="240" w:lineRule="auto"/>
        <w:ind w:leftChars="0" w:left="720" w:firstLineChars="0" w:firstLine="720"/>
        <w:jc w:val="both"/>
        <w:rPr>
          <w:rFonts w:ascii="Times New Roman" w:hAnsi="Times New Roman" w:cs="Times New Roman"/>
          <w:i/>
          <w:iCs/>
          <w:sz w:val="24"/>
          <w:szCs w:val="24"/>
        </w:rPr>
      </w:pPr>
    </w:p>
    <w:p w14:paraId="5CE83402" w14:textId="1F641007" w:rsidR="00A807B2" w:rsidRDefault="00894076" w:rsidP="0009642D">
      <w:pPr>
        <w:autoSpaceDE w:val="0"/>
        <w:autoSpaceDN w:val="0"/>
        <w:adjustRightInd w:val="0"/>
        <w:spacing w:after="0" w:line="240" w:lineRule="auto"/>
        <w:ind w:leftChars="0" w:left="720" w:firstLineChars="0" w:firstLine="720"/>
        <w:jc w:val="both"/>
        <w:rPr>
          <w:rFonts w:ascii="Times New Roman" w:hAnsi="Times New Roman" w:cs="Times New Roman"/>
          <w:sz w:val="24"/>
          <w:szCs w:val="24"/>
        </w:rPr>
      </w:pPr>
      <w:r>
        <w:rPr>
          <w:rFonts w:ascii="Times New Roman" w:hAnsi="Times New Roman" w:cs="Times New Roman"/>
          <w:i/>
          <w:iCs/>
          <w:sz w:val="24"/>
          <w:szCs w:val="24"/>
        </w:rPr>
        <w:t>s</w:t>
      </w:r>
      <w:r>
        <w:rPr>
          <w:rFonts w:ascii="Times New Roman" w:hAnsi="Times New Roman" w:cs="Times New Roman"/>
          <w:sz w:val="24"/>
          <w:szCs w:val="24"/>
        </w:rPr>
        <w:t xml:space="preserve"> = </w:t>
      </w:r>
      <w:r>
        <w:rPr>
          <w:rFonts w:ascii="Times New Roman" w:hAnsi="Times New Roman" w:cs="Times New Roman"/>
          <w:i/>
          <w:iCs/>
          <w:sz w:val="24"/>
          <w:szCs w:val="24"/>
        </w:rPr>
        <w:t>X</w:t>
      </w:r>
      <w:r>
        <w:rPr>
          <w:rFonts w:ascii="Times New Roman" w:hAnsi="Times New Roman" w:cs="Times New Roman"/>
          <w:sz w:val="24"/>
          <w:szCs w:val="24"/>
        </w:rPr>
        <w:t xml:space="preserve">² </w:t>
      </w:r>
      <w:r>
        <w:rPr>
          <w:rFonts w:ascii="Times New Roman" w:hAnsi="Times New Roman" w:cs="Times New Roman"/>
          <w:i/>
          <w:iCs/>
          <w:sz w:val="24"/>
          <w:szCs w:val="24"/>
        </w:rPr>
        <w:t>NP</w:t>
      </w:r>
      <w:r>
        <w:rPr>
          <w:rFonts w:ascii="Times New Roman" w:hAnsi="Times New Roman" w:cs="Times New Roman"/>
          <w:sz w:val="24"/>
          <w:szCs w:val="24"/>
        </w:rPr>
        <w:t xml:space="preserve"> (1-</w:t>
      </w:r>
      <w:r>
        <w:rPr>
          <w:rFonts w:ascii="Times New Roman" w:hAnsi="Times New Roman" w:cs="Times New Roman"/>
          <w:i/>
          <w:iCs/>
          <w:sz w:val="24"/>
          <w:szCs w:val="24"/>
        </w:rPr>
        <w:t>P</w:t>
      </w:r>
      <w:r>
        <w:rPr>
          <w:rFonts w:ascii="Times New Roman" w:hAnsi="Times New Roman" w:cs="Times New Roman"/>
          <w:sz w:val="24"/>
          <w:szCs w:val="24"/>
        </w:rPr>
        <w:t xml:space="preserve">) + </w:t>
      </w:r>
      <w:r>
        <w:rPr>
          <w:rFonts w:ascii="Times New Roman" w:hAnsi="Times New Roman" w:cs="Times New Roman"/>
          <w:i/>
          <w:iCs/>
          <w:sz w:val="24"/>
          <w:szCs w:val="24"/>
        </w:rPr>
        <w:t>d</w:t>
      </w:r>
      <w:r>
        <w:rPr>
          <w:rFonts w:ascii="Times New Roman" w:hAnsi="Times New Roman" w:cs="Times New Roman"/>
          <w:sz w:val="24"/>
          <w:szCs w:val="24"/>
        </w:rPr>
        <w:t>²(</w:t>
      </w:r>
      <w:r>
        <w:rPr>
          <w:rFonts w:ascii="Times New Roman" w:hAnsi="Times New Roman" w:cs="Times New Roman"/>
          <w:i/>
          <w:iCs/>
          <w:sz w:val="24"/>
          <w:szCs w:val="24"/>
        </w:rPr>
        <w:t>N</w:t>
      </w:r>
      <w:r>
        <w:rPr>
          <w:rFonts w:ascii="Times New Roman" w:hAnsi="Times New Roman" w:cs="Times New Roman"/>
          <w:sz w:val="24"/>
          <w:szCs w:val="24"/>
        </w:rPr>
        <w:t xml:space="preserve">-1) + </w:t>
      </w:r>
      <w:r>
        <w:rPr>
          <w:rFonts w:ascii="Times New Roman" w:hAnsi="Times New Roman" w:cs="Times New Roman"/>
          <w:i/>
          <w:iCs/>
          <w:sz w:val="24"/>
          <w:szCs w:val="24"/>
        </w:rPr>
        <w:t>X</w:t>
      </w:r>
      <w:r>
        <w:rPr>
          <w:rFonts w:ascii="Times New Roman" w:hAnsi="Times New Roman" w:cs="Times New Roman"/>
          <w:sz w:val="24"/>
          <w:szCs w:val="24"/>
        </w:rPr>
        <w:t>²</w:t>
      </w:r>
      <w:r>
        <w:rPr>
          <w:rFonts w:ascii="Times New Roman" w:hAnsi="Times New Roman" w:cs="Times New Roman"/>
          <w:i/>
          <w:iCs/>
          <w:sz w:val="24"/>
          <w:szCs w:val="24"/>
        </w:rPr>
        <w:t>P</w:t>
      </w:r>
      <w:r>
        <w:rPr>
          <w:rFonts w:ascii="Times New Roman" w:hAnsi="Times New Roman" w:cs="Times New Roman"/>
          <w:sz w:val="24"/>
          <w:szCs w:val="24"/>
        </w:rPr>
        <w:t>(1-</w:t>
      </w:r>
      <w:r>
        <w:rPr>
          <w:rFonts w:ascii="Times New Roman" w:hAnsi="Times New Roman" w:cs="Times New Roman"/>
          <w:i/>
          <w:iCs/>
          <w:sz w:val="24"/>
          <w:szCs w:val="24"/>
        </w:rPr>
        <w:t>P</w:t>
      </w:r>
      <w:r>
        <w:rPr>
          <w:rFonts w:ascii="Times New Roman" w:hAnsi="Times New Roman" w:cs="Times New Roman"/>
          <w:sz w:val="24"/>
          <w:szCs w:val="24"/>
        </w:rPr>
        <w:t>)</w:t>
      </w:r>
    </w:p>
    <w:p w14:paraId="01406B61" w14:textId="77777777" w:rsidR="0009642D" w:rsidRDefault="0009642D">
      <w:pPr>
        <w:autoSpaceDE w:val="0"/>
        <w:autoSpaceDN w:val="0"/>
        <w:adjustRightInd w:val="0"/>
        <w:spacing w:after="0" w:line="240" w:lineRule="auto"/>
        <w:ind w:left="0" w:hanging="2"/>
        <w:jc w:val="both"/>
        <w:rPr>
          <w:rFonts w:ascii="Times New Roman" w:hAnsi="Times New Roman" w:cs="Times New Roman"/>
          <w:i/>
          <w:iCs/>
          <w:sz w:val="24"/>
          <w:szCs w:val="24"/>
        </w:rPr>
      </w:pPr>
    </w:p>
    <w:p w14:paraId="0F8CEAFD" w14:textId="6D5F6F5E"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i/>
          <w:iCs/>
          <w:sz w:val="24"/>
          <w:szCs w:val="24"/>
        </w:rPr>
        <w:t xml:space="preserve">s = </w:t>
      </w:r>
      <w:r>
        <w:rPr>
          <w:rFonts w:ascii="Times New Roman" w:hAnsi="Times New Roman" w:cs="Times New Roman"/>
          <w:sz w:val="24"/>
          <w:szCs w:val="24"/>
        </w:rPr>
        <w:t>required sample size</w:t>
      </w:r>
    </w:p>
    <w:p w14:paraId="5551DDB4"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sz w:val="24"/>
          <w:szCs w:val="24"/>
        </w:rPr>
        <w:t>² = the table value of chi-square for 1 degree of freedom at the desired confidence level (3.841)</w:t>
      </w:r>
    </w:p>
    <w:p w14:paraId="33B904D0"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i/>
          <w:iCs/>
          <w:sz w:val="24"/>
          <w:szCs w:val="24"/>
        </w:rPr>
        <w:t xml:space="preserve">N </w:t>
      </w:r>
      <w:r>
        <w:rPr>
          <w:rFonts w:ascii="Times New Roman" w:hAnsi="Times New Roman" w:cs="Times New Roman"/>
          <w:sz w:val="24"/>
          <w:szCs w:val="24"/>
        </w:rPr>
        <w:t>= the population size</w:t>
      </w:r>
    </w:p>
    <w:p w14:paraId="2FEB5A4D" w14:textId="46EF821D"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 </w:t>
      </w:r>
      <w:r>
        <w:rPr>
          <w:rFonts w:ascii="Times New Roman" w:hAnsi="Times New Roman" w:cs="Times New Roman"/>
          <w:sz w:val="24"/>
          <w:szCs w:val="24"/>
        </w:rPr>
        <w:t>= the population proportion (assumed to be .50 since this would provide the maximum sample size)</w:t>
      </w:r>
    </w:p>
    <w:p w14:paraId="195759D7"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i/>
          <w:iCs/>
          <w:sz w:val="24"/>
          <w:szCs w:val="24"/>
        </w:rPr>
        <w:t>d</w:t>
      </w:r>
      <w:r>
        <w:rPr>
          <w:rFonts w:ascii="Times New Roman" w:hAnsi="Times New Roman" w:cs="Times New Roman"/>
          <w:sz w:val="24"/>
          <w:szCs w:val="24"/>
        </w:rPr>
        <w:t xml:space="preserve"> = the degree of accuracy expressed as a proportion (.05)</w:t>
      </w:r>
    </w:p>
    <w:p w14:paraId="471E4D78" w14:textId="77777777" w:rsidR="00A807B2" w:rsidRDefault="00894076">
      <w:pPr>
        <w:autoSpaceDE w:val="0"/>
        <w:autoSpaceDN w:val="0"/>
        <w:adjustRightInd w:val="0"/>
        <w:spacing w:after="0" w:line="240" w:lineRule="auto"/>
        <w:ind w:leftChars="0" w:left="0" w:firstLineChars="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A4DC976" w14:textId="77777777" w:rsidR="00A807B2" w:rsidRDefault="00894076" w:rsidP="00E636FD">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rPr>
        <w:t xml:space="preserve">The characteristics of samples such as gender, ethnic, type of household, type of house, age, BMI status, monthly income, main occupation in 12 months, involvement in vigorous physical activity and involvement in moderate physical activity were also collected in this study. Frequencies and percentages that are used to describe the respondent personal information are presented in Table </w:t>
      </w:r>
      <w:r>
        <w:rPr>
          <w:rFonts w:ascii="Times New Roman" w:hAnsi="Times New Roman" w:cs="Times New Roman"/>
          <w:bCs/>
          <w:sz w:val="24"/>
          <w:szCs w:val="24"/>
          <w:lang w:val="en-MY"/>
        </w:rPr>
        <w:t>1.</w:t>
      </w:r>
    </w:p>
    <w:p w14:paraId="25368EAF" w14:textId="77777777" w:rsidR="00A807B2" w:rsidRDefault="00A807B2">
      <w:pPr>
        <w:autoSpaceDE w:val="0"/>
        <w:autoSpaceDN w:val="0"/>
        <w:adjustRightInd w:val="0"/>
        <w:spacing w:after="0" w:line="240" w:lineRule="auto"/>
        <w:ind w:left="0" w:hanging="2"/>
        <w:jc w:val="both"/>
        <w:rPr>
          <w:rFonts w:ascii="Times New Roman" w:hAnsi="Times New Roman" w:cs="Times New Roman"/>
          <w:bCs/>
          <w:sz w:val="24"/>
          <w:szCs w:val="24"/>
        </w:rPr>
      </w:pPr>
    </w:p>
    <w:p w14:paraId="390C88BF" w14:textId="0B7CA26B" w:rsidR="00A807B2" w:rsidRDefault="00894076" w:rsidP="00E636FD">
      <w:pPr>
        <w:autoSpaceDE w:val="0"/>
        <w:autoSpaceDN w:val="0"/>
        <w:adjustRightInd w:val="0"/>
        <w:spacing w:after="0" w:line="240" w:lineRule="auto"/>
        <w:ind w:left="0" w:hanging="2"/>
        <w:jc w:val="center"/>
        <w:rPr>
          <w:rFonts w:ascii="Times New Roman" w:hAnsi="Times New Roman" w:cs="Times New Roman"/>
          <w:sz w:val="20"/>
          <w:szCs w:val="20"/>
          <w:lang w:val="en-SG"/>
        </w:rPr>
      </w:pPr>
      <w:bookmarkStart w:id="2" w:name="_Toc92975745"/>
      <w:r w:rsidRPr="00E636FD">
        <w:rPr>
          <w:rFonts w:ascii="Times New Roman" w:hAnsi="Times New Roman" w:cs="Times New Roman"/>
          <w:b/>
          <w:bCs/>
          <w:sz w:val="20"/>
          <w:szCs w:val="20"/>
          <w:lang w:val="en-SG"/>
        </w:rPr>
        <w:t xml:space="preserve">Table </w:t>
      </w:r>
      <w:r w:rsidRPr="00E636FD">
        <w:rPr>
          <w:rFonts w:ascii="Times New Roman" w:hAnsi="Times New Roman" w:cs="Times New Roman"/>
          <w:b/>
          <w:bCs/>
          <w:sz w:val="20"/>
          <w:szCs w:val="20"/>
          <w:lang w:val="en-SG"/>
        </w:rPr>
        <w:fldChar w:fldCharType="begin"/>
      </w:r>
      <w:r w:rsidRPr="00E636FD">
        <w:rPr>
          <w:rFonts w:ascii="Times New Roman" w:hAnsi="Times New Roman" w:cs="Times New Roman"/>
          <w:b/>
          <w:bCs/>
          <w:sz w:val="20"/>
          <w:szCs w:val="20"/>
          <w:lang w:val="en-SG"/>
        </w:rPr>
        <w:instrText xml:space="preserve"> SEQ Table \* ARABIC \s 1 </w:instrText>
      </w:r>
      <w:r w:rsidRPr="00E636FD">
        <w:rPr>
          <w:rFonts w:ascii="Times New Roman" w:hAnsi="Times New Roman" w:cs="Times New Roman"/>
          <w:b/>
          <w:bCs/>
          <w:sz w:val="20"/>
          <w:szCs w:val="20"/>
          <w:lang w:val="en-SG"/>
        </w:rPr>
        <w:fldChar w:fldCharType="separate"/>
      </w:r>
      <w:r w:rsidR="00427AE3">
        <w:rPr>
          <w:rFonts w:ascii="Times New Roman" w:hAnsi="Times New Roman" w:cs="Times New Roman"/>
          <w:b/>
          <w:bCs/>
          <w:noProof/>
          <w:sz w:val="20"/>
          <w:szCs w:val="20"/>
          <w:lang w:val="en-SG"/>
        </w:rPr>
        <w:t>1</w:t>
      </w:r>
      <w:r w:rsidRPr="00E636FD">
        <w:rPr>
          <w:rFonts w:ascii="Times New Roman" w:hAnsi="Times New Roman" w:cs="Times New Roman"/>
          <w:b/>
          <w:bCs/>
          <w:sz w:val="20"/>
          <w:szCs w:val="20"/>
        </w:rPr>
        <w:fldChar w:fldCharType="end"/>
      </w:r>
      <w:r w:rsidRPr="00E636FD">
        <w:rPr>
          <w:rFonts w:ascii="Times New Roman" w:hAnsi="Times New Roman" w:cs="Times New Roman"/>
          <w:b/>
          <w:bCs/>
          <w:sz w:val="20"/>
          <w:szCs w:val="20"/>
        </w:rPr>
        <w:t>.</w:t>
      </w:r>
      <w:r w:rsidRPr="00E636FD">
        <w:rPr>
          <w:rFonts w:ascii="Times New Roman" w:hAnsi="Times New Roman" w:cs="Times New Roman"/>
          <w:sz w:val="20"/>
          <w:szCs w:val="20"/>
        </w:rPr>
        <w:t xml:space="preserve"> </w:t>
      </w:r>
      <w:r w:rsidRPr="00E636FD">
        <w:rPr>
          <w:rFonts w:ascii="Times New Roman" w:hAnsi="Times New Roman" w:cs="Times New Roman"/>
          <w:sz w:val="20"/>
          <w:szCs w:val="20"/>
          <w:lang w:val="en-SG"/>
        </w:rPr>
        <w:t xml:space="preserve">Summary of </w:t>
      </w:r>
      <w:r w:rsidR="00E636FD" w:rsidRPr="00E636FD">
        <w:rPr>
          <w:rFonts w:ascii="Times New Roman" w:hAnsi="Times New Roman" w:cs="Times New Roman"/>
          <w:sz w:val="20"/>
          <w:szCs w:val="20"/>
          <w:lang w:val="en-SG"/>
        </w:rPr>
        <w:t>respondent personal information</w:t>
      </w:r>
      <w:bookmarkEnd w:id="2"/>
    </w:p>
    <w:p w14:paraId="30E6D191" w14:textId="77777777" w:rsidR="00E636FD" w:rsidRDefault="00E636FD" w:rsidP="00E636FD">
      <w:pPr>
        <w:autoSpaceDE w:val="0"/>
        <w:autoSpaceDN w:val="0"/>
        <w:adjustRightInd w:val="0"/>
        <w:spacing w:after="0" w:line="240" w:lineRule="auto"/>
        <w:ind w:left="0" w:hanging="2"/>
        <w:jc w:val="center"/>
        <w:rPr>
          <w:rFonts w:ascii="Times New Roman" w:hAnsi="Times New Roman" w:cs="Times New Roman"/>
          <w:sz w:val="20"/>
          <w:szCs w:val="20"/>
          <w:lang w:val="en-SG"/>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119"/>
        <w:gridCol w:w="1125"/>
        <w:gridCol w:w="1063"/>
      </w:tblGrid>
      <w:tr w:rsidR="0071768E" w14:paraId="3C60B0EE" w14:textId="77777777" w:rsidTr="00023741">
        <w:trPr>
          <w:jc w:val="center"/>
        </w:trPr>
        <w:tc>
          <w:tcPr>
            <w:tcW w:w="5528" w:type="dxa"/>
            <w:gridSpan w:val="2"/>
            <w:tcBorders>
              <w:top w:val="single" w:sz="4" w:space="0" w:color="auto"/>
              <w:bottom w:val="single" w:sz="4" w:space="0" w:color="auto"/>
            </w:tcBorders>
            <w:shd w:val="clear" w:color="auto" w:fill="B8CCE4" w:themeFill="accent1" w:themeFillTint="66"/>
            <w:vAlign w:val="center"/>
          </w:tcPr>
          <w:p w14:paraId="22027AC6" w14:textId="77777777" w:rsidR="0071768E" w:rsidRPr="00EE302A" w:rsidRDefault="0071768E" w:rsidP="0071768E">
            <w:pPr>
              <w:spacing w:after="0" w:line="240" w:lineRule="auto"/>
              <w:ind w:leftChars="0" w:left="-2" w:firstLineChars="0" w:firstLine="0"/>
              <w:jc w:val="center"/>
              <w:rPr>
                <w:rFonts w:ascii="Times New Roman" w:hAnsi="Times New Roman" w:cs="Times New Roman"/>
                <w:b/>
                <w:bCs/>
                <w:sz w:val="20"/>
                <w:szCs w:val="20"/>
              </w:rPr>
            </w:pPr>
            <w:r w:rsidRPr="00EE302A">
              <w:rPr>
                <w:rFonts w:ascii="Times New Roman" w:hAnsi="Times New Roman" w:cs="Times New Roman"/>
                <w:b/>
                <w:bCs/>
                <w:sz w:val="20"/>
                <w:szCs w:val="20"/>
              </w:rPr>
              <w:t>Respondent personal information</w:t>
            </w:r>
          </w:p>
        </w:tc>
        <w:tc>
          <w:tcPr>
            <w:tcW w:w="1125" w:type="dxa"/>
            <w:tcBorders>
              <w:top w:val="single" w:sz="4" w:space="0" w:color="auto"/>
              <w:bottom w:val="single" w:sz="4" w:space="0" w:color="auto"/>
            </w:tcBorders>
            <w:shd w:val="clear" w:color="auto" w:fill="B8CCE4" w:themeFill="accent1" w:themeFillTint="66"/>
            <w:vAlign w:val="center"/>
          </w:tcPr>
          <w:p w14:paraId="542CC243" w14:textId="77777777" w:rsidR="0071768E" w:rsidRPr="00EE302A" w:rsidRDefault="0071768E" w:rsidP="0071768E">
            <w:pPr>
              <w:spacing w:after="0" w:line="240" w:lineRule="auto"/>
              <w:ind w:leftChars="0" w:left="-2" w:firstLineChars="0" w:firstLine="0"/>
              <w:jc w:val="center"/>
              <w:rPr>
                <w:rFonts w:ascii="Times New Roman" w:hAnsi="Times New Roman" w:cs="Times New Roman"/>
                <w:b/>
                <w:bCs/>
                <w:sz w:val="20"/>
                <w:szCs w:val="20"/>
              </w:rPr>
            </w:pPr>
            <w:r w:rsidRPr="00EE302A">
              <w:rPr>
                <w:rFonts w:ascii="Times New Roman" w:hAnsi="Times New Roman" w:cs="Times New Roman"/>
                <w:b/>
                <w:bCs/>
                <w:sz w:val="20"/>
                <w:szCs w:val="20"/>
              </w:rPr>
              <w:t>Frequency</w:t>
            </w:r>
          </w:p>
        </w:tc>
        <w:tc>
          <w:tcPr>
            <w:tcW w:w="1063" w:type="dxa"/>
            <w:tcBorders>
              <w:top w:val="single" w:sz="4" w:space="0" w:color="auto"/>
              <w:bottom w:val="single" w:sz="4" w:space="0" w:color="auto"/>
            </w:tcBorders>
            <w:shd w:val="clear" w:color="auto" w:fill="B8CCE4" w:themeFill="accent1" w:themeFillTint="66"/>
            <w:vAlign w:val="center"/>
          </w:tcPr>
          <w:p w14:paraId="5425775B" w14:textId="77777777" w:rsidR="0071768E" w:rsidRPr="00EE302A" w:rsidRDefault="0071768E" w:rsidP="0071768E">
            <w:pPr>
              <w:spacing w:after="0" w:line="240" w:lineRule="auto"/>
              <w:ind w:leftChars="0" w:left="-2" w:firstLineChars="0" w:firstLine="0"/>
              <w:jc w:val="center"/>
              <w:rPr>
                <w:rFonts w:ascii="Times New Roman" w:hAnsi="Times New Roman" w:cs="Times New Roman"/>
                <w:b/>
                <w:bCs/>
                <w:sz w:val="20"/>
                <w:szCs w:val="20"/>
              </w:rPr>
            </w:pPr>
            <w:r w:rsidRPr="00EE302A">
              <w:rPr>
                <w:rFonts w:ascii="Times New Roman" w:hAnsi="Times New Roman" w:cs="Times New Roman"/>
                <w:b/>
                <w:bCs/>
                <w:sz w:val="20"/>
                <w:szCs w:val="20"/>
              </w:rPr>
              <w:t>Percent</w:t>
            </w:r>
          </w:p>
        </w:tc>
      </w:tr>
      <w:tr w:rsidR="0071768E" w14:paraId="6120CEA2" w14:textId="77777777" w:rsidTr="00334EB0">
        <w:trPr>
          <w:jc w:val="center"/>
        </w:trPr>
        <w:tc>
          <w:tcPr>
            <w:tcW w:w="2409" w:type="dxa"/>
            <w:tcBorders>
              <w:top w:val="single" w:sz="4" w:space="0" w:color="auto"/>
            </w:tcBorders>
            <w:vAlign w:val="center"/>
          </w:tcPr>
          <w:p w14:paraId="6470704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Gender</w:t>
            </w:r>
          </w:p>
        </w:tc>
        <w:tc>
          <w:tcPr>
            <w:tcW w:w="3119" w:type="dxa"/>
            <w:tcBorders>
              <w:top w:val="single" w:sz="4" w:space="0" w:color="auto"/>
            </w:tcBorders>
            <w:vAlign w:val="center"/>
          </w:tcPr>
          <w:p w14:paraId="488F46A1"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Female</w:t>
            </w:r>
          </w:p>
        </w:tc>
        <w:tc>
          <w:tcPr>
            <w:tcW w:w="1125" w:type="dxa"/>
            <w:tcBorders>
              <w:top w:val="single" w:sz="4" w:space="0" w:color="auto"/>
            </w:tcBorders>
            <w:vAlign w:val="center"/>
          </w:tcPr>
          <w:p w14:paraId="3B95603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113</w:t>
            </w:r>
          </w:p>
        </w:tc>
        <w:tc>
          <w:tcPr>
            <w:tcW w:w="1063" w:type="dxa"/>
            <w:tcBorders>
              <w:top w:val="single" w:sz="4" w:space="0" w:color="auto"/>
            </w:tcBorders>
            <w:vAlign w:val="center"/>
          </w:tcPr>
          <w:p w14:paraId="6C99BE27"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29.4</w:t>
            </w:r>
          </w:p>
        </w:tc>
      </w:tr>
      <w:tr w:rsidR="0071768E" w14:paraId="52678BF8" w14:textId="77777777" w:rsidTr="00334EB0">
        <w:trPr>
          <w:jc w:val="center"/>
        </w:trPr>
        <w:tc>
          <w:tcPr>
            <w:tcW w:w="2409" w:type="dxa"/>
            <w:vAlign w:val="center"/>
          </w:tcPr>
          <w:p w14:paraId="42A40F6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2AF04B4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Male</w:t>
            </w:r>
          </w:p>
        </w:tc>
        <w:tc>
          <w:tcPr>
            <w:tcW w:w="1125" w:type="dxa"/>
            <w:vAlign w:val="center"/>
          </w:tcPr>
          <w:p w14:paraId="5F856AC4"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272</w:t>
            </w:r>
          </w:p>
        </w:tc>
        <w:tc>
          <w:tcPr>
            <w:tcW w:w="1063" w:type="dxa"/>
            <w:vAlign w:val="center"/>
          </w:tcPr>
          <w:p w14:paraId="1C5DB7F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70.6</w:t>
            </w:r>
          </w:p>
        </w:tc>
      </w:tr>
      <w:tr w:rsidR="0071768E" w14:paraId="535775FC" w14:textId="77777777" w:rsidTr="00334EB0">
        <w:trPr>
          <w:jc w:val="center"/>
        </w:trPr>
        <w:tc>
          <w:tcPr>
            <w:tcW w:w="2409" w:type="dxa"/>
            <w:vAlign w:val="center"/>
          </w:tcPr>
          <w:p w14:paraId="697191FE"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Ethnic</w:t>
            </w:r>
          </w:p>
        </w:tc>
        <w:tc>
          <w:tcPr>
            <w:tcW w:w="3119" w:type="dxa"/>
            <w:vAlign w:val="center"/>
          </w:tcPr>
          <w:p w14:paraId="44FAA28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Malay</w:t>
            </w:r>
          </w:p>
        </w:tc>
        <w:tc>
          <w:tcPr>
            <w:tcW w:w="1125" w:type="dxa"/>
            <w:vAlign w:val="center"/>
          </w:tcPr>
          <w:p w14:paraId="5E38F18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159</w:t>
            </w:r>
          </w:p>
        </w:tc>
        <w:tc>
          <w:tcPr>
            <w:tcW w:w="1063" w:type="dxa"/>
            <w:vAlign w:val="center"/>
          </w:tcPr>
          <w:p w14:paraId="49977B0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41.3</w:t>
            </w:r>
          </w:p>
        </w:tc>
      </w:tr>
      <w:tr w:rsidR="0071768E" w14:paraId="4261B6EF" w14:textId="77777777" w:rsidTr="00334EB0">
        <w:trPr>
          <w:jc w:val="center"/>
        </w:trPr>
        <w:tc>
          <w:tcPr>
            <w:tcW w:w="2409" w:type="dxa"/>
            <w:vAlign w:val="center"/>
          </w:tcPr>
          <w:p w14:paraId="5D563876"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4FC0E0A1"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Chinese</w:t>
            </w:r>
          </w:p>
        </w:tc>
        <w:tc>
          <w:tcPr>
            <w:tcW w:w="1125" w:type="dxa"/>
            <w:vAlign w:val="center"/>
          </w:tcPr>
          <w:p w14:paraId="3576718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146</w:t>
            </w:r>
          </w:p>
        </w:tc>
        <w:tc>
          <w:tcPr>
            <w:tcW w:w="1063" w:type="dxa"/>
            <w:vAlign w:val="center"/>
          </w:tcPr>
          <w:p w14:paraId="1BEF321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37.9</w:t>
            </w:r>
          </w:p>
        </w:tc>
      </w:tr>
      <w:tr w:rsidR="0071768E" w14:paraId="4580E875" w14:textId="77777777" w:rsidTr="00334EB0">
        <w:trPr>
          <w:jc w:val="center"/>
        </w:trPr>
        <w:tc>
          <w:tcPr>
            <w:tcW w:w="2409" w:type="dxa"/>
            <w:vAlign w:val="center"/>
          </w:tcPr>
          <w:p w14:paraId="39B3BE19"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F90A5A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Indian</w:t>
            </w:r>
          </w:p>
        </w:tc>
        <w:tc>
          <w:tcPr>
            <w:tcW w:w="1125" w:type="dxa"/>
            <w:vAlign w:val="center"/>
          </w:tcPr>
          <w:p w14:paraId="2B3049C5"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75</w:t>
            </w:r>
          </w:p>
        </w:tc>
        <w:tc>
          <w:tcPr>
            <w:tcW w:w="1063" w:type="dxa"/>
            <w:vAlign w:val="center"/>
          </w:tcPr>
          <w:p w14:paraId="768ACA54"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19.5</w:t>
            </w:r>
          </w:p>
        </w:tc>
      </w:tr>
      <w:tr w:rsidR="0071768E" w14:paraId="3C99232C" w14:textId="77777777" w:rsidTr="00334EB0">
        <w:trPr>
          <w:jc w:val="center"/>
        </w:trPr>
        <w:tc>
          <w:tcPr>
            <w:tcW w:w="2409" w:type="dxa"/>
            <w:vAlign w:val="center"/>
          </w:tcPr>
          <w:p w14:paraId="7D62B8B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4F55AAC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Others</w:t>
            </w:r>
          </w:p>
        </w:tc>
        <w:tc>
          <w:tcPr>
            <w:tcW w:w="1125" w:type="dxa"/>
            <w:vAlign w:val="center"/>
          </w:tcPr>
          <w:p w14:paraId="2486AF2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w:t>
            </w:r>
          </w:p>
        </w:tc>
        <w:tc>
          <w:tcPr>
            <w:tcW w:w="1063" w:type="dxa"/>
            <w:vAlign w:val="center"/>
          </w:tcPr>
          <w:p w14:paraId="5DF935F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1.3</w:t>
            </w:r>
          </w:p>
        </w:tc>
      </w:tr>
      <w:tr w:rsidR="0071768E" w14:paraId="233076C6" w14:textId="77777777" w:rsidTr="00334EB0">
        <w:trPr>
          <w:jc w:val="center"/>
        </w:trPr>
        <w:tc>
          <w:tcPr>
            <w:tcW w:w="2409" w:type="dxa"/>
            <w:vAlign w:val="center"/>
          </w:tcPr>
          <w:p w14:paraId="59E716E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Type of household</w:t>
            </w:r>
          </w:p>
        </w:tc>
        <w:tc>
          <w:tcPr>
            <w:tcW w:w="3119" w:type="dxa"/>
            <w:vAlign w:val="center"/>
          </w:tcPr>
          <w:p w14:paraId="1166F73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Family</w:t>
            </w:r>
          </w:p>
        </w:tc>
        <w:tc>
          <w:tcPr>
            <w:tcW w:w="1125" w:type="dxa"/>
            <w:vAlign w:val="center"/>
          </w:tcPr>
          <w:p w14:paraId="362785A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354</w:t>
            </w:r>
          </w:p>
        </w:tc>
        <w:tc>
          <w:tcPr>
            <w:tcW w:w="1063" w:type="dxa"/>
            <w:vAlign w:val="center"/>
          </w:tcPr>
          <w:p w14:paraId="253FFF43"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91.9</w:t>
            </w:r>
          </w:p>
        </w:tc>
      </w:tr>
      <w:tr w:rsidR="0071768E" w14:paraId="3457A615" w14:textId="77777777" w:rsidTr="00334EB0">
        <w:trPr>
          <w:jc w:val="center"/>
        </w:trPr>
        <w:tc>
          <w:tcPr>
            <w:tcW w:w="2409" w:type="dxa"/>
            <w:vAlign w:val="center"/>
          </w:tcPr>
          <w:p w14:paraId="15493DB5"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5D10FF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Housemate</w:t>
            </w:r>
          </w:p>
        </w:tc>
        <w:tc>
          <w:tcPr>
            <w:tcW w:w="1125" w:type="dxa"/>
            <w:vAlign w:val="center"/>
          </w:tcPr>
          <w:p w14:paraId="305D3318"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26</w:t>
            </w:r>
          </w:p>
        </w:tc>
        <w:tc>
          <w:tcPr>
            <w:tcW w:w="1063" w:type="dxa"/>
            <w:vAlign w:val="center"/>
          </w:tcPr>
          <w:p w14:paraId="027DEF7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6.8</w:t>
            </w:r>
          </w:p>
        </w:tc>
      </w:tr>
      <w:tr w:rsidR="0071768E" w14:paraId="6CC5507A" w14:textId="77777777" w:rsidTr="00334EB0">
        <w:trPr>
          <w:jc w:val="center"/>
        </w:trPr>
        <w:tc>
          <w:tcPr>
            <w:tcW w:w="2409" w:type="dxa"/>
            <w:vAlign w:val="center"/>
          </w:tcPr>
          <w:p w14:paraId="218B39E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Type of house</w:t>
            </w:r>
          </w:p>
        </w:tc>
        <w:tc>
          <w:tcPr>
            <w:tcW w:w="3119" w:type="dxa"/>
            <w:vAlign w:val="center"/>
          </w:tcPr>
          <w:p w14:paraId="75399F05"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Terraced house</w:t>
            </w:r>
          </w:p>
        </w:tc>
        <w:tc>
          <w:tcPr>
            <w:tcW w:w="1125" w:type="dxa"/>
            <w:vAlign w:val="center"/>
          </w:tcPr>
          <w:p w14:paraId="3E967AE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290</w:t>
            </w:r>
          </w:p>
        </w:tc>
        <w:tc>
          <w:tcPr>
            <w:tcW w:w="1063" w:type="dxa"/>
            <w:vAlign w:val="center"/>
          </w:tcPr>
          <w:p w14:paraId="2DF6B688"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75.3</w:t>
            </w:r>
          </w:p>
        </w:tc>
      </w:tr>
      <w:tr w:rsidR="0071768E" w14:paraId="11FB947B" w14:textId="77777777" w:rsidTr="00334EB0">
        <w:trPr>
          <w:jc w:val="center"/>
        </w:trPr>
        <w:tc>
          <w:tcPr>
            <w:tcW w:w="2409" w:type="dxa"/>
            <w:vAlign w:val="center"/>
          </w:tcPr>
          <w:p w14:paraId="68AD46B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5A7DBD34"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Semi-detached house</w:t>
            </w:r>
          </w:p>
        </w:tc>
        <w:tc>
          <w:tcPr>
            <w:tcW w:w="1125" w:type="dxa"/>
            <w:vAlign w:val="center"/>
          </w:tcPr>
          <w:p w14:paraId="24D069FB"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14</w:t>
            </w:r>
          </w:p>
        </w:tc>
        <w:tc>
          <w:tcPr>
            <w:tcW w:w="1063" w:type="dxa"/>
            <w:vAlign w:val="center"/>
          </w:tcPr>
          <w:p w14:paraId="6A7E7FD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3.6</w:t>
            </w:r>
          </w:p>
        </w:tc>
      </w:tr>
      <w:tr w:rsidR="0071768E" w14:paraId="0198EAC3" w14:textId="77777777" w:rsidTr="00334EB0">
        <w:trPr>
          <w:jc w:val="center"/>
        </w:trPr>
        <w:tc>
          <w:tcPr>
            <w:tcW w:w="2409" w:type="dxa"/>
            <w:vAlign w:val="center"/>
          </w:tcPr>
          <w:p w14:paraId="7B7BF4B1"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5D672B7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bungalow</w:t>
            </w:r>
          </w:p>
        </w:tc>
        <w:tc>
          <w:tcPr>
            <w:tcW w:w="1125" w:type="dxa"/>
            <w:vAlign w:val="center"/>
          </w:tcPr>
          <w:p w14:paraId="59FBC6DA"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w:t>
            </w:r>
          </w:p>
        </w:tc>
        <w:tc>
          <w:tcPr>
            <w:tcW w:w="1063" w:type="dxa"/>
            <w:vAlign w:val="center"/>
          </w:tcPr>
          <w:p w14:paraId="2B0889B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1.3</w:t>
            </w:r>
          </w:p>
        </w:tc>
      </w:tr>
      <w:tr w:rsidR="0071768E" w14:paraId="42722C11" w14:textId="77777777" w:rsidTr="00334EB0">
        <w:trPr>
          <w:jc w:val="center"/>
        </w:trPr>
        <w:tc>
          <w:tcPr>
            <w:tcW w:w="2409" w:type="dxa"/>
            <w:vAlign w:val="center"/>
          </w:tcPr>
          <w:p w14:paraId="6272D8C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6AF4703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Apartment</w:t>
            </w:r>
          </w:p>
        </w:tc>
        <w:tc>
          <w:tcPr>
            <w:tcW w:w="1125" w:type="dxa"/>
            <w:vAlign w:val="center"/>
          </w:tcPr>
          <w:p w14:paraId="3E81CC5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62</w:t>
            </w:r>
          </w:p>
        </w:tc>
        <w:tc>
          <w:tcPr>
            <w:tcW w:w="1063" w:type="dxa"/>
            <w:vAlign w:val="center"/>
          </w:tcPr>
          <w:p w14:paraId="14880D47"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16.1</w:t>
            </w:r>
          </w:p>
        </w:tc>
      </w:tr>
      <w:tr w:rsidR="0071768E" w14:paraId="2500A72D" w14:textId="77777777" w:rsidTr="00334EB0">
        <w:trPr>
          <w:jc w:val="center"/>
        </w:trPr>
        <w:tc>
          <w:tcPr>
            <w:tcW w:w="2409" w:type="dxa"/>
            <w:vAlign w:val="center"/>
          </w:tcPr>
          <w:p w14:paraId="311168C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03ECB97D"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Condominium</w:t>
            </w:r>
          </w:p>
        </w:tc>
        <w:tc>
          <w:tcPr>
            <w:tcW w:w="1125" w:type="dxa"/>
            <w:vAlign w:val="center"/>
          </w:tcPr>
          <w:p w14:paraId="2B94B02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w:t>
            </w:r>
          </w:p>
        </w:tc>
        <w:tc>
          <w:tcPr>
            <w:tcW w:w="1063" w:type="dxa"/>
            <w:vAlign w:val="center"/>
          </w:tcPr>
          <w:p w14:paraId="023777E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2.3</w:t>
            </w:r>
          </w:p>
        </w:tc>
      </w:tr>
      <w:tr w:rsidR="0071768E" w14:paraId="22C6818A" w14:textId="77777777" w:rsidTr="00334EB0">
        <w:trPr>
          <w:jc w:val="center"/>
        </w:trPr>
        <w:tc>
          <w:tcPr>
            <w:tcW w:w="2409" w:type="dxa"/>
            <w:vAlign w:val="center"/>
          </w:tcPr>
          <w:p w14:paraId="251A284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Age</w:t>
            </w:r>
          </w:p>
        </w:tc>
        <w:tc>
          <w:tcPr>
            <w:tcW w:w="3119" w:type="dxa"/>
            <w:vAlign w:val="center"/>
          </w:tcPr>
          <w:p w14:paraId="77887F8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Less than 20 years old</w:t>
            </w:r>
          </w:p>
        </w:tc>
        <w:tc>
          <w:tcPr>
            <w:tcW w:w="1125" w:type="dxa"/>
            <w:vAlign w:val="center"/>
          </w:tcPr>
          <w:p w14:paraId="4A91B71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55</w:t>
            </w:r>
          </w:p>
        </w:tc>
        <w:tc>
          <w:tcPr>
            <w:tcW w:w="1063" w:type="dxa"/>
            <w:vAlign w:val="center"/>
          </w:tcPr>
          <w:p w14:paraId="532A8F4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14.3</w:t>
            </w:r>
          </w:p>
        </w:tc>
      </w:tr>
      <w:tr w:rsidR="0071768E" w14:paraId="44263887" w14:textId="77777777" w:rsidTr="00334EB0">
        <w:trPr>
          <w:jc w:val="center"/>
        </w:trPr>
        <w:tc>
          <w:tcPr>
            <w:tcW w:w="2409" w:type="dxa"/>
            <w:vAlign w:val="center"/>
          </w:tcPr>
          <w:p w14:paraId="34644534"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05BFACF8"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20 – 30 years old</w:t>
            </w:r>
          </w:p>
        </w:tc>
        <w:tc>
          <w:tcPr>
            <w:tcW w:w="1125" w:type="dxa"/>
            <w:vAlign w:val="center"/>
          </w:tcPr>
          <w:p w14:paraId="255B47B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104</w:t>
            </w:r>
          </w:p>
        </w:tc>
        <w:tc>
          <w:tcPr>
            <w:tcW w:w="1063" w:type="dxa"/>
            <w:vAlign w:val="center"/>
          </w:tcPr>
          <w:p w14:paraId="39DBE67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27.0</w:t>
            </w:r>
          </w:p>
        </w:tc>
      </w:tr>
      <w:tr w:rsidR="0071768E" w14:paraId="7D7FD0AE" w14:textId="77777777" w:rsidTr="00334EB0">
        <w:trPr>
          <w:jc w:val="center"/>
        </w:trPr>
        <w:tc>
          <w:tcPr>
            <w:tcW w:w="2409" w:type="dxa"/>
            <w:vAlign w:val="center"/>
          </w:tcPr>
          <w:p w14:paraId="09537B3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62A9F31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31 – 40 years old</w:t>
            </w:r>
          </w:p>
        </w:tc>
        <w:tc>
          <w:tcPr>
            <w:tcW w:w="1125" w:type="dxa"/>
            <w:vAlign w:val="center"/>
          </w:tcPr>
          <w:p w14:paraId="2CDEE57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46</w:t>
            </w:r>
          </w:p>
        </w:tc>
        <w:tc>
          <w:tcPr>
            <w:tcW w:w="1063" w:type="dxa"/>
            <w:vAlign w:val="center"/>
          </w:tcPr>
          <w:p w14:paraId="7E14C2B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11.9</w:t>
            </w:r>
          </w:p>
        </w:tc>
      </w:tr>
      <w:tr w:rsidR="0071768E" w14:paraId="3F423CC6" w14:textId="77777777" w:rsidTr="00334EB0">
        <w:trPr>
          <w:jc w:val="center"/>
        </w:trPr>
        <w:tc>
          <w:tcPr>
            <w:tcW w:w="2409" w:type="dxa"/>
            <w:vAlign w:val="center"/>
          </w:tcPr>
          <w:p w14:paraId="2B75A58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5B5B67A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41 – 50 years old</w:t>
            </w:r>
          </w:p>
        </w:tc>
        <w:tc>
          <w:tcPr>
            <w:tcW w:w="1125" w:type="dxa"/>
            <w:vAlign w:val="center"/>
          </w:tcPr>
          <w:p w14:paraId="5CA391E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66</w:t>
            </w:r>
          </w:p>
        </w:tc>
        <w:tc>
          <w:tcPr>
            <w:tcW w:w="1063" w:type="dxa"/>
            <w:vAlign w:val="center"/>
          </w:tcPr>
          <w:p w14:paraId="0A216C3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17.1</w:t>
            </w:r>
          </w:p>
        </w:tc>
      </w:tr>
      <w:tr w:rsidR="0071768E" w14:paraId="4F982653" w14:textId="77777777" w:rsidTr="00334EB0">
        <w:trPr>
          <w:jc w:val="center"/>
        </w:trPr>
        <w:tc>
          <w:tcPr>
            <w:tcW w:w="2409" w:type="dxa"/>
            <w:vAlign w:val="center"/>
          </w:tcPr>
          <w:p w14:paraId="6B223EE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BD364D5"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Above 50 years old</w:t>
            </w:r>
          </w:p>
        </w:tc>
        <w:tc>
          <w:tcPr>
            <w:tcW w:w="1125" w:type="dxa"/>
            <w:vAlign w:val="center"/>
          </w:tcPr>
          <w:p w14:paraId="17CFF54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114</w:t>
            </w:r>
          </w:p>
        </w:tc>
        <w:tc>
          <w:tcPr>
            <w:tcW w:w="1063" w:type="dxa"/>
            <w:vAlign w:val="center"/>
          </w:tcPr>
          <w:p w14:paraId="20008918"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29.6</w:t>
            </w:r>
          </w:p>
        </w:tc>
      </w:tr>
      <w:tr w:rsidR="0071768E" w14:paraId="5C664BE9" w14:textId="77777777" w:rsidTr="00334EB0">
        <w:trPr>
          <w:jc w:val="center"/>
        </w:trPr>
        <w:tc>
          <w:tcPr>
            <w:tcW w:w="2409" w:type="dxa"/>
            <w:vAlign w:val="center"/>
          </w:tcPr>
          <w:p w14:paraId="1B03185E"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BMI Status</w:t>
            </w:r>
          </w:p>
        </w:tc>
        <w:tc>
          <w:tcPr>
            <w:tcW w:w="3119" w:type="dxa"/>
            <w:vAlign w:val="center"/>
          </w:tcPr>
          <w:p w14:paraId="60CA9C4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Underweight &lt; 18.5</w:t>
            </w:r>
          </w:p>
        </w:tc>
        <w:tc>
          <w:tcPr>
            <w:tcW w:w="1125" w:type="dxa"/>
            <w:vAlign w:val="center"/>
          </w:tcPr>
          <w:p w14:paraId="57DAFAC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24</w:t>
            </w:r>
          </w:p>
        </w:tc>
        <w:tc>
          <w:tcPr>
            <w:tcW w:w="1063" w:type="dxa"/>
            <w:vAlign w:val="center"/>
          </w:tcPr>
          <w:p w14:paraId="06D2B494"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6.2</w:t>
            </w:r>
          </w:p>
        </w:tc>
      </w:tr>
      <w:tr w:rsidR="0071768E" w14:paraId="7C94DA13" w14:textId="77777777" w:rsidTr="00334EB0">
        <w:trPr>
          <w:jc w:val="center"/>
        </w:trPr>
        <w:tc>
          <w:tcPr>
            <w:tcW w:w="2409" w:type="dxa"/>
            <w:vAlign w:val="center"/>
          </w:tcPr>
          <w:p w14:paraId="5B7B01A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8FC80D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Normal 18.5 – 24.9</w:t>
            </w:r>
          </w:p>
        </w:tc>
        <w:tc>
          <w:tcPr>
            <w:tcW w:w="1125" w:type="dxa"/>
            <w:vAlign w:val="center"/>
          </w:tcPr>
          <w:p w14:paraId="29E6E7D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225</w:t>
            </w:r>
          </w:p>
        </w:tc>
        <w:tc>
          <w:tcPr>
            <w:tcW w:w="1063" w:type="dxa"/>
            <w:vAlign w:val="center"/>
          </w:tcPr>
          <w:p w14:paraId="1A59A82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58.4</w:t>
            </w:r>
          </w:p>
        </w:tc>
      </w:tr>
      <w:tr w:rsidR="0071768E" w14:paraId="5AD8871C" w14:textId="77777777" w:rsidTr="00334EB0">
        <w:trPr>
          <w:jc w:val="center"/>
        </w:trPr>
        <w:tc>
          <w:tcPr>
            <w:tcW w:w="2409" w:type="dxa"/>
            <w:vAlign w:val="center"/>
          </w:tcPr>
          <w:p w14:paraId="757EF90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23251BCD"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Overweight 25 - 30</w:t>
            </w:r>
          </w:p>
        </w:tc>
        <w:tc>
          <w:tcPr>
            <w:tcW w:w="1125" w:type="dxa"/>
            <w:vAlign w:val="center"/>
          </w:tcPr>
          <w:p w14:paraId="61A8443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101</w:t>
            </w:r>
          </w:p>
        </w:tc>
        <w:tc>
          <w:tcPr>
            <w:tcW w:w="1063" w:type="dxa"/>
            <w:vAlign w:val="center"/>
          </w:tcPr>
          <w:p w14:paraId="0F4EBDEB"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26.2</w:t>
            </w:r>
          </w:p>
        </w:tc>
      </w:tr>
      <w:tr w:rsidR="0071768E" w14:paraId="0705C2CF" w14:textId="77777777" w:rsidTr="00334EB0">
        <w:trPr>
          <w:jc w:val="center"/>
        </w:trPr>
        <w:tc>
          <w:tcPr>
            <w:tcW w:w="2409" w:type="dxa"/>
            <w:vAlign w:val="center"/>
          </w:tcPr>
          <w:p w14:paraId="3FC4137D"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602C85D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Obese &gt; 30</w:t>
            </w:r>
          </w:p>
        </w:tc>
        <w:tc>
          <w:tcPr>
            <w:tcW w:w="1125" w:type="dxa"/>
            <w:vAlign w:val="center"/>
          </w:tcPr>
          <w:p w14:paraId="2717645F"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35</w:t>
            </w:r>
          </w:p>
        </w:tc>
        <w:tc>
          <w:tcPr>
            <w:tcW w:w="1063" w:type="dxa"/>
            <w:vAlign w:val="center"/>
          </w:tcPr>
          <w:p w14:paraId="47724D2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9.1</w:t>
            </w:r>
          </w:p>
        </w:tc>
      </w:tr>
      <w:tr w:rsidR="0071768E" w14:paraId="17004719" w14:textId="77777777" w:rsidTr="00334EB0">
        <w:trPr>
          <w:jc w:val="center"/>
        </w:trPr>
        <w:tc>
          <w:tcPr>
            <w:tcW w:w="2409" w:type="dxa"/>
            <w:vAlign w:val="center"/>
          </w:tcPr>
          <w:p w14:paraId="030F2E2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Monthly Income</w:t>
            </w:r>
          </w:p>
        </w:tc>
        <w:tc>
          <w:tcPr>
            <w:tcW w:w="3119" w:type="dxa"/>
            <w:vAlign w:val="center"/>
          </w:tcPr>
          <w:p w14:paraId="786B704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Less than RM2,000</w:t>
            </w:r>
          </w:p>
        </w:tc>
        <w:tc>
          <w:tcPr>
            <w:tcW w:w="1125" w:type="dxa"/>
            <w:vAlign w:val="center"/>
          </w:tcPr>
          <w:p w14:paraId="4CBF3E45"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110</w:t>
            </w:r>
          </w:p>
        </w:tc>
        <w:tc>
          <w:tcPr>
            <w:tcW w:w="1063" w:type="dxa"/>
            <w:vAlign w:val="center"/>
          </w:tcPr>
          <w:p w14:paraId="5FC4ABD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28.6</w:t>
            </w:r>
          </w:p>
        </w:tc>
      </w:tr>
      <w:tr w:rsidR="0071768E" w14:paraId="1AE78A31" w14:textId="77777777" w:rsidTr="00334EB0">
        <w:trPr>
          <w:jc w:val="center"/>
        </w:trPr>
        <w:tc>
          <w:tcPr>
            <w:tcW w:w="2409" w:type="dxa"/>
            <w:vAlign w:val="center"/>
          </w:tcPr>
          <w:p w14:paraId="00B4393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D03B02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RM2,000 – RM3,999</w:t>
            </w:r>
          </w:p>
        </w:tc>
        <w:tc>
          <w:tcPr>
            <w:tcW w:w="1125" w:type="dxa"/>
            <w:vAlign w:val="center"/>
          </w:tcPr>
          <w:p w14:paraId="3188777F"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58</w:t>
            </w:r>
          </w:p>
        </w:tc>
        <w:tc>
          <w:tcPr>
            <w:tcW w:w="1063" w:type="dxa"/>
            <w:vAlign w:val="center"/>
          </w:tcPr>
          <w:p w14:paraId="5B5D072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15.1</w:t>
            </w:r>
          </w:p>
        </w:tc>
      </w:tr>
      <w:tr w:rsidR="0071768E" w14:paraId="62879B51" w14:textId="77777777" w:rsidTr="00334EB0">
        <w:trPr>
          <w:jc w:val="center"/>
        </w:trPr>
        <w:tc>
          <w:tcPr>
            <w:tcW w:w="2409" w:type="dxa"/>
            <w:vAlign w:val="center"/>
          </w:tcPr>
          <w:p w14:paraId="3FAD4C1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764C394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RM4,000 – RM5,999</w:t>
            </w:r>
          </w:p>
        </w:tc>
        <w:tc>
          <w:tcPr>
            <w:tcW w:w="1125" w:type="dxa"/>
            <w:vAlign w:val="center"/>
          </w:tcPr>
          <w:p w14:paraId="653F85A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63</w:t>
            </w:r>
          </w:p>
        </w:tc>
        <w:tc>
          <w:tcPr>
            <w:tcW w:w="1063" w:type="dxa"/>
            <w:vAlign w:val="center"/>
          </w:tcPr>
          <w:p w14:paraId="50F85953"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16.4</w:t>
            </w:r>
          </w:p>
        </w:tc>
      </w:tr>
      <w:tr w:rsidR="0071768E" w14:paraId="60BDDFBC" w14:textId="77777777" w:rsidTr="00334EB0">
        <w:trPr>
          <w:jc w:val="center"/>
        </w:trPr>
        <w:tc>
          <w:tcPr>
            <w:tcW w:w="2409" w:type="dxa"/>
            <w:vAlign w:val="center"/>
          </w:tcPr>
          <w:p w14:paraId="075E6E49"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4CB9A3A9"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RM6,000 – RM7,999</w:t>
            </w:r>
          </w:p>
        </w:tc>
        <w:tc>
          <w:tcPr>
            <w:tcW w:w="1125" w:type="dxa"/>
            <w:vAlign w:val="center"/>
          </w:tcPr>
          <w:p w14:paraId="08C86CA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31</w:t>
            </w:r>
          </w:p>
        </w:tc>
        <w:tc>
          <w:tcPr>
            <w:tcW w:w="1063" w:type="dxa"/>
            <w:vAlign w:val="center"/>
          </w:tcPr>
          <w:p w14:paraId="0BFC14F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8.1</w:t>
            </w:r>
          </w:p>
        </w:tc>
      </w:tr>
      <w:tr w:rsidR="0071768E" w14:paraId="6870FB9B" w14:textId="77777777" w:rsidTr="00334EB0">
        <w:trPr>
          <w:jc w:val="center"/>
        </w:trPr>
        <w:tc>
          <w:tcPr>
            <w:tcW w:w="2409" w:type="dxa"/>
            <w:vAlign w:val="center"/>
          </w:tcPr>
          <w:p w14:paraId="6F3D277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820810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RM8,000 – RM9,999</w:t>
            </w:r>
          </w:p>
        </w:tc>
        <w:tc>
          <w:tcPr>
            <w:tcW w:w="1125" w:type="dxa"/>
            <w:vAlign w:val="center"/>
          </w:tcPr>
          <w:p w14:paraId="3202162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13</w:t>
            </w:r>
          </w:p>
        </w:tc>
        <w:tc>
          <w:tcPr>
            <w:tcW w:w="1063" w:type="dxa"/>
            <w:vAlign w:val="center"/>
          </w:tcPr>
          <w:p w14:paraId="15188347"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3.4</w:t>
            </w:r>
          </w:p>
        </w:tc>
      </w:tr>
      <w:tr w:rsidR="0071768E" w14:paraId="4BE3D339" w14:textId="77777777" w:rsidTr="00334EB0">
        <w:trPr>
          <w:jc w:val="center"/>
        </w:trPr>
        <w:tc>
          <w:tcPr>
            <w:tcW w:w="2409" w:type="dxa"/>
            <w:vAlign w:val="center"/>
          </w:tcPr>
          <w:p w14:paraId="517147B8"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01D9329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RM10,000 and above</w:t>
            </w:r>
          </w:p>
        </w:tc>
        <w:tc>
          <w:tcPr>
            <w:tcW w:w="1125" w:type="dxa"/>
            <w:vAlign w:val="center"/>
          </w:tcPr>
          <w:p w14:paraId="04768F0B"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21</w:t>
            </w:r>
          </w:p>
        </w:tc>
        <w:tc>
          <w:tcPr>
            <w:tcW w:w="1063" w:type="dxa"/>
            <w:vAlign w:val="center"/>
          </w:tcPr>
          <w:p w14:paraId="535A57B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5.5</w:t>
            </w:r>
          </w:p>
        </w:tc>
      </w:tr>
      <w:tr w:rsidR="0071768E" w14:paraId="682BF446" w14:textId="77777777" w:rsidTr="00334EB0">
        <w:trPr>
          <w:jc w:val="center"/>
        </w:trPr>
        <w:tc>
          <w:tcPr>
            <w:tcW w:w="2409" w:type="dxa"/>
            <w:vAlign w:val="center"/>
          </w:tcPr>
          <w:p w14:paraId="7E2B14C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Main Occupation</w:t>
            </w:r>
          </w:p>
        </w:tc>
        <w:tc>
          <w:tcPr>
            <w:tcW w:w="3119" w:type="dxa"/>
            <w:vAlign w:val="center"/>
          </w:tcPr>
          <w:p w14:paraId="55C85BA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Manager</w:t>
            </w:r>
          </w:p>
        </w:tc>
        <w:tc>
          <w:tcPr>
            <w:tcW w:w="1125" w:type="dxa"/>
            <w:vAlign w:val="center"/>
          </w:tcPr>
          <w:p w14:paraId="026FDA6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32</w:t>
            </w:r>
          </w:p>
        </w:tc>
        <w:tc>
          <w:tcPr>
            <w:tcW w:w="1063" w:type="dxa"/>
            <w:vAlign w:val="center"/>
          </w:tcPr>
          <w:p w14:paraId="181B3E2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8.3</w:t>
            </w:r>
          </w:p>
        </w:tc>
      </w:tr>
      <w:tr w:rsidR="0071768E" w14:paraId="248F49B8" w14:textId="77777777" w:rsidTr="00334EB0">
        <w:trPr>
          <w:jc w:val="center"/>
        </w:trPr>
        <w:tc>
          <w:tcPr>
            <w:tcW w:w="2409" w:type="dxa"/>
            <w:vAlign w:val="center"/>
          </w:tcPr>
          <w:p w14:paraId="7947024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4308B95"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 xml:space="preserve">Professional (Doctor, engineer </w:t>
            </w:r>
            <w:proofErr w:type="spellStart"/>
            <w:r w:rsidRPr="00EE302A">
              <w:rPr>
                <w:rFonts w:ascii="Times New Roman" w:hAnsi="Times New Roman" w:cs="Times New Roman"/>
                <w:sz w:val="20"/>
                <w:szCs w:val="20"/>
              </w:rPr>
              <w:t>etc</w:t>
            </w:r>
            <w:proofErr w:type="spellEnd"/>
            <w:r w:rsidRPr="00EE302A">
              <w:rPr>
                <w:rFonts w:ascii="Times New Roman" w:hAnsi="Times New Roman" w:cs="Times New Roman"/>
                <w:sz w:val="20"/>
                <w:szCs w:val="20"/>
              </w:rPr>
              <w:t>)</w:t>
            </w:r>
          </w:p>
        </w:tc>
        <w:tc>
          <w:tcPr>
            <w:tcW w:w="1125" w:type="dxa"/>
            <w:vAlign w:val="center"/>
          </w:tcPr>
          <w:p w14:paraId="4567A8C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66</w:t>
            </w:r>
          </w:p>
        </w:tc>
        <w:tc>
          <w:tcPr>
            <w:tcW w:w="1063" w:type="dxa"/>
            <w:vAlign w:val="center"/>
          </w:tcPr>
          <w:p w14:paraId="34C27F0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17.1</w:t>
            </w:r>
          </w:p>
        </w:tc>
      </w:tr>
      <w:tr w:rsidR="0071768E" w14:paraId="52641221" w14:textId="77777777" w:rsidTr="00334EB0">
        <w:trPr>
          <w:jc w:val="center"/>
        </w:trPr>
        <w:tc>
          <w:tcPr>
            <w:tcW w:w="2409" w:type="dxa"/>
            <w:vAlign w:val="center"/>
          </w:tcPr>
          <w:p w14:paraId="280BD11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6861308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Technician</w:t>
            </w:r>
          </w:p>
        </w:tc>
        <w:tc>
          <w:tcPr>
            <w:tcW w:w="1125" w:type="dxa"/>
            <w:vAlign w:val="center"/>
          </w:tcPr>
          <w:p w14:paraId="738E93D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34</w:t>
            </w:r>
          </w:p>
        </w:tc>
        <w:tc>
          <w:tcPr>
            <w:tcW w:w="1063" w:type="dxa"/>
            <w:vAlign w:val="center"/>
          </w:tcPr>
          <w:p w14:paraId="3FCA63D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8.8</w:t>
            </w:r>
          </w:p>
        </w:tc>
      </w:tr>
      <w:tr w:rsidR="0071768E" w14:paraId="4A220F3A" w14:textId="77777777" w:rsidTr="00334EB0">
        <w:trPr>
          <w:jc w:val="center"/>
        </w:trPr>
        <w:tc>
          <w:tcPr>
            <w:tcW w:w="2409" w:type="dxa"/>
            <w:vAlign w:val="center"/>
          </w:tcPr>
          <w:p w14:paraId="64186795"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74AB90A"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Clerk</w:t>
            </w:r>
          </w:p>
        </w:tc>
        <w:tc>
          <w:tcPr>
            <w:tcW w:w="1125" w:type="dxa"/>
            <w:vAlign w:val="center"/>
          </w:tcPr>
          <w:p w14:paraId="28A97C6A"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20</w:t>
            </w:r>
          </w:p>
        </w:tc>
        <w:tc>
          <w:tcPr>
            <w:tcW w:w="1063" w:type="dxa"/>
            <w:vAlign w:val="center"/>
          </w:tcPr>
          <w:p w14:paraId="0916C8C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5.2</w:t>
            </w:r>
          </w:p>
        </w:tc>
      </w:tr>
      <w:tr w:rsidR="0071768E" w14:paraId="768E69DC" w14:textId="77777777" w:rsidTr="00334EB0">
        <w:trPr>
          <w:jc w:val="center"/>
        </w:trPr>
        <w:tc>
          <w:tcPr>
            <w:tcW w:w="2409" w:type="dxa"/>
            <w:vAlign w:val="center"/>
          </w:tcPr>
          <w:p w14:paraId="17AF0B19"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1498E8E"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Sales worker</w:t>
            </w:r>
          </w:p>
        </w:tc>
        <w:tc>
          <w:tcPr>
            <w:tcW w:w="1125" w:type="dxa"/>
            <w:vAlign w:val="center"/>
          </w:tcPr>
          <w:p w14:paraId="6DEEBA9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30</w:t>
            </w:r>
          </w:p>
        </w:tc>
        <w:tc>
          <w:tcPr>
            <w:tcW w:w="1063" w:type="dxa"/>
            <w:vAlign w:val="center"/>
          </w:tcPr>
          <w:p w14:paraId="7A785CD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7.8</w:t>
            </w:r>
          </w:p>
        </w:tc>
      </w:tr>
      <w:tr w:rsidR="0071768E" w14:paraId="0F1F62B1" w14:textId="77777777" w:rsidTr="00334EB0">
        <w:trPr>
          <w:jc w:val="center"/>
        </w:trPr>
        <w:tc>
          <w:tcPr>
            <w:tcW w:w="2409" w:type="dxa"/>
            <w:vAlign w:val="center"/>
          </w:tcPr>
          <w:p w14:paraId="5080215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5E8B1F21"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Craft/trade worker</w:t>
            </w:r>
          </w:p>
        </w:tc>
        <w:tc>
          <w:tcPr>
            <w:tcW w:w="1125" w:type="dxa"/>
            <w:vAlign w:val="center"/>
          </w:tcPr>
          <w:p w14:paraId="1A3614C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w:t>
            </w:r>
          </w:p>
        </w:tc>
        <w:tc>
          <w:tcPr>
            <w:tcW w:w="1063" w:type="dxa"/>
            <w:vAlign w:val="center"/>
          </w:tcPr>
          <w:p w14:paraId="27C6C27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0.3</w:t>
            </w:r>
          </w:p>
        </w:tc>
      </w:tr>
      <w:tr w:rsidR="0071768E" w14:paraId="36CC0D98" w14:textId="77777777" w:rsidTr="00334EB0">
        <w:trPr>
          <w:jc w:val="center"/>
        </w:trPr>
        <w:tc>
          <w:tcPr>
            <w:tcW w:w="2409" w:type="dxa"/>
            <w:vAlign w:val="center"/>
          </w:tcPr>
          <w:p w14:paraId="4219E5C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76902BE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Plant/Machine Operator</w:t>
            </w:r>
          </w:p>
        </w:tc>
        <w:tc>
          <w:tcPr>
            <w:tcW w:w="1125" w:type="dxa"/>
            <w:vAlign w:val="center"/>
          </w:tcPr>
          <w:p w14:paraId="13F204E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10</w:t>
            </w:r>
          </w:p>
        </w:tc>
        <w:tc>
          <w:tcPr>
            <w:tcW w:w="1063" w:type="dxa"/>
            <w:vAlign w:val="center"/>
          </w:tcPr>
          <w:p w14:paraId="46B2073A"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2.6</w:t>
            </w:r>
          </w:p>
        </w:tc>
      </w:tr>
      <w:tr w:rsidR="0071768E" w14:paraId="216A5719" w14:textId="77777777" w:rsidTr="00334EB0">
        <w:trPr>
          <w:jc w:val="center"/>
        </w:trPr>
        <w:tc>
          <w:tcPr>
            <w:tcW w:w="2409" w:type="dxa"/>
            <w:vAlign w:val="center"/>
          </w:tcPr>
          <w:p w14:paraId="4D324BA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1D8DDBF4"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Cleaners and helpers</w:t>
            </w:r>
          </w:p>
        </w:tc>
        <w:tc>
          <w:tcPr>
            <w:tcW w:w="1125" w:type="dxa"/>
            <w:vAlign w:val="center"/>
          </w:tcPr>
          <w:p w14:paraId="663BEAA4"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w:t>
            </w:r>
          </w:p>
        </w:tc>
        <w:tc>
          <w:tcPr>
            <w:tcW w:w="1063" w:type="dxa"/>
            <w:vAlign w:val="center"/>
          </w:tcPr>
          <w:p w14:paraId="23A58EF7"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1.6</w:t>
            </w:r>
          </w:p>
        </w:tc>
      </w:tr>
      <w:tr w:rsidR="0071768E" w14:paraId="2138DAB9" w14:textId="77777777" w:rsidTr="00334EB0">
        <w:trPr>
          <w:jc w:val="center"/>
        </w:trPr>
        <w:tc>
          <w:tcPr>
            <w:tcW w:w="2409" w:type="dxa"/>
            <w:vAlign w:val="center"/>
          </w:tcPr>
          <w:p w14:paraId="079C2ADC"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0D24E60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Armed forces</w:t>
            </w:r>
          </w:p>
        </w:tc>
        <w:tc>
          <w:tcPr>
            <w:tcW w:w="1125" w:type="dxa"/>
            <w:vAlign w:val="center"/>
          </w:tcPr>
          <w:p w14:paraId="5B9A8066"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w:t>
            </w:r>
          </w:p>
        </w:tc>
        <w:tc>
          <w:tcPr>
            <w:tcW w:w="1063" w:type="dxa"/>
            <w:vAlign w:val="center"/>
          </w:tcPr>
          <w:p w14:paraId="513CB6AD"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0.5</w:t>
            </w:r>
          </w:p>
        </w:tc>
      </w:tr>
      <w:tr w:rsidR="0071768E" w14:paraId="69782988" w14:textId="77777777" w:rsidTr="00334EB0">
        <w:trPr>
          <w:jc w:val="center"/>
        </w:trPr>
        <w:tc>
          <w:tcPr>
            <w:tcW w:w="2409" w:type="dxa"/>
            <w:vAlign w:val="center"/>
          </w:tcPr>
          <w:p w14:paraId="1D2BB6D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111079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Housewife</w:t>
            </w:r>
          </w:p>
        </w:tc>
        <w:tc>
          <w:tcPr>
            <w:tcW w:w="1125" w:type="dxa"/>
            <w:vAlign w:val="center"/>
          </w:tcPr>
          <w:p w14:paraId="755D881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41</w:t>
            </w:r>
          </w:p>
        </w:tc>
        <w:tc>
          <w:tcPr>
            <w:tcW w:w="1063" w:type="dxa"/>
            <w:vAlign w:val="center"/>
          </w:tcPr>
          <w:p w14:paraId="2039EE5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10.6</w:t>
            </w:r>
          </w:p>
        </w:tc>
      </w:tr>
      <w:tr w:rsidR="0071768E" w14:paraId="49AB6F06" w14:textId="77777777" w:rsidTr="00334EB0">
        <w:trPr>
          <w:jc w:val="center"/>
        </w:trPr>
        <w:tc>
          <w:tcPr>
            <w:tcW w:w="2409" w:type="dxa"/>
            <w:vAlign w:val="center"/>
          </w:tcPr>
          <w:p w14:paraId="41DE48A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07953CD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Retired</w:t>
            </w:r>
          </w:p>
        </w:tc>
        <w:tc>
          <w:tcPr>
            <w:tcW w:w="1125" w:type="dxa"/>
            <w:vAlign w:val="center"/>
          </w:tcPr>
          <w:p w14:paraId="034C546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43</w:t>
            </w:r>
          </w:p>
        </w:tc>
        <w:tc>
          <w:tcPr>
            <w:tcW w:w="1063" w:type="dxa"/>
            <w:vAlign w:val="center"/>
          </w:tcPr>
          <w:p w14:paraId="224EF220"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11.2</w:t>
            </w:r>
          </w:p>
        </w:tc>
      </w:tr>
      <w:tr w:rsidR="0071768E" w14:paraId="465845F7" w14:textId="77777777" w:rsidTr="00334EB0">
        <w:trPr>
          <w:jc w:val="center"/>
        </w:trPr>
        <w:tc>
          <w:tcPr>
            <w:tcW w:w="2409" w:type="dxa"/>
            <w:vAlign w:val="center"/>
          </w:tcPr>
          <w:p w14:paraId="50CF08E7"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319569F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Student</w:t>
            </w:r>
          </w:p>
        </w:tc>
        <w:tc>
          <w:tcPr>
            <w:tcW w:w="1125" w:type="dxa"/>
            <w:vAlign w:val="center"/>
          </w:tcPr>
          <w:p w14:paraId="4C0E558F"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93</w:t>
            </w:r>
          </w:p>
        </w:tc>
        <w:tc>
          <w:tcPr>
            <w:tcW w:w="1063" w:type="dxa"/>
            <w:vAlign w:val="center"/>
          </w:tcPr>
          <w:p w14:paraId="5CF53753"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24.2</w:t>
            </w:r>
          </w:p>
        </w:tc>
      </w:tr>
      <w:tr w:rsidR="0071768E" w14:paraId="5F93C1EF" w14:textId="77777777" w:rsidTr="00334EB0">
        <w:trPr>
          <w:jc w:val="center"/>
        </w:trPr>
        <w:tc>
          <w:tcPr>
            <w:tcW w:w="2409" w:type="dxa"/>
            <w:vAlign w:val="center"/>
          </w:tcPr>
          <w:p w14:paraId="4380F444"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p>
        </w:tc>
        <w:tc>
          <w:tcPr>
            <w:tcW w:w="3119" w:type="dxa"/>
            <w:vAlign w:val="center"/>
          </w:tcPr>
          <w:p w14:paraId="45279EE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Not working</w:t>
            </w:r>
          </w:p>
        </w:tc>
        <w:tc>
          <w:tcPr>
            <w:tcW w:w="1125" w:type="dxa"/>
            <w:vAlign w:val="center"/>
          </w:tcPr>
          <w:p w14:paraId="1C071733"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7</w:t>
            </w:r>
          </w:p>
        </w:tc>
        <w:tc>
          <w:tcPr>
            <w:tcW w:w="1063" w:type="dxa"/>
            <w:vAlign w:val="center"/>
          </w:tcPr>
          <w:p w14:paraId="5711C3D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1.8</w:t>
            </w:r>
          </w:p>
        </w:tc>
      </w:tr>
      <w:tr w:rsidR="0071768E" w14:paraId="06C0361A" w14:textId="77777777" w:rsidTr="00334EB0">
        <w:trPr>
          <w:jc w:val="center"/>
        </w:trPr>
        <w:tc>
          <w:tcPr>
            <w:tcW w:w="2409" w:type="dxa"/>
            <w:vAlign w:val="center"/>
          </w:tcPr>
          <w:p w14:paraId="4283E70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Involvement in</w:t>
            </w:r>
          </w:p>
        </w:tc>
        <w:tc>
          <w:tcPr>
            <w:tcW w:w="3119" w:type="dxa"/>
            <w:vAlign w:val="center"/>
          </w:tcPr>
          <w:p w14:paraId="5944003E"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Yes</w:t>
            </w:r>
          </w:p>
        </w:tc>
        <w:tc>
          <w:tcPr>
            <w:tcW w:w="1125" w:type="dxa"/>
            <w:vAlign w:val="center"/>
          </w:tcPr>
          <w:p w14:paraId="20CA238A"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348</w:t>
            </w:r>
          </w:p>
        </w:tc>
        <w:tc>
          <w:tcPr>
            <w:tcW w:w="1063" w:type="dxa"/>
            <w:vAlign w:val="center"/>
          </w:tcPr>
          <w:p w14:paraId="05C236E2"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90.4</w:t>
            </w:r>
          </w:p>
        </w:tc>
      </w:tr>
      <w:tr w:rsidR="0071768E" w14:paraId="45916DE1" w14:textId="77777777" w:rsidTr="00334EB0">
        <w:trPr>
          <w:jc w:val="center"/>
        </w:trPr>
        <w:tc>
          <w:tcPr>
            <w:tcW w:w="2409" w:type="dxa"/>
            <w:vAlign w:val="center"/>
          </w:tcPr>
          <w:p w14:paraId="16E8273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Vigorous physical activity</w:t>
            </w:r>
          </w:p>
        </w:tc>
        <w:tc>
          <w:tcPr>
            <w:tcW w:w="3119" w:type="dxa"/>
            <w:vAlign w:val="center"/>
          </w:tcPr>
          <w:p w14:paraId="63342890"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No</w:t>
            </w:r>
          </w:p>
        </w:tc>
        <w:tc>
          <w:tcPr>
            <w:tcW w:w="1125" w:type="dxa"/>
            <w:vAlign w:val="center"/>
          </w:tcPr>
          <w:p w14:paraId="63050B2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37</w:t>
            </w:r>
          </w:p>
        </w:tc>
        <w:tc>
          <w:tcPr>
            <w:tcW w:w="1063" w:type="dxa"/>
            <w:vAlign w:val="center"/>
          </w:tcPr>
          <w:p w14:paraId="5388E3A1"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9.6</w:t>
            </w:r>
          </w:p>
        </w:tc>
      </w:tr>
      <w:tr w:rsidR="0071768E" w14:paraId="5B39F3F7" w14:textId="77777777" w:rsidTr="00334EB0">
        <w:trPr>
          <w:jc w:val="center"/>
        </w:trPr>
        <w:tc>
          <w:tcPr>
            <w:tcW w:w="2409" w:type="dxa"/>
            <w:vAlign w:val="center"/>
          </w:tcPr>
          <w:p w14:paraId="77313B22"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Involvement in</w:t>
            </w:r>
          </w:p>
        </w:tc>
        <w:tc>
          <w:tcPr>
            <w:tcW w:w="3119" w:type="dxa"/>
            <w:vAlign w:val="center"/>
          </w:tcPr>
          <w:p w14:paraId="36B684DB"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Yes</w:t>
            </w:r>
          </w:p>
        </w:tc>
        <w:tc>
          <w:tcPr>
            <w:tcW w:w="1125" w:type="dxa"/>
            <w:vAlign w:val="center"/>
          </w:tcPr>
          <w:p w14:paraId="1313A8FE"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317</w:t>
            </w:r>
          </w:p>
        </w:tc>
        <w:tc>
          <w:tcPr>
            <w:tcW w:w="1063" w:type="dxa"/>
            <w:vAlign w:val="center"/>
          </w:tcPr>
          <w:p w14:paraId="7446CD2C"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82.3</w:t>
            </w:r>
          </w:p>
        </w:tc>
      </w:tr>
      <w:tr w:rsidR="0071768E" w14:paraId="1034084D" w14:textId="77777777" w:rsidTr="00334EB0">
        <w:trPr>
          <w:jc w:val="center"/>
        </w:trPr>
        <w:tc>
          <w:tcPr>
            <w:tcW w:w="2409" w:type="dxa"/>
            <w:tcBorders>
              <w:bottom w:val="single" w:sz="4" w:space="0" w:color="auto"/>
            </w:tcBorders>
            <w:vAlign w:val="center"/>
          </w:tcPr>
          <w:p w14:paraId="5951229F"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moderate physical activity</w:t>
            </w:r>
          </w:p>
        </w:tc>
        <w:tc>
          <w:tcPr>
            <w:tcW w:w="3119" w:type="dxa"/>
            <w:tcBorders>
              <w:bottom w:val="single" w:sz="4" w:space="0" w:color="auto"/>
            </w:tcBorders>
            <w:vAlign w:val="center"/>
          </w:tcPr>
          <w:p w14:paraId="18AA0A13" w14:textId="77777777" w:rsidR="0071768E" w:rsidRPr="00EE302A" w:rsidRDefault="0071768E" w:rsidP="0071768E">
            <w:pPr>
              <w:spacing w:after="0" w:line="240" w:lineRule="auto"/>
              <w:ind w:leftChars="0" w:left="-2" w:firstLineChars="0" w:firstLine="0"/>
              <w:rPr>
                <w:rFonts w:ascii="Times New Roman" w:hAnsi="Times New Roman" w:cs="Times New Roman"/>
                <w:sz w:val="20"/>
                <w:szCs w:val="20"/>
              </w:rPr>
            </w:pPr>
            <w:r w:rsidRPr="00EE302A">
              <w:rPr>
                <w:rFonts w:ascii="Times New Roman" w:hAnsi="Times New Roman" w:cs="Times New Roman"/>
                <w:sz w:val="20"/>
                <w:szCs w:val="20"/>
              </w:rPr>
              <w:t>No</w:t>
            </w:r>
          </w:p>
        </w:tc>
        <w:tc>
          <w:tcPr>
            <w:tcW w:w="1125" w:type="dxa"/>
            <w:tcBorders>
              <w:bottom w:val="single" w:sz="4" w:space="0" w:color="auto"/>
            </w:tcBorders>
            <w:vAlign w:val="center"/>
          </w:tcPr>
          <w:p w14:paraId="4E514C59"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68</w:t>
            </w:r>
          </w:p>
        </w:tc>
        <w:tc>
          <w:tcPr>
            <w:tcW w:w="1063" w:type="dxa"/>
            <w:tcBorders>
              <w:bottom w:val="single" w:sz="4" w:space="0" w:color="auto"/>
            </w:tcBorders>
            <w:vAlign w:val="center"/>
          </w:tcPr>
          <w:p w14:paraId="1FEADD2F" w14:textId="77777777" w:rsidR="0071768E" w:rsidRPr="00EE302A" w:rsidRDefault="0071768E" w:rsidP="0071768E">
            <w:pPr>
              <w:spacing w:after="0" w:line="240" w:lineRule="auto"/>
              <w:ind w:leftChars="0" w:left="-2" w:firstLineChars="0" w:firstLine="0"/>
              <w:jc w:val="center"/>
              <w:rPr>
                <w:rFonts w:ascii="Times New Roman" w:hAnsi="Times New Roman" w:cs="Times New Roman"/>
                <w:sz w:val="20"/>
                <w:szCs w:val="20"/>
              </w:rPr>
            </w:pPr>
            <w:r w:rsidRPr="00EE302A">
              <w:rPr>
                <w:rFonts w:ascii="Times New Roman" w:hAnsi="Times New Roman" w:cs="Times New Roman"/>
                <w:sz w:val="20"/>
                <w:szCs w:val="20"/>
              </w:rPr>
              <w:t>17.7</w:t>
            </w:r>
          </w:p>
        </w:tc>
      </w:tr>
      <w:tr w:rsidR="00334EB0" w14:paraId="7C409D7F" w14:textId="77777777" w:rsidTr="00334EB0">
        <w:trPr>
          <w:trHeight w:val="80"/>
          <w:jc w:val="center"/>
        </w:trPr>
        <w:tc>
          <w:tcPr>
            <w:tcW w:w="5528" w:type="dxa"/>
            <w:gridSpan w:val="2"/>
            <w:tcBorders>
              <w:top w:val="single" w:sz="4" w:space="0" w:color="auto"/>
              <w:bottom w:val="single" w:sz="4" w:space="0" w:color="auto"/>
            </w:tcBorders>
            <w:vAlign w:val="center"/>
          </w:tcPr>
          <w:p w14:paraId="372F3C9A" w14:textId="77777777" w:rsidR="00334EB0" w:rsidRPr="00334EB0" w:rsidRDefault="00334EB0" w:rsidP="00334EB0">
            <w:pPr>
              <w:spacing w:after="0" w:line="240" w:lineRule="auto"/>
              <w:ind w:leftChars="0" w:left="-2" w:firstLineChars="0" w:firstLine="0"/>
              <w:jc w:val="center"/>
              <w:rPr>
                <w:rFonts w:ascii="Times New Roman" w:hAnsi="Times New Roman" w:cs="Times New Roman"/>
                <w:b/>
                <w:sz w:val="20"/>
                <w:szCs w:val="20"/>
              </w:rPr>
            </w:pPr>
            <w:r w:rsidRPr="00334EB0">
              <w:rPr>
                <w:rFonts w:ascii="Times New Roman" w:hAnsi="Times New Roman" w:cs="Times New Roman"/>
                <w:b/>
                <w:sz w:val="20"/>
                <w:szCs w:val="20"/>
              </w:rPr>
              <w:t>Total</w:t>
            </w:r>
          </w:p>
        </w:tc>
        <w:tc>
          <w:tcPr>
            <w:tcW w:w="1125" w:type="dxa"/>
            <w:tcBorders>
              <w:top w:val="single" w:sz="4" w:space="0" w:color="auto"/>
              <w:bottom w:val="single" w:sz="4" w:space="0" w:color="auto"/>
            </w:tcBorders>
            <w:vAlign w:val="center"/>
          </w:tcPr>
          <w:p w14:paraId="2A34B67D" w14:textId="77777777" w:rsidR="00334EB0" w:rsidRPr="00334EB0" w:rsidRDefault="00334EB0" w:rsidP="0071768E">
            <w:pPr>
              <w:spacing w:after="0" w:line="240" w:lineRule="auto"/>
              <w:ind w:leftChars="0" w:left="-2" w:firstLineChars="0" w:firstLine="0"/>
              <w:jc w:val="center"/>
              <w:rPr>
                <w:rFonts w:ascii="Times New Roman" w:hAnsi="Times New Roman" w:cs="Times New Roman"/>
                <w:b/>
                <w:sz w:val="20"/>
                <w:szCs w:val="20"/>
              </w:rPr>
            </w:pPr>
            <w:r w:rsidRPr="00334EB0">
              <w:rPr>
                <w:rFonts w:ascii="Times New Roman" w:hAnsi="Times New Roman" w:cs="Times New Roman"/>
                <w:b/>
                <w:sz w:val="20"/>
                <w:szCs w:val="20"/>
              </w:rPr>
              <w:t>385</w:t>
            </w:r>
          </w:p>
        </w:tc>
        <w:tc>
          <w:tcPr>
            <w:tcW w:w="1063" w:type="dxa"/>
            <w:tcBorders>
              <w:top w:val="single" w:sz="4" w:space="0" w:color="auto"/>
              <w:bottom w:val="single" w:sz="4" w:space="0" w:color="auto"/>
            </w:tcBorders>
            <w:vAlign w:val="center"/>
          </w:tcPr>
          <w:p w14:paraId="4349AB62" w14:textId="77777777" w:rsidR="00334EB0" w:rsidRPr="00334EB0" w:rsidRDefault="00334EB0" w:rsidP="0071768E">
            <w:pPr>
              <w:spacing w:after="0" w:line="240" w:lineRule="auto"/>
              <w:ind w:leftChars="0" w:left="-2" w:firstLineChars="0" w:firstLine="0"/>
              <w:jc w:val="center"/>
              <w:rPr>
                <w:rFonts w:ascii="Times New Roman" w:hAnsi="Times New Roman" w:cs="Times New Roman"/>
                <w:b/>
                <w:sz w:val="20"/>
                <w:szCs w:val="20"/>
              </w:rPr>
            </w:pPr>
            <w:r w:rsidRPr="00334EB0">
              <w:rPr>
                <w:rFonts w:ascii="Times New Roman" w:hAnsi="Times New Roman" w:cs="Times New Roman"/>
                <w:b/>
                <w:sz w:val="20"/>
                <w:szCs w:val="20"/>
              </w:rPr>
              <w:t>100.0</w:t>
            </w:r>
          </w:p>
        </w:tc>
      </w:tr>
    </w:tbl>
    <w:p w14:paraId="55E71B9A" w14:textId="77777777" w:rsidR="0071768E" w:rsidRDefault="0071768E" w:rsidP="008258F1">
      <w:pPr>
        <w:autoSpaceDE w:val="0"/>
        <w:autoSpaceDN w:val="0"/>
        <w:adjustRightInd w:val="0"/>
        <w:spacing w:after="0" w:line="240" w:lineRule="auto"/>
        <w:ind w:leftChars="0" w:left="0" w:firstLineChars="0" w:firstLine="0"/>
        <w:rPr>
          <w:rFonts w:ascii="Times New Roman" w:hAnsi="Times New Roman" w:cs="Times New Roman"/>
          <w:sz w:val="20"/>
          <w:szCs w:val="20"/>
          <w:lang w:val="en-SG"/>
        </w:rPr>
      </w:pPr>
    </w:p>
    <w:p w14:paraId="1E1AD690" w14:textId="77777777" w:rsidR="00A807B2" w:rsidRDefault="00894076">
      <w:pPr>
        <w:autoSpaceDE w:val="0"/>
        <w:autoSpaceDN w:val="0"/>
        <w:adjustRightInd w:val="0"/>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 xml:space="preserve">Method of </w:t>
      </w:r>
      <w:r w:rsidR="00EE302A">
        <w:rPr>
          <w:rFonts w:ascii="Times New Roman" w:hAnsi="Times New Roman" w:cs="Times New Roman"/>
          <w:i/>
          <w:sz w:val="24"/>
          <w:szCs w:val="24"/>
        </w:rPr>
        <w:t>a</w:t>
      </w:r>
      <w:r>
        <w:rPr>
          <w:rFonts w:ascii="Times New Roman" w:hAnsi="Times New Roman" w:cs="Times New Roman"/>
          <w:i/>
          <w:sz w:val="24"/>
          <w:szCs w:val="24"/>
        </w:rPr>
        <w:t xml:space="preserve">nalysis  </w:t>
      </w:r>
    </w:p>
    <w:p w14:paraId="06A61035" w14:textId="77777777" w:rsidR="00A807B2" w:rsidRDefault="00A807B2">
      <w:pPr>
        <w:autoSpaceDE w:val="0"/>
        <w:autoSpaceDN w:val="0"/>
        <w:adjustRightInd w:val="0"/>
        <w:spacing w:after="0" w:line="240" w:lineRule="auto"/>
        <w:ind w:left="0" w:hanging="2"/>
        <w:jc w:val="both"/>
        <w:rPr>
          <w:rFonts w:ascii="Times New Roman" w:hAnsi="Times New Roman" w:cs="Times New Roman"/>
          <w:bCs/>
          <w:sz w:val="24"/>
          <w:szCs w:val="24"/>
        </w:rPr>
      </w:pPr>
      <w:bookmarkStart w:id="3" w:name="_Hlk113306813"/>
    </w:p>
    <w:p w14:paraId="2BC87614" w14:textId="77777777" w:rsidR="00A807B2" w:rsidRDefault="00894076">
      <w:pPr>
        <w:autoSpaceDE w:val="0"/>
        <w:autoSpaceDN w:val="0"/>
        <w:adjustRightInd w:val="0"/>
        <w:spacing w:after="0" w:line="240" w:lineRule="auto"/>
        <w:ind w:left="0" w:hanging="2"/>
        <w:jc w:val="both"/>
        <w:rPr>
          <w:rFonts w:ascii="Times New Roman" w:hAnsi="Times New Roman" w:cs="Times New Roman"/>
          <w:bCs/>
          <w:sz w:val="24"/>
          <w:szCs w:val="24"/>
        </w:rPr>
      </w:pPr>
      <w:r>
        <w:rPr>
          <w:rFonts w:ascii="Times New Roman" w:hAnsi="Times New Roman" w:cs="Times New Roman"/>
          <w:bCs/>
          <w:sz w:val="24"/>
          <w:szCs w:val="24"/>
        </w:rPr>
        <w:t>The data were analyzed using frequency and regression analysis as available in the IBM SPSS Statistics software.</w:t>
      </w:r>
      <w:bookmarkEnd w:id="3"/>
      <w:r>
        <w:rPr>
          <w:rFonts w:ascii="Times New Roman" w:hAnsi="Times New Roman" w:cs="Times New Roman"/>
          <w:bCs/>
          <w:sz w:val="24"/>
          <w:szCs w:val="24"/>
        </w:rPr>
        <w:t xml:space="preserve"> The purpose of the analysis was to investigate the neighborhood’s environment affecting the level of physical activities of Malaysian neighborhood residents in USJ</w:t>
      </w:r>
      <w:r>
        <w:rPr>
          <w:rFonts w:ascii="Times New Roman" w:hAnsi="Times New Roman" w:cs="Times New Roman"/>
          <w:sz w:val="24"/>
          <w:szCs w:val="24"/>
        </w:rPr>
        <w:t>.</w:t>
      </w:r>
      <w:r>
        <w:rPr>
          <w:rFonts w:ascii="Times New Roman" w:hAnsi="Times New Roman" w:cs="Times New Roman"/>
          <w:bCs/>
          <w:sz w:val="24"/>
          <w:szCs w:val="24"/>
        </w:rPr>
        <w:t xml:space="preserve"> The results and findings of the analysis were explained in the next section. </w:t>
      </w:r>
    </w:p>
    <w:p w14:paraId="4466B947" w14:textId="77777777" w:rsidR="00A807B2" w:rsidRDefault="00A807B2">
      <w:pPr>
        <w:autoSpaceDE w:val="0"/>
        <w:autoSpaceDN w:val="0"/>
        <w:adjustRightInd w:val="0"/>
        <w:spacing w:after="0" w:line="240" w:lineRule="auto"/>
        <w:ind w:left="0" w:hanging="2"/>
        <w:jc w:val="both"/>
        <w:rPr>
          <w:rFonts w:ascii="Times New Roman" w:hAnsi="Times New Roman" w:cs="Times New Roman"/>
          <w:sz w:val="24"/>
          <w:szCs w:val="24"/>
        </w:rPr>
      </w:pPr>
    </w:p>
    <w:p w14:paraId="33DEB4BB" w14:textId="77777777" w:rsidR="00EE302A" w:rsidRDefault="00EE302A">
      <w:pPr>
        <w:autoSpaceDE w:val="0"/>
        <w:autoSpaceDN w:val="0"/>
        <w:adjustRightInd w:val="0"/>
        <w:spacing w:after="0" w:line="240" w:lineRule="auto"/>
        <w:ind w:left="0" w:hanging="2"/>
        <w:jc w:val="both"/>
        <w:rPr>
          <w:rFonts w:ascii="Times New Roman" w:hAnsi="Times New Roman" w:cs="Times New Roman"/>
          <w:sz w:val="24"/>
          <w:szCs w:val="24"/>
        </w:rPr>
      </w:pPr>
    </w:p>
    <w:p w14:paraId="01C83EE8"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 xml:space="preserve">Study area  </w:t>
      </w:r>
    </w:p>
    <w:p w14:paraId="7A21FD01" w14:textId="77777777" w:rsidR="00A807B2" w:rsidRDefault="00A807B2">
      <w:pPr>
        <w:spacing w:after="0" w:line="240" w:lineRule="auto"/>
        <w:ind w:left="0" w:hanging="2"/>
        <w:jc w:val="both"/>
        <w:rPr>
          <w:rFonts w:ascii="Times New Roman" w:hAnsi="Times New Roman" w:cs="Times New Roman"/>
          <w:b/>
          <w:sz w:val="24"/>
          <w:szCs w:val="24"/>
        </w:rPr>
      </w:pPr>
    </w:p>
    <w:p w14:paraId="04F40E73" w14:textId="77777777" w:rsidR="00A807B2" w:rsidRDefault="00894076">
      <w:pPr>
        <w:spacing w:after="0" w:line="240" w:lineRule="auto"/>
        <w:ind w:left="0" w:hanging="2"/>
        <w:jc w:val="both"/>
        <w:rPr>
          <w:rFonts w:ascii="Times New Roman" w:hAnsi="Times New Roman" w:cs="Times New Roman"/>
          <w:sz w:val="24"/>
          <w:szCs w:val="24"/>
          <w:lang w:val="en-SG" w:eastAsia="zh-CN"/>
        </w:rPr>
      </w:pPr>
      <w:r>
        <w:rPr>
          <w:rFonts w:ascii="Times New Roman" w:hAnsi="Times New Roman" w:cs="Times New Roman"/>
          <w:sz w:val="24"/>
          <w:szCs w:val="24"/>
          <w:lang w:eastAsia="en-GB"/>
        </w:rPr>
        <w:t>The study area of this research is in a Malaysian neighborhood, which is specifically in Planning Block 1: Subang Jaya-USJ under the Subang Jaya Municipal Council authority. Current land use according to the Subang Jaya Municipal Council Local Plan 2020 (RTMPSJ 2020) which was gazette on 27</w:t>
      </w:r>
      <w:r>
        <w:rPr>
          <w:rFonts w:ascii="Times New Roman" w:hAnsi="Times New Roman" w:cs="Times New Roman"/>
          <w:sz w:val="24"/>
          <w:szCs w:val="24"/>
          <w:vertAlign w:val="superscript"/>
          <w:lang w:eastAsia="en-GB"/>
        </w:rPr>
        <w:t>th</w:t>
      </w:r>
      <w:r>
        <w:rPr>
          <w:rFonts w:ascii="Times New Roman" w:hAnsi="Times New Roman" w:cs="Times New Roman"/>
          <w:sz w:val="24"/>
          <w:szCs w:val="24"/>
          <w:lang w:eastAsia="en-GB"/>
        </w:rPr>
        <w:t xml:space="preserve">. May 2010 with the gazette number 1566, specifies that the largest land use is the residential land use, covering an area of 2,996.99 hectares which is 18.52% of the overall area of MPSJ. This is followed by industrial land use areas of 989.13 hectares (6.11%), commerce and services covering 495.05 hectares (3.06%) as well as institutional and community facilities covering 1,847.85 hectares (11.42%) (MPSJ Department of Town Planning, 2010). </w:t>
      </w:r>
      <w:r>
        <w:rPr>
          <w:rFonts w:ascii="Times New Roman" w:hAnsi="Times New Roman" w:cs="Times New Roman"/>
          <w:bCs/>
          <w:sz w:val="24"/>
          <w:szCs w:val="24"/>
          <w:lang w:val="en-SG"/>
        </w:rPr>
        <w:t xml:space="preserve">Subang Jaya is one of the cities where social and community services are explicitly seen as the priority. Subang Jaya has a wide range of recreational areas that can be divided into two categories. The first category is the park. This includes play lot, playground, </w:t>
      </w:r>
      <w:proofErr w:type="spellStart"/>
      <w:r>
        <w:rPr>
          <w:rFonts w:ascii="Times New Roman" w:hAnsi="Times New Roman" w:cs="Times New Roman"/>
          <w:bCs/>
          <w:sz w:val="24"/>
          <w:szCs w:val="24"/>
          <w:lang w:val="en-SG"/>
        </w:rPr>
        <w:t>neighborhood</w:t>
      </w:r>
      <w:proofErr w:type="spellEnd"/>
      <w:r>
        <w:rPr>
          <w:rFonts w:ascii="Times New Roman" w:hAnsi="Times New Roman" w:cs="Times New Roman"/>
          <w:bCs/>
          <w:sz w:val="24"/>
          <w:szCs w:val="24"/>
          <w:lang w:val="en-SG"/>
        </w:rPr>
        <w:t xml:space="preserve"> park, local park, and urban park. The location of these facilities, with the exception of the urban park, are mainly within the neighbourhood. Recreational complexes which house facilities such as table pool, badminton court, futsal court, and floorball court are the second category of recreational areas in Subang Jaya. These complexes are located outside the </w:t>
      </w:r>
      <w:proofErr w:type="spellStart"/>
      <w:r>
        <w:rPr>
          <w:rFonts w:ascii="Times New Roman" w:hAnsi="Times New Roman" w:cs="Times New Roman"/>
          <w:bCs/>
          <w:sz w:val="24"/>
          <w:szCs w:val="24"/>
          <w:lang w:val="en-SG"/>
        </w:rPr>
        <w:t>neighborhood</w:t>
      </w:r>
      <w:proofErr w:type="spellEnd"/>
      <w:r>
        <w:rPr>
          <w:rFonts w:ascii="Times New Roman" w:hAnsi="Times New Roman" w:cs="Times New Roman"/>
          <w:bCs/>
          <w:sz w:val="24"/>
          <w:szCs w:val="24"/>
          <w:lang w:val="en-SG"/>
        </w:rPr>
        <w:t xml:space="preserve"> areas </w:t>
      </w:r>
      <w:r>
        <w:rPr>
          <w:rFonts w:ascii="Times New Roman" w:hAnsi="Times New Roman" w:cs="Times New Roman"/>
          <w:sz w:val="24"/>
          <w:szCs w:val="24"/>
          <w:lang w:val="en-SG" w:eastAsia="zh-CN"/>
        </w:rPr>
        <w:fldChar w:fldCharType="begin" w:fldLock="1"/>
      </w:r>
      <w:r>
        <w:rPr>
          <w:rFonts w:ascii="Times New Roman" w:hAnsi="Times New Roman" w:cs="Times New Roman"/>
          <w:sz w:val="24"/>
          <w:szCs w:val="24"/>
          <w:lang w:val="en-SG" w:eastAsia="zh-CN"/>
        </w:rPr>
        <w:instrText>ADDIN CSL_CITATION {"citationItems":[{"id":"ITEM-1","itemData":{"ISBN":"9783950311006","author":[{"dropping-particle":"","family":"Zainol","given":"Rosilawati","non-dropping-particle":"","parse-names":false,"suffix":""},{"dropping-particle":"","family":"Maidin","given":"Syra Lawrance","non-dropping-particle":"","parse-names":false,"suffix":""}],"id":"ITEM-1","issue":"May","issued":{"date-parts":[["2011"]]},"page":"1019-1028","title":"The Use of GIS Application in Identifying Youth Recreational Area in Subang Jaya, Selangor","type":"article-journal","volume":"6"},"uris":["http://www.mendeley.com/documents/?uuid=abd50a38-1489-49ca-bc4b-173c565a3009"]}],"mendeley":{"formattedCitation":"(Zainol &amp; Maidin, 2011)","plainTextFormattedCitation":"(Zainol &amp; Maidin, 2011)","previouslyFormattedCitation":"(Zainol &amp; Maidin, 2011)"},"properties":{"noteIndex":0},"schema":"https://github.com/citation-style-language/schema/raw/master/csl-citation.json"}</w:instrText>
      </w:r>
      <w:r>
        <w:rPr>
          <w:rFonts w:ascii="Times New Roman" w:hAnsi="Times New Roman" w:cs="Times New Roman"/>
          <w:sz w:val="24"/>
          <w:szCs w:val="24"/>
          <w:lang w:val="en-SG" w:eastAsia="zh-CN"/>
        </w:rPr>
        <w:fldChar w:fldCharType="separate"/>
      </w:r>
      <w:r>
        <w:rPr>
          <w:rFonts w:ascii="Times New Roman" w:hAnsi="Times New Roman" w:cs="Times New Roman"/>
          <w:sz w:val="24"/>
          <w:szCs w:val="24"/>
          <w:lang w:val="en-SG" w:eastAsia="zh-CN"/>
        </w:rPr>
        <w:t>(Zainol &amp; Maidin, 2011)</w:t>
      </w:r>
      <w:r>
        <w:rPr>
          <w:rFonts w:ascii="Times New Roman" w:hAnsi="Times New Roman" w:cs="Times New Roman"/>
          <w:sz w:val="24"/>
          <w:szCs w:val="24"/>
          <w:lang w:val="en-SG" w:eastAsia="zh-CN"/>
        </w:rPr>
        <w:fldChar w:fldCharType="end"/>
      </w:r>
      <w:r>
        <w:rPr>
          <w:rFonts w:ascii="Times New Roman" w:hAnsi="Times New Roman" w:cs="Times New Roman"/>
          <w:sz w:val="24"/>
          <w:szCs w:val="24"/>
          <w:lang w:val="en-SG" w:eastAsia="zh-CN"/>
        </w:rPr>
        <w:t>.</w:t>
      </w:r>
    </w:p>
    <w:p w14:paraId="21DAF85E" w14:textId="77777777" w:rsidR="00A807B2" w:rsidRDefault="00894076">
      <w:pPr>
        <w:spacing w:after="0" w:line="240" w:lineRule="auto"/>
        <w:ind w:leftChars="0" w:left="0" w:firstLineChars="0" w:firstLine="720"/>
        <w:jc w:val="both"/>
        <w:rPr>
          <w:rFonts w:ascii="Times New Roman" w:hAnsi="Times New Roman" w:cs="Times New Roman"/>
          <w:bCs/>
          <w:sz w:val="24"/>
          <w:szCs w:val="24"/>
          <w:lang w:val="en-SG"/>
        </w:rPr>
      </w:pPr>
      <w:r>
        <w:rPr>
          <w:rFonts w:ascii="Times New Roman" w:hAnsi="Times New Roman" w:cs="Times New Roman"/>
          <w:bCs/>
          <w:sz w:val="24"/>
          <w:szCs w:val="24"/>
        </w:rPr>
        <w:t>This research is carried out at 19 sections under the Subang Jaya Municipal Council. The sections are Section 1, Section 2, Section 3, Section 4, Section 5, Section 6, Section 8, Section 9, Section 10, Section 11, Section 12, Section 13, Section 14, Section 15, Section 16, Section 17, Section 18, Section 19, Section 20, and Section 22.</w:t>
      </w:r>
    </w:p>
    <w:p w14:paraId="6876F687" w14:textId="77777777" w:rsidR="00A807B2" w:rsidRDefault="00A807B2">
      <w:pPr>
        <w:spacing w:after="0" w:line="240" w:lineRule="auto"/>
        <w:ind w:left="0" w:hanging="2"/>
        <w:jc w:val="both"/>
        <w:rPr>
          <w:rFonts w:ascii="Times New Roman" w:hAnsi="Times New Roman" w:cs="Times New Roman"/>
          <w:b/>
          <w:sz w:val="24"/>
          <w:szCs w:val="24"/>
        </w:rPr>
      </w:pPr>
    </w:p>
    <w:p w14:paraId="36DC84B7" w14:textId="77777777" w:rsidR="00A807B2" w:rsidRDefault="00894076">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noProof/>
          <w:sz w:val="24"/>
          <w:szCs w:val="24"/>
          <w:lang w:val="en-MY" w:eastAsia="en-MY"/>
        </w:rPr>
        <w:drawing>
          <wp:inline distT="0" distB="0" distL="0" distR="0" wp14:anchorId="4A7977A5" wp14:editId="30EFD3A7">
            <wp:extent cx="4953000" cy="29603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953429" cy="2960370"/>
                    </a:xfrm>
                    <a:prstGeom prst="rect">
                      <a:avLst/>
                    </a:prstGeom>
                  </pic:spPr>
                </pic:pic>
              </a:graphicData>
            </a:graphic>
          </wp:inline>
        </w:drawing>
      </w:r>
    </w:p>
    <w:p w14:paraId="44DC3AFE" w14:textId="77777777" w:rsidR="00A807B2" w:rsidRDefault="003E5F23" w:rsidP="003E5F23">
      <w:pPr>
        <w:autoSpaceDE w:val="0"/>
        <w:autoSpaceDN w:val="0"/>
        <w:adjustRightInd w:val="0"/>
        <w:spacing w:after="0" w:line="240" w:lineRule="auto"/>
        <w:ind w:leftChars="0" w:left="0" w:firstLineChars="0" w:firstLine="720"/>
        <w:jc w:val="both"/>
        <w:rPr>
          <w:rFonts w:ascii="Times New Roman" w:hAnsi="Times New Roman" w:cs="Times New Roman"/>
          <w:sz w:val="20"/>
          <w:szCs w:val="20"/>
          <w:lang w:eastAsia="en-GB"/>
        </w:rPr>
      </w:pPr>
      <w:r>
        <w:rPr>
          <w:rFonts w:ascii="Times New Roman" w:hAnsi="Times New Roman" w:cs="Times New Roman"/>
          <w:sz w:val="20"/>
          <w:szCs w:val="20"/>
          <w:lang w:eastAsia="en-GB"/>
        </w:rPr>
        <w:t xml:space="preserve">  Source: MBSJ Department of Town Planning</w:t>
      </w:r>
      <w:r w:rsidR="00C574E0">
        <w:rPr>
          <w:rFonts w:ascii="Times New Roman" w:hAnsi="Times New Roman" w:cs="Times New Roman"/>
          <w:sz w:val="20"/>
          <w:szCs w:val="20"/>
          <w:lang w:eastAsia="en-GB"/>
        </w:rPr>
        <w:t xml:space="preserve">, </w:t>
      </w:r>
      <w:r>
        <w:rPr>
          <w:rFonts w:ascii="Times New Roman" w:hAnsi="Times New Roman" w:cs="Times New Roman"/>
          <w:sz w:val="20"/>
          <w:szCs w:val="20"/>
          <w:lang w:eastAsia="en-GB"/>
        </w:rPr>
        <w:t>2010</w:t>
      </w:r>
    </w:p>
    <w:p w14:paraId="4FD00C4C" w14:textId="77777777" w:rsidR="00A807B2" w:rsidRPr="00C574E0" w:rsidRDefault="00A807B2" w:rsidP="00C574E0">
      <w:pPr>
        <w:autoSpaceDE w:val="0"/>
        <w:autoSpaceDN w:val="0"/>
        <w:adjustRightInd w:val="0"/>
        <w:spacing w:after="0" w:line="240" w:lineRule="auto"/>
        <w:ind w:left="0" w:hanging="2"/>
        <w:rPr>
          <w:rFonts w:ascii="Times New Roman" w:hAnsi="Times New Roman" w:cs="Times New Roman"/>
          <w:bCs/>
          <w:sz w:val="24"/>
          <w:szCs w:val="24"/>
          <w:lang w:eastAsia="en-GB"/>
        </w:rPr>
      </w:pPr>
    </w:p>
    <w:p w14:paraId="7B749A45" w14:textId="77777777" w:rsidR="00A807B2" w:rsidRPr="00C574E0" w:rsidRDefault="00894076" w:rsidP="00C574E0">
      <w:pPr>
        <w:autoSpaceDE w:val="0"/>
        <w:autoSpaceDN w:val="0"/>
        <w:adjustRightInd w:val="0"/>
        <w:spacing w:after="0" w:line="240" w:lineRule="auto"/>
        <w:ind w:left="0" w:hanging="2"/>
        <w:jc w:val="center"/>
        <w:rPr>
          <w:rFonts w:ascii="Times New Roman" w:hAnsi="Times New Roman" w:cs="Times New Roman"/>
          <w:bCs/>
          <w:sz w:val="20"/>
          <w:szCs w:val="20"/>
          <w:lang w:eastAsia="en-GB"/>
        </w:rPr>
      </w:pPr>
      <w:r w:rsidRPr="00C574E0">
        <w:rPr>
          <w:rFonts w:ascii="Times New Roman" w:hAnsi="Times New Roman" w:cs="Times New Roman"/>
          <w:b/>
          <w:sz w:val="20"/>
          <w:szCs w:val="20"/>
          <w:lang w:eastAsia="en-GB"/>
        </w:rPr>
        <w:t>Figure 1.</w:t>
      </w:r>
      <w:r w:rsidRPr="00C574E0">
        <w:rPr>
          <w:rFonts w:ascii="Times New Roman" w:hAnsi="Times New Roman" w:cs="Times New Roman"/>
          <w:bCs/>
          <w:sz w:val="20"/>
          <w:szCs w:val="20"/>
          <w:lang w:eastAsia="en-GB"/>
        </w:rPr>
        <w:t xml:space="preserve"> The location of the study area in Planning Block 1 (BP1) USJ</w:t>
      </w:r>
    </w:p>
    <w:p w14:paraId="434F4107" w14:textId="77777777" w:rsidR="00A807B2" w:rsidRDefault="00A807B2" w:rsidP="00C574E0">
      <w:pPr>
        <w:autoSpaceDE w:val="0"/>
        <w:autoSpaceDN w:val="0"/>
        <w:adjustRightInd w:val="0"/>
        <w:spacing w:after="0" w:line="240" w:lineRule="auto"/>
        <w:ind w:leftChars="0" w:left="0" w:firstLineChars="0" w:firstLine="0"/>
        <w:rPr>
          <w:rFonts w:ascii="Times New Roman" w:hAnsi="Times New Roman" w:cs="Times New Roman"/>
          <w:bCs/>
          <w:sz w:val="24"/>
          <w:szCs w:val="24"/>
          <w:lang w:eastAsia="en-GB"/>
        </w:rPr>
      </w:pPr>
    </w:p>
    <w:p w14:paraId="527E7C0A" w14:textId="77777777" w:rsidR="00C574E0" w:rsidRPr="00C574E0" w:rsidRDefault="00C574E0" w:rsidP="00C574E0">
      <w:pPr>
        <w:autoSpaceDE w:val="0"/>
        <w:autoSpaceDN w:val="0"/>
        <w:adjustRightInd w:val="0"/>
        <w:spacing w:after="0" w:line="240" w:lineRule="auto"/>
        <w:ind w:leftChars="0" w:left="0" w:firstLineChars="0" w:firstLine="0"/>
        <w:rPr>
          <w:rFonts w:ascii="Times New Roman" w:hAnsi="Times New Roman" w:cs="Times New Roman"/>
          <w:bCs/>
          <w:sz w:val="24"/>
          <w:szCs w:val="24"/>
          <w:lang w:eastAsia="en-GB"/>
        </w:rPr>
      </w:pPr>
    </w:p>
    <w:p w14:paraId="596964F2" w14:textId="77777777" w:rsidR="00A807B2" w:rsidRDefault="0089407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3B528589" w14:textId="77777777" w:rsidR="00A807B2" w:rsidRDefault="00A807B2">
      <w:pPr>
        <w:spacing w:after="0" w:line="240" w:lineRule="auto"/>
        <w:ind w:left="0" w:hanging="2"/>
        <w:jc w:val="both"/>
        <w:rPr>
          <w:rFonts w:ascii="Times New Roman" w:eastAsia="Times New Roman" w:hAnsi="Times New Roman" w:cs="Times New Roman"/>
          <w:b/>
          <w:color w:val="000000"/>
          <w:sz w:val="24"/>
          <w:szCs w:val="24"/>
        </w:rPr>
      </w:pPr>
    </w:p>
    <w:p w14:paraId="67D9A8A4" w14:textId="77777777" w:rsidR="00A807B2" w:rsidRDefault="00894076">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 xml:space="preserve">The </w:t>
      </w:r>
      <w:r w:rsidR="00E30E19">
        <w:rPr>
          <w:rFonts w:ascii="Times New Roman" w:hAnsi="Times New Roman" w:cs="Times New Roman"/>
          <w:i/>
          <w:sz w:val="24"/>
          <w:szCs w:val="24"/>
        </w:rPr>
        <w:t xml:space="preserve">neighborhood (outdoor) environment </w:t>
      </w:r>
    </w:p>
    <w:p w14:paraId="24278D8C" w14:textId="77777777" w:rsidR="00A807B2" w:rsidRDefault="00A807B2" w:rsidP="00E30E19">
      <w:pPr>
        <w:autoSpaceDE w:val="0"/>
        <w:autoSpaceDN w:val="0"/>
        <w:adjustRightInd w:val="0"/>
        <w:spacing w:after="0" w:line="240" w:lineRule="auto"/>
        <w:ind w:leftChars="0" w:left="0" w:firstLineChars="0" w:firstLine="0"/>
        <w:jc w:val="both"/>
        <w:rPr>
          <w:rFonts w:ascii="Times New Roman" w:hAnsi="Times New Roman" w:cs="Times New Roman"/>
          <w:bCs/>
          <w:sz w:val="24"/>
          <w:szCs w:val="24"/>
          <w:lang w:val="en-MY"/>
        </w:rPr>
      </w:pPr>
      <w:bookmarkStart w:id="4" w:name="_Hlk44081760"/>
    </w:p>
    <w:p w14:paraId="1C6DF1E7" w14:textId="77777777" w:rsidR="00A807B2" w:rsidRDefault="00894076">
      <w:pPr>
        <w:autoSpaceDE w:val="0"/>
        <w:autoSpaceDN w:val="0"/>
        <w:adjustRightInd w:val="0"/>
        <w:spacing w:after="0" w:line="240" w:lineRule="auto"/>
        <w:ind w:left="0" w:hanging="2"/>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A questionnaire survey was distributed to the respondents to know </w:t>
      </w:r>
      <w:bookmarkStart w:id="5" w:name="_Hlk91808755"/>
      <w:r>
        <w:rPr>
          <w:rFonts w:ascii="Times New Roman" w:hAnsi="Times New Roman" w:cs="Times New Roman"/>
          <w:bCs/>
          <w:sz w:val="24"/>
          <w:szCs w:val="24"/>
          <w:lang w:val="en-MY"/>
        </w:rPr>
        <w:t xml:space="preserve">the perception of the USJ residents on the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xml:space="preserve"> environment according to three main topics which were Facilities Provision, Safety from Crime, and Surrounding Environment</w:t>
      </w:r>
      <w:bookmarkEnd w:id="5"/>
      <w:r>
        <w:rPr>
          <w:rFonts w:ascii="Times New Roman" w:hAnsi="Times New Roman" w:cs="Times New Roman"/>
          <w:bCs/>
          <w:sz w:val="24"/>
          <w:szCs w:val="24"/>
          <w:lang w:val="en-MY"/>
        </w:rPr>
        <w:t xml:space="preserve"> through a total of 11 Likert scale questions. </w:t>
      </w:r>
    </w:p>
    <w:p w14:paraId="40E5EDAE" w14:textId="77777777" w:rsidR="00A807B2" w:rsidRDefault="00A807B2">
      <w:pPr>
        <w:autoSpaceDE w:val="0"/>
        <w:autoSpaceDN w:val="0"/>
        <w:adjustRightInd w:val="0"/>
        <w:spacing w:after="0" w:line="240" w:lineRule="auto"/>
        <w:ind w:left="0" w:hanging="2"/>
        <w:jc w:val="both"/>
        <w:rPr>
          <w:rFonts w:ascii="Times New Roman" w:hAnsi="Times New Roman" w:cs="Times New Roman"/>
          <w:sz w:val="24"/>
          <w:szCs w:val="24"/>
        </w:rPr>
      </w:pPr>
    </w:p>
    <w:p w14:paraId="4FDBFFFB" w14:textId="77777777" w:rsidR="00A807B2" w:rsidRPr="00E30E19" w:rsidRDefault="00894076" w:rsidP="00E30E19">
      <w:pPr>
        <w:autoSpaceDE w:val="0"/>
        <w:autoSpaceDN w:val="0"/>
        <w:adjustRightInd w:val="0"/>
        <w:spacing w:after="0" w:line="240" w:lineRule="auto"/>
        <w:ind w:left="0" w:hanging="2"/>
        <w:jc w:val="center"/>
        <w:rPr>
          <w:rFonts w:ascii="Times New Roman" w:hAnsi="Times New Roman" w:cs="Times New Roman"/>
          <w:sz w:val="20"/>
          <w:szCs w:val="20"/>
          <w:lang w:val="en-SG"/>
        </w:rPr>
      </w:pPr>
      <w:bookmarkStart w:id="6" w:name="_Toc92975752"/>
      <w:r w:rsidRPr="00E30E19">
        <w:rPr>
          <w:rFonts w:ascii="Times New Roman" w:hAnsi="Times New Roman" w:cs="Times New Roman"/>
          <w:b/>
          <w:bCs/>
          <w:sz w:val="20"/>
          <w:szCs w:val="20"/>
          <w:lang w:val="en-SG"/>
        </w:rPr>
        <w:t>Table 2</w:t>
      </w:r>
      <w:r w:rsidR="00E30E19" w:rsidRPr="00E30E19">
        <w:rPr>
          <w:rFonts w:ascii="Times New Roman" w:hAnsi="Times New Roman" w:cs="Times New Roman"/>
          <w:b/>
          <w:bCs/>
          <w:sz w:val="20"/>
          <w:szCs w:val="20"/>
          <w:lang w:val="en-SG"/>
        </w:rPr>
        <w:t>.</w:t>
      </w:r>
      <w:r w:rsidRPr="00E30E19">
        <w:rPr>
          <w:rFonts w:ascii="Times New Roman" w:hAnsi="Times New Roman" w:cs="Times New Roman"/>
          <w:sz w:val="20"/>
          <w:szCs w:val="20"/>
          <w:lang w:val="en-SG"/>
        </w:rPr>
        <w:t xml:space="preserve"> Summary of </w:t>
      </w:r>
      <w:proofErr w:type="spellStart"/>
      <w:r w:rsidR="00E30E19" w:rsidRPr="00E30E19">
        <w:rPr>
          <w:rFonts w:ascii="Times New Roman" w:hAnsi="Times New Roman" w:cs="Times New Roman"/>
          <w:sz w:val="20"/>
          <w:szCs w:val="20"/>
          <w:lang w:val="en-SG"/>
        </w:rPr>
        <w:t>neighborhood</w:t>
      </w:r>
      <w:proofErr w:type="spellEnd"/>
      <w:r w:rsidR="00E30E19" w:rsidRPr="00E30E19">
        <w:rPr>
          <w:rFonts w:ascii="Times New Roman" w:hAnsi="Times New Roman" w:cs="Times New Roman"/>
          <w:sz w:val="20"/>
          <w:szCs w:val="20"/>
          <w:lang w:val="en-SG"/>
        </w:rPr>
        <w:t xml:space="preserve"> environment</w:t>
      </w:r>
      <w:bookmarkEnd w:id="6"/>
    </w:p>
    <w:p w14:paraId="45F81CDF" w14:textId="77777777" w:rsidR="00E30E19" w:rsidRDefault="00E30E19">
      <w:pPr>
        <w:autoSpaceDE w:val="0"/>
        <w:autoSpaceDN w:val="0"/>
        <w:adjustRightInd w:val="0"/>
        <w:spacing w:after="0" w:line="240" w:lineRule="auto"/>
        <w:ind w:left="0" w:hanging="2"/>
        <w:jc w:val="both"/>
        <w:rPr>
          <w:rFonts w:ascii="Times New Roman" w:hAnsi="Times New Roman" w:cs="Times New Roman"/>
          <w:b/>
          <w:bCs/>
          <w:sz w:val="20"/>
          <w:szCs w:val="20"/>
          <w:lang w:val="en-SG"/>
        </w:rPr>
      </w:pPr>
    </w:p>
    <w:tbl>
      <w:tblPr>
        <w:tblW w:w="9376" w:type="dxa"/>
        <w:jc w:val="center"/>
        <w:tblLook w:val="04A0" w:firstRow="1" w:lastRow="0" w:firstColumn="1" w:lastColumn="0" w:noHBand="0" w:noVBand="1"/>
      </w:tblPr>
      <w:tblGrid>
        <w:gridCol w:w="459"/>
        <w:gridCol w:w="3647"/>
        <w:gridCol w:w="709"/>
        <w:gridCol w:w="733"/>
        <w:gridCol w:w="700"/>
        <w:gridCol w:w="700"/>
        <w:gridCol w:w="704"/>
        <w:gridCol w:w="709"/>
        <w:gridCol w:w="1015"/>
      </w:tblGrid>
      <w:tr w:rsidR="00894076" w:rsidRPr="00894076" w14:paraId="1F48DF88" w14:textId="77777777" w:rsidTr="002B5E18">
        <w:trPr>
          <w:trHeight w:val="227"/>
          <w:jc w:val="center"/>
        </w:trPr>
        <w:tc>
          <w:tcPr>
            <w:tcW w:w="459" w:type="dxa"/>
            <w:tcBorders>
              <w:top w:val="single" w:sz="4" w:space="0" w:color="auto"/>
              <w:bottom w:val="single" w:sz="4" w:space="0" w:color="auto"/>
            </w:tcBorders>
            <w:shd w:val="clear" w:color="auto" w:fill="B8CCE4" w:themeFill="accent1" w:themeFillTint="66"/>
            <w:noWrap/>
            <w:vAlign w:val="center"/>
          </w:tcPr>
          <w:p w14:paraId="5A7864F0"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No</w:t>
            </w:r>
          </w:p>
        </w:tc>
        <w:tc>
          <w:tcPr>
            <w:tcW w:w="3647" w:type="dxa"/>
            <w:tcBorders>
              <w:top w:val="single" w:sz="4" w:space="0" w:color="auto"/>
              <w:bottom w:val="single" w:sz="4" w:space="0" w:color="auto"/>
            </w:tcBorders>
            <w:shd w:val="clear" w:color="auto" w:fill="B8CCE4" w:themeFill="accent1" w:themeFillTint="66"/>
            <w:noWrap/>
            <w:vAlign w:val="center"/>
          </w:tcPr>
          <w:p w14:paraId="57C5216E"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rPr>
              <w:t>Question/Statements</w:t>
            </w:r>
          </w:p>
        </w:tc>
        <w:tc>
          <w:tcPr>
            <w:tcW w:w="709" w:type="dxa"/>
            <w:tcBorders>
              <w:top w:val="single" w:sz="4" w:space="0" w:color="auto"/>
              <w:bottom w:val="single" w:sz="4" w:space="0" w:color="auto"/>
            </w:tcBorders>
            <w:shd w:val="clear" w:color="auto" w:fill="B8CCE4" w:themeFill="accent1" w:themeFillTint="66"/>
            <w:vAlign w:val="center"/>
          </w:tcPr>
          <w:p w14:paraId="40A0556C"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SD (%)</w:t>
            </w:r>
          </w:p>
        </w:tc>
        <w:tc>
          <w:tcPr>
            <w:tcW w:w="733" w:type="dxa"/>
            <w:tcBorders>
              <w:top w:val="single" w:sz="4" w:space="0" w:color="auto"/>
              <w:bottom w:val="single" w:sz="4" w:space="0" w:color="auto"/>
            </w:tcBorders>
            <w:shd w:val="clear" w:color="auto" w:fill="B8CCE4" w:themeFill="accent1" w:themeFillTint="66"/>
            <w:vAlign w:val="center"/>
          </w:tcPr>
          <w:p w14:paraId="61F9EF9E"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D (%)</w:t>
            </w:r>
          </w:p>
        </w:tc>
        <w:tc>
          <w:tcPr>
            <w:tcW w:w="700" w:type="dxa"/>
            <w:tcBorders>
              <w:top w:val="single" w:sz="4" w:space="0" w:color="auto"/>
              <w:bottom w:val="single" w:sz="4" w:space="0" w:color="auto"/>
            </w:tcBorders>
            <w:shd w:val="clear" w:color="auto" w:fill="B8CCE4" w:themeFill="accent1" w:themeFillTint="66"/>
            <w:vAlign w:val="center"/>
          </w:tcPr>
          <w:p w14:paraId="4C6A6301"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N (%)</w:t>
            </w:r>
          </w:p>
        </w:tc>
        <w:tc>
          <w:tcPr>
            <w:tcW w:w="700" w:type="dxa"/>
            <w:tcBorders>
              <w:top w:val="single" w:sz="4" w:space="0" w:color="auto"/>
              <w:bottom w:val="single" w:sz="4" w:space="0" w:color="auto"/>
            </w:tcBorders>
            <w:shd w:val="clear" w:color="auto" w:fill="B8CCE4" w:themeFill="accent1" w:themeFillTint="66"/>
            <w:vAlign w:val="center"/>
          </w:tcPr>
          <w:p w14:paraId="2864F8B4"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A (%)</w:t>
            </w:r>
          </w:p>
        </w:tc>
        <w:tc>
          <w:tcPr>
            <w:tcW w:w="704" w:type="dxa"/>
            <w:tcBorders>
              <w:top w:val="single" w:sz="4" w:space="0" w:color="auto"/>
              <w:bottom w:val="single" w:sz="4" w:space="0" w:color="auto"/>
            </w:tcBorders>
            <w:shd w:val="clear" w:color="auto" w:fill="B8CCE4" w:themeFill="accent1" w:themeFillTint="66"/>
            <w:vAlign w:val="center"/>
          </w:tcPr>
          <w:p w14:paraId="44A5D4FA"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SA (%)</w:t>
            </w:r>
          </w:p>
        </w:tc>
        <w:tc>
          <w:tcPr>
            <w:tcW w:w="709" w:type="dxa"/>
            <w:tcBorders>
              <w:top w:val="single" w:sz="4" w:space="0" w:color="auto"/>
              <w:bottom w:val="single" w:sz="4" w:space="0" w:color="auto"/>
            </w:tcBorders>
            <w:shd w:val="clear" w:color="auto" w:fill="B8CCE4" w:themeFill="accent1" w:themeFillTint="66"/>
            <w:noWrap/>
            <w:vAlign w:val="center"/>
          </w:tcPr>
          <w:p w14:paraId="28E84E84"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Mean</w:t>
            </w:r>
          </w:p>
        </w:tc>
        <w:tc>
          <w:tcPr>
            <w:tcW w:w="1015" w:type="dxa"/>
            <w:tcBorders>
              <w:top w:val="single" w:sz="4" w:space="0" w:color="auto"/>
              <w:bottom w:val="single" w:sz="4" w:space="0" w:color="auto"/>
            </w:tcBorders>
            <w:shd w:val="clear" w:color="auto" w:fill="B8CCE4" w:themeFill="accent1" w:themeFillTint="66"/>
            <w:vAlign w:val="center"/>
          </w:tcPr>
          <w:p w14:paraId="7318F3AB" w14:textId="77777777" w:rsidR="00A807B2" w:rsidRPr="00894076" w:rsidRDefault="00894076" w:rsidP="00894076">
            <w:pPr>
              <w:autoSpaceDE w:val="0"/>
              <w:autoSpaceDN w:val="0"/>
              <w:adjustRightInd w:val="0"/>
              <w:spacing w:after="0" w:line="240" w:lineRule="auto"/>
              <w:ind w:left="0" w:hanging="2"/>
              <w:jc w:val="center"/>
              <w:rPr>
                <w:rFonts w:ascii="Times New Roman" w:hAnsi="Times New Roman" w:cs="Times New Roman"/>
                <w:b/>
                <w:sz w:val="20"/>
                <w:szCs w:val="20"/>
                <w:lang w:val="en-MY"/>
              </w:rPr>
            </w:pPr>
            <w:r w:rsidRPr="00894076">
              <w:rPr>
                <w:rFonts w:ascii="Times New Roman" w:hAnsi="Times New Roman" w:cs="Times New Roman"/>
                <w:b/>
                <w:sz w:val="20"/>
                <w:szCs w:val="20"/>
                <w:lang w:val="en-MY"/>
              </w:rPr>
              <w:t>Standard deviation</w:t>
            </w:r>
          </w:p>
        </w:tc>
      </w:tr>
      <w:tr w:rsidR="005D0EE1" w:rsidRPr="00894076" w14:paraId="222F4F49" w14:textId="77777777" w:rsidTr="002B5E18">
        <w:trPr>
          <w:trHeight w:val="227"/>
          <w:jc w:val="center"/>
        </w:trPr>
        <w:tc>
          <w:tcPr>
            <w:tcW w:w="9376" w:type="dxa"/>
            <w:gridSpan w:val="9"/>
            <w:tcBorders>
              <w:top w:val="single" w:sz="4" w:space="0" w:color="auto"/>
            </w:tcBorders>
            <w:shd w:val="clear" w:color="auto" w:fill="auto"/>
            <w:noWrap/>
            <w:vAlign w:val="center"/>
          </w:tcPr>
          <w:p w14:paraId="49B43A59" w14:textId="77777777" w:rsidR="005D0EE1" w:rsidRPr="002B5E18" w:rsidRDefault="005D0EE1" w:rsidP="005D0EE1">
            <w:pPr>
              <w:autoSpaceDE w:val="0"/>
              <w:autoSpaceDN w:val="0"/>
              <w:adjustRightInd w:val="0"/>
              <w:spacing w:after="0" w:line="240" w:lineRule="auto"/>
              <w:ind w:left="0" w:hanging="2"/>
              <w:rPr>
                <w:rFonts w:ascii="Times New Roman" w:hAnsi="Times New Roman" w:cs="Times New Roman"/>
                <w:b/>
                <w:sz w:val="20"/>
                <w:szCs w:val="20"/>
                <w:lang w:val="en-MY"/>
              </w:rPr>
            </w:pPr>
            <w:r w:rsidRPr="002B5E18">
              <w:rPr>
                <w:rFonts w:ascii="Times New Roman" w:hAnsi="Times New Roman" w:cs="Times New Roman"/>
                <w:b/>
                <w:sz w:val="20"/>
                <w:szCs w:val="20"/>
                <w:lang w:val="en-MY"/>
              </w:rPr>
              <w:t>Facilities provision</w:t>
            </w:r>
          </w:p>
        </w:tc>
      </w:tr>
      <w:tr w:rsidR="005D0EE1" w:rsidRPr="00894076" w14:paraId="365574DA" w14:textId="77777777" w:rsidTr="002B5E18">
        <w:trPr>
          <w:trHeight w:val="227"/>
          <w:jc w:val="center"/>
        </w:trPr>
        <w:tc>
          <w:tcPr>
            <w:tcW w:w="459" w:type="dxa"/>
            <w:shd w:val="clear" w:color="auto" w:fill="auto"/>
            <w:noWrap/>
          </w:tcPr>
          <w:p w14:paraId="0C016D07"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w:t>
            </w:r>
          </w:p>
        </w:tc>
        <w:tc>
          <w:tcPr>
            <w:tcW w:w="3647" w:type="dxa"/>
            <w:shd w:val="clear" w:color="auto" w:fill="auto"/>
            <w:noWrap/>
            <w:vAlign w:val="center"/>
          </w:tcPr>
          <w:p w14:paraId="2DC0604A" w14:textId="77777777" w:rsidR="005D0EE1" w:rsidRPr="00894076" w:rsidRDefault="005D0EE1" w:rsidP="005D0EE1">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Many shops, stores, market or other places to buy things I need are within easy walking/ cycling distance of my home.</w:t>
            </w:r>
          </w:p>
        </w:tc>
        <w:tc>
          <w:tcPr>
            <w:tcW w:w="709" w:type="dxa"/>
            <w:shd w:val="clear" w:color="auto" w:fill="auto"/>
            <w:vAlign w:val="center"/>
          </w:tcPr>
          <w:p w14:paraId="483AB9F2"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6 (1.6)</w:t>
            </w:r>
          </w:p>
        </w:tc>
        <w:tc>
          <w:tcPr>
            <w:tcW w:w="733" w:type="dxa"/>
            <w:shd w:val="clear" w:color="auto" w:fill="auto"/>
            <w:vAlign w:val="center"/>
          </w:tcPr>
          <w:p w14:paraId="0FFC4232"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54 (14.0)</w:t>
            </w:r>
          </w:p>
        </w:tc>
        <w:tc>
          <w:tcPr>
            <w:tcW w:w="700" w:type="dxa"/>
            <w:shd w:val="clear" w:color="auto" w:fill="auto"/>
            <w:vAlign w:val="center"/>
          </w:tcPr>
          <w:p w14:paraId="5B84445D"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12 (3.1)</w:t>
            </w:r>
          </w:p>
        </w:tc>
        <w:tc>
          <w:tcPr>
            <w:tcW w:w="700" w:type="dxa"/>
            <w:shd w:val="clear" w:color="auto" w:fill="auto"/>
            <w:vAlign w:val="center"/>
          </w:tcPr>
          <w:p w14:paraId="7C3F9992"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269 (69.9)</w:t>
            </w:r>
          </w:p>
        </w:tc>
        <w:tc>
          <w:tcPr>
            <w:tcW w:w="704" w:type="dxa"/>
            <w:shd w:val="clear" w:color="auto" w:fill="auto"/>
            <w:vAlign w:val="center"/>
          </w:tcPr>
          <w:p w14:paraId="2EF3648F"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44 (11.4)</w:t>
            </w:r>
          </w:p>
        </w:tc>
        <w:tc>
          <w:tcPr>
            <w:tcW w:w="709" w:type="dxa"/>
            <w:shd w:val="clear" w:color="auto" w:fill="auto"/>
            <w:noWrap/>
            <w:vAlign w:val="center"/>
          </w:tcPr>
          <w:p w14:paraId="4A6598CA"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3.76</w:t>
            </w:r>
          </w:p>
        </w:tc>
        <w:tc>
          <w:tcPr>
            <w:tcW w:w="1015" w:type="dxa"/>
            <w:shd w:val="clear" w:color="auto" w:fill="auto"/>
            <w:vAlign w:val="center"/>
          </w:tcPr>
          <w:p w14:paraId="36A36B3B"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0.888</w:t>
            </w:r>
          </w:p>
        </w:tc>
      </w:tr>
      <w:tr w:rsidR="005D0EE1" w:rsidRPr="00894076" w14:paraId="05D4A94E" w14:textId="77777777" w:rsidTr="002B5E18">
        <w:trPr>
          <w:trHeight w:val="227"/>
          <w:jc w:val="center"/>
        </w:trPr>
        <w:tc>
          <w:tcPr>
            <w:tcW w:w="459" w:type="dxa"/>
            <w:shd w:val="clear" w:color="auto" w:fill="auto"/>
            <w:noWrap/>
          </w:tcPr>
          <w:p w14:paraId="07708E70"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w:t>
            </w:r>
          </w:p>
        </w:tc>
        <w:tc>
          <w:tcPr>
            <w:tcW w:w="3647" w:type="dxa"/>
            <w:shd w:val="clear" w:color="auto" w:fill="auto"/>
            <w:noWrap/>
            <w:vAlign w:val="center"/>
          </w:tcPr>
          <w:p w14:paraId="04151DDB" w14:textId="77777777" w:rsidR="005D0EE1" w:rsidRPr="00894076" w:rsidRDefault="005D0EE1" w:rsidP="005D0EE1">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It is within 10-15 minutes walking to transit stop (bus, taxi) from my home.</w:t>
            </w:r>
          </w:p>
        </w:tc>
        <w:tc>
          <w:tcPr>
            <w:tcW w:w="709" w:type="dxa"/>
            <w:shd w:val="clear" w:color="auto" w:fill="auto"/>
            <w:vAlign w:val="center"/>
          </w:tcPr>
          <w:p w14:paraId="392712C1"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 (0.8)</w:t>
            </w:r>
          </w:p>
        </w:tc>
        <w:tc>
          <w:tcPr>
            <w:tcW w:w="733" w:type="dxa"/>
            <w:shd w:val="clear" w:color="auto" w:fill="auto"/>
            <w:vAlign w:val="center"/>
          </w:tcPr>
          <w:p w14:paraId="2B0758CC"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52 (13.5)</w:t>
            </w:r>
          </w:p>
        </w:tc>
        <w:tc>
          <w:tcPr>
            <w:tcW w:w="700" w:type="dxa"/>
            <w:shd w:val="clear" w:color="auto" w:fill="auto"/>
            <w:vAlign w:val="center"/>
          </w:tcPr>
          <w:p w14:paraId="53E6460D"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20 (5.2)</w:t>
            </w:r>
          </w:p>
        </w:tc>
        <w:tc>
          <w:tcPr>
            <w:tcW w:w="700" w:type="dxa"/>
            <w:shd w:val="clear" w:color="auto" w:fill="auto"/>
            <w:vAlign w:val="center"/>
          </w:tcPr>
          <w:p w14:paraId="441A468D"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260 (67.5)</w:t>
            </w:r>
          </w:p>
        </w:tc>
        <w:tc>
          <w:tcPr>
            <w:tcW w:w="704" w:type="dxa"/>
            <w:shd w:val="clear" w:color="auto" w:fill="auto"/>
            <w:vAlign w:val="center"/>
          </w:tcPr>
          <w:p w14:paraId="3F11634B"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49 (12.7)</w:t>
            </w:r>
          </w:p>
        </w:tc>
        <w:tc>
          <w:tcPr>
            <w:tcW w:w="709" w:type="dxa"/>
            <w:shd w:val="clear" w:color="auto" w:fill="auto"/>
            <w:noWrap/>
            <w:vAlign w:val="center"/>
          </w:tcPr>
          <w:p w14:paraId="191B0672"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3.78</w:t>
            </w:r>
          </w:p>
        </w:tc>
        <w:tc>
          <w:tcPr>
            <w:tcW w:w="1015" w:type="dxa"/>
            <w:shd w:val="clear" w:color="auto" w:fill="auto"/>
            <w:vAlign w:val="center"/>
          </w:tcPr>
          <w:p w14:paraId="3CD300DB"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0.864</w:t>
            </w:r>
          </w:p>
        </w:tc>
      </w:tr>
      <w:tr w:rsidR="005D0EE1" w:rsidRPr="00894076" w14:paraId="07CDFDB5" w14:textId="77777777" w:rsidTr="002B5E18">
        <w:trPr>
          <w:trHeight w:val="227"/>
          <w:jc w:val="center"/>
        </w:trPr>
        <w:tc>
          <w:tcPr>
            <w:tcW w:w="459" w:type="dxa"/>
            <w:shd w:val="clear" w:color="auto" w:fill="auto"/>
            <w:noWrap/>
          </w:tcPr>
          <w:p w14:paraId="4A6FBD59"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w:t>
            </w:r>
          </w:p>
        </w:tc>
        <w:tc>
          <w:tcPr>
            <w:tcW w:w="3647" w:type="dxa"/>
            <w:shd w:val="clear" w:color="auto" w:fill="auto"/>
            <w:noWrap/>
            <w:vAlign w:val="center"/>
          </w:tcPr>
          <w:p w14:paraId="3BBFD906" w14:textId="77777777" w:rsidR="005D0EE1" w:rsidRPr="00894076" w:rsidRDefault="005D0EE1" w:rsidP="005D0EE1">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There are sidewalks on most of the streets in my neighborhood.</w:t>
            </w:r>
          </w:p>
        </w:tc>
        <w:tc>
          <w:tcPr>
            <w:tcW w:w="709" w:type="dxa"/>
            <w:shd w:val="clear" w:color="auto" w:fill="auto"/>
            <w:vAlign w:val="center"/>
          </w:tcPr>
          <w:p w14:paraId="49F57EEA"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21 (5.5)</w:t>
            </w:r>
          </w:p>
        </w:tc>
        <w:tc>
          <w:tcPr>
            <w:tcW w:w="733" w:type="dxa"/>
            <w:shd w:val="clear" w:color="auto" w:fill="auto"/>
            <w:vAlign w:val="center"/>
          </w:tcPr>
          <w:p w14:paraId="6A12B8A3"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140 (36.4)</w:t>
            </w:r>
          </w:p>
        </w:tc>
        <w:tc>
          <w:tcPr>
            <w:tcW w:w="700" w:type="dxa"/>
            <w:shd w:val="clear" w:color="auto" w:fill="auto"/>
            <w:vAlign w:val="center"/>
          </w:tcPr>
          <w:p w14:paraId="6B42390D"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21 (5.5)</w:t>
            </w:r>
          </w:p>
        </w:tc>
        <w:tc>
          <w:tcPr>
            <w:tcW w:w="700" w:type="dxa"/>
            <w:shd w:val="clear" w:color="auto" w:fill="auto"/>
            <w:vAlign w:val="center"/>
          </w:tcPr>
          <w:p w14:paraId="6693A0E1"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170 (44.2)</w:t>
            </w:r>
          </w:p>
        </w:tc>
        <w:tc>
          <w:tcPr>
            <w:tcW w:w="704" w:type="dxa"/>
            <w:shd w:val="clear" w:color="auto" w:fill="auto"/>
            <w:vAlign w:val="center"/>
          </w:tcPr>
          <w:p w14:paraId="488FCD00"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30 (7.8)</w:t>
            </w:r>
          </w:p>
        </w:tc>
        <w:tc>
          <w:tcPr>
            <w:tcW w:w="709" w:type="dxa"/>
            <w:shd w:val="clear" w:color="auto" w:fill="auto"/>
            <w:noWrap/>
            <w:vAlign w:val="center"/>
          </w:tcPr>
          <w:p w14:paraId="4FB85D1B"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3.13</w:t>
            </w:r>
          </w:p>
        </w:tc>
        <w:tc>
          <w:tcPr>
            <w:tcW w:w="1015" w:type="dxa"/>
            <w:shd w:val="clear" w:color="auto" w:fill="auto"/>
            <w:vAlign w:val="center"/>
          </w:tcPr>
          <w:p w14:paraId="6ED8A20F"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1.155</w:t>
            </w:r>
          </w:p>
        </w:tc>
      </w:tr>
      <w:tr w:rsidR="005D0EE1" w:rsidRPr="00894076" w14:paraId="7F35165C" w14:textId="77777777" w:rsidTr="002B5E18">
        <w:trPr>
          <w:trHeight w:val="227"/>
          <w:jc w:val="center"/>
        </w:trPr>
        <w:tc>
          <w:tcPr>
            <w:tcW w:w="459" w:type="dxa"/>
            <w:tcBorders>
              <w:bottom w:val="single" w:sz="4" w:space="0" w:color="auto"/>
            </w:tcBorders>
            <w:shd w:val="clear" w:color="auto" w:fill="auto"/>
            <w:noWrap/>
          </w:tcPr>
          <w:p w14:paraId="048ABDBB"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w:t>
            </w:r>
          </w:p>
        </w:tc>
        <w:tc>
          <w:tcPr>
            <w:tcW w:w="3647" w:type="dxa"/>
            <w:tcBorders>
              <w:bottom w:val="single" w:sz="4" w:space="0" w:color="auto"/>
            </w:tcBorders>
            <w:shd w:val="clear" w:color="auto" w:fill="auto"/>
            <w:noWrap/>
            <w:vAlign w:val="center"/>
          </w:tcPr>
          <w:p w14:paraId="599D7285" w14:textId="77777777" w:rsidR="005D0EE1" w:rsidRPr="00894076" w:rsidRDefault="005D0EE1" w:rsidP="005D0EE1">
            <w:pPr>
              <w:autoSpaceDE w:val="0"/>
              <w:autoSpaceDN w:val="0"/>
              <w:adjustRightInd w:val="0"/>
              <w:spacing w:after="0" w:line="240" w:lineRule="auto"/>
              <w:ind w:left="0" w:hanging="2"/>
              <w:jc w:val="both"/>
              <w:rPr>
                <w:rFonts w:ascii="Times New Roman" w:hAnsi="Times New Roman" w:cs="Times New Roman"/>
                <w:sz w:val="20"/>
                <w:szCs w:val="20"/>
              </w:rPr>
            </w:pPr>
            <w:r w:rsidRPr="00894076">
              <w:rPr>
                <w:rFonts w:ascii="Times New Roman" w:hAnsi="Times New Roman" w:cs="Times New Roman"/>
                <w:sz w:val="20"/>
                <w:szCs w:val="20"/>
              </w:rPr>
              <w:t>There are facilities to bicycle in or near my neighborhood, such as special lanes, separate paths or trails, shared use paths for cycles and pedestrians.</w:t>
            </w:r>
          </w:p>
        </w:tc>
        <w:tc>
          <w:tcPr>
            <w:tcW w:w="709" w:type="dxa"/>
            <w:tcBorders>
              <w:bottom w:val="single" w:sz="4" w:space="0" w:color="auto"/>
            </w:tcBorders>
            <w:shd w:val="clear" w:color="auto" w:fill="auto"/>
            <w:vAlign w:val="center"/>
          </w:tcPr>
          <w:p w14:paraId="083F2C04"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28 (7.3)</w:t>
            </w:r>
          </w:p>
        </w:tc>
        <w:tc>
          <w:tcPr>
            <w:tcW w:w="733" w:type="dxa"/>
            <w:tcBorders>
              <w:bottom w:val="single" w:sz="4" w:space="0" w:color="auto"/>
            </w:tcBorders>
            <w:shd w:val="clear" w:color="auto" w:fill="auto"/>
            <w:vAlign w:val="center"/>
          </w:tcPr>
          <w:p w14:paraId="7A8844CE"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166 (43.1)</w:t>
            </w:r>
          </w:p>
        </w:tc>
        <w:tc>
          <w:tcPr>
            <w:tcW w:w="700" w:type="dxa"/>
            <w:tcBorders>
              <w:bottom w:val="single" w:sz="4" w:space="0" w:color="auto"/>
            </w:tcBorders>
            <w:shd w:val="clear" w:color="auto" w:fill="auto"/>
            <w:vAlign w:val="center"/>
          </w:tcPr>
          <w:p w14:paraId="58C48B3F"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12 (3.1)</w:t>
            </w:r>
          </w:p>
        </w:tc>
        <w:tc>
          <w:tcPr>
            <w:tcW w:w="700" w:type="dxa"/>
            <w:tcBorders>
              <w:bottom w:val="single" w:sz="4" w:space="0" w:color="auto"/>
            </w:tcBorders>
            <w:shd w:val="clear" w:color="auto" w:fill="auto"/>
            <w:vAlign w:val="center"/>
          </w:tcPr>
          <w:p w14:paraId="071EC5D5"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148 (38.4)</w:t>
            </w:r>
          </w:p>
        </w:tc>
        <w:tc>
          <w:tcPr>
            <w:tcW w:w="704" w:type="dxa"/>
            <w:tcBorders>
              <w:bottom w:val="single" w:sz="4" w:space="0" w:color="auto"/>
            </w:tcBorders>
            <w:shd w:val="clear" w:color="auto" w:fill="auto"/>
            <w:vAlign w:val="center"/>
          </w:tcPr>
          <w:p w14:paraId="42983CF8"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27 (7.0)</w:t>
            </w:r>
          </w:p>
        </w:tc>
        <w:tc>
          <w:tcPr>
            <w:tcW w:w="709" w:type="dxa"/>
            <w:tcBorders>
              <w:bottom w:val="single" w:sz="4" w:space="0" w:color="auto"/>
            </w:tcBorders>
            <w:shd w:val="clear" w:color="auto" w:fill="auto"/>
            <w:noWrap/>
            <w:vAlign w:val="center"/>
          </w:tcPr>
          <w:p w14:paraId="6567BF99"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2.95</w:t>
            </w:r>
          </w:p>
        </w:tc>
        <w:tc>
          <w:tcPr>
            <w:tcW w:w="1015" w:type="dxa"/>
            <w:tcBorders>
              <w:bottom w:val="single" w:sz="4" w:space="0" w:color="auto"/>
            </w:tcBorders>
            <w:shd w:val="clear" w:color="auto" w:fill="auto"/>
            <w:vAlign w:val="center"/>
          </w:tcPr>
          <w:p w14:paraId="582E31B0" w14:textId="77777777" w:rsidR="005D0EE1" w:rsidRPr="00894076" w:rsidRDefault="005D0EE1" w:rsidP="005D0EE1">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1.184</w:t>
            </w:r>
          </w:p>
        </w:tc>
      </w:tr>
      <w:tr w:rsidR="00B53818" w:rsidRPr="00894076" w14:paraId="6726D387" w14:textId="77777777" w:rsidTr="002B5E18">
        <w:trPr>
          <w:trHeight w:val="227"/>
          <w:jc w:val="center"/>
        </w:trPr>
        <w:tc>
          <w:tcPr>
            <w:tcW w:w="9376" w:type="dxa"/>
            <w:gridSpan w:val="9"/>
            <w:tcBorders>
              <w:top w:val="single" w:sz="4" w:space="0" w:color="auto"/>
            </w:tcBorders>
            <w:shd w:val="clear" w:color="auto" w:fill="auto"/>
            <w:noWrap/>
          </w:tcPr>
          <w:p w14:paraId="32A7B711" w14:textId="77777777" w:rsidR="00B53818" w:rsidRPr="002B5E18" w:rsidRDefault="00B53818" w:rsidP="00B53818">
            <w:pPr>
              <w:autoSpaceDE w:val="0"/>
              <w:autoSpaceDN w:val="0"/>
              <w:adjustRightInd w:val="0"/>
              <w:spacing w:after="0" w:line="240" w:lineRule="auto"/>
              <w:ind w:left="0" w:hanging="2"/>
              <w:rPr>
                <w:rFonts w:ascii="Times New Roman" w:hAnsi="Times New Roman" w:cs="Times New Roman"/>
                <w:b/>
                <w:sz w:val="20"/>
                <w:szCs w:val="20"/>
                <w:lang w:val="en-MY"/>
              </w:rPr>
            </w:pPr>
            <w:r w:rsidRPr="002B5E18">
              <w:rPr>
                <w:rFonts w:ascii="Times New Roman" w:hAnsi="Times New Roman" w:cs="Times New Roman"/>
                <w:b/>
                <w:sz w:val="20"/>
                <w:szCs w:val="20"/>
                <w:lang w:val="en-MY"/>
              </w:rPr>
              <w:t>Safety from crime</w:t>
            </w:r>
          </w:p>
        </w:tc>
      </w:tr>
      <w:tr w:rsidR="00B53818" w:rsidRPr="00894076" w14:paraId="7CBE1C92" w14:textId="77777777" w:rsidTr="002B5E18">
        <w:trPr>
          <w:trHeight w:val="227"/>
          <w:jc w:val="center"/>
        </w:trPr>
        <w:tc>
          <w:tcPr>
            <w:tcW w:w="459" w:type="dxa"/>
            <w:shd w:val="clear" w:color="auto" w:fill="auto"/>
            <w:noWrap/>
          </w:tcPr>
          <w:p w14:paraId="578DBF6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5</w:t>
            </w:r>
          </w:p>
        </w:tc>
        <w:tc>
          <w:tcPr>
            <w:tcW w:w="3647" w:type="dxa"/>
            <w:shd w:val="clear" w:color="auto" w:fill="auto"/>
            <w:noWrap/>
            <w:vAlign w:val="center"/>
          </w:tcPr>
          <w:p w14:paraId="73F4B8B1" w14:textId="77777777" w:rsidR="00B53818" w:rsidRPr="00894076" w:rsidRDefault="00B53818" w:rsidP="00B538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 xml:space="preserve">The free or low-cost recreation facilities, such as parks, walking trails, bike paths, </w:t>
            </w:r>
            <w:r w:rsidRPr="00894076">
              <w:rPr>
                <w:rFonts w:ascii="Times New Roman" w:hAnsi="Times New Roman" w:cs="Times New Roman"/>
                <w:sz w:val="20"/>
                <w:szCs w:val="20"/>
              </w:rPr>
              <w:lastRenderedPageBreak/>
              <w:t xml:space="preserve">recreation centers, playground, </w:t>
            </w:r>
            <w:proofErr w:type="spellStart"/>
            <w:r w:rsidRPr="00894076">
              <w:rPr>
                <w:rFonts w:ascii="Times New Roman" w:hAnsi="Times New Roman" w:cs="Times New Roman"/>
                <w:sz w:val="20"/>
                <w:szCs w:val="20"/>
              </w:rPr>
              <w:t>etc</w:t>
            </w:r>
            <w:proofErr w:type="spellEnd"/>
            <w:r w:rsidRPr="00894076">
              <w:rPr>
                <w:rFonts w:ascii="Times New Roman" w:hAnsi="Times New Roman" w:cs="Times New Roman"/>
                <w:sz w:val="20"/>
                <w:szCs w:val="20"/>
              </w:rPr>
              <w:t xml:space="preserve"> are safe and well maintained. </w:t>
            </w:r>
          </w:p>
        </w:tc>
        <w:tc>
          <w:tcPr>
            <w:tcW w:w="709" w:type="dxa"/>
            <w:shd w:val="clear" w:color="auto" w:fill="auto"/>
            <w:vAlign w:val="center"/>
          </w:tcPr>
          <w:p w14:paraId="0E5E5C2F"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lastRenderedPageBreak/>
              <w:t>13 (3.4)</w:t>
            </w:r>
          </w:p>
        </w:tc>
        <w:tc>
          <w:tcPr>
            <w:tcW w:w="733" w:type="dxa"/>
            <w:shd w:val="clear" w:color="auto" w:fill="auto"/>
            <w:vAlign w:val="center"/>
          </w:tcPr>
          <w:p w14:paraId="5503308B"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70 (18.2)</w:t>
            </w:r>
          </w:p>
        </w:tc>
        <w:tc>
          <w:tcPr>
            <w:tcW w:w="700" w:type="dxa"/>
            <w:shd w:val="clear" w:color="auto" w:fill="auto"/>
            <w:vAlign w:val="center"/>
          </w:tcPr>
          <w:p w14:paraId="766A2A8C"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42 (10.9)</w:t>
            </w:r>
          </w:p>
        </w:tc>
        <w:tc>
          <w:tcPr>
            <w:tcW w:w="700" w:type="dxa"/>
            <w:shd w:val="clear" w:color="auto" w:fill="auto"/>
            <w:vAlign w:val="center"/>
          </w:tcPr>
          <w:p w14:paraId="61EF25D5"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224 (58.2)</w:t>
            </w:r>
          </w:p>
        </w:tc>
        <w:tc>
          <w:tcPr>
            <w:tcW w:w="704" w:type="dxa"/>
            <w:shd w:val="clear" w:color="auto" w:fill="auto"/>
            <w:vAlign w:val="center"/>
          </w:tcPr>
          <w:p w14:paraId="2E8B48A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35 (9.1)</w:t>
            </w:r>
          </w:p>
        </w:tc>
        <w:tc>
          <w:tcPr>
            <w:tcW w:w="709" w:type="dxa"/>
            <w:shd w:val="clear" w:color="auto" w:fill="auto"/>
            <w:noWrap/>
            <w:vAlign w:val="center"/>
          </w:tcPr>
          <w:p w14:paraId="306EF434"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3.52</w:t>
            </w:r>
          </w:p>
        </w:tc>
        <w:tc>
          <w:tcPr>
            <w:tcW w:w="1015" w:type="dxa"/>
            <w:shd w:val="clear" w:color="auto" w:fill="auto"/>
            <w:vAlign w:val="center"/>
          </w:tcPr>
          <w:p w14:paraId="2B9B37F3"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1.001</w:t>
            </w:r>
          </w:p>
        </w:tc>
      </w:tr>
      <w:tr w:rsidR="00B53818" w:rsidRPr="00894076" w14:paraId="0CBCBE68" w14:textId="77777777" w:rsidTr="002B5E18">
        <w:trPr>
          <w:trHeight w:val="227"/>
          <w:jc w:val="center"/>
        </w:trPr>
        <w:tc>
          <w:tcPr>
            <w:tcW w:w="459" w:type="dxa"/>
            <w:shd w:val="clear" w:color="auto" w:fill="auto"/>
            <w:noWrap/>
          </w:tcPr>
          <w:p w14:paraId="245B0F31"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lastRenderedPageBreak/>
              <w:t>6</w:t>
            </w:r>
          </w:p>
        </w:tc>
        <w:tc>
          <w:tcPr>
            <w:tcW w:w="3647" w:type="dxa"/>
            <w:shd w:val="clear" w:color="auto" w:fill="auto"/>
            <w:noWrap/>
            <w:vAlign w:val="center"/>
          </w:tcPr>
          <w:p w14:paraId="546291E8" w14:textId="77777777" w:rsidR="00B53818" w:rsidRPr="00894076" w:rsidRDefault="00B53818" w:rsidP="00B538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I feel safe walking or jogging alone in my neighborhood during the day.</w:t>
            </w:r>
          </w:p>
        </w:tc>
        <w:tc>
          <w:tcPr>
            <w:tcW w:w="709" w:type="dxa"/>
            <w:shd w:val="clear" w:color="auto" w:fill="auto"/>
            <w:vAlign w:val="center"/>
          </w:tcPr>
          <w:p w14:paraId="64845994"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 (1.0)</w:t>
            </w:r>
          </w:p>
        </w:tc>
        <w:tc>
          <w:tcPr>
            <w:tcW w:w="733" w:type="dxa"/>
            <w:shd w:val="clear" w:color="auto" w:fill="auto"/>
            <w:vAlign w:val="center"/>
          </w:tcPr>
          <w:p w14:paraId="446D7CF9"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41 (10.6)</w:t>
            </w:r>
          </w:p>
        </w:tc>
        <w:tc>
          <w:tcPr>
            <w:tcW w:w="700" w:type="dxa"/>
            <w:shd w:val="clear" w:color="auto" w:fill="auto"/>
            <w:vAlign w:val="center"/>
          </w:tcPr>
          <w:p w14:paraId="3760401D"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24 (6.2)</w:t>
            </w:r>
          </w:p>
        </w:tc>
        <w:tc>
          <w:tcPr>
            <w:tcW w:w="700" w:type="dxa"/>
            <w:shd w:val="clear" w:color="auto" w:fill="auto"/>
            <w:vAlign w:val="center"/>
          </w:tcPr>
          <w:p w14:paraId="02886258"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267 (69.4)</w:t>
            </w:r>
          </w:p>
        </w:tc>
        <w:tc>
          <w:tcPr>
            <w:tcW w:w="704" w:type="dxa"/>
            <w:shd w:val="clear" w:color="auto" w:fill="auto"/>
            <w:vAlign w:val="center"/>
          </w:tcPr>
          <w:p w14:paraId="45317A39"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47 (12.2)</w:t>
            </w:r>
          </w:p>
        </w:tc>
        <w:tc>
          <w:tcPr>
            <w:tcW w:w="709" w:type="dxa"/>
            <w:shd w:val="clear" w:color="auto" w:fill="auto"/>
            <w:noWrap/>
            <w:vAlign w:val="center"/>
          </w:tcPr>
          <w:p w14:paraId="162AB5A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3.81</w:t>
            </w:r>
          </w:p>
        </w:tc>
        <w:tc>
          <w:tcPr>
            <w:tcW w:w="1015" w:type="dxa"/>
            <w:shd w:val="clear" w:color="auto" w:fill="auto"/>
            <w:vAlign w:val="center"/>
          </w:tcPr>
          <w:p w14:paraId="7F878315"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0.822</w:t>
            </w:r>
          </w:p>
        </w:tc>
      </w:tr>
      <w:tr w:rsidR="00B53818" w:rsidRPr="00894076" w14:paraId="5C9A11B2" w14:textId="77777777" w:rsidTr="002B5E18">
        <w:trPr>
          <w:trHeight w:val="227"/>
          <w:jc w:val="center"/>
        </w:trPr>
        <w:tc>
          <w:tcPr>
            <w:tcW w:w="459" w:type="dxa"/>
            <w:shd w:val="clear" w:color="auto" w:fill="auto"/>
            <w:noWrap/>
          </w:tcPr>
          <w:p w14:paraId="3FE16656"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7</w:t>
            </w:r>
          </w:p>
        </w:tc>
        <w:tc>
          <w:tcPr>
            <w:tcW w:w="3647" w:type="dxa"/>
            <w:shd w:val="clear" w:color="auto" w:fill="auto"/>
            <w:noWrap/>
            <w:vAlign w:val="center"/>
          </w:tcPr>
          <w:p w14:paraId="451FC0D1" w14:textId="77777777" w:rsidR="00B53818" w:rsidRPr="00894076" w:rsidRDefault="00B53818" w:rsidP="00B538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I feel safe walking or jogging alone in my neighborhood in the evening.</w:t>
            </w:r>
          </w:p>
        </w:tc>
        <w:tc>
          <w:tcPr>
            <w:tcW w:w="709" w:type="dxa"/>
            <w:shd w:val="clear" w:color="auto" w:fill="auto"/>
            <w:vAlign w:val="center"/>
          </w:tcPr>
          <w:p w14:paraId="6E34E804"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 (2.6)</w:t>
            </w:r>
          </w:p>
        </w:tc>
        <w:tc>
          <w:tcPr>
            <w:tcW w:w="733" w:type="dxa"/>
            <w:shd w:val="clear" w:color="auto" w:fill="auto"/>
            <w:vAlign w:val="center"/>
          </w:tcPr>
          <w:p w14:paraId="7EB5D656"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102 (26.5)</w:t>
            </w:r>
          </w:p>
        </w:tc>
        <w:tc>
          <w:tcPr>
            <w:tcW w:w="700" w:type="dxa"/>
            <w:shd w:val="clear" w:color="auto" w:fill="auto"/>
            <w:vAlign w:val="center"/>
          </w:tcPr>
          <w:p w14:paraId="20ECAF3C"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38 (9.9)</w:t>
            </w:r>
          </w:p>
        </w:tc>
        <w:tc>
          <w:tcPr>
            <w:tcW w:w="700" w:type="dxa"/>
            <w:shd w:val="clear" w:color="auto" w:fill="auto"/>
            <w:vAlign w:val="center"/>
          </w:tcPr>
          <w:p w14:paraId="330B4C5E"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205 (53.2)</w:t>
            </w:r>
          </w:p>
        </w:tc>
        <w:tc>
          <w:tcPr>
            <w:tcW w:w="704" w:type="dxa"/>
            <w:shd w:val="clear" w:color="auto" w:fill="auto"/>
            <w:vAlign w:val="center"/>
          </w:tcPr>
          <w:p w14:paraId="537D7522"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29 (7.5)</w:t>
            </w:r>
          </w:p>
        </w:tc>
        <w:tc>
          <w:tcPr>
            <w:tcW w:w="709" w:type="dxa"/>
            <w:shd w:val="clear" w:color="auto" w:fill="auto"/>
            <w:noWrap/>
            <w:vAlign w:val="center"/>
          </w:tcPr>
          <w:p w14:paraId="0F038208"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3.37</w:t>
            </w:r>
          </w:p>
        </w:tc>
        <w:tc>
          <w:tcPr>
            <w:tcW w:w="1015" w:type="dxa"/>
            <w:shd w:val="clear" w:color="auto" w:fill="auto"/>
            <w:vAlign w:val="center"/>
          </w:tcPr>
          <w:p w14:paraId="14A016DE"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1.036</w:t>
            </w:r>
          </w:p>
        </w:tc>
      </w:tr>
      <w:tr w:rsidR="00B53818" w:rsidRPr="00894076" w14:paraId="59399038" w14:textId="77777777" w:rsidTr="002B5E18">
        <w:trPr>
          <w:trHeight w:val="227"/>
          <w:jc w:val="center"/>
        </w:trPr>
        <w:tc>
          <w:tcPr>
            <w:tcW w:w="459" w:type="dxa"/>
            <w:shd w:val="clear" w:color="auto" w:fill="auto"/>
            <w:noWrap/>
          </w:tcPr>
          <w:p w14:paraId="1DA5CBB5"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8</w:t>
            </w:r>
          </w:p>
        </w:tc>
        <w:tc>
          <w:tcPr>
            <w:tcW w:w="3647" w:type="dxa"/>
            <w:shd w:val="clear" w:color="auto" w:fill="auto"/>
            <w:noWrap/>
            <w:vAlign w:val="center"/>
          </w:tcPr>
          <w:p w14:paraId="7C84A3C2" w14:textId="77777777" w:rsidR="00B53818" w:rsidRPr="00894076" w:rsidRDefault="00B53818" w:rsidP="00B538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There are pedestrian signals to help walkers feel safe crossing busy streets in my neighborhood.</w:t>
            </w:r>
          </w:p>
        </w:tc>
        <w:tc>
          <w:tcPr>
            <w:tcW w:w="709" w:type="dxa"/>
            <w:shd w:val="clear" w:color="auto" w:fill="auto"/>
            <w:vAlign w:val="center"/>
          </w:tcPr>
          <w:p w14:paraId="078B54D9"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14 (3.6)</w:t>
            </w:r>
          </w:p>
        </w:tc>
        <w:tc>
          <w:tcPr>
            <w:tcW w:w="733" w:type="dxa"/>
            <w:shd w:val="clear" w:color="auto" w:fill="auto"/>
            <w:vAlign w:val="center"/>
          </w:tcPr>
          <w:p w14:paraId="0742B69E"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186 (48.3)</w:t>
            </w:r>
          </w:p>
        </w:tc>
        <w:tc>
          <w:tcPr>
            <w:tcW w:w="700" w:type="dxa"/>
            <w:shd w:val="clear" w:color="auto" w:fill="auto"/>
            <w:vAlign w:val="center"/>
          </w:tcPr>
          <w:p w14:paraId="25647E34"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19 (4.9)</w:t>
            </w:r>
          </w:p>
        </w:tc>
        <w:tc>
          <w:tcPr>
            <w:tcW w:w="700" w:type="dxa"/>
            <w:shd w:val="clear" w:color="auto" w:fill="auto"/>
            <w:vAlign w:val="center"/>
          </w:tcPr>
          <w:p w14:paraId="1B4A4A3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134 (34.8)</w:t>
            </w:r>
          </w:p>
        </w:tc>
        <w:tc>
          <w:tcPr>
            <w:tcW w:w="704" w:type="dxa"/>
            <w:shd w:val="clear" w:color="auto" w:fill="auto"/>
            <w:vAlign w:val="center"/>
          </w:tcPr>
          <w:p w14:paraId="0C0DD1BD"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28 (7.3)</w:t>
            </w:r>
          </w:p>
        </w:tc>
        <w:tc>
          <w:tcPr>
            <w:tcW w:w="709" w:type="dxa"/>
            <w:shd w:val="clear" w:color="auto" w:fill="auto"/>
            <w:noWrap/>
            <w:vAlign w:val="center"/>
          </w:tcPr>
          <w:p w14:paraId="0933E42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2.94</w:t>
            </w:r>
          </w:p>
        </w:tc>
        <w:tc>
          <w:tcPr>
            <w:tcW w:w="1015" w:type="dxa"/>
            <w:shd w:val="clear" w:color="auto" w:fill="auto"/>
            <w:vAlign w:val="center"/>
          </w:tcPr>
          <w:p w14:paraId="26C47141"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1.131</w:t>
            </w:r>
          </w:p>
        </w:tc>
      </w:tr>
      <w:tr w:rsidR="00B53818" w:rsidRPr="00894076" w14:paraId="6519FAC1" w14:textId="77777777" w:rsidTr="002B5E18">
        <w:trPr>
          <w:trHeight w:val="227"/>
          <w:jc w:val="center"/>
        </w:trPr>
        <w:tc>
          <w:tcPr>
            <w:tcW w:w="459" w:type="dxa"/>
            <w:tcBorders>
              <w:bottom w:val="single" w:sz="4" w:space="0" w:color="auto"/>
            </w:tcBorders>
            <w:shd w:val="clear" w:color="auto" w:fill="auto"/>
            <w:noWrap/>
          </w:tcPr>
          <w:p w14:paraId="105EAABC"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9</w:t>
            </w:r>
          </w:p>
        </w:tc>
        <w:tc>
          <w:tcPr>
            <w:tcW w:w="3647" w:type="dxa"/>
            <w:tcBorders>
              <w:bottom w:val="single" w:sz="4" w:space="0" w:color="auto"/>
            </w:tcBorders>
            <w:shd w:val="clear" w:color="auto" w:fill="auto"/>
            <w:noWrap/>
            <w:vAlign w:val="center"/>
          </w:tcPr>
          <w:p w14:paraId="1AC8A17A" w14:textId="77777777" w:rsidR="00B53818" w:rsidRPr="00894076" w:rsidRDefault="00B53818" w:rsidP="00B538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Most sidewalks on streets are well connected in my neighborhood.</w:t>
            </w:r>
          </w:p>
        </w:tc>
        <w:tc>
          <w:tcPr>
            <w:tcW w:w="709" w:type="dxa"/>
            <w:tcBorders>
              <w:bottom w:val="single" w:sz="4" w:space="0" w:color="auto"/>
            </w:tcBorders>
            <w:shd w:val="clear" w:color="auto" w:fill="auto"/>
            <w:vAlign w:val="center"/>
          </w:tcPr>
          <w:p w14:paraId="1DE77B1F"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14 (3.6)</w:t>
            </w:r>
          </w:p>
        </w:tc>
        <w:tc>
          <w:tcPr>
            <w:tcW w:w="733" w:type="dxa"/>
            <w:tcBorders>
              <w:bottom w:val="single" w:sz="4" w:space="0" w:color="auto"/>
            </w:tcBorders>
            <w:shd w:val="clear" w:color="auto" w:fill="auto"/>
            <w:vAlign w:val="center"/>
          </w:tcPr>
          <w:p w14:paraId="546B17C5"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190 (49.4)</w:t>
            </w:r>
          </w:p>
        </w:tc>
        <w:tc>
          <w:tcPr>
            <w:tcW w:w="700" w:type="dxa"/>
            <w:tcBorders>
              <w:bottom w:val="single" w:sz="4" w:space="0" w:color="auto"/>
            </w:tcBorders>
            <w:shd w:val="clear" w:color="auto" w:fill="auto"/>
            <w:vAlign w:val="center"/>
          </w:tcPr>
          <w:p w14:paraId="2B7BD3A8"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23 (6.0)</w:t>
            </w:r>
          </w:p>
        </w:tc>
        <w:tc>
          <w:tcPr>
            <w:tcW w:w="700" w:type="dxa"/>
            <w:tcBorders>
              <w:bottom w:val="single" w:sz="4" w:space="0" w:color="auto"/>
            </w:tcBorders>
            <w:shd w:val="clear" w:color="auto" w:fill="auto"/>
            <w:vAlign w:val="center"/>
          </w:tcPr>
          <w:p w14:paraId="4873ADDF"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129 (33.5)</w:t>
            </w:r>
          </w:p>
        </w:tc>
        <w:tc>
          <w:tcPr>
            <w:tcW w:w="704" w:type="dxa"/>
            <w:tcBorders>
              <w:bottom w:val="single" w:sz="4" w:space="0" w:color="auto"/>
            </w:tcBorders>
            <w:shd w:val="clear" w:color="auto" w:fill="auto"/>
            <w:vAlign w:val="center"/>
          </w:tcPr>
          <w:p w14:paraId="18E215B0"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24 (6.2)</w:t>
            </w:r>
          </w:p>
        </w:tc>
        <w:tc>
          <w:tcPr>
            <w:tcW w:w="709" w:type="dxa"/>
            <w:tcBorders>
              <w:bottom w:val="single" w:sz="4" w:space="0" w:color="auto"/>
            </w:tcBorders>
            <w:shd w:val="clear" w:color="auto" w:fill="auto"/>
            <w:noWrap/>
            <w:vAlign w:val="center"/>
          </w:tcPr>
          <w:p w14:paraId="3466B3F7"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2.89</w:t>
            </w:r>
          </w:p>
        </w:tc>
        <w:tc>
          <w:tcPr>
            <w:tcW w:w="1015" w:type="dxa"/>
            <w:tcBorders>
              <w:bottom w:val="single" w:sz="4" w:space="0" w:color="auto"/>
            </w:tcBorders>
            <w:shd w:val="clear" w:color="auto" w:fill="auto"/>
            <w:vAlign w:val="center"/>
          </w:tcPr>
          <w:p w14:paraId="6312D8F4" w14:textId="77777777" w:rsidR="00B53818" w:rsidRPr="00894076" w:rsidRDefault="00B53818" w:rsidP="00B538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1.110</w:t>
            </w:r>
          </w:p>
        </w:tc>
      </w:tr>
      <w:tr w:rsidR="002B1091" w:rsidRPr="00894076" w14:paraId="453F3306" w14:textId="77777777" w:rsidTr="002B5E18">
        <w:trPr>
          <w:trHeight w:val="227"/>
          <w:jc w:val="center"/>
        </w:trPr>
        <w:tc>
          <w:tcPr>
            <w:tcW w:w="9376" w:type="dxa"/>
            <w:gridSpan w:val="9"/>
            <w:tcBorders>
              <w:top w:val="single" w:sz="4" w:space="0" w:color="auto"/>
            </w:tcBorders>
            <w:shd w:val="clear" w:color="auto" w:fill="auto"/>
            <w:noWrap/>
          </w:tcPr>
          <w:p w14:paraId="30B5B075" w14:textId="77777777" w:rsidR="002B1091" w:rsidRPr="002B5E18" w:rsidRDefault="002B1091" w:rsidP="002B1091">
            <w:pPr>
              <w:autoSpaceDE w:val="0"/>
              <w:autoSpaceDN w:val="0"/>
              <w:adjustRightInd w:val="0"/>
              <w:spacing w:after="0" w:line="240" w:lineRule="auto"/>
              <w:ind w:left="0" w:hanging="2"/>
              <w:rPr>
                <w:rFonts w:ascii="Times New Roman" w:hAnsi="Times New Roman" w:cs="Times New Roman"/>
                <w:b/>
                <w:sz w:val="20"/>
                <w:szCs w:val="20"/>
                <w:lang w:val="en-MY"/>
              </w:rPr>
            </w:pPr>
            <w:r w:rsidRPr="002B5E18">
              <w:rPr>
                <w:rFonts w:ascii="Times New Roman" w:hAnsi="Times New Roman" w:cs="Times New Roman"/>
                <w:b/>
                <w:sz w:val="20"/>
                <w:szCs w:val="20"/>
                <w:lang w:val="en-MY"/>
              </w:rPr>
              <w:t>Surrounding environment</w:t>
            </w:r>
          </w:p>
        </w:tc>
      </w:tr>
      <w:tr w:rsidR="00191418" w:rsidRPr="00894076" w14:paraId="292E445D" w14:textId="77777777" w:rsidTr="002B5E18">
        <w:trPr>
          <w:trHeight w:val="227"/>
          <w:jc w:val="center"/>
        </w:trPr>
        <w:tc>
          <w:tcPr>
            <w:tcW w:w="459" w:type="dxa"/>
            <w:shd w:val="clear" w:color="auto" w:fill="auto"/>
            <w:noWrap/>
          </w:tcPr>
          <w:p w14:paraId="249541B3"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w:t>
            </w:r>
          </w:p>
        </w:tc>
        <w:tc>
          <w:tcPr>
            <w:tcW w:w="3647" w:type="dxa"/>
            <w:shd w:val="clear" w:color="auto" w:fill="auto"/>
            <w:noWrap/>
            <w:vAlign w:val="center"/>
          </w:tcPr>
          <w:p w14:paraId="0D0645AC" w14:textId="77777777" w:rsidR="00191418" w:rsidRPr="00894076" w:rsidRDefault="00191418" w:rsidP="001914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I see many people being physically active in my neighborhood doing things like walking, jogging, cycling, or playing sports and active games.</w:t>
            </w:r>
          </w:p>
        </w:tc>
        <w:tc>
          <w:tcPr>
            <w:tcW w:w="709" w:type="dxa"/>
            <w:shd w:val="clear" w:color="auto" w:fill="auto"/>
            <w:vAlign w:val="center"/>
          </w:tcPr>
          <w:p w14:paraId="44ABA290"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5 (1.3)</w:t>
            </w:r>
          </w:p>
        </w:tc>
        <w:tc>
          <w:tcPr>
            <w:tcW w:w="733" w:type="dxa"/>
            <w:shd w:val="clear" w:color="auto" w:fill="auto"/>
            <w:vAlign w:val="center"/>
          </w:tcPr>
          <w:p w14:paraId="0788484E"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38 (9.9)</w:t>
            </w:r>
          </w:p>
        </w:tc>
        <w:tc>
          <w:tcPr>
            <w:tcW w:w="700" w:type="dxa"/>
            <w:shd w:val="clear" w:color="auto" w:fill="auto"/>
            <w:vAlign w:val="center"/>
          </w:tcPr>
          <w:p w14:paraId="124A9196"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21 (5.5)</w:t>
            </w:r>
          </w:p>
        </w:tc>
        <w:tc>
          <w:tcPr>
            <w:tcW w:w="700" w:type="dxa"/>
            <w:shd w:val="clear" w:color="auto" w:fill="auto"/>
            <w:vAlign w:val="center"/>
          </w:tcPr>
          <w:p w14:paraId="51BFD247"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239 (62.1)</w:t>
            </w:r>
          </w:p>
        </w:tc>
        <w:tc>
          <w:tcPr>
            <w:tcW w:w="704" w:type="dxa"/>
            <w:shd w:val="clear" w:color="auto" w:fill="auto"/>
            <w:vAlign w:val="center"/>
          </w:tcPr>
          <w:p w14:paraId="46F2BCC4"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82 (21.3)</w:t>
            </w:r>
          </w:p>
        </w:tc>
        <w:tc>
          <w:tcPr>
            <w:tcW w:w="709" w:type="dxa"/>
            <w:shd w:val="clear" w:color="auto" w:fill="auto"/>
            <w:noWrap/>
            <w:vAlign w:val="center"/>
          </w:tcPr>
          <w:p w14:paraId="69409646"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3.92</w:t>
            </w:r>
          </w:p>
        </w:tc>
        <w:tc>
          <w:tcPr>
            <w:tcW w:w="1015" w:type="dxa"/>
            <w:shd w:val="clear" w:color="auto" w:fill="auto"/>
            <w:vAlign w:val="center"/>
          </w:tcPr>
          <w:p w14:paraId="6DD1EAEC"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0.880</w:t>
            </w:r>
          </w:p>
        </w:tc>
      </w:tr>
      <w:tr w:rsidR="00191418" w:rsidRPr="00894076" w14:paraId="1479F19C" w14:textId="77777777" w:rsidTr="002B5E18">
        <w:trPr>
          <w:trHeight w:val="227"/>
          <w:jc w:val="center"/>
        </w:trPr>
        <w:tc>
          <w:tcPr>
            <w:tcW w:w="459" w:type="dxa"/>
            <w:tcBorders>
              <w:bottom w:val="single" w:sz="4" w:space="0" w:color="auto"/>
            </w:tcBorders>
            <w:shd w:val="clear" w:color="auto" w:fill="auto"/>
            <w:noWrap/>
          </w:tcPr>
          <w:p w14:paraId="6F017B86"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11</w:t>
            </w:r>
          </w:p>
        </w:tc>
        <w:tc>
          <w:tcPr>
            <w:tcW w:w="3647" w:type="dxa"/>
            <w:tcBorders>
              <w:bottom w:val="single" w:sz="4" w:space="0" w:color="auto"/>
            </w:tcBorders>
            <w:shd w:val="clear" w:color="auto" w:fill="auto"/>
            <w:noWrap/>
            <w:vAlign w:val="center"/>
          </w:tcPr>
          <w:p w14:paraId="26ECB86B" w14:textId="77777777" w:rsidR="00191418" w:rsidRPr="00894076" w:rsidRDefault="00191418" w:rsidP="00191418">
            <w:pPr>
              <w:autoSpaceDE w:val="0"/>
              <w:autoSpaceDN w:val="0"/>
              <w:adjustRightInd w:val="0"/>
              <w:spacing w:after="0" w:line="240" w:lineRule="auto"/>
              <w:ind w:left="0" w:hanging="2"/>
              <w:jc w:val="both"/>
              <w:rPr>
                <w:rFonts w:ascii="Times New Roman" w:hAnsi="Times New Roman" w:cs="Times New Roman"/>
                <w:sz w:val="20"/>
                <w:szCs w:val="20"/>
                <w:lang w:val="en-MY"/>
              </w:rPr>
            </w:pPr>
            <w:r w:rsidRPr="00894076">
              <w:rPr>
                <w:rFonts w:ascii="Times New Roman" w:hAnsi="Times New Roman" w:cs="Times New Roman"/>
                <w:sz w:val="20"/>
                <w:szCs w:val="20"/>
              </w:rPr>
              <w:t>There are many interesting things to look at while walking in my neighborhood.</w:t>
            </w:r>
          </w:p>
        </w:tc>
        <w:tc>
          <w:tcPr>
            <w:tcW w:w="709" w:type="dxa"/>
            <w:tcBorders>
              <w:bottom w:val="single" w:sz="4" w:space="0" w:color="auto"/>
            </w:tcBorders>
            <w:shd w:val="clear" w:color="auto" w:fill="auto"/>
            <w:vAlign w:val="center"/>
          </w:tcPr>
          <w:p w14:paraId="626BBAB5"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5 (1.3)</w:t>
            </w:r>
          </w:p>
        </w:tc>
        <w:tc>
          <w:tcPr>
            <w:tcW w:w="733" w:type="dxa"/>
            <w:tcBorders>
              <w:bottom w:val="single" w:sz="4" w:space="0" w:color="auto"/>
            </w:tcBorders>
            <w:shd w:val="clear" w:color="auto" w:fill="auto"/>
            <w:vAlign w:val="center"/>
          </w:tcPr>
          <w:p w14:paraId="59E6A9CA"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98 (25.5)</w:t>
            </w:r>
          </w:p>
        </w:tc>
        <w:tc>
          <w:tcPr>
            <w:tcW w:w="700" w:type="dxa"/>
            <w:tcBorders>
              <w:bottom w:val="single" w:sz="4" w:space="0" w:color="auto"/>
            </w:tcBorders>
            <w:shd w:val="clear" w:color="auto" w:fill="auto"/>
            <w:vAlign w:val="center"/>
          </w:tcPr>
          <w:p w14:paraId="010C83C7"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47 (12.2)</w:t>
            </w:r>
          </w:p>
        </w:tc>
        <w:tc>
          <w:tcPr>
            <w:tcW w:w="700" w:type="dxa"/>
            <w:tcBorders>
              <w:bottom w:val="single" w:sz="4" w:space="0" w:color="auto"/>
            </w:tcBorders>
            <w:shd w:val="clear" w:color="auto" w:fill="auto"/>
            <w:vAlign w:val="center"/>
          </w:tcPr>
          <w:p w14:paraId="58281127"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199 (51.7)</w:t>
            </w:r>
          </w:p>
        </w:tc>
        <w:tc>
          <w:tcPr>
            <w:tcW w:w="704" w:type="dxa"/>
            <w:tcBorders>
              <w:bottom w:val="single" w:sz="4" w:space="0" w:color="auto"/>
            </w:tcBorders>
            <w:shd w:val="clear" w:color="auto" w:fill="auto"/>
            <w:vAlign w:val="center"/>
          </w:tcPr>
          <w:p w14:paraId="1426F74A"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36 (9.4)</w:t>
            </w:r>
          </w:p>
        </w:tc>
        <w:tc>
          <w:tcPr>
            <w:tcW w:w="709" w:type="dxa"/>
            <w:tcBorders>
              <w:bottom w:val="single" w:sz="4" w:space="0" w:color="auto"/>
            </w:tcBorders>
            <w:shd w:val="clear" w:color="auto" w:fill="auto"/>
            <w:noWrap/>
            <w:vAlign w:val="center"/>
          </w:tcPr>
          <w:p w14:paraId="35E982F6"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3.42</w:t>
            </w:r>
          </w:p>
        </w:tc>
        <w:tc>
          <w:tcPr>
            <w:tcW w:w="1015" w:type="dxa"/>
            <w:tcBorders>
              <w:bottom w:val="single" w:sz="4" w:space="0" w:color="auto"/>
            </w:tcBorders>
            <w:shd w:val="clear" w:color="auto" w:fill="auto"/>
            <w:vAlign w:val="center"/>
          </w:tcPr>
          <w:p w14:paraId="5A51F03B" w14:textId="77777777" w:rsidR="00191418" w:rsidRPr="00894076" w:rsidRDefault="00191418" w:rsidP="00191418">
            <w:pPr>
              <w:autoSpaceDE w:val="0"/>
              <w:autoSpaceDN w:val="0"/>
              <w:adjustRightInd w:val="0"/>
              <w:spacing w:after="0" w:line="240" w:lineRule="auto"/>
              <w:ind w:left="0" w:hanging="2"/>
              <w:jc w:val="center"/>
              <w:rPr>
                <w:rFonts w:ascii="Times New Roman" w:hAnsi="Times New Roman" w:cs="Times New Roman"/>
                <w:sz w:val="20"/>
                <w:szCs w:val="20"/>
                <w:lang w:val="en-MY"/>
              </w:rPr>
            </w:pPr>
            <w:r w:rsidRPr="00894076">
              <w:rPr>
                <w:rFonts w:ascii="Times New Roman" w:hAnsi="Times New Roman" w:cs="Times New Roman"/>
                <w:sz w:val="20"/>
                <w:szCs w:val="20"/>
                <w:lang w:val="en-MY"/>
              </w:rPr>
              <w:t>1.010</w:t>
            </w:r>
          </w:p>
        </w:tc>
      </w:tr>
    </w:tbl>
    <w:p w14:paraId="2536AFE9" w14:textId="77777777" w:rsidR="00A807B2" w:rsidRDefault="00894076" w:rsidP="002B5E18">
      <w:pPr>
        <w:autoSpaceDE w:val="0"/>
        <w:autoSpaceDN w:val="0"/>
        <w:adjustRightInd w:val="0"/>
        <w:spacing w:after="0" w:line="240" w:lineRule="auto"/>
        <w:ind w:leftChars="0" w:left="0" w:firstLineChars="0" w:firstLine="0"/>
        <w:jc w:val="both"/>
        <w:rPr>
          <w:rFonts w:ascii="Times New Roman" w:hAnsi="Times New Roman" w:cs="Times New Roman"/>
          <w:sz w:val="20"/>
          <w:szCs w:val="20"/>
          <w:lang w:val="en-MY"/>
        </w:rPr>
      </w:pPr>
      <w:r>
        <w:rPr>
          <w:rFonts w:ascii="Times New Roman" w:hAnsi="Times New Roman" w:cs="Times New Roman"/>
          <w:sz w:val="20"/>
          <w:szCs w:val="20"/>
          <w:lang w:val="en-MY"/>
        </w:rPr>
        <w:t>Note: SD=Strongly Disagree, D=Disagree, N=Neutral, A=Agree, SA=Strongly Agree</w:t>
      </w:r>
    </w:p>
    <w:p w14:paraId="3E074700" w14:textId="77777777" w:rsidR="00A807B2" w:rsidRDefault="00A807B2">
      <w:pPr>
        <w:autoSpaceDE w:val="0"/>
        <w:autoSpaceDN w:val="0"/>
        <w:adjustRightInd w:val="0"/>
        <w:spacing w:after="0" w:line="240" w:lineRule="auto"/>
        <w:ind w:left="0" w:hanging="2"/>
        <w:jc w:val="both"/>
        <w:rPr>
          <w:rFonts w:ascii="Times New Roman" w:hAnsi="Times New Roman" w:cs="Times New Roman"/>
          <w:sz w:val="24"/>
          <w:szCs w:val="24"/>
          <w:lang w:val="en-MY"/>
        </w:rPr>
      </w:pPr>
    </w:p>
    <w:p w14:paraId="383B9E2C"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bookmarkStart w:id="7" w:name="_Hlk91809876"/>
      <w:bookmarkEnd w:id="4"/>
      <w:r>
        <w:rPr>
          <w:rFonts w:ascii="Times New Roman" w:hAnsi="Times New Roman" w:cs="Times New Roman"/>
          <w:bCs/>
          <w:sz w:val="24"/>
          <w:szCs w:val="24"/>
          <w:lang w:val="en-MY"/>
        </w:rPr>
        <w:t xml:space="preserve">The results of the USJ homeowners' perceptions on the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xml:space="preserve"> </w:t>
      </w:r>
      <w:r>
        <w:rPr>
          <w:rFonts w:ascii="Times New Roman" w:hAnsi="Times New Roman" w:cs="Times New Roman"/>
          <w:sz w:val="24"/>
          <w:szCs w:val="24"/>
        </w:rPr>
        <w:t xml:space="preserve">(outdoor) </w:t>
      </w:r>
      <w:r>
        <w:rPr>
          <w:rFonts w:ascii="Times New Roman" w:hAnsi="Times New Roman" w:cs="Times New Roman"/>
          <w:bCs/>
          <w:sz w:val="24"/>
          <w:szCs w:val="24"/>
          <w:lang w:val="en-MY"/>
        </w:rPr>
        <w:t>environment are shown in Table 2 above. As can be seen from Facilities Provision, the majority of respondents (269, 69.9%) agreed with the statement "Many shops, stores, markets, or other locations to buy products I need are within easy walking distance or cycling distance from my home," while 14.0% (54 respondents) disagreed. While the item's mean and standard deviation are 3.76 and 0.888, respectively.</w:t>
      </w:r>
    </w:p>
    <w:bookmarkEnd w:id="7"/>
    <w:p w14:paraId="622FC949"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Next, it can be seen that the second item of the facilities provision, the finding analysis shows that the majority of the respondents have agreed (260, 67.5%) with this statement, “It is within 10-15 minutes walking to transit stop (bus, taxi) from my home”, while 13.5% (52 respondents) of the respondents have disagreed. Meanwhile, the mean and standard deviation</w:t>
      </w:r>
      <w:r>
        <w:rPr>
          <w:rFonts w:ascii="Times New Roman" w:hAnsi="Times New Roman" w:cs="Times New Roman"/>
          <w:b/>
          <w:sz w:val="24"/>
          <w:szCs w:val="24"/>
          <w:u w:val="single"/>
          <w:lang w:val="en-MY"/>
        </w:rPr>
        <w:t>s</w:t>
      </w:r>
      <w:r>
        <w:rPr>
          <w:rFonts w:ascii="Times New Roman" w:hAnsi="Times New Roman" w:cs="Times New Roman"/>
          <w:bCs/>
          <w:sz w:val="24"/>
          <w:szCs w:val="24"/>
          <w:lang w:val="en-MY"/>
        </w:rPr>
        <w:t xml:space="preserve"> for this item are 3.78 and 0.864. </w:t>
      </w:r>
    </w:p>
    <w:p w14:paraId="5E49E469"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The third facility provision item follows next, and the finding analysis reveals that 44.2% (170 respondents) of the respondents agreed with the statement, "There are sidewalks on most of the streets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while the remaining respondents (140, 36.4%) disagreed. Meanwhile, the item's mean and standard deviations are 3.13 and 1.155, respectively.</w:t>
      </w:r>
    </w:p>
    <w:p w14:paraId="53CC89C1"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The final facility provision item revealed that 166 respondents, or 43.1%, disagreed with the statement, "There are facilities to bicycle in or near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such as special lanes, separate paths or trails, and shared use paths for cycles and pedestrians," while 148 respondents, or 38.4%, agreed with the statement. Meanwhile, the item's mean and standard deviations are 2.95 and 1.184, respectively.</w:t>
      </w:r>
    </w:p>
    <w:p w14:paraId="68CD8362"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Additionally, it can be seen that the first item in this section, the finding analysis shows that more than half of the respondents have agreed (224, 58.2%) with this statement, "The free or low</w:t>
      </w:r>
      <w:r w:rsidR="00DC3A52">
        <w:rPr>
          <w:rFonts w:ascii="Times New Roman" w:hAnsi="Times New Roman" w:cs="Times New Roman"/>
          <w:bCs/>
          <w:sz w:val="24"/>
          <w:szCs w:val="24"/>
          <w:lang w:val="en-MY"/>
        </w:rPr>
        <w:t xml:space="preserve"> </w:t>
      </w:r>
      <w:r>
        <w:rPr>
          <w:rFonts w:ascii="Times New Roman" w:hAnsi="Times New Roman" w:cs="Times New Roman"/>
          <w:bCs/>
          <w:sz w:val="24"/>
          <w:szCs w:val="24"/>
          <w:lang w:val="en-MY"/>
        </w:rPr>
        <w:t xml:space="preserve">cost recreation facilities, such as parks, walking trails, bike paths, recreation </w:t>
      </w:r>
      <w:proofErr w:type="spellStart"/>
      <w:r>
        <w:rPr>
          <w:rFonts w:ascii="Times New Roman" w:hAnsi="Times New Roman" w:cs="Times New Roman"/>
          <w:bCs/>
          <w:sz w:val="24"/>
          <w:szCs w:val="24"/>
          <w:lang w:val="en-MY"/>
        </w:rPr>
        <w:t>centers</w:t>
      </w:r>
      <w:proofErr w:type="spellEnd"/>
      <w:r>
        <w:rPr>
          <w:rFonts w:ascii="Times New Roman" w:hAnsi="Times New Roman" w:cs="Times New Roman"/>
          <w:bCs/>
          <w:sz w:val="24"/>
          <w:szCs w:val="24"/>
          <w:lang w:val="en-MY"/>
        </w:rPr>
        <w:t>, playground, etcetera, are safe and well maintained," while 18.2% (70 respondents) of the respondents have disagreed. Meanwhile, the item's mean and standard deviations are 3.52 and 1.001, correspondingly.</w:t>
      </w:r>
    </w:p>
    <w:p w14:paraId="2F363160"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“I feel comfortable walking or running alone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xml:space="preserve"> during the day”, the second item of the safety from crime section, the majority of respondents agreed (267, 69.4%), </w:t>
      </w:r>
      <w:r>
        <w:rPr>
          <w:rFonts w:ascii="Times New Roman" w:hAnsi="Times New Roman" w:cs="Times New Roman"/>
          <w:bCs/>
          <w:sz w:val="24"/>
          <w:szCs w:val="24"/>
          <w:lang w:val="en-MY"/>
        </w:rPr>
        <w:lastRenderedPageBreak/>
        <w:t>and 12.2% (47 respondents) of the respondents strongly agreed on this issue. Meanwhile, the item's mean and standard deviations are 3.81 and 0.822, respectively.</w:t>
      </w:r>
    </w:p>
    <w:p w14:paraId="4D11037F"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Then, based on the third component of safety from crime, the finding analysis reveals that 205 respondents, or 53.2%, have supported the statement, "I feel comfortable walking or jogging alone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xml:space="preserve"> in the evening," whereas 102 respondents, or 26.5%, have disagreed. Meanwhile, item's mean and standard deviations are 3.37 and 1.036, correspondingly. The results of the analysis for the fourth item, "Safety from Crime," indicate that 186 respondents, or 48.3%, have opposed the statement, "There are pedestrian signals to help walkers feel safe crossing busy streets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and 134 respondents, or 34.8%, have agreed with it. Meanwhile, the item's mean and standard deviations are 2.94 and 1.131, respectively.</w:t>
      </w:r>
      <w:bookmarkStart w:id="8" w:name="_Hlk91810809"/>
    </w:p>
    <w:p w14:paraId="20BFEDE3"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The final item of the safety from crime finding study indicates that 190 respondents, or 49.4%, have disagreed with the statement, "Most sidewalks on streets are well connected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while 129 respondents, or 33.5%, have concurred. Meanwhile, the item's mean and standard deviations are 2.89 and 1.110, respectively.</w:t>
      </w:r>
      <w:bookmarkEnd w:id="8"/>
      <w:r>
        <w:rPr>
          <w:rFonts w:ascii="Times New Roman" w:hAnsi="Times New Roman" w:cs="Times New Roman"/>
          <w:bCs/>
          <w:sz w:val="24"/>
          <w:szCs w:val="24"/>
          <w:lang w:val="en-MY"/>
        </w:rPr>
        <w:t xml:space="preserve"> </w:t>
      </w:r>
    </w:p>
    <w:p w14:paraId="7E15F3A1" w14:textId="77777777" w:rsidR="00A807B2" w:rsidRDefault="00894076" w:rsidP="00E30E19">
      <w:pPr>
        <w:autoSpaceDE w:val="0"/>
        <w:autoSpaceDN w:val="0"/>
        <w:adjustRightInd w:val="0"/>
        <w:spacing w:after="0" w:line="240" w:lineRule="auto"/>
        <w:ind w:leftChars="0" w:left="0" w:firstLineChars="0" w:firstLine="720"/>
        <w:jc w:val="both"/>
        <w:rPr>
          <w:rFonts w:ascii="Times New Roman" w:hAnsi="Times New Roman" w:cs="Times New Roman"/>
          <w:bCs/>
          <w:sz w:val="24"/>
          <w:szCs w:val="24"/>
          <w:lang w:val="en-MY"/>
        </w:rPr>
      </w:pPr>
      <w:r>
        <w:rPr>
          <w:rFonts w:ascii="Times New Roman" w:hAnsi="Times New Roman" w:cs="Times New Roman"/>
          <w:bCs/>
          <w:sz w:val="24"/>
          <w:szCs w:val="24"/>
          <w:lang w:val="en-MY"/>
        </w:rPr>
        <w:t xml:space="preserve">Subsequently, it can be seen that the first item in this surrounding environment section, the finding analysis shows that the majority of the respondents have agreed (239, 62.1%) with this statement, "I see many people being physically active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xml:space="preserve"> doing things like walking, jogging, cycling, or playing sports and active games," and 21.3% (82 respondents) of the entire sample size have strongly agreed with the statement. Meanwhile, the item's mean and standard deviations are 3.92 and 0.880, respectively. The second item of the surrounding environment, finding analysis shows that 51.7% (199 respondents) of the respondents have agreed with this statement, "There are many interesting things to look at while walking in my </w:t>
      </w:r>
      <w:proofErr w:type="spellStart"/>
      <w:r>
        <w:rPr>
          <w:rFonts w:ascii="Times New Roman" w:hAnsi="Times New Roman" w:cs="Times New Roman"/>
          <w:bCs/>
          <w:sz w:val="24"/>
          <w:szCs w:val="24"/>
          <w:lang w:val="en-MY"/>
        </w:rPr>
        <w:t>neighborhood</w:t>
      </w:r>
      <w:proofErr w:type="spellEnd"/>
      <w:r>
        <w:rPr>
          <w:rFonts w:ascii="Times New Roman" w:hAnsi="Times New Roman" w:cs="Times New Roman"/>
          <w:bCs/>
          <w:sz w:val="24"/>
          <w:szCs w:val="24"/>
          <w:lang w:val="en-MY"/>
        </w:rPr>
        <w:t>", and the remainder of the respondents have disagreed with the statement (98, 25.5%). The item's mean and standard deviations, however, are 3.42 and 1.010, respectively.</w:t>
      </w:r>
    </w:p>
    <w:p w14:paraId="2B306359" w14:textId="77777777" w:rsidR="00A807B2" w:rsidRDefault="00A807B2" w:rsidP="00E30E19">
      <w:pPr>
        <w:autoSpaceDE w:val="0"/>
        <w:autoSpaceDN w:val="0"/>
        <w:adjustRightInd w:val="0"/>
        <w:spacing w:after="0" w:line="240" w:lineRule="auto"/>
        <w:ind w:left="0" w:hanging="2"/>
        <w:jc w:val="both"/>
        <w:rPr>
          <w:rFonts w:ascii="Times New Roman" w:hAnsi="Times New Roman" w:cs="Times New Roman"/>
          <w:bCs/>
          <w:sz w:val="24"/>
          <w:szCs w:val="24"/>
        </w:rPr>
      </w:pPr>
    </w:p>
    <w:p w14:paraId="7A600A8C" w14:textId="77777777" w:rsidR="00A807B2" w:rsidRDefault="00894076" w:rsidP="00E30E19">
      <w:pPr>
        <w:pStyle w:val="Default"/>
        <w:ind w:hanging="2"/>
        <w:jc w:val="both"/>
        <w:rPr>
          <w:rFonts w:ascii="Times New Roman" w:hAnsi="Times New Roman" w:cs="Times New Roman"/>
          <w:bCs/>
          <w:i/>
          <w:color w:val="auto"/>
          <w:lang w:val="en-GB"/>
        </w:rPr>
      </w:pPr>
      <w:r>
        <w:rPr>
          <w:rFonts w:ascii="Times New Roman" w:hAnsi="Times New Roman" w:cs="Times New Roman"/>
          <w:bCs/>
          <w:i/>
          <w:color w:val="auto"/>
          <w:lang w:val="en-GB"/>
        </w:rPr>
        <w:t xml:space="preserve">Physical </w:t>
      </w:r>
      <w:r w:rsidR="00DC3A52">
        <w:rPr>
          <w:rFonts w:ascii="Times New Roman" w:hAnsi="Times New Roman" w:cs="Times New Roman"/>
          <w:bCs/>
          <w:i/>
          <w:color w:val="auto"/>
          <w:lang w:val="en-GB"/>
        </w:rPr>
        <w:t>activity involvement</w:t>
      </w:r>
    </w:p>
    <w:p w14:paraId="5181860F" w14:textId="77777777" w:rsidR="00A807B2" w:rsidRDefault="00A807B2" w:rsidP="00E30E19">
      <w:pPr>
        <w:pStyle w:val="Default"/>
        <w:ind w:hanging="2"/>
        <w:jc w:val="both"/>
        <w:rPr>
          <w:rFonts w:ascii="Times New Roman" w:hAnsi="Times New Roman" w:cs="Times New Roman"/>
          <w:color w:val="7030A0"/>
          <w:lang w:val="en-GB"/>
        </w:rPr>
      </w:pPr>
    </w:p>
    <w:p w14:paraId="7100C82F" w14:textId="77777777" w:rsidR="00A807B2" w:rsidRDefault="00894076" w:rsidP="00E30E19">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This section provides a frequency analysis of the construct that is addressed in the present study. In this study, frequency analysis has been conducted on the individual items for the measurement items of physical activity.</w:t>
      </w:r>
    </w:p>
    <w:p w14:paraId="460CB201" w14:textId="77777777" w:rsidR="00A807B2" w:rsidRDefault="00A807B2" w:rsidP="00E30E19">
      <w:pPr>
        <w:autoSpaceDE w:val="0"/>
        <w:autoSpaceDN w:val="0"/>
        <w:adjustRightInd w:val="0"/>
        <w:spacing w:after="0" w:line="240" w:lineRule="auto"/>
        <w:ind w:left="0" w:hanging="2"/>
        <w:rPr>
          <w:rFonts w:ascii="Times New Roman" w:hAnsi="Times New Roman" w:cs="Times New Roman"/>
          <w:sz w:val="24"/>
          <w:szCs w:val="24"/>
        </w:rPr>
      </w:pPr>
    </w:p>
    <w:p w14:paraId="70159ED0" w14:textId="77777777" w:rsidR="00A807B2" w:rsidRDefault="00E72BCF" w:rsidP="00E72BCF">
      <w:pPr>
        <w:pStyle w:val="Caption"/>
        <w:ind w:hanging="2"/>
        <w:jc w:val="center"/>
        <w:rPr>
          <w:b w:val="0"/>
          <w:bCs w:val="0"/>
        </w:rPr>
      </w:pPr>
      <w:bookmarkStart w:id="9" w:name="_Toc92975746"/>
      <w:bookmarkStart w:id="10" w:name="_Hlk91801865"/>
      <w:r>
        <w:rPr>
          <w:bCs w:val="0"/>
        </w:rPr>
        <w:t xml:space="preserve">Table 3. </w:t>
      </w:r>
      <w:r w:rsidR="00894076" w:rsidRPr="00E72BCF">
        <w:rPr>
          <w:b w:val="0"/>
          <w:bCs w:val="0"/>
        </w:rPr>
        <w:t xml:space="preserve">Summary </w:t>
      </w:r>
      <w:r w:rsidRPr="00E72BCF">
        <w:rPr>
          <w:b w:val="0"/>
          <w:bCs w:val="0"/>
        </w:rPr>
        <w:t>of physical activity</w:t>
      </w:r>
      <w:bookmarkEnd w:id="9"/>
    </w:p>
    <w:p w14:paraId="087A7239" w14:textId="77777777" w:rsidR="00E72BCF" w:rsidRPr="00E72BCF" w:rsidRDefault="00E72BCF" w:rsidP="00E72BCF">
      <w:pPr>
        <w:spacing w:after="0" w:line="240" w:lineRule="auto"/>
        <w:ind w:left="0" w:hanging="2"/>
        <w:rPr>
          <w:rFonts w:ascii="Times New Roman" w:hAnsi="Times New Roman" w:cs="Times New Roman"/>
          <w:sz w:val="20"/>
          <w:szCs w:val="20"/>
          <w:lang w:val="en-GB"/>
        </w:rPr>
      </w:pPr>
    </w:p>
    <w:tbl>
      <w:tblPr>
        <w:tblW w:w="8497" w:type="dxa"/>
        <w:jc w:val="center"/>
        <w:tblLook w:val="04A0" w:firstRow="1" w:lastRow="0" w:firstColumn="1" w:lastColumn="0" w:noHBand="0" w:noVBand="1"/>
      </w:tblPr>
      <w:tblGrid>
        <w:gridCol w:w="3049"/>
        <w:gridCol w:w="3047"/>
        <w:gridCol w:w="1125"/>
        <w:gridCol w:w="1276"/>
      </w:tblGrid>
      <w:tr w:rsidR="00E72BCF" w:rsidRPr="00E72BCF" w14:paraId="77A19DC5" w14:textId="77777777" w:rsidTr="00072BD4">
        <w:trPr>
          <w:trHeight w:val="227"/>
          <w:jc w:val="center"/>
        </w:trPr>
        <w:tc>
          <w:tcPr>
            <w:tcW w:w="6096" w:type="dxa"/>
            <w:gridSpan w:val="2"/>
            <w:tcBorders>
              <w:top w:val="single" w:sz="4" w:space="0" w:color="auto"/>
              <w:bottom w:val="single" w:sz="4" w:space="0" w:color="auto"/>
            </w:tcBorders>
            <w:shd w:val="clear" w:color="auto" w:fill="B8CCE4" w:themeFill="accent1" w:themeFillTint="66"/>
            <w:noWrap/>
            <w:vAlign w:val="center"/>
          </w:tcPr>
          <w:p w14:paraId="5C7CB478" w14:textId="77777777" w:rsidR="00E72BCF" w:rsidRPr="00E72BCF" w:rsidRDefault="00E72BCF" w:rsidP="00E72BCF">
            <w:pPr>
              <w:spacing w:after="0" w:line="240" w:lineRule="auto"/>
              <w:ind w:left="0" w:hanging="2"/>
              <w:jc w:val="center"/>
              <w:rPr>
                <w:rFonts w:ascii="Times New Roman" w:hAnsi="Times New Roman" w:cs="Times New Roman"/>
                <w:b/>
                <w:color w:val="000000"/>
                <w:sz w:val="20"/>
                <w:szCs w:val="20"/>
                <w:lang w:val="en-MY" w:eastAsia="en-MY"/>
              </w:rPr>
            </w:pPr>
            <w:bookmarkStart w:id="11" w:name="_Hlk91797314"/>
            <w:bookmarkEnd w:id="10"/>
            <w:r w:rsidRPr="00E72BCF">
              <w:rPr>
                <w:rFonts w:ascii="Times New Roman" w:hAnsi="Times New Roman" w:cs="Times New Roman"/>
                <w:b/>
                <w:color w:val="000000"/>
                <w:sz w:val="20"/>
                <w:szCs w:val="20"/>
                <w:lang w:val="en-MY" w:eastAsia="en-MY"/>
              </w:rPr>
              <w:t>Physical activity</w:t>
            </w:r>
          </w:p>
        </w:tc>
        <w:tc>
          <w:tcPr>
            <w:tcW w:w="1125" w:type="dxa"/>
            <w:tcBorders>
              <w:top w:val="single" w:sz="4" w:space="0" w:color="auto"/>
              <w:bottom w:val="single" w:sz="4" w:space="0" w:color="auto"/>
            </w:tcBorders>
            <w:shd w:val="clear" w:color="auto" w:fill="B8CCE4" w:themeFill="accent1" w:themeFillTint="66"/>
            <w:noWrap/>
            <w:vAlign w:val="center"/>
          </w:tcPr>
          <w:p w14:paraId="37244F8A" w14:textId="77777777" w:rsidR="00E72BCF" w:rsidRPr="00E72BCF" w:rsidRDefault="00E72BCF" w:rsidP="00E72BCF">
            <w:pPr>
              <w:spacing w:after="0" w:line="240" w:lineRule="auto"/>
              <w:ind w:left="0" w:hanging="2"/>
              <w:jc w:val="center"/>
              <w:rPr>
                <w:rFonts w:ascii="Times New Roman" w:hAnsi="Times New Roman" w:cs="Times New Roman"/>
                <w:b/>
                <w:color w:val="000000"/>
                <w:sz w:val="20"/>
                <w:szCs w:val="20"/>
                <w:lang w:val="en-MY" w:eastAsia="en-MY"/>
              </w:rPr>
            </w:pPr>
            <w:r w:rsidRPr="00E72BCF">
              <w:rPr>
                <w:rFonts w:ascii="Times New Roman" w:hAnsi="Times New Roman" w:cs="Times New Roman"/>
                <w:b/>
                <w:color w:val="000000"/>
                <w:sz w:val="20"/>
                <w:szCs w:val="20"/>
                <w:lang w:val="en-MY" w:eastAsia="en-MY"/>
              </w:rPr>
              <w:t>Frequency</w:t>
            </w:r>
          </w:p>
        </w:tc>
        <w:tc>
          <w:tcPr>
            <w:tcW w:w="1276" w:type="dxa"/>
            <w:tcBorders>
              <w:top w:val="single" w:sz="4" w:space="0" w:color="auto"/>
              <w:bottom w:val="single" w:sz="4" w:space="0" w:color="auto"/>
            </w:tcBorders>
            <w:shd w:val="clear" w:color="auto" w:fill="B8CCE4" w:themeFill="accent1" w:themeFillTint="66"/>
            <w:noWrap/>
            <w:vAlign w:val="center"/>
          </w:tcPr>
          <w:p w14:paraId="070C22D9" w14:textId="77777777" w:rsidR="00E72BCF" w:rsidRPr="00E72BCF" w:rsidRDefault="00E72BCF" w:rsidP="00E72BCF">
            <w:pPr>
              <w:spacing w:after="0" w:line="240" w:lineRule="auto"/>
              <w:ind w:left="0" w:hanging="2"/>
              <w:jc w:val="center"/>
              <w:rPr>
                <w:rFonts w:ascii="Times New Roman" w:hAnsi="Times New Roman" w:cs="Times New Roman"/>
                <w:b/>
                <w:color w:val="000000"/>
                <w:sz w:val="20"/>
                <w:szCs w:val="20"/>
                <w:lang w:val="en-MY" w:eastAsia="en-MY"/>
              </w:rPr>
            </w:pPr>
            <w:r w:rsidRPr="00E72BCF">
              <w:rPr>
                <w:rFonts w:ascii="Times New Roman" w:hAnsi="Times New Roman" w:cs="Times New Roman"/>
                <w:b/>
                <w:color w:val="000000"/>
                <w:sz w:val="20"/>
                <w:szCs w:val="20"/>
                <w:lang w:val="en-MY" w:eastAsia="en-MY"/>
              </w:rPr>
              <w:t>Percent (%)</w:t>
            </w:r>
          </w:p>
        </w:tc>
      </w:tr>
      <w:tr w:rsidR="00E72BCF" w:rsidRPr="00E72BCF" w14:paraId="0E7EB908" w14:textId="77777777" w:rsidTr="00072BD4">
        <w:trPr>
          <w:trHeight w:val="227"/>
          <w:jc w:val="center"/>
        </w:trPr>
        <w:tc>
          <w:tcPr>
            <w:tcW w:w="3049" w:type="dxa"/>
            <w:vMerge w:val="restart"/>
            <w:tcBorders>
              <w:top w:val="single" w:sz="4" w:space="0" w:color="auto"/>
            </w:tcBorders>
            <w:shd w:val="clear" w:color="auto" w:fill="auto"/>
            <w:noWrap/>
          </w:tcPr>
          <w:p w14:paraId="0E2E7E96"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Vigorous activity overall related</w:t>
            </w:r>
            <w:r w:rsidR="00787AF8">
              <w:rPr>
                <w:rFonts w:ascii="Times New Roman" w:hAnsi="Times New Roman" w:cs="Times New Roman"/>
                <w:color w:val="000000"/>
                <w:sz w:val="20"/>
                <w:szCs w:val="20"/>
                <w:lang w:val="en-MY" w:eastAsia="en-MY"/>
              </w:rPr>
              <w:t xml:space="preserve"> </w:t>
            </w:r>
            <w:r w:rsidRPr="00E72BCF">
              <w:rPr>
                <w:rFonts w:ascii="Times New Roman" w:hAnsi="Times New Roman" w:cs="Times New Roman"/>
                <w:color w:val="000000"/>
                <w:sz w:val="20"/>
                <w:szCs w:val="20"/>
                <w:lang w:val="en-MY" w:eastAsia="en-MY"/>
              </w:rPr>
              <w:t>to either</w:t>
            </w:r>
          </w:p>
        </w:tc>
        <w:tc>
          <w:tcPr>
            <w:tcW w:w="3047" w:type="dxa"/>
            <w:tcBorders>
              <w:top w:val="single" w:sz="4" w:space="0" w:color="auto"/>
            </w:tcBorders>
            <w:shd w:val="clear" w:color="auto" w:fill="auto"/>
            <w:noWrap/>
            <w:vAlign w:val="center"/>
          </w:tcPr>
          <w:p w14:paraId="28BB094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Job</w:t>
            </w:r>
          </w:p>
        </w:tc>
        <w:tc>
          <w:tcPr>
            <w:tcW w:w="1125" w:type="dxa"/>
            <w:tcBorders>
              <w:top w:val="single" w:sz="4" w:space="0" w:color="auto"/>
            </w:tcBorders>
            <w:shd w:val="clear" w:color="auto" w:fill="auto"/>
            <w:noWrap/>
            <w:vAlign w:val="center"/>
          </w:tcPr>
          <w:p w14:paraId="2A5E9E0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43</w:t>
            </w:r>
          </w:p>
        </w:tc>
        <w:tc>
          <w:tcPr>
            <w:tcW w:w="1276" w:type="dxa"/>
            <w:tcBorders>
              <w:top w:val="single" w:sz="4" w:space="0" w:color="auto"/>
            </w:tcBorders>
            <w:shd w:val="clear" w:color="auto" w:fill="auto"/>
            <w:noWrap/>
            <w:vAlign w:val="center"/>
          </w:tcPr>
          <w:p w14:paraId="0AE1AB8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11.2</w:t>
            </w:r>
          </w:p>
        </w:tc>
      </w:tr>
      <w:tr w:rsidR="00E72BCF" w:rsidRPr="00E72BCF" w14:paraId="29C141EC" w14:textId="77777777" w:rsidTr="00072BD4">
        <w:trPr>
          <w:trHeight w:val="227"/>
          <w:jc w:val="center"/>
        </w:trPr>
        <w:tc>
          <w:tcPr>
            <w:tcW w:w="3049" w:type="dxa"/>
            <w:vMerge/>
            <w:shd w:val="clear" w:color="auto" w:fill="auto"/>
            <w:noWrap/>
          </w:tcPr>
          <w:p w14:paraId="2E8D30F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799C2B0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Housework</w:t>
            </w:r>
          </w:p>
        </w:tc>
        <w:tc>
          <w:tcPr>
            <w:tcW w:w="1125" w:type="dxa"/>
            <w:shd w:val="clear" w:color="auto" w:fill="auto"/>
            <w:noWrap/>
            <w:vAlign w:val="center"/>
          </w:tcPr>
          <w:p w14:paraId="772B8754"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123</w:t>
            </w:r>
          </w:p>
        </w:tc>
        <w:tc>
          <w:tcPr>
            <w:tcW w:w="1276" w:type="dxa"/>
            <w:shd w:val="clear" w:color="auto" w:fill="auto"/>
            <w:noWrap/>
            <w:vAlign w:val="center"/>
          </w:tcPr>
          <w:p w14:paraId="5BF38EFC"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31.9</w:t>
            </w:r>
          </w:p>
        </w:tc>
      </w:tr>
      <w:tr w:rsidR="00E72BCF" w:rsidRPr="00E72BCF" w14:paraId="43045966" w14:textId="77777777" w:rsidTr="00072BD4">
        <w:trPr>
          <w:trHeight w:val="227"/>
          <w:jc w:val="center"/>
        </w:trPr>
        <w:tc>
          <w:tcPr>
            <w:tcW w:w="3049" w:type="dxa"/>
            <w:vMerge/>
            <w:shd w:val="clear" w:color="auto" w:fill="auto"/>
            <w:noWrap/>
          </w:tcPr>
          <w:p w14:paraId="760AD58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18AF3B6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Leisure</w:t>
            </w:r>
          </w:p>
        </w:tc>
        <w:tc>
          <w:tcPr>
            <w:tcW w:w="1125" w:type="dxa"/>
            <w:shd w:val="clear" w:color="auto" w:fill="auto"/>
            <w:noWrap/>
            <w:vAlign w:val="center"/>
          </w:tcPr>
          <w:p w14:paraId="15865BF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181</w:t>
            </w:r>
          </w:p>
        </w:tc>
        <w:tc>
          <w:tcPr>
            <w:tcW w:w="1276" w:type="dxa"/>
            <w:shd w:val="clear" w:color="auto" w:fill="auto"/>
            <w:noWrap/>
            <w:vAlign w:val="center"/>
          </w:tcPr>
          <w:p w14:paraId="5E822CF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47.0</w:t>
            </w:r>
          </w:p>
        </w:tc>
      </w:tr>
      <w:tr w:rsidR="00E72BCF" w:rsidRPr="00E72BCF" w14:paraId="2869778F" w14:textId="77777777" w:rsidTr="00072BD4">
        <w:trPr>
          <w:trHeight w:val="227"/>
          <w:jc w:val="center"/>
        </w:trPr>
        <w:tc>
          <w:tcPr>
            <w:tcW w:w="3049" w:type="dxa"/>
            <w:vMerge/>
            <w:shd w:val="clear" w:color="auto" w:fill="auto"/>
            <w:noWrap/>
          </w:tcPr>
          <w:p w14:paraId="18E66B1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AA6D3FA"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No Activity</w:t>
            </w:r>
          </w:p>
        </w:tc>
        <w:tc>
          <w:tcPr>
            <w:tcW w:w="1125" w:type="dxa"/>
            <w:shd w:val="clear" w:color="auto" w:fill="auto"/>
            <w:noWrap/>
            <w:vAlign w:val="center"/>
          </w:tcPr>
          <w:p w14:paraId="4D1F055F"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38</w:t>
            </w:r>
          </w:p>
        </w:tc>
        <w:tc>
          <w:tcPr>
            <w:tcW w:w="1276" w:type="dxa"/>
            <w:shd w:val="clear" w:color="auto" w:fill="auto"/>
            <w:noWrap/>
            <w:vAlign w:val="center"/>
          </w:tcPr>
          <w:p w14:paraId="3A1DE86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9.9</w:t>
            </w:r>
          </w:p>
        </w:tc>
      </w:tr>
      <w:tr w:rsidR="00E72BCF" w:rsidRPr="00E72BCF" w14:paraId="262BF5ED" w14:textId="77777777" w:rsidTr="00072BD4">
        <w:trPr>
          <w:trHeight w:val="227"/>
          <w:jc w:val="center"/>
        </w:trPr>
        <w:tc>
          <w:tcPr>
            <w:tcW w:w="3049" w:type="dxa"/>
            <w:vMerge w:val="restart"/>
            <w:shd w:val="clear" w:color="auto" w:fill="auto"/>
            <w:noWrap/>
          </w:tcPr>
          <w:p w14:paraId="711C6F01"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Vigorous activity total days</w:t>
            </w:r>
            <w:r>
              <w:rPr>
                <w:rFonts w:ascii="Times New Roman" w:hAnsi="Times New Roman" w:cs="Times New Roman"/>
                <w:color w:val="000000"/>
                <w:sz w:val="20"/>
                <w:szCs w:val="20"/>
                <w:lang w:val="en-MY" w:eastAsia="en-MY"/>
              </w:rPr>
              <w:t xml:space="preserve"> </w:t>
            </w:r>
            <w:r w:rsidR="00787AF8">
              <w:rPr>
                <w:rFonts w:ascii="Times New Roman" w:hAnsi="Times New Roman" w:cs="Times New Roman"/>
                <w:color w:val="000000"/>
                <w:sz w:val="20"/>
                <w:szCs w:val="20"/>
                <w:lang w:val="en-MY" w:eastAsia="en-MY"/>
              </w:rPr>
              <w:t xml:space="preserve">per 2 </w:t>
            </w:r>
            <w:r w:rsidRPr="00E72BCF">
              <w:rPr>
                <w:rFonts w:ascii="Times New Roman" w:hAnsi="Times New Roman" w:cs="Times New Roman"/>
                <w:color w:val="000000"/>
                <w:sz w:val="20"/>
                <w:szCs w:val="20"/>
                <w:lang w:val="en-MY" w:eastAsia="en-MY"/>
              </w:rPr>
              <w:t>weeks in the last 14 days</w:t>
            </w:r>
          </w:p>
        </w:tc>
        <w:tc>
          <w:tcPr>
            <w:tcW w:w="3047" w:type="dxa"/>
            <w:shd w:val="clear" w:color="auto" w:fill="auto"/>
            <w:noWrap/>
            <w:vAlign w:val="center"/>
          </w:tcPr>
          <w:p w14:paraId="6ADB7332"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1 - 2 days</w:t>
            </w:r>
          </w:p>
        </w:tc>
        <w:tc>
          <w:tcPr>
            <w:tcW w:w="1125" w:type="dxa"/>
            <w:shd w:val="clear" w:color="auto" w:fill="auto"/>
            <w:noWrap/>
            <w:vAlign w:val="center"/>
          </w:tcPr>
          <w:p w14:paraId="7FDF2C7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22</w:t>
            </w:r>
          </w:p>
        </w:tc>
        <w:tc>
          <w:tcPr>
            <w:tcW w:w="1276" w:type="dxa"/>
            <w:shd w:val="clear" w:color="auto" w:fill="auto"/>
            <w:noWrap/>
            <w:vAlign w:val="center"/>
          </w:tcPr>
          <w:p w14:paraId="2FBAA3D5"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5.7</w:t>
            </w:r>
          </w:p>
        </w:tc>
      </w:tr>
      <w:tr w:rsidR="00E72BCF" w:rsidRPr="00E72BCF" w14:paraId="54160A99" w14:textId="77777777" w:rsidTr="00072BD4">
        <w:trPr>
          <w:trHeight w:val="227"/>
          <w:jc w:val="center"/>
        </w:trPr>
        <w:tc>
          <w:tcPr>
            <w:tcW w:w="3049" w:type="dxa"/>
            <w:vMerge/>
            <w:shd w:val="clear" w:color="auto" w:fill="auto"/>
            <w:noWrap/>
          </w:tcPr>
          <w:p w14:paraId="7F864CE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E402E0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3 - 4 days</w:t>
            </w:r>
          </w:p>
        </w:tc>
        <w:tc>
          <w:tcPr>
            <w:tcW w:w="1125" w:type="dxa"/>
            <w:shd w:val="clear" w:color="auto" w:fill="auto"/>
            <w:noWrap/>
            <w:vAlign w:val="center"/>
          </w:tcPr>
          <w:p w14:paraId="5F3297BC"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31</w:t>
            </w:r>
          </w:p>
        </w:tc>
        <w:tc>
          <w:tcPr>
            <w:tcW w:w="1276" w:type="dxa"/>
            <w:shd w:val="clear" w:color="auto" w:fill="auto"/>
            <w:noWrap/>
            <w:vAlign w:val="center"/>
          </w:tcPr>
          <w:p w14:paraId="32F3F54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8.1</w:t>
            </w:r>
          </w:p>
        </w:tc>
      </w:tr>
      <w:tr w:rsidR="00E72BCF" w:rsidRPr="00E72BCF" w14:paraId="6AD3C81A" w14:textId="77777777" w:rsidTr="00072BD4">
        <w:trPr>
          <w:trHeight w:val="227"/>
          <w:jc w:val="center"/>
        </w:trPr>
        <w:tc>
          <w:tcPr>
            <w:tcW w:w="3049" w:type="dxa"/>
            <w:vMerge/>
            <w:shd w:val="clear" w:color="auto" w:fill="auto"/>
            <w:noWrap/>
          </w:tcPr>
          <w:p w14:paraId="6CA16CF1"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07DD3FD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5 - 6 days</w:t>
            </w:r>
          </w:p>
        </w:tc>
        <w:tc>
          <w:tcPr>
            <w:tcW w:w="1125" w:type="dxa"/>
            <w:shd w:val="clear" w:color="auto" w:fill="auto"/>
            <w:noWrap/>
            <w:vAlign w:val="center"/>
          </w:tcPr>
          <w:p w14:paraId="4DE67F9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14</w:t>
            </w:r>
          </w:p>
        </w:tc>
        <w:tc>
          <w:tcPr>
            <w:tcW w:w="1276" w:type="dxa"/>
            <w:shd w:val="clear" w:color="auto" w:fill="auto"/>
            <w:noWrap/>
            <w:vAlign w:val="center"/>
          </w:tcPr>
          <w:p w14:paraId="1EBA441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w:t>
            </w:r>
          </w:p>
        </w:tc>
      </w:tr>
      <w:tr w:rsidR="00E72BCF" w:rsidRPr="00E72BCF" w14:paraId="1B2DC616" w14:textId="77777777" w:rsidTr="00072BD4">
        <w:trPr>
          <w:trHeight w:val="227"/>
          <w:jc w:val="center"/>
        </w:trPr>
        <w:tc>
          <w:tcPr>
            <w:tcW w:w="3049" w:type="dxa"/>
            <w:vMerge/>
            <w:shd w:val="clear" w:color="auto" w:fill="auto"/>
            <w:noWrap/>
          </w:tcPr>
          <w:p w14:paraId="59B076C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61CA3292"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More than 6 days</w:t>
            </w:r>
          </w:p>
        </w:tc>
        <w:tc>
          <w:tcPr>
            <w:tcW w:w="1125" w:type="dxa"/>
            <w:shd w:val="clear" w:color="auto" w:fill="auto"/>
            <w:noWrap/>
            <w:vAlign w:val="center"/>
          </w:tcPr>
          <w:p w14:paraId="2502E94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282</w:t>
            </w:r>
          </w:p>
        </w:tc>
        <w:tc>
          <w:tcPr>
            <w:tcW w:w="1276" w:type="dxa"/>
            <w:shd w:val="clear" w:color="auto" w:fill="auto"/>
            <w:noWrap/>
            <w:vAlign w:val="center"/>
          </w:tcPr>
          <w:p w14:paraId="7BBCF5C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73.2</w:t>
            </w:r>
          </w:p>
        </w:tc>
      </w:tr>
      <w:tr w:rsidR="00E72BCF" w:rsidRPr="00E72BCF" w14:paraId="0DEB3D54" w14:textId="77777777" w:rsidTr="00072BD4">
        <w:trPr>
          <w:trHeight w:val="227"/>
          <w:jc w:val="center"/>
        </w:trPr>
        <w:tc>
          <w:tcPr>
            <w:tcW w:w="3049" w:type="dxa"/>
            <w:vMerge/>
            <w:shd w:val="clear" w:color="auto" w:fill="auto"/>
            <w:noWrap/>
          </w:tcPr>
          <w:p w14:paraId="4614F7F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D795429"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0 days</w:t>
            </w:r>
          </w:p>
        </w:tc>
        <w:tc>
          <w:tcPr>
            <w:tcW w:w="1125" w:type="dxa"/>
            <w:shd w:val="clear" w:color="auto" w:fill="auto"/>
            <w:noWrap/>
            <w:vAlign w:val="center"/>
          </w:tcPr>
          <w:p w14:paraId="229E80C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w:t>
            </w:r>
          </w:p>
        </w:tc>
        <w:tc>
          <w:tcPr>
            <w:tcW w:w="1276" w:type="dxa"/>
            <w:shd w:val="clear" w:color="auto" w:fill="auto"/>
            <w:noWrap/>
            <w:vAlign w:val="center"/>
          </w:tcPr>
          <w:p w14:paraId="35BF7B55"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9.4</w:t>
            </w:r>
          </w:p>
        </w:tc>
      </w:tr>
      <w:tr w:rsidR="00E72BCF" w:rsidRPr="00E72BCF" w14:paraId="75B15AD3" w14:textId="77777777" w:rsidTr="00072BD4">
        <w:trPr>
          <w:trHeight w:val="227"/>
          <w:jc w:val="center"/>
        </w:trPr>
        <w:tc>
          <w:tcPr>
            <w:tcW w:w="3049" w:type="dxa"/>
            <w:vMerge w:val="restart"/>
            <w:shd w:val="clear" w:color="auto" w:fill="auto"/>
            <w:noWrap/>
          </w:tcPr>
          <w:p w14:paraId="149C8401"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Vigorous activity duration (minutes per day) highest</w:t>
            </w:r>
          </w:p>
        </w:tc>
        <w:tc>
          <w:tcPr>
            <w:tcW w:w="3047" w:type="dxa"/>
            <w:shd w:val="clear" w:color="auto" w:fill="auto"/>
            <w:noWrap/>
            <w:vAlign w:val="center"/>
          </w:tcPr>
          <w:p w14:paraId="5380CE9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Less than 30 minutes</w:t>
            </w:r>
          </w:p>
        </w:tc>
        <w:tc>
          <w:tcPr>
            <w:tcW w:w="1125" w:type="dxa"/>
            <w:shd w:val="clear" w:color="auto" w:fill="auto"/>
            <w:noWrap/>
            <w:vAlign w:val="center"/>
          </w:tcPr>
          <w:p w14:paraId="0F82417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165</w:t>
            </w:r>
          </w:p>
        </w:tc>
        <w:tc>
          <w:tcPr>
            <w:tcW w:w="1276" w:type="dxa"/>
            <w:shd w:val="clear" w:color="auto" w:fill="auto"/>
            <w:noWrap/>
            <w:vAlign w:val="center"/>
          </w:tcPr>
          <w:p w14:paraId="1317089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42.9</w:t>
            </w:r>
          </w:p>
        </w:tc>
      </w:tr>
      <w:tr w:rsidR="00E72BCF" w:rsidRPr="00E72BCF" w14:paraId="2F65EAD2" w14:textId="77777777" w:rsidTr="00072BD4">
        <w:trPr>
          <w:trHeight w:val="227"/>
          <w:jc w:val="center"/>
        </w:trPr>
        <w:tc>
          <w:tcPr>
            <w:tcW w:w="3049" w:type="dxa"/>
            <w:vMerge/>
            <w:shd w:val="clear" w:color="auto" w:fill="auto"/>
            <w:noWrap/>
          </w:tcPr>
          <w:p w14:paraId="2FF645E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15E50631"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31 - 60 minutes</w:t>
            </w:r>
          </w:p>
        </w:tc>
        <w:tc>
          <w:tcPr>
            <w:tcW w:w="1125" w:type="dxa"/>
            <w:shd w:val="clear" w:color="auto" w:fill="auto"/>
            <w:noWrap/>
            <w:vAlign w:val="center"/>
          </w:tcPr>
          <w:p w14:paraId="0E2B33A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108</w:t>
            </w:r>
          </w:p>
        </w:tc>
        <w:tc>
          <w:tcPr>
            <w:tcW w:w="1276" w:type="dxa"/>
            <w:shd w:val="clear" w:color="auto" w:fill="auto"/>
            <w:noWrap/>
            <w:vAlign w:val="center"/>
          </w:tcPr>
          <w:p w14:paraId="2A69942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28.1</w:t>
            </w:r>
          </w:p>
        </w:tc>
      </w:tr>
      <w:tr w:rsidR="00E72BCF" w:rsidRPr="00E72BCF" w14:paraId="5F112025" w14:textId="77777777" w:rsidTr="00072BD4">
        <w:trPr>
          <w:trHeight w:val="227"/>
          <w:jc w:val="center"/>
        </w:trPr>
        <w:tc>
          <w:tcPr>
            <w:tcW w:w="3049" w:type="dxa"/>
            <w:vMerge/>
            <w:shd w:val="clear" w:color="auto" w:fill="auto"/>
            <w:noWrap/>
          </w:tcPr>
          <w:p w14:paraId="73EE52C7"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18EA89FE"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More than 60 minutes</w:t>
            </w:r>
          </w:p>
        </w:tc>
        <w:tc>
          <w:tcPr>
            <w:tcW w:w="1125" w:type="dxa"/>
            <w:shd w:val="clear" w:color="auto" w:fill="auto"/>
            <w:noWrap/>
            <w:vAlign w:val="center"/>
          </w:tcPr>
          <w:p w14:paraId="78BC85C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69</w:t>
            </w:r>
          </w:p>
        </w:tc>
        <w:tc>
          <w:tcPr>
            <w:tcW w:w="1276" w:type="dxa"/>
            <w:shd w:val="clear" w:color="auto" w:fill="auto"/>
            <w:noWrap/>
            <w:vAlign w:val="center"/>
          </w:tcPr>
          <w:p w14:paraId="7364049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17.9</w:t>
            </w:r>
          </w:p>
        </w:tc>
      </w:tr>
      <w:tr w:rsidR="00E72BCF" w:rsidRPr="00E72BCF" w14:paraId="6C94FD69" w14:textId="77777777" w:rsidTr="00072BD4">
        <w:trPr>
          <w:trHeight w:val="227"/>
          <w:jc w:val="center"/>
        </w:trPr>
        <w:tc>
          <w:tcPr>
            <w:tcW w:w="3049" w:type="dxa"/>
            <w:vMerge/>
            <w:shd w:val="clear" w:color="auto" w:fill="auto"/>
            <w:noWrap/>
          </w:tcPr>
          <w:p w14:paraId="2F0B1F0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8B34057"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0 minutes</w:t>
            </w:r>
          </w:p>
        </w:tc>
        <w:tc>
          <w:tcPr>
            <w:tcW w:w="1125" w:type="dxa"/>
            <w:shd w:val="clear" w:color="auto" w:fill="auto"/>
            <w:noWrap/>
            <w:vAlign w:val="center"/>
          </w:tcPr>
          <w:p w14:paraId="6FB824C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43</w:t>
            </w:r>
          </w:p>
        </w:tc>
        <w:tc>
          <w:tcPr>
            <w:tcW w:w="1276" w:type="dxa"/>
            <w:shd w:val="clear" w:color="auto" w:fill="auto"/>
            <w:noWrap/>
            <w:vAlign w:val="center"/>
          </w:tcPr>
          <w:p w14:paraId="06685BC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11.2</w:t>
            </w:r>
          </w:p>
        </w:tc>
      </w:tr>
      <w:tr w:rsidR="00E72BCF" w:rsidRPr="00E72BCF" w14:paraId="1FAE0CC8" w14:textId="77777777" w:rsidTr="00072BD4">
        <w:trPr>
          <w:trHeight w:val="227"/>
          <w:jc w:val="center"/>
        </w:trPr>
        <w:tc>
          <w:tcPr>
            <w:tcW w:w="3049" w:type="dxa"/>
            <w:vMerge w:val="restart"/>
            <w:shd w:val="clear" w:color="auto" w:fill="auto"/>
            <w:noWrap/>
          </w:tcPr>
          <w:p w14:paraId="2ACAA07A"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Location where vigorous activity</w:t>
            </w:r>
            <w:r w:rsidR="00787AF8">
              <w:rPr>
                <w:rFonts w:ascii="Times New Roman" w:hAnsi="Times New Roman" w:cs="Times New Roman"/>
                <w:color w:val="000000"/>
                <w:sz w:val="20"/>
                <w:szCs w:val="20"/>
                <w:lang w:val="en-MY" w:eastAsia="en-MY"/>
              </w:rPr>
              <w:t xml:space="preserve"> </w:t>
            </w:r>
            <w:r w:rsidRPr="00E72BCF">
              <w:rPr>
                <w:rFonts w:ascii="Times New Roman" w:hAnsi="Times New Roman" w:cs="Times New Roman"/>
                <w:color w:val="000000"/>
                <w:sz w:val="20"/>
                <w:szCs w:val="20"/>
                <w:lang w:val="en-MY" w:eastAsia="en-MY"/>
              </w:rPr>
              <w:t>was carried out</w:t>
            </w:r>
          </w:p>
        </w:tc>
        <w:tc>
          <w:tcPr>
            <w:tcW w:w="3047" w:type="dxa"/>
            <w:shd w:val="clear" w:color="auto" w:fill="auto"/>
            <w:noWrap/>
            <w:vAlign w:val="center"/>
          </w:tcPr>
          <w:p w14:paraId="3A7B419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Park</w:t>
            </w:r>
          </w:p>
        </w:tc>
        <w:tc>
          <w:tcPr>
            <w:tcW w:w="1125" w:type="dxa"/>
            <w:shd w:val="clear" w:color="auto" w:fill="auto"/>
            <w:noWrap/>
            <w:vAlign w:val="center"/>
          </w:tcPr>
          <w:p w14:paraId="258EF19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139</w:t>
            </w:r>
          </w:p>
        </w:tc>
        <w:tc>
          <w:tcPr>
            <w:tcW w:w="1276" w:type="dxa"/>
            <w:shd w:val="clear" w:color="auto" w:fill="auto"/>
            <w:noWrap/>
            <w:vAlign w:val="center"/>
          </w:tcPr>
          <w:p w14:paraId="77D774F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36.1</w:t>
            </w:r>
          </w:p>
        </w:tc>
      </w:tr>
      <w:tr w:rsidR="00E72BCF" w:rsidRPr="00E72BCF" w14:paraId="46489D9C" w14:textId="77777777" w:rsidTr="00072BD4">
        <w:trPr>
          <w:trHeight w:val="227"/>
          <w:jc w:val="center"/>
        </w:trPr>
        <w:tc>
          <w:tcPr>
            <w:tcW w:w="3049" w:type="dxa"/>
            <w:vMerge/>
            <w:shd w:val="clear" w:color="auto" w:fill="auto"/>
            <w:noWrap/>
          </w:tcPr>
          <w:p w14:paraId="732D1637"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3BA39B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Indoor</w:t>
            </w:r>
          </w:p>
        </w:tc>
        <w:tc>
          <w:tcPr>
            <w:tcW w:w="1125" w:type="dxa"/>
            <w:shd w:val="clear" w:color="auto" w:fill="auto"/>
            <w:noWrap/>
            <w:vAlign w:val="center"/>
          </w:tcPr>
          <w:p w14:paraId="3A44CD2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169</w:t>
            </w:r>
          </w:p>
        </w:tc>
        <w:tc>
          <w:tcPr>
            <w:tcW w:w="1276" w:type="dxa"/>
            <w:shd w:val="clear" w:color="auto" w:fill="auto"/>
            <w:noWrap/>
            <w:vAlign w:val="center"/>
          </w:tcPr>
          <w:p w14:paraId="7C7F9A1F"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43.9</w:t>
            </w:r>
          </w:p>
        </w:tc>
      </w:tr>
      <w:tr w:rsidR="00E72BCF" w:rsidRPr="00E72BCF" w14:paraId="1F0FD7DF" w14:textId="77777777" w:rsidTr="00072BD4">
        <w:trPr>
          <w:trHeight w:val="227"/>
          <w:jc w:val="center"/>
        </w:trPr>
        <w:tc>
          <w:tcPr>
            <w:tcW w:w="3049" w:type="dxa"/>
            <w:vMerge/>
            <w:shd w:val="clear" w:color="auto" w:fill="auto"/>
            <w:noWrap/>
          </w:tcPr>
          <w:p w14:paraId="6AD3375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44001F36"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proofErr w:type="spellStart"/>
            <w:r>
              <w:rPr>
                <w:rFonts w:ascii="Times New Roman" w:hAnsi="Times New Roman" w:cs="Times New Roman"/>
                <w:color w:val="000000"/>
                <w:sz w:val="20"/>
                <w:szCs w:val="20"/>
                <w:lang w:val="en-MY" w:eastAsia="en-MY"/>
              </w:rPr>
              <w:t>Houseb</w:t>
            </w:r>
            <w:r w:rsidR="00E72BCF" w:rsidRPr="00E72BCF">
              <w:rPr>
                <w:rFonts w:ascii="Times New Roman" w:hAnsi="Times New Roman" w:cs="Times New Roman"/>
                <w:color w:val="000000"/>
                <w:sz w:val="20"/>
                <w:szCs w:val="20"/>
                <w:lang w:val="en-MY" w:eastAsia="en-MY"/>
              </w:rPr>
              <w:t>oundary</w:t>
            </w:r>
            <w:proofErr w:type="spellEnd"/>
          </w:p>
        </w:tc>
        <w:tc>
          <w:tcPr>
            <w:tcW w:w="1125" w:type="dxa"/>
            <w:shd w:val="clear" w:color="auto" w:fill="auto"/>
            <w:noWrap/>
            <w:vAlign w:val="center"/>
          </w:tcPr>
          <w:p w14:paraId="53BA4371"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27</w:t>
            </w:r>
          </w:p>
        </w:tc>
        <w:tc>
          <w:tcPr>
            <w:tcW w:w="1276" w:type="dxa"/>
            <w:shd w:val="clear" w:color="auto" w:fill="auto"/>
            <w:noWrap/>
            <w:vAlign w:val="center"/>
          </w:tcPr>
          <w:p w14:paraId="2BBA245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7.0</w:t>
            </w:r>
          </w:p>
        </w:tc>
      </w:tr>
      <w:tr w:rsidR="00E72BCF" w:rsidRPr="00E72BCF" w14:paraId="4A25AEA0" w14:textId="77777777" w:rsidTr="00072BD4">
        <w:trPr>
          <w:trHeight w:val="227"/>
          <w:jc w:val="center"/>
        </w:trPr>
        <w:tc>
          <w:tcPr>
            <w:tcW w:w="3049" w:type="dxa"/>
            <w:vMerge/>
            <w:shd w:val="clear" w:color="auto" w:fill="auto"/>
            <w:noWrap/>
          </w:tcPr>
          <w:p w14:paraId="3DD9527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53C770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Others, </w:t>
            </w:r>
            <w:r w:rsidR="00787AF8" w:rsidRPr="00E72BCF">
              <w:rPr>
                <w:rFonts w:ascii="Times New Roman" w:hAnsi="Times New Roman" w:cs="Times New Roman"/>
                <w:color w:val="000000"/>
                <w:sz w:val="20"/>
                <w:szCs w:val="20"/>
                <w:lang w:val="en-MY" w:eastAsia="en-MY"/>
              </w:rPr>
              <w:t>please specify</w:t>
            </w:r>
          </w:p>
        </w:tc>
        <w:tc>
          <w:tcPr>
            <w:tcW w:w="1125" w:type="dxa"/>
            <w:shd w:val="clear" w:color="auto" w:fill="auto"/>
            <w:noWrap/>
            <w:vAlign w:val="center"/>
          </w:tcPr>
          <w:p w14:paraId="0BAEB69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14</w:t>
            </w:r>
          </w:p>
        </w:tc>
        <w:tc>
          <w:tcPr>
            <w:tcW w:w="1276" w:type="dxa"/>
            <w:shd w:val="clear" w:color="auto" w:fill="auto"/>
            <w:noWrap/>
            <w:vAlign w:val="center"/>
          </w:tcPr>
          <w:p w14:paraId="48A0569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w:t>
            </w:r>
          </w:p>
        </w:tc>
      </w:tr>
      <w:tr w:rsidR="00E72BCF" w:rsidRPr="00E72BCF" w14:paraId="6B599905" w14:textId="77777777" w:rsidTr="00072BD4">
        <w:trPr>
          <w:trHeight w:val="227"/>
          <w:jc w:val="center"/>
        </w:trPr>
        <w:tc>
          <w:tcPr>
            <w:tcW w:w="3049" w:type="dxa"/>
            <w:vMerge/>
            <w:shd w:val="clear" w:color="auto" w:fill="auto"/>
            <w:noWrap/>
          </w:tcPr>
          <w:p w14:paraId="22A90193"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48AE28E3"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r>
              <w:rPr>
                <w:rFonts w:ascii="Times New Roman" w:hAnsi="Times New Roman" w:cs="Times New Roman"/>
                <w:color w:val="000000"/>
                <w:sz w:val="20"/>
                <w:szCs w:val="20"/>
                <w:lang w:val="en-MY" w:eastAsia="en-MY"/>
              </w:rPr>
              <w:t>No a</w:t>
            </w:r>
            <w:r w:rsidR="00E72BCF" w:rsidRPr="00E72BCF">
              <w:rPr>
                <w:rFonts w:ascii="Times New Roman" w:hAnsi="Times New Roman" w:cs="Times New Roman"/>
                <w:color w:val="000000"/>
                <w:sz w:val="20"/>
                <w:szCs w:val="20"/>
                <w:lang w:val="en-MY" w:eastAsia="en-MY"/>
              </w:rPr>
              <w:t>ctivity</w:t>
            </w:r>
          </w:p>
        </w:tc>
        <w:tc>
          <w:tcPr>
            <w:tcW w:w="1125" w:type="dxa"/>
            <w:shd w:val="clear" w:color="auto" w:fill="auto"/>
            <w:noWrap/>
            <w:vAlign w:val="center"/>
          </w:tcPr>
          <w:p w14:paraId="5C63670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w:t>
            </w:r>
          </w:p>
        </w:tc>
        <w:tc>
          <w:tcPr>
            <w:tcW w:w="1276" w:type="dxa"/>
            <w:shd w:val="clear" w:color="auto" w:fill="auto"/>
            <w:noWrap/>
            <w:vAlign w:val="center"/>
          </w:tcPr>
          <w:p w14:paraId="6C754EB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9.4</w:t>
            </w:r>
          </w:p>
        </w:tc>
      </w:tr>
      <w:tr w:rsidR="00E72BCF" w:rsidRPr="00E72BCF" w14:paraId="38338CAF" w14:textId="77777777" w:rsidTr="00072BD4">
        <w:trPr>
          <w:trHeight w:val="227"/>
          <w:jc w:val="center"/>
        </w:trPr>
        <w:tc>
          <w:tcPr>
            <w:tcW w:w="3049" w:type="dxa"/>
            <w:vMerge w:val="restart"/>
            <w:shd w:val="clear" w:color="auto" w:fill="auto"/>
            <w:noWrap/>
          </w:tcPr>
          <w:p w14:paraId="67504D39"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Area where vigorous activity was</w:t>
            </w:r>
            <w:r w:rsidR="00787AF8">
              <w:rPr>
                <w:rFonts w:ascii="Times New Roman" w:hAnsi="Times New Roman" w:cs="Times New Roman"/>
                <w:color w:val="000000"/>
                <w:sz w:val="20"/>
                <w:szCs w:val="20"/>
                <w:lang w:val="en-MY" w:eastAsia="en-MY"/>
              </w:rPr>
              <w:t xml:space="preserve"> </w:t>
            </w:r>
            <w:r w:rsidRPr="00E72BCF">
              <w:rPr>
                <w:rFonts w:ascii="Times New Roman" w:hAnsi="Times New Roman" w:cs="Times New Roman"/>
                <w:color w:val="000000"/>
                <w:sz w:val="20"/>
                <w:szCs w:val="20"/>
                <w:lang w:val="en-MY" w:eastAsia="en-MY"/>
              </w:rPr>
              <w:t>carried out</w:t>
            </w:r>
          </w:p>
        </w:tc>
        <w:tc>
          <w:tcPr>
            <w:tcW w:w="3047" w:type="dxa"/>
            <w:shd w:val="clear" w:color="auto" w:fill="auto"/>
            <w:noWrap/>
            <w:vAlign w:val="center"/>
          </w:tcPr>
          <w:p w14:paraId="0EAF800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In the </w:t>
            </w:r>
            <w:proofErr w:type="spellStart"/>
            <w:r w:rsidR="00787AF8" w:rsidRPr="00E72BCF">
              <w:rPr>
                <w:rFonts w:ascii="Times New Roman" w:hAnsi="Times New Roman" w:cs="Times New Roman"/>
                <w:color w:val="000000"/>
                <w:sz w:val="20"/>
                <w:szCs w:val="20"/>
                <w:lang w:val="en-MY" w:eastAsia="en-MY"/>
              </w:rPr>
              <w:t>neighborhood</w:t>
            </w:r>
            <w:proofErr w:type="spellEnd"/>
            <w:r w:rsidR="00787AF8" w:rsidRPr="00E72BCF">
              <w:rPr>
                <w:rFonts w:ascii="Times New Roman" w:hAnsi="Times New Roman" w:cs="Times New Roman"/>
                <w:color w:val="000000"/>
                <w:sz w:val="20"/>
                <w:szCs w:val="20"/>
                <w:lang w:val="en-MY" w:eastAsia="en-MY"/>
              </w:rPr>
              <w:t xml:space="preserve"> area</w:t>
            </w:r>
          </w:p>
        </w:tc>
        <w:tc>
          <w:tcPr>
            <w:tcW w:w="1125" w:type="dxa"/>
            <w:shd w:val="clear" w:color="auto" w:fill="auto"/>
            <w:noWrap/>
            <w:vAlign w:val="center"/>
          </w:tcPr>
          <w:p w14:paraId="7DCEDA0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265</w:t>
            </w:r>
          </w:p>
        </w:tc>
        <w:tc>
          <w:tcPr>
            <w:tcW w:w="1276" w:type="dxa"/>
            <w:shd w:val="clear" w:color="auto" w:fill="auto"/>
            <w:noWrap/>
            <w:vAlign w:val="center"/>
          </w:tcPr>
          <w:p w14:paraId="038FA181"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68.8</w:t>
            </w:r>
          </w:p>
        </w:tc>
      </w:tr>
      <w:tr w:rsidR="00E72BCF" w:rsidRPr="00E72BCF" w14:paraId="2A41E775" w14:textId="77777777" w:rsidTr="00072BD4">
        <w:trPr>
          <w:trHeight w:val="227"/>
          <w:jc w:val="center"/>
        </w:trPr>
        <w:tc>
          <w:tcPr>
            <w:tcW w:w="3049" w:type="dxa"/>
            <w:vMerge/>
            <w:shd w:val="clear" w:color="auto" w:fill="auto"/>
            <w:noWrap/>
          </w:tcPr>
          <w:p w14:paraId="2CA8DF9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65970277"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Outside the </w:t>
            </w:r>
            <w:proofErr w:type="spellStart"/>
            <w:r w:rsidR="00787AF8" w:rsidRPr="00E72BCF">
              <w:rPr>
                <w:rFonts w:ascii="Times New Roman" w:hAnsi="Times New Roman" w:cs="Times New Roman"/>
                <w:color w:val="000000"/>
                <w:sz w:val="20"/>
                <w:szCs w:val="20"/>
                <w:lang w:val="en-MY" w:eastAsia="en-MY"/>
              </w:rPr>
              <w:t>neighborhood</w:t>
            </w:r>
            <w:proofErr w:type="spellEnd"/>
            <w:r w:rsidR="00787AF8" w:rsidRPr="00E72BCF">
              <w:rPr>
                <w:rFonts w:ascii="Times New Roman" w:hAnsi="Times New Roman" w:cs="Times New Roman"/>
                <w:color w:val="000000"/>
                <w:sz w:val="20"/>
                <w:szCs w:val="20"/>
                <w:lang w:val="en-MY" w:eastAsia="en-MY"/>
              </w:rPr>
              <w:t xml:space="preserve"> area</w:t>
            </w:r>
          </w:p>
        </w:tc>
        <w:tc>
          <w:tcPr>
            <w:tcW w:w="1125" w:type="dxa"/>
            <w:shd w:val="clear" w:color="auto" w:fill="auto"/>
            <w:noWrap/>
            <w:vAlign w:val="center"/>
          </w:tcPr>
          <w:p w14:paraId="6D46822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49</w:t>
            </w:r>
          </w:p>
        </w:tc>
        <w:tc>
          <w:tcPr>
            <w:tcW w:w="1276" w:type="dxa"/>
            <w:shd w:val="clear" w:color="auto" w:fill="auto"/>
            <w:noWrap/>
            <w:vAlign w:val="center"/>
          </w:tcPr>
          <w:p w14:paraId="44FC9DE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12.7</w:t>
            </w:r>
          </w:p>
        </w:tc>
      </w:tr>
      <w:tr w:rsidR="00E72BCF" w:rsidRPr="00E72BCF" w14:paraId="780CE61A" w14:textId="77777777" w:rsidTr="00072BD4">
        <w:trPr>
          <w:trHeight w:val="227"/>
          <w:jc w:val="center"/>
        </w:trPr>
        <w:tc>
          <w:tcPr>
            <w:tcW w:w="3049" w:type="dxa"/>
            <w:vMerge/>
            <w:shd w:val="clear" w:color="auto" w:fill="auto"/>
            <w:noWrap/>
          </w:tcPr>
          <w:p w14:paraId="3D592CC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11692E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Outside USJ</w:t>
            </w:r>
          </w:p>
        </w:tc>
        <w:tc>
          <w:tcPr>
            <w:tcW w:w="1125" w:type="dxa"/>
            <w:shd w:val="clear" w:color="auto" w:fill="auto"/>
            <w:noWrap/>
            <w:vAlign w:val="center"/>
          </w:tcPr>
          <w:p w14:paraId="7A0E508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35</w:t>
            </w:r>
          </w:p>
        </w:tc>
        <w:tc>
          <w:tcPr>
            <w:tcW w:w="1276" w:type="dxa"/>
            <w:shd w:val="clear" w:color="auto" w:fill="auto"/>
            <w:noWrap/>
            <w:vAlign w:val="center"/>
          </w:tcPr>
          <w:p w14:paraId="1234361E"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9.1</w:t>
            </w:r>
          </w:p>
        </w:tc>
      </w:tr>
      <w:tr w:rsidR="00E72BCF" w:rsidRPr="00E72BCF" w14:paraId="6F5728BF" w14:textId="77777777" w:rsidTr="00072BD4">
        <w:trPr>
          <w:trHeight w:val="227"/>
          <w:jc w:val="center"/>
        </w:trPr>
        <w:tc>
          <w:tcPr>
            <w:tcW w:w="3049" w:type="dxa"/>
            <w:vMerge/>
            <w:shd w:val="clear" w:color="auto" w:fill="auto"/>
            <w:noWrap/>
          </w:tcPr>
          <w:p w14:paraId="21E45F0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11EFC8A"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r>
              <w:rPr>
                <w:rFonts w:ascii="Times New Roman" w:hAnsi="Times New Roman" w:cs="Times New Roman"/>
                <w:color w:val="000000"/>
                <w:sz w:val="20"/>
                <w:szCs w:val="20"/>
                <w:lang w:val="en-MY" w:eastAsia="en-MY"/>
              </w:rPr>
              <w:t>No a</w:t>
            </w:r>
            <w:r w:rsidR="00E72BCF" w:rsidRPr="00E72BCF">
              <w:rPr>
                <w:rFonts w:ascii="Times New Roman" w:hAnsi="Times New Roman" w:cs="Times New Roman"/>
                <w:color w:val="000000"/>
                <w:sz w:val="20"/>
                <w:szCs w:val="20"/>
                <w:lang w:val="en-MY" w:eastAsia="en-MY"/>
              </w:rPr>
              <w:t>ctivity</w:t>
            </w:r>
          </w:p>
        </w:tc>
        <w:tc>
          <w:tcPr>
            <w:tcW w:w="1125" w:type="dxa"/>
            <w:shd w:val="clear" w:color="auto" w:fill="auto"/>
            <w:noWrap/>
            <w:vAlign w:val="center"/>
          </w:tcPr>
          <w:p w14:paraId="2CCB284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36</w:t>
            </w:r>
          </w:p>
        </w:tc>
        <w:tc>
          <w:tcPr>
            <w:tcW w:w="1276" w:type="dxa"/>
            <w:shd w:val="clear" w:color="auto" w:fill="auto"/>
            <w:noWrap/>
            <w:vAlign w:val="center"/>
          </w:tcPr>
          <w:p w14:paraId="08D5061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9.4</w:t>
            </w:r>
          </w:p>
        </w:tc>
      </w:tr>
      <w:tr w:rsidR="00E72BCF" w:rsidRPr="00E72BCF" w14:paraId="766D7015" w14:textId="77777777" w:rsidTr="00072BD4">
        <w:trPr>
          <w:trHeight w:val="227"/>
          <w:jc w:val="center"/>
        </w:trPr>
        <w:tc>
          <w:tcPr>
            <w:tcW w:w="3049" w:type="dxa"/>
            <w:vMerge w:val="restart"/>
            <w:shd w:val="clear" w:color="auto" w:fill="auto"/>
            <w:noWrap/>
          </w:tcPr>
          <w:p w14:paraId="7DC30E69"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Moderate activity overall related</w:t>
            </w:r>
            <w:r w:rsidR="00787AF8">
              <w:rPr>
                <w:rFonts w:ascii="Times New Roman" w:hAnsi="Times New Roman" w:cs="Times New Roman"/>
                <w:color w:val="000000"/>
                <w:sz w:val="20"/>
                <w:szCs w:val="20"/>
                <w:lang w:val="en-MY" w:eastAsia="en-MY"/>
              </w:rPr>
              <w:t xml:space="preserve"> </w:t>
            </w:r>
            <w:r w:rsidRPr="00E72BCF">
              <w:rPr>
                <w:rFonts w:ascii="Times New Roman" w:hAnsi="Times New Roman" w:cs="Times New Roman"/>
                <w:color w:val="000000"/>
                <w:sz w:val="20"/>
                <w:szCs w:val="20"/>
                <w:lang w:val="en-MY" w:eastAsia="en-MY"/>
              </w:rPr>
              <w:t>to either</w:t>
            </w:r>
          </w:p>
        </w:tc>
        <w:tc>
          <w:tcPr>
            <w:tcW w:w="3047" w:type="dxa"/>
            <w:shd w:val="clear" w:color="auto" w:fill="auto"/>
            <w:noWrap/>
            <w:vAlign w:val="center"/>
          </w:tcPr>
          <w:p w14:paraId="3F0CC90E"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Job</w:t>
            </w:r>
          </w:p>
        </w:tc>
        <w:tc>
          <w:tcPr>
            <w:tcW w:w="1125" w:type="dxa"/>
            <w:shd w:val="clear" w:color="auto" w:fill="auto"/>
            <w:noWrap/>
            <w:vAlign w:val="center"/>
          </w:tcPr>
          <w:p w14:paraId="688A021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40</w:t>
            </w:r>
          </w:p>
        </w:tc>
        <w:tc>
          <w:tcPr>
            <w:tcW w:w="1276" w:type="dxa"/>
            <w:shd w:val="clear" w:color="auto" w:fill="auto"/>
            <w:noWrap/>
            <w:vAlign w:val="center"/>
          </w:tcPr>
          <w:p w14:paraId="117FFF2F"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10.4</w:t>
            </w:r>
          </w:p>
        </w:tc>
      </w:tr>
      <w:tr w:rsidR="00E72BCF" w:rsidRPr="00E72BCF" w14:paraId="4C978464" w14:textId="77777777" w:rsidTr="00072BD4">
        <w:trPr>
          <w:trHeight w:val="227"/>
          <w:jc w:val="center"/>
        </w:trPr>
        <w:tc>
          <w:tcPr>
            <w:tcW w:w="3049" w:type="dxa"/>
            <w:vMerge/>
            <w:shd w:val="clear" w:color="auto" w:fill="auto"/>
            <w:noWrap/>
          </w:tcPr>
          <w:p w14:paraId="5F71D6CE"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D4A7C5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Housework</w:t>
            </w:r>
          </w:p>
        </w:tc>
        <w:tc>
          <w:tcPr>
            <w:tcW w:w="1125" w:type="dxa"/>
            <w:shd w:val="clear" w:color="auto" w:fill="auto"/>
            <w:noWrap/>
            <w:vAlign w:val="center"/>
          </w:tcPr>
          <w:p w14:paraId="1D9212B1"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165</w:t>
            </w:r>
          </w:p>
        </w:tc>
        <w:tc>
          <w:tcPr>
            <w:tcW w:w="1276" w:type="dxa"/>
            <w:shd w:val="clear" w:color="auto" w:fill="auto"/>
            <w:noWrap/>
            <w:vAlign w:val="center"/>
          </w:tcPr>
          <w:p w14:paraId="07E3E36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42.9</w:t>
            </w:r>
          </w:p>
        </w:tc>
      </w:tr>
      <w:tr w:rsidR="00E72BCF" w:rsidRPr="00E72BCF" w14:paraId="0B476BA5" w14:textId="77777777" w:rsidTr="00072BD4">
        <w:trPr>
          <w:trHeight w:val="227"/>
          <w:jc w:val="center"/>
        </w:trPr>
        <w:tc>
          <w:tcPr>
            <w:tcW w:w="3049" w:type="dxa"/>
            <w:vMerge/>
            <w:shd w:val="clear" w:color="auto" w:fill="auto"/>
            <w:noWrap/>
          </w:tcPr>
          <w:p w14:paraId="6BBEBCFA"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0F64BC0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Leisure</w:t>
            </w:r>
          </w:p>
        </w:tc>
        <w:tc>
          <w:tcPr>
            <w:tcW w:w="1125" w:type="dxa"/>
            <w:shd w:val="clear" w:color="auto" w:fill="auto"/>
            <w:noWrap/>
            <w:vAlign w:val="center"/>
          </w:tcPr>
          <w:p w14:paraId="268F3B0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111</w:t>
            </w:r>
          </w:p>
        </w:tc>
        <w:tc>
          <w:tcPr>
            <w:tcW w:w="1276" w:type="dxa"/>
            <w:shd w:val="clear" w:color="auto" w:fill="auto"/>
            <w:noWrap/>
            <w:vAlign w:val="center"/>
          </w:tcPr>
          <w:p w14:paraId="5FD8627E"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28.8</w:t>
            </w:r>
          </w:p>
        </w:tc>
      </w:tr>
      <w:tr w:rsidR="00E72BCF" w:rsidRPr="00E72BCF" w14:paraId="647219A9" w14:textId="77777777" w:rsidTr="00072BD4">
        <w:trPr>
          <w:trHeight w:val="227"/>
          <w:jc w:val="center"/>
        </w:trPr>
        <w:tc>
          <w:tcPr>
            <w:tcW w:w="3049" w:type="dxa"/>
            <w:vMerge/>
            <w:shd w:val="clear" w:color="auto" w:fill="auto"/>
            <w:noWrap/>
          </w:tcPr>
          <w:p w14:paraId="4DF953A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710C49FF"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r>
              <w:rPr>
                <w:rFonts w:ascii="Times New Roman" w:hAnsi="Times New Roman" w:cs="Times New Roman"/>
                <w:color w:val="000000"/>
                <w:sz w:val="20"/>
                <w:szCs w:val="20"/>
                <w:lang w:val="en-MY" w:eastAsia="en-MY"/>
              </w:rPr>
              <w:t>No a</w:t>
            </w:r>
            <w:r w:rsidR="00E72BCF" w:rsidRPr="00E72BCF">
              <w:rPr>
                <w:rFonts w:ascii="Times New Roman" w:hAnsi="Times New Roman" w:cs="Times New Roman"/>
                <w:color w:val="000000"/>
                <w:sz w:val="20"/>
                <w:szCs w:val="20"/>
                <w:lang w:val="en-MY" w:eastAsia="en-MY"/>
              </w:rPr>
              <w:t>ctivity</w:t>
            </w:r>
          </w:p>
        </w:tc>
        <w:tc>
          <w:tcPr>
            <w:tcW w:w="1125" w:type="dxa"/>
            <w:shd w:val="clear" w:color="auto" w:fill="auto"/>
            <w:noWrap/>
            <w:vAlign w:val="center"/>
          </w:tcPr>
          <w:p w14:paraId="7F7FAB4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69</w:t>
            </w:r>
          </w:p>
        </w:tc>
        <w:tc>
          <w:tcPr>
            <w:tcW w:w="1276" w:type="dxa"/>
            <w:shd w:val="clear" w:color="auto" w:fill="auto"/>
            <w:noWrap/>
            <w:vAlign w:val="center"/>
          </w:tcPr>
          <w:p w14:paraId="5FDAB582"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17.9</w:t>
            </w:r>
          </w:p>
        </w:tc>
      </w:tr>
      <w:tr w:rsidR="00E72BCF" w:rsidRPr="00E72BCF" w14:paraId="06E96A42" w14:textId="77777777" w:rsidTr="00072BD4">
        <w:trPr>
          <w:trHeight w:val="227"/>
          <w:jc w:val="center"/>
        </w:trPr>
        <w:tc>
          <w:tcPr>
            <w:tcW w:w="3049" w:type="dxa"/>
            <w:vMerge w:val="restart"/>
            <w:shd w:val="clear" w:color="auto" w:fill="auto"/>
            <w:noWrap/>
          </w:tcPr>
          <w:p w14:paraId="084F55A5"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Moderate </w:t>
            </w:r>
            <w:r w:rsidR="00787AF8">
              <w:rPr>
                <w:rFonts w:ascii="Times New Roman" w:hAnsi="Times New Roman" w:cs="Times New Roman"/>
                <w:color w:val="000000"/>
                <w:sz w:val="20"/>
                <w:szCs w:val="20"/>
                <w:lang w:val="en-MY" w:eastAsia="en-MY"/>
              </w:rPr>
              <w:t xml:space="preserve">activity total days </w:t>
            </w:r>
            <w:r w:rsidR="00787AF8" w:rsidRPr="00E72BCF">
              <w:rPr>
                <w:rFonts w:ascii="Times New Roman" w:hAnsi="Times New Roman" w:cs="Times New Roman"/>
                <w:color w:val="000000"/>
                <w:sz w:val="20"/>
                <w:szCs w:val="20"/>
                <w:lang w:val="en-MY" w:eastAsia="en-MY"/>
              </w:rPr>
              <w:t>per 2 weeks in the last 14 days</w:t>
            </w:r>
          </w:p>
        </w:tc>
        <w:tc>
          <w:tcPr>
            <w:tcW w:w="3047" w:type="dxa"/>
            <w:shd w:val="clear" w:color="auto" w:fill="auto"/>
            <w:noWrap/>
            <w:vAlign w:val="center"/>
          </w:tcPr>
          <w:p w14:paraId="669547F9"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1 - 2 days</w:t>
            </w:r>
          </w:p>
        </w:tc>
        <w:tc>
          <w:tcPr>
            <w:tcW w:w="1125" w:type="dxa"/>
            <w:shd w:val="clear" w:color="auto" w:fill="auto"/>
            <w:noWrap/>
            <w:vAlign w:val="center"/>
          </w:tcPr>
          <w:p w14:paraId="07F6FBA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46</w:t>
            </w:r>
          </w:p>
        </w:tc>
        <w:tc>
          <w:tcPr>
            <w:tcW w:w="1276" w:type="dxa"/>
            <w:shd w:val="clear" w:color="auto" w:fill="auto"/>
            <w:noWrap/>
            <w:vAlign w:val="center"/>
          </w:tcPr>
          <w:p w14:paraId="29218B4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11.9</w:t>
            </w:r>
          </w:p>
        </w:tc>
      </w:tr>
      <w:tr w:rsidR="00E72BCF" w:rsidRPr="00E72BCF" w14:paraId="75192B1A" w14:textId="77777777" w:rsidTr="00072BD4">
        <w:trPr>
          <w:trHeight w:val="227"/>
          <w:jc w:val="center"/>
        </w:trPr>
        <w:tc>
          <w:tcPr>
            <w:tcW w:w="3049" w:type="dxa"/>
            <w:vMerge/>
            <w:shd w:val="clear" w:color="auto" w:fill="auto"/>
            <w:noWrap/>
          </w:tcPr>
          <w:p w14:paraId="439E0752"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08BA81D"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3 - 4 days</w:t>
            </w:r>
          </w:p>
        </w:tc>
        <w:tc>
          <w:tcPr>
            <w:tcW w:w="1125" w:type="dxa"/>
            <w:shd w:val="clear" w:color="auto" w:fill="auto"/>
            <w:noWrap/>
            <w:vAlign w:val="center"/>
          </w:tcPr>
          <w:p w14:paraId="28BD136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26</w:t>
            </w:r>
          </w:p>
        </w:tc>
        <w:tc>
          <w:tcPr>
            <w:tcW w:w="1276" w:type="dxa"/>
            <w:shd w:val="clear" w:color="auto" w:fill="auto"/>
            <w:noWrap/>
            <w:vAlign w:val="center"/>
          </w:tcPr>
          <w:p w14:paraId="789E89C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6.8</w:t>
            </w:r>
          </w:p>
        </w:tc>
      </w:tr>
      <w:tr w:rsidR="00E72BCF" w:rsidRPr="00E72BCF" w14:paraId="388F7EEA" w14:textId="77777777" w:rsidTr="00072BD4">
        <w:trPr>
          <w:trHeight w:val="227"/>
          <w:jc w:val="center"/>
        </w:trPr>
        <w:tc>
          <w:tcPr>
            <w:tcW w:w="3049" w:type="dxa"/>
            <w:vMerge/>
            <w:shd w:val="clear" w:color="auto" w:fill="auto"/>
            <w:noWrap/>
          </w:tcPr>
          <w:p w14:paraId="6197761C"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0A9AFF2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5 - 6 days</w:t>
            </w:r>
          </w:p>
        </w:tc>
        <w:tc>
          <w:tcPr>
            <w:tcW w:w="1125" w:type="dxa"/>
            <w:shd w:val="clear" w:color="auto" w:fill="auto"/>
            <w:noWrap/>
            <w:vAlign w:val="center"/>
          </w:tcPr>
          <w:p w14:paraId="773AE24A"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17</w:t>
            </w:r>
          </w:p>
        </w:tc>
        <w:tc>
          <w:tcPr>
            <w:tcW w:w="1276" w:type="dxa"/>
            <w:shd w:val="clear" w:color="auto" w:fill="auto"/>
            <w:noWrap/>
            <w:vAlign w:val="center"/>
          </w:tcPr>
          <w:p w14:paraId="2908256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4.4</w:t>
            </w:r>
          </w:p>
        </w:tc>
      </w:tr>
      <w:tr w:rsidR="00E72BCF" w:rsidRPr="00E72BCF" w14:paraId="13FA27F8" w14:textId="77777777" w:rsidTr="00072BD4">
        <w:trPr>
          <w:trHeight w:val="227"/>
          <w:jc w:val="center"/>
        </w:trPr>
        <w:tc>
          <w:tcPr>
            <w:tcW w:w="3049" w:type="dxa"/>
            <w:vMerge/>
            <w:shd w:val="clear" w:color="auto" w:fill="auto"/>
            <w:noWrap/>
          </w:tcPr>
          <w:p w14:paraId="7404AE12"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7296EB49"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More than 6 days</w:t>
            </w:r>
          </w:p>
        </w:tc>
        <w:tc>
          <w:tcPr>
            <w:tcW w:w="1125" w:type="dxa"/>
            <w:shd w:val="clear" w:color="auto" w:fill="auto"/>
            <w:noWrap/>
            <w:vAlign w:val="center"/>
          </w:tcPr>
          <w:p w14:paraId="22CD4E6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226</w:t>
            </w:r>
          </w:p>
        </w:tc>
        <w:tc>
          <w:tcPr>
            <w:tcW w:w="1276" w:type="dxa"/>
            <w:shd w:val="clear" w:color="auto" w:fill="auto"/>
            <w:noWrap/>
            <w:vAlign w:val="center"/>
          </w:tcPr>
          <w:p w14:paraId="3944804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58.7</w:t>
            </w:r>
          </w:p>
        </w:tc>
      </w:tr>
      <w:tr w:rsidR="00E72BCF" w:rsidRPr="00E72BCF" w14:paraId="1E693A0E" w14:textId="77777777" w:rsidTr="00072BD4">
        <w:trPr>
          <w:trHeight w:val="227"/>
          <w:jc w:val="center"/>
        </w:trPr>
        <w:tc>
          <w:tcPr>
            <w:tcW w:w="3049" w:type="dxa"/>
            <w:vMerge/>
            <w:shd w:val="clear" w:color="auto" w:fill="auto"/>
            <w:noWrap/>
          </w:tcPr>
          <w:p w14:paraId="7EDC1873"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CA2FF4B"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0 days</w:t>
            </w:r>
          </w:p>
        </w:tc>
        <w:tc>
          <w:tcPr>
            <w:tcW w:w="1125" w:type="dxa"/>
            <w:shd w:val="clear" w:color="auto" w:fill="auto"/>
            <w:noWrap/>
            <w:vAlign w:val="center"/>
          </w:tcPr>
          <w:p w14:paraId="7428C27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70</w:t>
            </w:r>
          </w:p>
        </w:tc>
        <w:tc>
          <w:tcPr>
            <w:tcW w:w="1276" w:type="dxa"/>
            <w:shd w:val="clear" w:color="auto" w:fill="auto"/>
            <w:noWrap/>
            <w:vAlign w:val="center"/>
          </w:tcPr>
          <w:p w14:paraId="5AB9A12E"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18.2</w:t>
            </w:r>
          </w:p>
        </w:tc>
      </w:tr>
      <w:tr w:rsidR="00E72BCF" w:rsidRPr="00E72BCF" w14:paraId="6B5C6869" w14:textId="77777777" w:rsidTr="00072BD4">
        <w:trPr>
          <w:trHeight w:val="227"/>
          <w:jc w:val="center"/>
        </w:trPr>
        <w:tc>
          <w:tcPr>
            <w:tcW w:w="3049" w:type="dxa"/>
            <w:vMerge w:val="restart"/>
            <w:shd w:val="clear" w:color="auto" w:fill="auto"/>
            <w:noWrap/>
          </w:tcPr>
          <w:p w14:paraId="45E4E47B"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Moderate </w:t>
            </w:r>
            <w:r w:rsidR="00787AF8" w:rsidRPr="00E72BCF">
              <w:rPr>
                <w:rFonts w:ascii="Times New Roman" w:hAnsi="Times New Roman" w:cs="Times New Roman"/>
                <w:color w:val="000000"/>
                <w:sz w:val="20"/>
                <w:szCs w:val="20"/>
                <w:lang w:val="en-MY" w:eastAsia="en-MY"/>
              </w:rPr>
              <w:t xml:space="preserve">activity duration </w:t>
            </w:r>
            <w:r w:rsidR="00787AF8">
              <w:rPr>
                <w:rFonts w:ascii="Times New Roman" w:hAnsi="Times New Roman" w:cs="Times New Roman"/>
                <w:color w:val="000000"/>
                <w:sz w:val="20"/>
                <w:szCs w:val="20"/>
                <w:lang w:val="en-MY" w:eastAsia="en-MY"/>
              </w:rPr>
              <w:t xml:space="preserve"> </w:t>
            </w:r>
            <w:r w:rsidR="00787AF8" w:rsidRPr="00E72BCF">
              <w:rPr>
                <w:rFonts w:ascii="Times New Roman" w:hAnsi="Times New Roman" w:cs="Times New Roman"/>
                <w:color w:val="000000"/>
                <w:sz w:val="20"/>
                <w:szCs w:val="20"/>
                <w:lang w:val="en-MY" w:eastAsia="en-MY"/>
              </w:rPr>
              <w:t>(minutes per day) highest</w:t>
            </w:r>
          </w:p>
        </w:tc>
        <w:tc>
          <w:tcPr>
            <w:tcW w:w="3047" w:type="dxa"/>
            <w:shd w:val="clear" w:color="auto" w:fill="auto"/>
            <w:noWrap/>
            <w:vAlign w:val="center"/>
          </w:tcPr>
          <w:p w14:paraId="791E21C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Less than 30 minutes</w:t>
            </w:r>
          </w:p>
        </w:tc>
        <w:tc>
          <w:tcPr>
            <w:tcW w:w="1125" w:type="dxa"/>
            <w:shd w:val="clear" w:color="auto" w:fill="auto"/>
            <w:noWrap/>
            <w:vAlign w:val="center"/>
          </w:tcPr>
          <w:p w14:paraId="1402494D"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125</w:t>
            </w:r>
          </w:p>
        </w:tc>
        <w:tc>
          <w:tcPr>
            <w:tcW w:w="1276" w:type="dxa"/>
            <w:shd w:val="clear" w:color="auto" w:fill="auto"/>
            <w:noWrap/>
            <w:vAlign w:val="center"/>
          </w:tcPr>
          <w:p w14:paraId="36C2D46F"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32.5</w:t>
            </w:r>
          </w:p>
        </w:tc>
      </w:tr>
      <w:tr w:rsidR="00E72BCF" w:rsidRPr="00E72BCF" w14:paraId="5354EABF" w14:textId="77777777" w:rsidTr="00072BD4">
        <w:trPr>
          <w:trHeight w:val="227"/>
          <w:jc w:val="center"/>
        </w:trPr>
        <w:tc>
          <w:tcPr>
            <w:tcW w:w="3049" w:type="dxa"/>
            <w:vMerge/>
            <w:shd w:val="clear" w:color="auto" w:fill="auto"/>
            <w:noWrap/>
          </w:tcPr>
          <w:p w14:paraId="531E65ED"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039109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31 - 60 minutes</w:t>
            </w:r>
          </w:p>
        </w:tc>
        <w:tc>
          <w:tcPr>
            <w:tcW w:w="1125" w:type="dxa"/>
            <w:shd w:val="clear" w:color="auto" w:fill="auto"/>
            <w:noWrap/>
            <w:vAlign w:val="center"/>
          </w:tcPr>
          <w:p w14:paraId="383E1C04"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100</w:t>
            </w:r>
          </w:p>
        </w:tc>
        <w:tc>
          <w:tcPr>
            <w:tcW w:w="1276" w:type="dxa"/>
            <w:shd w:val="clear" w:color="auto" w:fill="auto"/>
            <w:noWrap/>
            <w:vAlign w:val="center"/>
          </w:tcPr>
          <w:p w14:paraId="41C590E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26.0</w:t>
            </w:r>
          </w:p>
        </w:tc>
      </w:tr>
      <w:tr w:rsidR="00E72BCF" w:rsidRPr="00E72BCF" w14:paraId="5FF36910" w14:textId="77777777" w:rsidTr="00072BD4">
        <w:trPr>
          <w:trHeight w:val="227"/>
          <w:jc w:val="center"/>
        </w:trPr>
        <w:tc>
          <w:tcPr>
            <w:tcW w:w="3049" w:type="dxa"/>
            <w:vMerge/>
            <w:shd w:val="clear" w:color="auto" w:fill="auto"/>
            <w:noWrap/>
          </w:tcPr>
          <w:p w14:paraId="7BBE92C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5910C922"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More than 60 minutes</w:t>
            </w:r>
          </w:p>
        </w:tc>
        <w:tc>
          <w:tcPr>
            <w:tcW w:w="1125" w:type="dxa"/>
            <w:shd w:val="clear" w:color="auto" w:fill="auto"/>
            <w:noWrap/>
            <w:vAlign w:val="center"/>
          </w:tcPr>
          <w:p w14:paraId="74010114"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84</w:t>
            </w:r>
          </w:p>
        </w:tc>
        <w:tc>
          <w:tcPr>
            <w:tcW w:w="1276" w:type="dxa"/>
            <w:shd w:val="clear" w:color="auto" w:fill="auto"/>
            <w:noWrap/>
            <w:vAlign w:val="center"/>
          </w:tcPr>
          <w:p w14:paraId="6593536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21.8</w:t>
            </w:r>
          </w:p>
        </w:tc>
      </w:tr>
      <w:tr w:rsidR="00E72BCF" w:rsidRPr="00E72BCF" w14:paraId="60AE4316" w14:textId="77777777" w:rsidTr="00072BD4">
        <w:trPr>
          <w:trHeight w:val="227"/>
          <w:jc w:val="center"/>
        </w:trPr>
        <w:tc>
          <w:tcPr>
            <w:tcW w:w="3049" w:type="dxa"/>
            <w:vMerge/>
            <w:shd w:val="clear" w:color="auto" w:fill="auto"/>
            <w:noWrap/>
          </w:tcPr>
          <w:p w14:paraId="18127211"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16AEB531"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0 minutes</w:t>
            </w:r>
          </w:p>
        </w:tc>
        <w:tc>
          <w:tcPr>
            <w:tcW w:w="1125" w:type="dxa"/>
            <w:shd w:val="clear" w:color="auto" w:fill="auto"/>
            <w:noWrap/>
            <w:vAlign w:val="center"/>
          </w:tcPr>
          <w:p w14:paraId="4769E96C"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76</w:t>
            </w:r>
          </w:p>
        </w:tc>
        <w:tc>
          <w:tcPr>
            <w:tcW w:w="1276" w:type="dxa"/>
            <w:shd w:val="clear" w:color="auto" w:fill="auto"/>
            <w:noWrap/>
            <w:vAlign w:val="center"/>
          </w:tcPr>
          <w:p w14:paraId="452CBF2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19.7</w:t>
            </w:r>
          </w:p>
        </w:tc>
      </w:tr>
      <w:tr w:rsidR="00E72BCF" w:rsidRPr="00E72BCF" w14:paraId="6CF99B51" w14:textId="77777777" w:rsidTr="00072BD4">
        <w:trPr>
          <w:trHeight w:val="227"/>
          <w:jc w:val="center"/>
        </w:trPr>
        <w:tc>
          <w:tcPr>
            <w:tcW w:w="3049" w:type="dxa"/>
            <w:vMerge w:val="restart"/>
            <w:shd w:val="clear" w:color="auto" w:fill="auto"/>
            <w:noWrap/>
          </w:tcPr>
          <w:p w14:paraId="18508FDE"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Location where </w:t>
            </w:r>
            <w:r w:rsidR="00787AF8" w:rsidRPr="00E72BCF">
              <w:rPr>
                <w:rFonts w:ascii="Times New Roman" w:hAnsi="Times New Roman" w:cs="Times New Roman"/>
                <w:color w:val="000000"/>
                <w:sz w:val="20"/>
                <w:szCs w:val="20"/>
                <w:lang w:val="en-MY" w:eastAsia="en-MY"/>
              </w:rPr>
              <w:t>moderate activity</w:t>
            </w:r>
            <w:r w:rsidR="00787AF8">
              <w:rPr>
                <w:rFonts w:ascii="Times New Roman" w:hAnsi="Times New Roman" w:cs="Times New Roman"/>
                <w:color w:val="000000"/>
                <w:sz w:val="20"/>
                <w:szCs w:val="20"/>
                <w:lang w:val="en-MY" w:eastAsia="en-MY"/>
              </w:rPr>
              <w:t xml:space="preserve"> </w:t>
            </w:r>
            <w:r w:rsidR="00787AF8" w:rsidRPr="00E72BCF">
              <w:rPr>
                <w:rFonts w:ascii="Times New Roman" w:hAnsi="Times New Roman" w:cs="Times New Roman"/>
                <w:color w:val="000000"/>
                <w:sz w:val="20"/>
                <w:szCs w:val="20"/>
                <w:lang w:val="en-MY" w:eastAsia="en-MY"/>
              </w:rPr>
              <w:t>was carried out</w:t>
            </w:r>
          </w:p>
        </w:tc>
        <w:tc>
          <w:tcPr>
            <w:tcW w:w="3047" w:type="dxa"/>
            <w:shd w:val="clear" w:color="auto" w:fill="auto"/>
            <w:noWrap/>
            <w:vAlign w:val="center"/>
          </w:tcPr>
          <w:p w14:paraId="65ABE833"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Park</w:t>
            </w:r>
          </w:p>
        </w:tc>
        <w:tc>
          <w:tcPr>
            <w:tcW w:w="1125" w:type="dxa"/>
            <w:shd w:val="clear" w:color="auto" w:fill="auto"/>
            <w:noWrap/>
            <w:vAlign w:val="center"/>
          </w:tcPr>
          <w:p w14:paraId="0EF7E15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71</w:t>
            </w:r>
          </w:p>
        </w:tc>
        <w:tc>
          <w:tcPr>
            <w:tcW w:w="1276" w:type="dxa"/>
            <w:shd w:val="clear" w:color="auto" w:fill="auto"/>
            <w:noWrap/>
            <w:vAlign w:val="center"/>
          </w:tcPr>
          <w:p w14:paraId="568CA74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18.4</w:t>
            </w:r>
          </w:p>
        </w:tc>
      </w:tr>
      <w:tr w:rsidR="00E72BCF" w:rsidRPr="00E72BCF" w14:paraId="5585A16F" w14:textId="77777777" w:rsidTr="00072BD4">
        <w:trPr>
          <w:trHeight w:val="227"/>
          <w:jc w:val="center"/>
        </w:trPr>
        <w:tc>
          <w:tcPr>
            <w:tcW w:w="3049" w:type="dxa"/>
            <w:vMerge/>
            <w:shd w:val="clear" w:color="auto" w:fill="auto"/>
            <w:noWrap/>
          </w:tcPr>
          <w:p w14:paraId="3EC8546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65BF048"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Indoor</w:t>
            </w:r>
          </w:p>
        </w:tc>
        <w:tc>
          <w:tcPr>
            <w:tcW w:w="1125" w:type="dxa"/>
            <w:shd w:val="clear" w:color="auto" w:fill="auto"/>
            <w:noWrap/>
            <w:vAlign w:val="center"/>
          </w:tcPr>
          <w:p w14:paraId="301DB85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154</w:t>
            </w:r>
          </w:p>
        </w:tc>
        <w:tc>
          <w:tcPr>
            <w:tcW w:w="1276" w:type="dxa"/>
            <w:shd w:val="clear" w:color="auto" w:fill="auto"/>
            <w:noWrap/>
            <w:vAlign w:val="center"/>
          </w:tcPr>
          <w:p w14:paraId="7F35FF07"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40.0</w:t>
            </w:r>
          </w:p>
        </w:tc>
      </w:tr>
      <w:tr w:rsidR="00E72BCF" w:rsidRPr="00E72BCF" w14:paraId="292879FF" w14:textId="77777777" w:rsidTr="00072BD4">
        <w:trPr>
          <w:trHeight w:val="227"/>
          <w:jc w:val="center"/>
        </w:trPr>
        <w:tc>
          <w:tcPr>
            <w:tcW w:w="3049" w:type="dxa"/>
            <w:vMerge/>
            <w:shd w:val="clear" w:color="auto" w:fill="auto"/>
            <w:noWrap/>
          </w:tcPr>
          <w:p w14:paraId="028EFCC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42838BB9"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r>
              <w:rPr>
                <w:rFonts w:ascii="Times New Roman" w:hAnsi="Times New Roman" w:cs="Times New Roman"/>
                <w:color w:val="000000"/>
                <w:sz w:val="20"/>
                <w:szCs w:val="20"/>
                <w:lang w:val="en-MY" w:eastAsia="en-MY"/>
              </w:rPr>
              <w:t>House b</w:t>
            </w:r>
            <w:r w:rsidR="00E72BCF" w:rsidRPr="00E72BCF">
              <w:rPr>
                <w:rFonts w:ascii="Times New Roman" w:hAnsi="Times New Roman" w:cs="Times New Roman"/>
                <w:color w:val="000000"/>
                <w:sz w:val="20"/>
                <w:szCs w:val="20"/>
                <w:lang w:val="en-MY" w:eastAsia="en-MY"/>
              </w:rPr>
              <w:t>oundary</w:t>
            </w:r>
          </w:p>
        </w:tc>
        <w:tc>
          <w:tcPr>
            <w:tcW w:w="1125" w:type="dxa"/>
            <w:shd w:val="clear" w:color="auto" w:fill="auto"/>
            <w:noWrap/>
            <w:vAlign w:val="center"/>
          </w:tcPr>
          <w:p w14:paraId="4B940B9B"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72</w:t>
            </w:r>
          </w:p>
        </w:tc>
        <w:tc>
          <w:tcPr>
            <w:tcW w:w="1276" w:type="dxa"/>
            <w:shd w:val="clear" w:color="auto" w:fill="auto"/>
            <w:noWrap/>
            <w:vAlign w:val="center"/>
          </w:tcPr>
          <w:p w14:paraId="098E0A2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18.7</w:t>
            </w:r>
          </w:p>
        </w:tc>
      </w:tr>
      <w:tr w:rsidR="00E72BCF" w:rsidRPr="00E72BCF" w14:paraId="1345B46D" w14:textId="77777777" w:rsidTr="00072BD4">
        <w:trPr>
          <w:trHeight w:val="227"/>
          <w:jc w:val="center"/>
        </w:trPr>
        <w:tc>
          <w:tcPr>
            <w:tcW w:w="3049" w:type="dxa"/>
            <w:vMerge/>
            <w:shd w:val="clear" w:color="auto" w:fill="auto"/>
            <w:noWrap/>
          </w:tcPr>
          <w:p w14:paraId="10DD00D5"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0975B30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Others, </w:t>
            </w:r>
            <w:r w:rsidR="00787AF8" w:rsidRPr="00E72BCF">
              <w:rPr>
                <w:rFonts w:ascii="Times New Roman" w:hAnsi="Times New Roman" w:cs="Times New Roman"/>
                <w:color w:val="000000"/>
                <w:sz w:val="20"/>
                <w:szCs w:val="20"/>
                <w:lang w:val="en-MY" w:eastAsia="en-MY"/>
              </w:rPr>
              <w:t>please specify</w:t>
            </w:r>
          </w:p>
        </w:tc>
        <w:tc>
          <w:tcPr>
            <w:tcW w:w="1125" w:type="dxa"/>
            <w:shd w:val="clear" w:color="auto" w:fill="auto"/>
            <w:noWrap/>
            <w:vAlign w:val="center"/>
          </w:tcPr>
          <w:p w14:paraId="03614672"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19</w:t>
            </w:r>
          </w:p>
        </w:tc>
        <w:tc>
          <w:tcPr>
            <w:tcW w:w="1276" w:type="dxa"/>
            <w:shd w:val="clear" w:color="auto" w:fill="auto"/>
            <w:noWrap/>
            <w:vAlign w:val="center"/>
          </w:tcPr>
          <w:p w14:paraId="45D83A6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4.9</w:t>
            </w:r>
          </w:p>
        </w:tc>
      </w:tr>
      <w:tr w:rsidR="00E72BCF" w:rsidRPr="00E72BCF" w14:paraId="661355A9" w14:textId="77777777" w:rsidTr="00072BD4">
        <w:trPr>
          <w:trHeight w:val="227"/>
          <w:jc w:val="center"/>
        </w:trPr>
        <w:tc>
          <w:tcPr>
            <w:tcW w:w="3049" w:type="dxa"/>
            <w:vMerge/>
            <w:shd w:val="clear" w:color="auto" w:fill="auto"/>
            <w:noWrap/>
          </w:tcPr>
          <w:p w14:paraId="74276ABF"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7372796" w14:textId="77777777" w:rsidR="00E72BCF" w:rsidRPr="00E72BCF" w:rsidRDefault="00787AF8" w:rsidP="00E72BCF">
            <w:pPr>
              <w:spacing w:after="0" w:line="240" w:lineRule="auto"/>
              <w:ind w:left="0" w:hanging="2"/>
              <w:jc w:val="both"/>
              <w:rPr>
                <w:rFonts w:ascii="Times New Roman" w:hAnsi="Times New Roman" w:cs="Times New Roman"/>
                <w:color w:val="000000"/>
                <w:sz w:val="20"/>
                <w:szCs w:val="20"/>
                <w:lang w:val="en-MY" w:eastAsia="en-MY"/>
              </w:rPr>
            </w:pPr>
            <w:r>
              <w:rPr>
                <w:rFonts w:ascii="Times New Roman" w:hAnsi="Times New Roman" w:cs="Times New Roman"/>
                <w:color w:val="000000"/>
                <w:sz w:val="20"/>
                <w:szCs w:val="20"/>
                <w:lang w:val="en-MY" w:eastAsia="en-MY"/>
              </w:rPr>
              <w:t>No a</w:t>
            </w:r>
            <w:r w:rsidR="00E72BCF" w:rsidRPr="00E72BCF">
              <w:rPr>
                <w:rFonts w:ascii="Times New Roman" w:hAnsi="Times New Roman" w:cs="Times New Roman"/>
                <w:color w:val="000000"/>
                <w:sz w:val="20"/>
                <w:szCs w:val="20"/>
                <w:lang w:val="en-MY" w:eastAsia="en-MY"/>
              </w:rPr>
              <w:t>ctivity</w:t>
            </w:r>
          </w:p>
        </w:tc>
        <w:tc>
          <w:tcPr>
            <w:tcW w:w="1125" w:type="dxa"/>
            <w:shd w:val="clear" w:color="auto" w:fill="auto"/>
            <w:noWrap/>
            <w:vAlign w:val="center"/>
          </w:tcPr>
          <w:p w14:paraId="09F6654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69</w:t>
            </w:r>
          </w:p>
        </w:tc>
        <w:tc>
          <w:tcPr>
            <w:tcW w:w="1276" w:type="dxa"/>
            <w:shd w:val="clear" w:color="auto" w:fill="auto"/>
            <w:noWrap/>
            <w:vAlign w:val="center"/>
          </w:tcPr>
          <w:p w14:paraId="4C975E8E"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17.9</w:t>
            </w:r>
          </w:p>
        </w:tc>
      </w:tr>
      <w:tr w:rsidR="00E72BCF" w:rsidRPr="00E72BCF" w14:paraId="7AAA88E0" w14:textId="77777777" w:rsidTr="00072BD4">
        <w:trPr>
          <w:trHeight w:val="227"/>
          <w:jc w:val="center"/>
        </w:trPr>
        <w:tc>
          <w:tcPr>
            <w:tcW w:w="3049" w:type="dxa"/>
            <w:vMerge w:val="restart"/>
            <w:shd w:val="clear" w:color="auto" w:fill="auto"/>
            <w:noWrap/>
          </w:tcPr>
          <w:p w14:paraId="0ECA19B3" w14:textId="77777777" w:rsidR="00E72BCF" w:rsidRPr="00E72BCF" w:rsidRDefault="00E72BCF" w:rsidP="00787AF8">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Area where </w:t>
            </w:r>
            <w:r w:rsidR="00787AF8" w:rsidRPr="00E72BCF">
              <w:rPr>
                <w:rFonts w:ascii="Times New Roman" w:hAnsi="Times New Roman" w:cs="Times New Roman"/>
                <w:color w:val="000000"/>
                <w:sz w:val="20"/>
                <w:szCs w:val="20"/>
                <w:lang w:val="en-MY" w:eastAsia="en-MY"/>
              </w:rPr>
              <w:t>moderate activity was</w:t>
            </w:r>
            <w:r w:rsidR="00787AF8">
              <w:rPr>
                <w:rFonts w:ascii="Times New Roman" w:hAnsi="Times New Roman" w:cs="Times New Roman"/>
                <w:color w:val="000000"/>
                <w:sz w:val="20"/>
                <w:szCs w:val="20"/>
                <w:lang w:val="en-MY" w:eastAsia="en-MY"/>
              </w:rPr>
              <w:t xml:space="preserve"> </w:t>
            </w:r>
            <w:r w:rsidR="00787AF8" w:rsidRPr="00E72BCF">
              <w:rPr>
                <w:rFonts w:ascii="Times New Roman" w:hAnsi="Times New Roman" w:cs="Times New Roman"/>
                <w:color w:val="000000"/>
                <w:sz w:val="20"/>
                <w:szCs w:val="20"/>
                <w:lang w:val="en-MY" w:eastAsia="en-MY"/>
              </w:rPr>
              <w:t>carried out</w:t>
            </w:r>
          </w:p>
        </w:tc>
        <w:tc>
          <w:tcPr>
            <w:tcW w:w="3047" w:type="dxa"/>
            <w:shd w:val="clear" w:color="auto" w:fill="auto"/>
            <w:noWrap/>
            <w:vAlign w:val="center"/>
          </w:tcPr>
          <w:p w14:paraId="7A48B1AE"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In the </w:t>
            </w:r>
            <w:proofErr w:type="spellStart"/>
            <w:r w:rsidR="00787AF8" w:rsidRPr="00E72BCF">
              <w:rPr>
                <w:rFonts w:ascii="Times New Roman" w:hAnsi="Times New Roman" w:cs="Times New Roman"/>
                <w:color w:val="000000"/>
                <w:sz w:val="20"/>
                <w:szCs w:val="20"/>
                <w:lang w:val="en-MY" w:eastAsia="en-MY"/>
              </w:rPr>
              <w:t>neighborhood</w:t>
            </w:r>
            <w:proofErr w:type="spellEnd"/>
            <w:r w:rsidR="00787AF8" w:rsidRPr="00E72BCF">
              <w:rPr>
                <w:rFonts w:ascii="Times New Roman" w:hAnsi="Times New Roman" w:cs="Times New Roman"/>
                <w:color w:val="000000"/>
                <w:sz w:val="20"/>
                <w:szCs w:val="20"/>
                <w:lang w:val="en-MY" w:eastAsia="en-MY"/>
              </w:rPr>
              <w:t xml:space="preserve"> area</w:t>
            </w:r>
          </w:p>
        </w:tc>
        <w:tc>
          <w:tcPr>
            <w:tcW w:w="1125" w:type="dxa"/>
            <w:shd w:val="clear" w:color="auto" w:fill="auto"/>
            <w:noWrap/>
            <w:vAlign w:val="center"/>
          </w:tcPr>
          <w:p w14:paraId="51D54F41"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259</w:t>
            </w:r>
          </w:p>
        </w:tc>
        <w:tc>
          <w:tcPr>
            <w:tcW w:w="1276" w:type="dxa"/>
            <w:shd w:val="clear" w:color="auto" w:fill="auto"/>
            <w:noWrap/>
            <w:vAlign w:val="center"/>
          </w:tcPr>
          <w:p w14:paraId="7F4E51F1"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67.3</w:t>
            </w:r>
          </w:p>
        </w:tc>
      </w:tr>
      <w:tr w:rsidR="00E72BCF" w:rsidRPr="00E72BCF" w14:paraId="682A0600" w14:textId="77777777" w:rsidTr="00072BD4">
        <w:trPr>
          <w:trHeight w:val="227"/>
          <w:jc w:val="center"/>
        </w:trPr>
        <w:tc>
          <w:tcPr>
            <w:tcW w:w="3049" w:type="dxa"/>
            <w:vMerge/>
            <w:shd w:val="clear" w:color="auto" w:fill="auto"/>
            <w:noWrap/>
            <w:vAlign w:val="center"/>
          </w:tcPr>
          <w:p w14:paraId="7B52032A"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145063F6"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 xml:space="preserve">Outside the </w:t>
            </w:r>
            <w:proofErr w:type="spellStart"/>
            <w:r w:rsidR="00787AF8" w:rsidRPr="00E72BCF">
              <w:rPr>
                <w:rFonts w:ascii="Times New Roman" w:hAnsi="Times New Roman" w:cs="Times New Roman"/>
                <w:color w:val="000000"/>
                <w:sz w:val="20"/>
                <w:szCs w:val="20"/>
                <w:lang w:val="en-MY" w:eastAsia="en-MY"/>
              </w:rPr>
              <w:t>neighborhood</w:t>
            </w:r>
            <w:proofErr w:type="spellEnd"/>
            <w:r w:rsidR="00787AF8" w:rsidRPr="00E72BCF">
              <w:rPr>
                <w:rFonts w:ascii="Times New Roman" w:hAnsi="Times New Roman" w:cs="Times New Roman"/>
                <w:color w:val="000000"/>
                <w:sz w:val="20"/>
                <w:szCs w:val="20"/>
                <w:lang w:val="en-MY" w:eastAsia="en-MY"/>
              </w:rPr>
              <w:t xml:space="preserve"> area</w:t>
            </w:r>
          </w:p>
        </w:tc>
        <w:tc>
          <w:tcPr>
            <w:tcW w:w="1125" w:type="dxa"/>
            <w:shd w:val="clear" w:color="auto" w:fill="auto"/>
            <w:noWrap/>
            <w:vAlign w:val="center"/>
          </w:tcPr>
          <w:p w14:paraId="6B17980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27</w:t>
            </w:r>
          </w:p>
        </w:tc>
        <w:tc>
          <w:tcPr>
            <w:tcW w:w="1276" w:type="dxa"/>
            <w:shd w:val="clear" w:color="auto" w:fill="auto"/>
            <w:noWrap/>
            <w:vAlign w:val="center"/>
          </w:tcPr>
          <w:p w14:paraId="03301F36"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7.0</w:t>
            </w:r>
          </w:p>
        </w:tc>
      </w:tr>
      <w:tr w:rsidR="00E72BCF" w:rsidRPr="00E72BCF" w14:paraId="44549594" w14:textId="77777777" w:rsidTr="00072BD4">
        <w:trPr>
          <w:trHeight w:val="227"/>
          <w:jc w:val="center"/>
        </w:trPr>
        <w:tc>
          <w:tcPr>
            <w:tcW w:w="3049" w:type="dxa"/>
            <w:vMerge/>
            <w:shd w:val="clear" w:color="auto" w:fill="auto"/>
            <w:noWrap/>
            <w:vAlign w:val="center"/>
          </w:tcPr>
          <w:p w14:paraId="2F350E5D"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shd w:val="clear" w:color="auto" w:fill="auto"/>
            <w:noWrap/>
            <w:vAlign w:val="center"/>
          </w:tcPr>
          <w:p w14:paraId="2174C088"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Outside USJ</w:t>
            </w:r>
          </w:p>
        </w:tc>
        <w:tc>
          <w:tcPr>
            <w:tcW w:w="1125" w:type="dxa"/>
            <w:shd w:val="clear" w:color="auto" w:fill="auto"/>
            <w:noWrap/>
            <w:vAlign w:val="center"/>
          </w:tcPr>
          <w:p w14:paraId="170AE478"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30</w:t>
            </w:r>
          </w:p>
        </w:tc>
        <w:tc>
          <w:tcPr>
            <w:tcW w:w="1276" w:type="dxa"/>
            <w:shd w:val="clear" w:color="auto" w:fill="auto"/>
            <w:noWrap/>
            <w:vAlign w:val="center"/>
          </w:tcPr>
          <w:p w14:paraId="17EB98E0"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7.8</w:t>
            </w:r>
          </w:p>
        </w:tc>
      </w:tr>
      <w:tr w:rsidR="00E72BCF" w:rsidRPr="00E72BCF" w14:paraId="238B2BB7" w14:textId="77777777" w:rsidTr="00072BD4">
        <w:trPr>
          <w:trHeight w:val="227"/>
          <w:jc w:val="center"/>
        </w:trPr>
        <w:tc>
          <w:tcPr>
            <w:tcW w:w="3049" w:type="dxa"/>
            <w:vMerge/>
            <w:tcBorders>
              <w:bottom w:val="single" w:sz="4" w:space="0" w:color="auto"/>
            </w:tcBorders>
            <w:shd w:val="clear" w:color="auto" w:fill="auto"/>
            <w:noWrap/>
            <w:vAlign w:val="center"/>
          </w:tcPr>
          <w:p w14:paraId="7BFB1E30"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p>
        </w:tc>
        <w:tc>
          <w:tcPr>
            <w:tcW w:w="3047" w:type="dxa"/>
            <w:tcBorders>
              <w:bottom w:val="single" w:sz="4" w:space="0" w:color="auto"/>
            </w:tcBorders>
            <w:shd w:val="clear" w:color="auto" w:fill="auto"/>
            <w:noWrap/>
            <w:vAlign w:val="center"/>
          </w:tcPr>
          <w:p w14:paraId="6BC205F4" w14:textId="77777777" w:rsidR="00E72BCF" w:rsidRPr="00E72BCF" w:rsidRDefault="00E72BCF" w:rsidP="00E72BCF">
            <w:pPr>
              <w:spacing w:after="0" w:line="240" w:lineRule="auto"/>
              <w:ind w:left="0" w:hanging="2"/>
              <w:jc w:val="both"/>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N</w:t>
            </w:r>
            <w:r w:rsidR="00787AF8">
              <w:rPr>
                <w:rFonts w:ascii="Times New Roman" w:hAnsi="Times New Roman" w:cs="Times New Roman"/>
                <w:color w:val="000000"/>
                <w:sz w:val="20"/>
                <w:szCs w:val="20"/>
                <w:lang w:val="en-MY" w:eastAsia="en-MY"/>
              </w:rPr>
              <w:t>o a</w:t>
            </w:r>
            <w:r w:rsidRPr="00E72BCF">
              <w:rPr>
                <w:rFonts w:ascii="Times New Roman" w:hAnsi="Times New Roman" w:cs="Times New Roman"/>
                <w:color w:val="000000"/>
                <w:sz w:val="20"/>
                <w:szCs w:val="20"/>
                <w:lang w:val="en-MY" w:eastAsia="en-MY"/>
              </w:rPr>
              <w:t>ctivity</w:t>
            </w:r>
          </w:p>
        </w:tc>
        <w:tc>
          <w:tcPr>
            <w:tcW w:w="1125" w:type="dxa"/>
            <w:tcBorders>
              <w:bottom w:val="single" w:sz="4" w:space="0" w:color="auto"/>
            </w:tcBorders>
            <w:shd w:val="clear" w:color="auto" w:fill="auto"/>
            <w:noWrap/>
            <w:vAlign w:val="center"/>
          </w:tcPr>
          <w:p w14:paraId="0D6B5ED9"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69</w:t>
            </w:r>
          </w:p>
        </w:tc>
        <w:tc>
          <w:tcPr>
            <w:tcW w:w="1276" w:type="dxa"/>
            <w:tcBorders>
              <w:bottom w:val="single" w:sz="4" w:space="0" w:color="auto"/>
            </w:tcBorders>
            <w:shd w:val="clear" w:color="auto" w:fill="auto"/>
            <w:noWrap/>
            <w:vAlign w:val="center"/>
          </w:tcPr>
          <w:p w14:paraId="6B227263" w14:textId="77777777" w:rsidR="00E72BCF" w:rsidRPr="00E72BCF" w:rsidRDefault="00E72BCF" w:rsidP="00E72BCF">
            <w:pPr>
              <w:spacing w:after="0" w:line="240" w:lineRule="auto"/>
              <w:ind w:left="0" w:hanging="2"/>
              <w:jc w:val="center"/>
              <w:rPr>
                <w:rFonts w:ascii="Times New Roman" w:hAnsi="Times New Roman" w:cs="Times New Roman"/>
                <w:color w:val="000000"/>
                <w:sz w:val="20"/>
                <w:szCs w:val="20"/>
                <w:lang w:val="en-MY" w:eastAsia="en-MY"/>
              </w:rPr>
            </w:pPr>
            <w:r w:rsidRPr="00E72BCF">
              <w:rPr>
                <w:rFonts w:ascii="Times New Roman" w:hAnsi="Times New Roman" w:cs="Times New Roman"/>
                <w:color w:val="000000"/>
                <w:sz w:val="20"/>
                <w:szCs w:val="20"/>
                <w:lang w:val="en-MY" w:eastAsia="en-MY"/>
              </w:rPr>
              <w:t>17.9</w:t>
            </w:r>
          </w:p>
        </w:tc>
      </w:tr>
      <w:tr w:rsidR="00A807B2" w:rsidRPr="00E72BCF" w14:paraId="43C7F379" w14:textId="77777777" w:rsidTr="00072BD4">
        <w:trPr>
          <w:trHeight w:val="227"/>
          <w:jc w:val="center"/>
        </w:trPr>
        <w:tc>
          <w:tcPr>
            <w:tcW w:w="6096" w:type="dxa"/>
            <w:gridSpan w:val="2"/>
            <w:tcBorders>
              <w:top w:val="single" w:sz="4" w:space="0" w:color="auto"/>
              <w:bottom w:val="single" w:sz="4" w:space="0" w:color="auto"/>
            </w:tcBorders>
            <w:shd w:val="clear" w:color="auto" w:fill="auto"/>
            <w:noWrap/>
            <w:vAlign w:val="center"/>
          </w:tcPr>
          <w:p w14:paraId="2D18C6C0" w14:textId="77777777" w:rsidR="00A807B2" w:rsidRPr="00E72BCF" w:rsidRDefault="00894076" w:rsidP="00E72BCF">
            <w:pPr>
              <w:spacing w:after="0" w:line="240" w:lineRule="auto"/>
              <w:ind w:left="0" w:hanging="2"/>
              <w:jc w:val="center"/>
              <w:rPr>
                <w:rFonts w:ascii="Times New Roman" w:hAnsi="Times New Roman" w:cs="Times New Roman"/>
                <w:b/>
                <w:bCs/>
                <w:color w:val="000000"/>
                <w:sz w:val="20"/>
                <w:szCs w:val="20"/>
                <w:lang w:val="en-MY" w:eastAsia="en-MY"/>
              </w:rPr>
            </w:pPr>
            <w:r w:rsidRPr="00E72BCF">
              <w:rPr>
                <w:rFonts w:ascii="Times New Roman" w:hAnsi="Times New Roman" w:cs="Times New Roman"/>
                <w:b/>
                <w:bCs/>
                <w:color w:val="000000"/>
                <w:sz w:val="20"/>
                <w:szCs w:val="20"/>
                <w:lang w:val="en-MY" w:eastAsia="en-MY"/>
              </w:rPr>
              <w:t>Total</w:t>
            </w:r>
          </w:p>
        </w:tc>
        <w:tc>
          <w:tcPr>
            <w:tcW w:w="1125" w:type="dxa"/>
            <w:tcBorders>
              <w:top w:val="single" w:sz="4" w:space="0" w:color="auto"/>
              <w:bottom w:val="single" w:sz="4" w:space="0" w:color="auto"/>
            </w:tcBorders>
            <w:shd w:val="clear" w:color="auto" w:fill="auto"/>
            <w:noWrap/>
            <w:vAlign w:val="center"/>
          </w:tcPr>
          <w:p w14:paraId="2A8D813A" w14:textId="77777777" w:rsidR="00A807B2" w:rsidRPr="00E72BCF" w:rsidRDefault="00894076" w:rsidP="00E72BCF">
            <w:pPr>
              <w:spacing w:after="0" w:line="240" w:lineRule="auto"/>
              <w:ind w:left="0" w:hanging="2"/>
              <w:jc w:val="center"/>
              <w:rPr>
                <w:rFonts w:ascii="Times New Roman" w:hAnsi="Times New Roman" w:cs="Times New Roman"/>
                <w:b/>
                <w:bCs/>
                <w:color w:val="000000"/>
                <w:sz w:val="20"/>
                <w:szCs w:val="20"/>
                <w:lang w:val="en-MY" w:eastAsia="en-MY"/>
              </w:rPr>
            </w:pPr>
            <w:r w:rsidRPr="00E72BCF">
              <w:rPr>
                <w:rFonts w:ascii="Times New Roman" w:hAnsi="Times New Roman" w:cs="Times New Roman"/>
                <w:b/>
                <w:bCs/>
                <w:color w:val="000000"/>
                <w:sz w:val="20"/>
                <w:szCs w:val="20"/>
                <w:lang w:val="en-MY" w:eastAsia="en-MY"/>
              </w:rPr>
              <w:t>385</w:t>
            </w:r>
          </w:p>
        </w:tc>
        <w:tc>
          <w:tcPr>
            <w:tcW w:w="1276" w:type="dxa"/>
            <w:tcBorders>
              <w:top w:val="single" w:sz="4" w:space="0" w:color="auto"/>
              <w:bottom w:val="single" w:sz="4" w:space="0" w:color="auto"/>
            </w:tcBorders>
            <w:shd w:val="clear" w:color="auto" w:fill="auto"/>
            <w:noWrap/>
            <w:vAlign w:val="center"/>
          </w:tcPr>
          <w:p w14:paraId="11A360DF" w14:textId="77777777" w:rsidR="00A807B2" w:rsidRPr="00E72BCF" w:rsidRDefault="00894076" w:rsidP="00E72BCF">
            <w:pPr>
              <w:spacing w:after="0" w:line="240" w:lineRule="auto"/>
              <w:ind w:left="0" w:hanging="2"/>
              <w:jc w:val="center"/>
              <w:rPr>
                <w:rFonts w:ascii="Times New Roman" w:hAnsi="Times New Roman" w:cs="Times New Roman"/>
                <w:b/>
                <w:bCs/>
                <w:color w:val="000000"/>
                <w:sz w:val="20"/>
                <w:szCs w:val="20"/>
                <w:lang w:val="en-MY" w:eastAsia="en-MY"/>
              </w:rPr>
            </w:pPr>
            <w:r w:rsidRPr="00E72BCF">
              <w:rPr>
                <w:rFonts w:ascii="Times New Roman" w:hAnsi="Times New Roman" w:cs="Times New Roman"/>
                <w:b/>
                <w:bCs/>
                <w:color w:val="000000"/>
                <w:sz w:val="20"/>
                <w:szCs w:val="20"/>
                <w:lang w:val="en-MY" w:eastAsia="en-MY"/>
              </w:rPr>
              <w:t>100.0</w:t>
            </w:r>
          </w:p>
        </w:tc>
      </w:tr>
    </w:tbl>
    <w:p w14:paraId="68D44617" w14:textId="77777777" w:rsidR="00A807B2" w:rsidRPr="00E72BCF" w:rsidRDefault="00A807B2" w:rsidP="00E72BCF">
      <w:pPr>
        <w:autoSpaceDE w:val="0"/>
        <w:autoSpaceDN w:val="0"/>
        <w:adjustRightInd w:val="0"/>
        <w:spacing w:after="0" w:line="240" w:lineRule="auto"/>
        <w:ind w:leftChars="0" w:left="0" w:firstLineChars="0" w:firstLine="0"/>
        <w:jc w:val="both"/>
        <w:rPr>
          <w:rFonts w:ascii="Times New Roman" w:hAnsi="Times New Roman" w:cs="Times New Roman"/>
          <w:sz w:val="20"/>
          <w:szCs w:val="20"/>
        </w:rPr>
      </w:pPr>
      <w:bookmarkStart w:id="12" w:name="_Hlk91798852"/>
      <w:bookmarkEnd w:id="11"/>
    </w:p>
    <w:p w14:paraId="3291D818" w14:textId="77777777" w:rsidR="00A807B2" w:rsidRDefault="00894076" w:rsidP="00DC3A52">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Table 3 shows the summary of physical activity in this study, the finding analysis shows that most of the respondents are doing vigorous activities at leisure (181, 47.0%), followed by the respondents who are doing vigorous activities as housework (123, 31.9%). Meanwhile, 11.2% (43) of the respondents are doing vigorous activities at work, and only 9.9% (38) of the respondents do not engage in any vigorous activities. </w:t>
      </w:r>
    </w:p>
    <w:p w14:paraId="201BCE3D"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A majority of the respondents (282, 73.2%) were engaged in vigorous activity more than six days per two weeks in the previous 14 days, followed by respondents who engaged in vigorous activity zero (0) days per two weeks in the same period (36, 9.4%), and 8.1% (31) of the respondents who engaged in vigorous activity between three and four days per two weeks in the same period. Meanwhile, only 5.7% (22) and 3.6% (14) of the respondents engaged in vigorous activity for one to two days and five to six days every 2 weeks over the previous 14 days, respectively.</w:t>
      </w:r>
    </w:p>
    <w:p w14:paraId="65C3B281"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Besides that, the respondents were mostly doing vigorous activities less than 30 minutes per day (165, 42.9%), this was followed by the respondents who were doing vigorous activities between 31 to 60 minutes per day (108, 28.1%). Meanwhile, 17.9% (69) of the respondents were doing vigorous activities for more than 60 minutes per day, and only 9.4% (36) of the respondents were doing vigorous activities for zero minutes per day.</w:t>
      </w:r>
    </w:p>
    <w:p w14:paraId="1FA3EF7C"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Next, it is shown that 36.1% (139) of the respondents are engaged in vigorous action at the parks, while 43.9% (169) of respondents engaged in vigorous activity in indoor locations. While 7.0% (27) of the respondents engage in vigorous activity within the house's boundary, 9.4% (36) </w:t>
      </w:r>
      <w:r>
        <w:rPr>
          <w:rFonts w:ascii="Times New Roman" w:hAnsi="Times New Roman" w:cs="Times New Roman"/>
          <w:sz w:val="24"/>
          <w:szCs w:val="24"/>
        </w:rPr>
        <w:lastRenderedPageBreak/>
        <w:t>of respondents do not engage in vigorous activity everywhere. Meanwhile, only 3.6% (14) of the respondents were engaged in vigorous activity elsewhere.</w:t>
      </w:r>
    </w:p>
    <w:p w14:paraId="6F271BBF"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The majority of the respondents (265, 68.8%) engaged in vigorous activity in their immediate neighborhood, while 49 respondents, or 12.7%, engaged in vigorous activity outside of their immediate neighborhood. Only 9.1% (35) of respondents are engaging in vigorous activity outside the USJ area, compared to 9.4% (36) of respondents who do not engage in vigorous activity elsewhere.</w:t>
      </w:r>
    </w:p>
    <w:bookmarkEnd w:id="12"/>
    <w:p w14:paraId="4A6054F7"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In addition, Table 3 displays the findings of the moderate activity analysis. As can be seen, the majority of the respondents (165, 42.9%) engaged in moderate housework, followed by respondents (111, 28.8%) who engaged in moderate leisure activities. While just 10.4% (40) of the respondents are engaged in vigorous activity at work, and 17.9% (69) of the respondents do not engage in any vigorous activity.</w:t>
      </w:r>
    </w:p>
    <w:p w14:paraId="6CA854D4"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Second. for moderate activity, more than half of the respondents are doing moderate activities more than 6 days per 2 weeks in the last 14 days (226, 58.7%), followed by the respondents who are doing moderate activities zero (0) days per 2 weeks in the last 14 days (70, 18.2%) and 11.9% (46) of the respondents are doing moderate activities between 1 to 2 days per 2 weeks in the last 14 days. While only 6.8% (26) and 4.4% (17) of the respondents are doing moderate activities between 3 to 4 days and between 5 to 6 days per 2 weeks in the last 14 days.</w:t>
      </w:r>
    </w:p>
    <w:p w14:paraId="10CB45B3"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Third, for moderate activity, most of the respondents are doing moderate activities less than 30 minutes per day (125, 32.5%), followed by the respondents who are doing moderate activities between 31 to 60 minutes per day (100, 26.0%). Meanwhile, 21.8% (84) of the respondents are doing moderate activities more than 60 minutes per day, while 19.7% (76) of the respondents are doing moderate activities zero minutes per day.</w:t>
      </w:r>
    </w:p>
    <w:p w14:paraId="613DA118"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Then, based on location where moderate activity were carried out it was shown that 40.0% (154) of the respondents were doing moderate activities indoors. Meanwhile, 18.7% (72) and 18.4% (71) of the respondents were doing moderate activities within the house’s boundary and at the park. Noticeably, 17.9% (69) of the respondents were not doing moderate activities at any places, and only 4.9% (19) of the respondents were doing moderate activities at others places.</w:t>
      </w:r>
    </w:p>
    <w:p w14:paraId="1459F0FC" w14:textId="77777777" w:rsidR="00A807B2" w:rsidRDefault="00894076">
      <w:pPr>
        <w:pStyle w:val="Default"/>
        <w:ind w:firstLine="720"/>
        <w:jc w:val="both"/>
        <w:rPr>
          <w:rFonts w:ascii="Times New Roman" w:hAnsi="Times New Roman" w:cs="Times New Roman"/>
          <w:color w:val="7030A0"/>
          <w:lang w:val="en-GB"/>
        </w:rPr>
      </w:pPr>
      <w:r>
        <w:rPr>
          <w:rFonts w:ascii="Times New Roman" w:eastAsia="Times New Roman" w:hAnsi="Times New Roman" w:cs="Times New Roman"/>
          <w:color w:val="auto"/>
          <w:lang w:val="en-GB"/>
        </w:rPr>
        <w:t xml:space="preserve">Finally, we can observe that the majority of the respondents (259, 67.3%) engaged in moderate activity in their immediate </w:t>
      </w:r>
      <w:proofErr w:type="spellStart"/>
      <w:r>
        <w:rPr>
          <w:rFonts w:ascii="Times New Roman" w:eastAsia="Times New Roman" w:hAnsi="Times New Roman" w:cs="Times New Roman"/>
          <w:color w:val="auto"/>
          <w:lang w:val="en-GB"/>
        </w:rPr>
        <w:t>neighborhood</w:t>
      </w:r>
      <w:proofErr w:type="spellEnd"/>
      <w:r>
        <w:rPr>
          <w:rFonts w:ascii="Times New Roman" w:eastAsia="Times New Roman" w:hAnsi="Times New Roman" w:cs="Times New Roman"/>
          <w:color w:val="auto"/>
          <w:lang w:val="en-GB"/>
        </w:rPr>
        <w:t>, while 17.9% (69) of the respondents did not engage in any moderate activity. Only 7.8% (30) and 7.0% (27) of the respondents, respectively, were engaged in moderate activities outside of their immediate surroundings and the USJ area.</w:t>
      </w:r>
    </w:p>
    <w:p w14:paraId="597EB02A" w14:textId="77777777" w:rsidR="00A807B2" w:rsidRDefault="00A807B2">
      <w:pPr>
        <w:pStyle w:val="Default"/>
        <w:ind w:hanging="2"/>
        <w:jc w:val="both"/>
        <w:rPr>
          <w:rFonts w:ascii="Times New Roman" w:hAnsi="Times New Roman" w:cs="Times New Roman"/>
          <w:color w:val="7030A0"/>
          <w:lang w:val="en-GB"/>
        </w:rPr>
      </w:pPr>
    </w:p>
    <w:p w14:paraId="6C391312" w14:textId="77777777" w:rsidR="00A807B2" w:rsidRDefault="00894076">
      <w:pPr>
        <w:pStyle w:val="Default"/>
        <w:ind w:hanging="2"/>
        <w:jc w:val="both"/>
        <w:rPr>
          <w:rFonts w:ascii="Times New Roman" w:hAnsi="Times New Roman" w:cs="Times New Roman"/>
          <w:bCs/>
          <w:i/>
          <w:color w:val="auto"/>
          <w:lang w:val="en-GB"/>
        </w:rPr>
      </w:pPr>
      <w:r>
        <w:rPr>
          <w:rFonts w:ascii="Times New Roman" w:hAnsi="Times New Roman" w:cs="Times New Roman"/>
          <w:bCs/>
          <w:i/>
          <w:color w:val="auto"/>
          <w:lang w:val="en-GB"/>
        </w:rPr>
        <w:t xml:space="preserve">Relationship between </w:t>
      </w:r>
      <w:proofErr w:type="spellStart"/>
      <w:r w:rsidR="00ED3CD6">
        <w:rPr>
          <w:rFonts w:ascii="Times New Roman" w:hAnsi="Times New Roman" w:cs="Times New Roman"/>
          <w:bCs/>
          <w:i/>
          <w:color w:val="auto"/>
          <w:lang w:val="en-GB"/>
        </w:rPr>
        <w:t>neighborhood</w:t>
      </w:r>
      <w:proofErr w:type="spellEnd"/>
      <w:r w:rsidR="00ED3CD6">
        <w:rPr>
          <w:rFonts w:ascii="Times New Roman" w:hAnsi="Times New Roman" w:cs="Times New Roman"/>
          <w:bCs/>
          <w:i/>
          <w:color w:val="auto"/>
          <w:lang w:val="en-GB"/>
        </w:rPr>
        <w:t xml:space="preserve"> </w:t>
      </w:r>
      <w:r w:rsidR="00ED3CD6">
        <w:rPr>
          <w:rFonts w:ascii="Times New Roman" w:hAnsi="Times New Roman" w:cs="Times New Roman"/>
          <w:i/>
        </w:rPr>
        <w:t xml:space="preserve">(outdoor) </w:t>
      </w:r>
      <w:r w:rsidR="00ED3CD6">
        <w:rPr>
          <w:rFonts w:ascii="Times New Roman" w:hAnsi="Times New Roman" w:cs="Times New Roman"/>
          <w:bCs/>
          <w:i/>
          <w:color w:val="auto"/>
          <w:lang w:val="en-GB"/>
        </w:rPr>
        <w:t xml:space="preserve">environment and physical activity of </w:t>
      </w:r>
      <w:r>
        <w:rPr>
          <w:rFonts w:ascii="Times New Roman" w:hAnsi="Times New Roman" w:cs="Times New Roman"/>
          <w:bCs/>
          <w:i/>
          <w:color w:val="auto"/>
          <w:lang w:val="en-GB"/>
        </w:rPr>
        <w:t xml:space="preserve">Malaysian </w:t>
      </w:r>
      <w:proofErr w:type="spellStart"/>
      <w:r w:rsidR="00ED3CD6">
        <w:rPr>
          <w:rFonts w:ascii="Times New Roman" w:hAnsi="Times New Roman" w:cs="Times New Roman"/>
          <w:bCs/>
          <w:i/>
          <w:color w:val="auto"/>
          <w:lang w:val="en-GB"/>
        </w:rPr>
        <w:t>neighborhood</w:t>
      </w:r>
      <w:proofErr w:type="spellEnd"/>
      <w:r w:rsidR="00ED3CD6">
        <w:rPr>
          <w:rFonts w:ascii="Times New Roman" w:hAnsi="Times New Roman" w:cs="Times New Roman"/>
          <w:bCs/>
          <w:i/>
          <w:color w:val="auto"/>
          <w:lang w:val="en-GB"/>
        </w:rPr>
        <w:t xml:space="preserve"> residents</w:t>
      </w:r>
      <w:r>
        <w:rPr>
          <w:rFonts w:ascii="Times New Roman" w:hAnsi="Times New Roman" w:cs="Times New Roman"/>
          <w:bCs/>
          <w:i/>
          <w:color w:val="auto"/>
          <w:lang w:val="en-GB"/>
        </w:rPr>
        <w:t>: USJ</w:t>
      </w:r>
    </w:p>
    <w:p w14:paraId="649D953E" w14:textId="77777777" w:rsidR="00A807B2" w:rsidRDefault="00A807B2">
      <w:pPr>
        <w:pStyle w:val="Default"/>
        <w:ind w:hanging="2"/>
        <w:jc w:val="both"/>
        <w:rPr>
          <w:rFonts w:ascii="Times New Roman" w:hAnsi="Times New Roman" w:cs="Times New Roman"/>
          <w:color w:val="7030A0"/>
          <w:lang w:val="en-GB"/>
        </w:rPr>
      </w:pPr>
    </w:p>
    <w:p w14:paraId="0C736789"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Regression analysis was conducted for the neighborhood environment that was affecting the physical activity of the Malaysian neighborhood residents. Table 4 illustrates the results of linear regression for the neighborhood environment that is affecting the physical activity of Malaysian neighborhood residents. The results indicated that the neighborhood environment had explained 5 percent of the physical activity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0.005, F = 1.804, p &gt; 0.05). The remaining 95 percent of variance was explained by the exclusion of variable.</w:t>
      </w:r>
    </w:p>
    <w:p w14:paraId="4257977C" w14:textId="77777777" w:rsidR="00A807B2" w:rsidRDefault="00A807B2">
      <w:pPr>
        <w:autoSpaceDE w:val="0"/>
        <w:autoSpaceDN w:val="0"/>
        <w:adjustRightInd w:val="0"/>
        <w:spacing w:after="0" w:line="240" w:lineRule="auto"/>
        <w:ind w:left="0" w:hanging="2"/>
        <w:jc w:val="both"/>
        <w:rPr>
          <w:rFonts w:ascii="Times New Roman" w:hAnsi="Times New Roman" w:cs="Times New Roman"/>
          <w:sz w:val="24"/>
          <w:szCs w:val="24"/>
        </w:rPr>
      </w:pPr>
    </w:p>
    <w:p w14:paraId="355B4A09"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The regression equation for linear model was:</w:t>
      </w:r>
    </w:p>
    <w:p w14:paraId="0A341AE2"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y = a + </w:t>
      </w:r>
      <w:proofErr w:type="spellStart"/>
      <w:r>
        <w:rPr>
          <w:rFonts w:ascii="Times New Roman" w:hAnsi="Times New Roman" w:cs="Times New Roman"/>
          <w:sz w:val="24"/>
          <w:szCs w:val="24"/>
        </w:rPr>
        <w:t>bX</w:t>
      </w:r>
      <w:proofErr w:type="spellEnd"/>
    </w:p>
    <w:p w14:paraId="0BF7FAE4"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y = 51.734 – 2.953X</w:t>
      </w:r>
    </w:p>
    <w:p w14:paraId="4360A570"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lastRenderedPageBreak/>
        <w:t>Where a = Intercepts</w:t>
      </w:r>
    </w:p>
    <w:p w14:paraId="6DB7A4C2"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t>y = Physical Activity</w:t>
      </w:r>
    </w:p>
    <w:p w14:paraId="393895F8" w14:textId="77777777" w:rsidR="00A807B2" w:rsidRDefault="00894076">
      <w:pPr>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bX</w:t>
      </w:r>
      <w:proofErr w:type="spellEnd"/>
      <w:r>
        <w:rPr>
          <w:rFonts w:ascii="Times New Roman" w:hAnsi="Times New Roman" w:cs="Times New Roman"/>
          <w:sz w:val="24"/>
          <w:szCs w:val="24"/>
        </w:rPr>
        <w:t xml:space="preserve"> = Neighborhood Environment</w:t>
      </w:r>
    </w:p>
    <w:p w14:paraId="4ADE2FB9" w14:textId="77777777" w:rsidR="00A807B2" w:rsidRDefault="00A807B2" w:rsidP="00D906A2">
      <w:pPr>
        <w:autoSpaceDE w:val="0"/>
        <w:autoSpaceDN w:val="0"/>
        <w:adjustRightInd w:val="0"/>
        <w:spacing w:after="0" w:line="240" w:lineRule="auto"/>
        <w:ind w:leftChars="0" w:left="0" w:firstLineChars="0" w:firstLine="0"/>
        <w:jc w:val="both"/>
        <w:rPr>
          <w:rFonts w:ascii="Times New Roman" w:hAnsi="Times New Roman" w:cs="Times New Roman"/>
          <w:sz w:val="24"/>
          <w:szCs w:val="24"/>
        </w:rPr>
      </w:pPr>
    </w:p>
    <w:p w14:paraId="48D9A3DF" w14:textId="77777777" w:rsidR="00A807B2" w:rsidRDefault="00D906A2" w:rsidP="00D906A2">
      <w:pPr>
        <w:autoSpaceDE w:val="0"/>
        <w:autoSpaceDN w:val="0"/>
        <w:adjustRightInd w:val="0"/>
        <w:spacing w:after="0" w:line="240" w:lineRule="auto"/>
        <w:ind w:left="0" w:hanging="2"/>
        <w:jc w:val="center"/>
        <w:rPr>
          <w:rFonts w:ascii="Times New Roman" w:hAnsi="Times New Roman" w:cs="Times New Roman"/>
          <w:sz w:val="20"/>
          <w:szCs w:val="20"/>
        </w:rPr>
      </w:pPr>
      <w:r w:rsidRPr="00D906A2">
        <w:rPr>
          <w:rFonts w:ascii="Times New Roman" w:hAnsi="Times New Roman" w:cs="Times New Roman"/>
          <w:b/>
          <w:sz w:val="20"/>
          <w:szCs w:val="20"/>
        </w:rPr>
        <w:t>Table 4.</w:t>
      </w:r>
      <w:r w:rsidRPr="00D906A2">
        <w:rPr>
          <w:rFonts w:ascii="Times New Roman" w:hAnsi="Times New Roman" w:cs="Times New Roman"/>
          <w:sz w:val="20"/>
          <w:szCs w:val="20"/>
        </w:rPr>
        <w:t xml:space="preserve"> </w:t>
      </w:r>
      <w:r w:rsidR="00894076" w:rsidRPr="00D906A2">
        <w:rPr>
          <w:rFonts w:ascii="Times New Roman" w:hAnsi="Times New Roman" w:cs="Times New Roman"/>
          <w:sz w:val="20"/>
          <w:szCs w:val="20"/>
        </w:rPr>
        <w:t xml:space="preserve">Regression </w:t>
      </w:r>
      <w:r w:rsidRPr="00D906A2">
        <w:rPr>
          <w:rFonts w:ascii="Times New Roman" w:hAnsi="Times New Roman" w:cs="Times New Roman"/>
          <w:sz w:val="20"/>
          <w:szCs w:val="20"/>
        </w:rPr>
        <w:t>for the association of neighborhood environment and physical activity</w:t>
      </w:r>
    </w:p>
    <w:p w14:paraId="60708FC8" w14:textId="77777777" w:rsidR="00D906A2" w:rsidRDefault="00D906A2" w:rsidP="00D906A2">
      <w:pPr>
        <w:autoSpaceDE w:val="0"/>
        <w:autoSpaceDN w:val="0"/>
        <w:adjustRightInd w:val="0"/>
        <w:spacing w:after="0" w:line="240" w:lineRule="auto"/>
        <w:ind w:left="0" w:hanging="2"/>
        <w:jc w:val="center"/>
        <w:rPr>
          <w:rFonts w:ascii="Times New Roman" w:hAnsi="Times New Roman" w:cs="Times New Roman"/>
          <w:sz w:val="20"/>
          <w:szCs w:val="20"/>
        </w:rPr>
      </w:pPr>
    </w:p>
    <w:tbl>
      <w:tblPr>
        <w:tblW w:w="9116" w:type="dxa"/>
        <w:jc w:val="center"/>
        <w:tblBorders>
          <w:bottom w:val="single" w:sz="4" w:space="0" w:color="auto"/>
        </w:tblBorders>
        <w:tblLook w:val="04A0" w:firstRow="1" w:lastRow="0" w:firstColumn="1" w:lastColumn="0" w:noHBand="0" w:noVBand="1"/>
      </w:tblPr>
      <w:tblGrid>
        <w:gridCol w:w="2552"/>
        <w:gridCol w:w="1843"/>
        <w:gridCol w:w="1134"/>
        <w:gridCol w:w="1701"/>
        <w:gridCol w:w="741"/>
        <w:gridCol w:w="1145"/>
      </w:tblGrid>
      <w:tr w:rsidR="00BB3FF6" w14:paraId="4EAC49D6" w14:textId="77777777" w:rsidTr="004F0FE5">
        <w:trPr>
          <w:trHeight w:val="227"/>
          <w:jc w:val="center"/>
        </w:trPr>
        <w:tc>
          <w:tcPr>
            <w:tcW w:w="2552" w:type="dxa"/>
            <w:tcBorders>
              <w:top w:val="single" w:sz="4" w:space="0" w:color="auto"/>
              <w:bottom w:val="single" w:sz="4" w:space="0" w:color="auto"/>
            </w:tcBorders>
            <w:shd w:val="clear" w:color="auto" w:fill="B8CCE4" w:themeFill="accent1" w:themeFillTint="66"/>
            <w:noWrap/>
            <w:vAlign w:val="center"/>
          </w:tcPr>
          <w:p w14:paraId="5948C977"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843" w:type="dxa"/>
            <w:tcBorders>
              <w:top w:val="single" w:sz="4" w:space="0" w:color="auto"/>
              <w:bottom w:val="single" w:sz="4" w:space="0" w:color="auto"/>
            </w:tcBorders>
            <w:shd w:val="clear" w:color="auto" w:fill="B8CCE4" w:themeFill="accent1" w:themeFillTint="66"/>
            <w:vAlign w:val="center"/>
          </w:tcPr>
          <w:p w14:paraId="5865C3F4" w14:textId="77777777" w:rsidR="00BB3FF6" w:rsidRPr="00D906A2" w:rsidRDefault="00BB3FF6" w:rsidP="00B76D5E">
            <w:pPr>
              <w:autoSpaceDE w:val="0"/>
              <w:autoSpaceDN w:val="0"/>
              <w:adjustRightInd w:val="0"/>
              <w:spacing w:after="0" w:line="240" w:lineRule="auto"/>
              <w:ind w:left="0" w:hanging="2"/>
              <w:jc w:val="center"/>
              <w:rPr>
                <w:rFonts w:ascii="Times New Roman" w:hAnsi="Times New Roman" w:cs="Times New Roman"/>
                <w:b/>
                <w:sz w:val="20"/>
                <w:szCs w:val="20"/>
              </w:rPr>
            </w:pPr>
            <w:r w:rsidRPr="00D906A2">
              <w:rPr>
                <w:rFonts w:ascii="Times New Roman" w:hAnsi="Times New Roman" w:cs="Times New Roman"/>
                <w:b/>
                <w:sz w:val="20"/>
                <w:szCs w:val="20"/>
              </w:rPr>
              <w:t>Unstandardized B</w:t>
            </w:r>
          </w:p>
        </w:tc>
        <w:tc>
          <w:tcPr>
            <w:tcW w:w="1134" w:type="dxa"/>
            <w:tcBorders>
              <w:top w:val="single" w:sz="4" w:space="0" w:color="auto"/>
              <w:bottom w:val="single" w:sz="4" w:space="0" w:color="auto"/>
            </w:tcBorders>
            <w:shd w:val="clear" w:color="auto" w:fill="B8CCE4" w:themeFill="accent1" w:themeFillTint="66"/>
            <w:noWrap/>
            <w:vAlign w:val="center"/>
          </w:tcPr>
          <w:p w14:paraId="531B4CCB" w14:textId="77777777" w:rsidR="00BB3FF6" w:rsidRPr="00D906A2" w:rsidRDefault="00BB3FF6" w:rsidP="00B76D5E">
            <w:pPr>
              <w:autoSpaceDE w:val="0"/>
              <w:autoSpaceDN w:val="0"/>
              <w:adjustRightInd w:val="0"/>
              <w:spacing w:after="0" w:line="240" w:lineRule="auto"/>
              <w:ind w:left="0" w:hanging="2"/>
              <w:jc w:val="center"/>
              <w:rPr>
                <w:rFonts w:ascii="Times New Roman" w:hAnsi="Times New Roman" w:cs="Times New Roman"/>
                <w:b/>
                <w:sz w:val="20"/>
                <w:szCs w:val="20"/>
              </w:rPr>
            </w:pPr>
            <w:r w:rsidRPr="00D906A2">
              <w:rPr>
                <w:rFonts w:ascii="Times New Roman" w:hAnsi="Times New Roman" w:cs="Times New Roman"/>
                <w:b/>
                <w:sz w:val="20"/>
                <w:szCs w:val="20"/>
              </w:rPr>
              <w:t>Std. Error</w:t>
            </w:r>
          </w:p>
        </w:tc>
        <w:tc>
          <w:tcPr>
            <w:tcW w:w="1701" w:type="dxa"/>
            <w:tcBorders>
              <w:top w:val="single" w:sz="4" w:space="0" w:color="auto"/>
              <w:bottom w:val="single" w:sz="4" w:space="0" w:color="auto"/>
            </w:tcBorders>
            <w:shd w:val="clear" w:color="auto" w:fill="B8CCE4" w:themeFill="accent1" w:themeFillTint="66"/>
            <w:vAlign w:val="center"/>
          </w:tcPr>
          <w:p w14:paraId="595DE9D3" w14:textId="77777777" w:rsidR="00BB3FF6" w:rsidRPr="00D906A2" w:rsidRDefault="00BB3FF6" w:rsidP="00B76D5E">
            <w:pPr>
              <w:autoSpaceDE w:val="0"/>
              <w:autoSpaceDN w:val="0"/>
              <w:adjustRightInd w:val="0"/>
              <w:spacing w:after="0" w:line="240" w:lineRule="auto"/>
              <w:ind w:left="0" w:hanging="2"/>
              <w:jc w:val="center"/>
              <w:rPr>
                <w:rFonts w:ascii="Times New Roman" w:hAnsi="Times New Roman" w:cs="Times New Roman"/>
                <w:b/>
                <w:sz w:val="20"/>
                <w:szCs w:val="20"/>
              </w:rPr>
            </w:pPr>
            <w:r w:rsidRPr="00D906A2">
              <w:rPr>
                <w:rFonts w:ascii="Times New Roman" w:hAnsi="Times New Roman" w:cs="Times New Roman"/>
                <w:b/>
                <w:sz w:val="20"/>
                <w:szCs w:val="20"/>
              </w:rPr>
              <w:t>Standardize Beta</w:t>
            </w:r>
          </w:p>
        </w:tc>
        <w:tc>
          <w:tcPr>
            <w:tcW w:w="741" w:type="dxa"/>
            <w:tcBorders>
              <w:top w:val="single" w:sz="4" w:space="0" w:color="auto"/>
              <w:bottom w:val="single" w:sz="4" w:space="0" w:color="auto"/>
            </w:tcBorders>
            <w:shd w:val="clear" w:color="auto" w:fill="B8CCE4" w:themeFill="accent1" w:themeFillTint="66"/>
            <w:noWrap/>
            <w:vAlign w:val="center"/>
          </w:tcPr>
          <w:p w14:paraId="02E03AF1" w14:textId="77777777" w:rsidR="00BB3FF6" w:rsidRPr="00D906A2" w:rsidRDefault="00BB3FF6" w:rsidP="00B76D5E">
            <w:pPr>
              <w:autoSpaceDE w:val="0"/>
              <w:autoSpaceDN w:val="0"/>
              <w:adjustRightInd w:val="0"/>
              <w:spacing w:after="0" w:line="240" w:lineRule="auto"/>
              <w:ind w:left="0" w:hanging="2"/>
              <w:jc w:val="center"/>
              <w:rPr>
                <w:rFonts w:ascii="Times New Roman" w:hAnsi="Times New Roman" w:cs="Times New Roman"/>
                <w:b/>
                <w:sz w:val="20"/>
                <w:szCs w:val="20"/>
              </w:rPr>
            </w:pPr>
            <w:r w:rsidRPr="00D906A2">
              <w:rPr>
                <w:rFonts w:ascii="Times New Roman" w:hAnsi="Times New Roman" w:cs="Times New Roman"/>
                <w:b/>
                <w:sz w:val="20"/>
                <w:szCs w:val="20"/>
              </w:rPr>
              <w:t>T</w:t>
            </w:r>
          </w:p>
        </w:tc>
        <w:tc>
          <w:tcPr>
            <w:tcW w:w="1145" w:type="dxa"/>
            <w:tcBorders>
              <w:top w:val="single" w:sz="4" w:space="0" w:color="auto"/>
              <w:bottom w:val="single" w:sz="4" w:space="0" w:color="auto"/>
            </w:tcBorders>
            <w:shd w:val="clear" w:color="auto" w:fill="B8CCE4" w:themeFill="accent1" w:themeFillTint="66"/>
            <w:noWrap/>
            <w:vAlign w:val="center"/>
          </w:tcPr>
          <w:p w14:paraId="6F41E99E" w14:textId="77777777" w:rsidR="00BB3FF6" w:rsidRPr="00D906A2" w:rsidRDefault="00BB3FF6" w:rsidP="00B76D5E">
            <w:pPr>
              <w:autoSpaceDE w:val="0"/>
              <w:autoSpaceDN w:val="0"/>
              <w:adjustRightInd w:val="0"/>
              <w:spacing w:after="0" w:line="240" w:lineRule="auto"/>
              <w:ind w:left="0" w:hanging="2"/>
              <w:jc w:val="center"/>
              <w:rPr>
                <w:rFonts w:ascii="Times New Roman" w:hAnsi="Times New Roman" w:cs="Times New Roman"/>
                <w:b/>
                <w:sz w:val="20"/>
                <w:szCs w:val="20"/>
              </w:rPr>
            </w:pPr>
            <w:r w:rsidRPr="00D906A2">
              <w:rPr>
                <w:rFonts w:ascii="Times New Roman" w:hAnsi="Times New Roman" w:cs="Times New Roman"/>
                <w:b/>
                <w:sz w:val="20"/>
                <w:szCs w:val="20"/>
              </w:rPr>
              <w:t>Significant</w:t>
            </w:r>
          </w:p>
        </w:tc>
      </w:tr>
      <w:tr w:rsidR="00BB3FF6" w14:paraId="15EA7564" w14:textId="77777777" w:rsidTr="00BB3FF6">
        <w:trPr>
          <w:trHeight w:val="227"/>
          <w:jc w:val="center"/>
        </w:trPr>
        <w:tc>
          <w:tcPr>
            <w:tcW w:w="2552" w:type="dxa"/>
            <w:tcBorders>
              <w:top w:val="single" w:sz="4" w:space="0" w:color="auto"/>
            </w:tcBorders>
            <w:shd w:val="clear" w:color="auto" w:fill="auto"/>
            <w:noWrap/>
            <w:vAlign w:val="center"/>
          </w:tcPr>
          <w:p w14:paraId="429975D4" w14:textId="77777777" w:rsidR="00BB3FF6" w:rsidRDefault="00BB3FF6" w:rsidP="00B76D5E">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Constant</w:t>
            </w:r>
          </w:p>
        </w:tc>
        <w:tc>
          <w:tcPr>
            <w:tcW w:w="1843" w:type="dxa"/>
            <w:tcBorders>
              <w:top w:val="single" w:sz="4" w:space="0" w:color="auto"/>
            </w:tcBorders>
            <w:shd w:val="clear" w:color="auto" w:fill="auto"/>
            <w:noWrap/>
            <w:vAlign w:val="center"/>
          </w:tcPr>
          <w:p w14:paraId="144A0CC0"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51.734</w:t>
            </w:r>
          </w:p>
        </w:tc>
        <w:tc>
          <w:tcPr>
            <w:tcW w:w="1134" w:type="dxa"/>
            <w:tcBorders>
              <w:top w:val="single" w:sz="4" w:space="0" w:color="auto"/>
            </w:tcBorders>
            <w:shd w:val="clear" w:color="auto" w:fill="auto"/>
            <w:noWrap/>
            <w:vAlign w:val="center"/>
          </w:tcPr>
          <w:p w14:paraId="77D7E735"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701" w:type="dxa"/>
            <w:tcBorders>
              <w:top w:val="single" w:sz="4" w:space="0" w:color="auto"/>
            </w:tcBorders>
            <w:shd w:val="clear" w:color="auto" w:fill="auto"/>
            <w:noWrap/>
            <w:vAlign w:val="center"/>
          </w:tcPr>
          <w:p w14:paraId="30CDC4B5"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741" w:type="dxa"/>
            <w:tcBorders>
              <w:top w:val="single" w:sz="4" w:space="0" w:color="auto"/>
            </w:tcBorders>
            <w:shd w:val="clear" w:color="auto" w:fill="auto"/>
            <w:noWrap/>
            <w:vAlign w:val="center"/>
          </w:tcPr>
          <w:p w14:paraId="61000F52"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145" w:type="dxa"/>
            <w:tcBorders>
              <w:top w:val="single" w:sz="4" w:space="0" w:color="auto"/>
            </w:tcBorders>
            <w:shd w:val="clear" w:color="auto" w:fill="auto"/>
            <w:noWrap/>
            <w:vAlign w:val="center"/>
          </w:tcPr>
          <w:p w14:paraId="5A58A623"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r>
      <w:tr w:rsidR="00BB3FF6" w14:paraId="0EF027D5" w14:textId="77777777" w:rsidTr="00B76D5E">
        <w:trPr>
          <w:trHeight w:val="227"/>
          <w:jc w:val="center"/>
        </w:trPr>
        <w:tc>
          <w:tcPr>
            <w:tcW w:w="2552" w:type="dxa"/>
            <w:shd w:val="clear" w:color="auto" w:fill="auto"/>
            <w:vAlign w:val="center"/>
          </w:tcPr>
          <w:p w14:paraId="5EA64DA6" w14:textId="77777777" w:rsidR="00BB3FF6" w:rsidRDefault="00BB3FF6" w:rsidP="00B76D5E">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Neighborhood Environment</w:t>
            </w:r>
          </w:p>
        </w:tc>
        <w:tc>
          <w:tcPr>
            <w:tcW w:w="1843" w:type="dxa"/>
            <w:shd w:val="clear" w:color="auto" w:fill="auto"/>
            <w:noWrap/>
            <w:vAlign w:val="center"/>
          </w:tcPr>
          <w:p w14:paraId="2CFDCEB8"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-2.953</w:t>
            </w:r>
          </w:p>
        </w:tc>
        <w:tc>
          <w:tcPr>
            <w:tcW w:w="1134" w:type="dxa"/>
            <w:shd w:val="clear" w:color="auto" w:fill="auto"/>
            <w:noWrap/>
            <w:vAlign w:val="center"/>
          </w:tcPr>
          <w:p w14:paraId="1FF03486"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2.198</w:t>
            </w:r>
          </w:p>
        </w:tc>
        <w:tc>
          <w:tcPr>
            <w:tcW w:w="1701" w:type="dxa"/>
            <w:shd w:val="clear" w:color="auto" w:fill="auto"/>
            <w:noWrap/>
            <w:vAlign w:val="center"/>
          </w:tcPr>
          <w:p w14:paraId="5D1BBDB0"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-0.068</w:t>
            </w:r>
          </w:p>
        </w:tc>
        <w:tc>
          <w:tcPr>
            <w:tcW w:w="741" w:type="dxa"/>
            <w:shd w:val="clear" w:color="auto" w:fill="auto"/>
            <w:noWrap/>
            <w:vAlign w:val="center"/>
          </w:tcPr>
          <w:p w14:paraId="0C48EDF2"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-1.343</w:t>
            </w:r>
          </w:p>
        </w:tc>
        <w:tc>
          <w:tcPr>
            <w:tcW w:w="1145" w:type="dxa"/>
            <w:shd w:val="clear" w:color="auto" w:fill="auto"/>
            <w:noWrap/>
            <w:vAlign w:val="center"/>
          </w:tcPr>
          <w:p w14:paraId="64DD0AB1"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0.180</w:t>
            </w:r>
          </w:p>
        </w:tc>
      </w:tr>
      <w:tr w:rsidR="00BB3FF6" w14:paraId="76163AAD" w14:textId="77777777" w:rsidTr="00B76D5E">
        <w:trPr>
          <w:trHeight w:val="227"/>
          <w:jc w:val="center"/>
        </w:trPr>
        <w:tc>
          <w:tcPr>
            <w:tcW w:w="2552" w:type="dxa"/>
            <w:shd w:val="clear" w:color="auto" w:fill="auto"/>
            <w:noWrap/>
            <w:vAlign w:val="center"/>
          </w:tcPr>
          <w:p w14:paraId="2E34CFB3" w14:textId="77777777" w:rsidR="00BB3FF6" w:rsidRDefault="00BB3FF6" w:rsidP="00B76D5E">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perscript"/>
              </w:rPr>
              <w:t>2</w:t>
            </w:r>
          </w:p>
        </w:tc>
        <w:tc>
          <w:tcPr>
            <w:tcW w:w="1843" w:type="dxa"/>
            <w:shd w:val="clear" w:color="auto" w:fill="auto"/>
            <w:noWrap/>
            <w:vAlign w:val="center"/>
          </w:tcPr>
          <w:p w14:paraId="3B10DE25"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0.005</w:t>
            </w:r>
          </w:p>
        </w:tc>
        <w:tc>
          <w:tcPr>
            <w:tcW w:w="1134" w:type="dxa"/>
            <w:shd w:val="clear" w:color="auto" w:fill="auto"/>
            <w:noWrap/>
            <w:vAlign w:val="center"/>
          </w:tcPr>
          <w:p w14:paraId="1126FC4C"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701" w:type="dxa"/>
            <w:shd w:val="clear" w:color="auto" w:fill="auto"/>
            <w:noWrap/>
            <w:vAlign w:val="center"/>
          </w:tcPr>
          <w:p w14:paraId="1FA9B4B2"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741" w:type="dxa"/>
            <w:shd w:val="clear" w:color="auto" w:fill="auto"/>
            <w:noWrap/>
            <w:vAlign w:val="center"/>
          </w:tcPr>
          <w:p w14:paraId="4C85D646"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145" w:type="dxa"/>
            <w:shd w:val="clear" w:color="auto" w:fill="auto"/>
            <w:noWrap/>
            <w:vAlign w:val="center"/>
          </w:tcPr>
          <w:p w14:paraId="457A0B74"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r>
      <w:tr w:rsidR="00BB3FF6" w14:paraId="7B044B1D" w14:textId="77777777" w:rsidTr="00B76D5E">
        <w:trPr>
          <w:trHeight w:val="227"/>
          <w:jc w:val="center"/>
        </w:trPr>
        <w:tc>
          <w:tcPr>
            <w:tcW w:w="2552" w:type="dxa"/>
            <w:shd w:val="clear" w:color="auto" w:fill="auto"/>
            <w:noWrap/>
            <w:vAlign w:val="center"/>
          </w:tcPr>
          <w:p w14:paraId="4DD6015F" w14:textId="77777777" w:rsidR="00BB3FF6" w:rsidRDefault="00BB3FF6" w:rsidP="00B76D5E">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F</w:t>
            </w:r>
          </w:p>
        </w:tc>
        <w:tc>
          <w:tcPr>
            <w:tcW w:w="1843" w:type="dxa"/>
            <w:shd w:val="clear" w:color="auto" w:fill="auto"/>
            <w:noWrap/>
            <w:vAlign w:val="center"/>
          </w:tcPr>
          <w:p w14:paraId="25FF838A"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1.804</w:t>
            </w:r>
          </w:p>
        </w:tc>
        <w:tc>
          <w:tcPr>
            <w:tcW w:w="1134" w:type="dxa"/>
            <w:shd w:val="clear" w:color="auto" w:fill="auto"/>
            <w:noWrap/>
            <w:vAlign w:val="center"/>
          </w:tcPr>
          <w:p w14:paraId="5665F96F"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701" w:type="dxa"/>
            <w:shd w:val="clear" w:color="auto" w:fill="auto"/>
            <w:noWrap/>
            <w:vAlign w:val="center"/>
          </w:tcPr>
          <w:p w14:paraId="211EE8EC"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741" w:type="dxa"/>
            <w:shd w:val="clear" w:color="auto" w:fill="auto"/>
            <w:noWrap/>
            <w:vAlign w:val="center"/>
          </w:tcPr>
          <w:p w14:paraId="39DA7828"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145" w:type="dxa"/>
            <w:shd w:val="clear" w:color="auto" w:fill="auto"/>
            <w:noWrap/>
            <w:vAlign w:val="center"/>
          </w:tcPr>
          <w:p w14:paraId="0D4068E2"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r>
      <w:tr w:rsidR="00BB3FF6" w14:paraId="7F25EEA9" w14:textId="77777777" w:rsidTr="00B76D5E">
        <w:trPr>
          <w:trHeight w:val="227"/>
          <w:jc w:val="center"/>
        </w:trPr>
        <w:tc>
          <w:tcPr>
            <w:tcW w:w="2552" w:type="dxa"/>
            <w:shd w:val="clear" w:color="auto" w:fill="auto"/>
            <w:noWrap/>
            <w:vAlign w:val="center"/>
          </w:tcPr>
          <w:p w14:paraId="6EC28D65" w14:textId="77777777" w:rsidR="00BB3FF6" w:rsidRDefault="00BB3FF6" w:rsidP="00BB3FF6">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Significant</w:t>
            </w:r>
          </w:p>
        </w:tc>
        <w:tc>
          <w:tcPr>
            <w:tcW w:w="1843" w:type="dxa"/>
            <w:shd w:val="clear" w:color="auto" w:fill="auto"/>
            <w:noWrap/>
            <w:vAlign w:val="center"/>
          </w:tcPr>
          <w:p w14:paraId="38B75141"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r>
              <w:rPr>
                <w:rFonts w:ascii="Times New Roman" w:hAnsi="Times New Roman" w:cs="Times New Roman"/>
                <w:sz w:val="20"/>
                <w:szCs w:val="20"/>
              </w:rPr>
              <w:t>0.180</w:t>
            </w:r>
          </w:p>
        </w:tc>
        <w:tc>
          <w:tcPr>
            <w:tcW w:w="1134" w:type="dxa"/>
            <w:shd w:val="clear" w:color="auto" w:fill="auto"/>
            <w:noWrap/>
            <w:vAlign w:val="center"/>
          </w:tcPr>
          <w:p w14:paraId="6BB5044D"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701" w:type="dxa"/>
            <w:shd w:val="clear" w:color="auto" w:fill="auto"/>
            <w:noWrap/>
            <w:vAlign w:val="center"/>
          </w:tcPr>
          <w:p w14:paraId="1A72E813"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741" w:type="dxa"/>
            <w:shd w:val="clear" w:color="auto" w:fill="auto"/>
            <w:noWrap/>
            <w:vAlign w:val="center"/>
          </w:tcPr>
          <w:p w14:paraId="453DDC2C"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c>
          <w:tcPr>
            <w:tcW w:w="1145" w:type="dxa"/>
            <w:shd w:val="clear" w:color="auto" w:fill="auto"/>
            <w:noWrap/>
            <w:vAlign w:val="center"/>
          </w:tcPr>
          <w:p w14:paraId="71345175" w14:textId="77777777" w:rsidR="00BB3FF6" w:rsidRDefault="00BB3FF6" w:rsidP="00B76D5E">
            <w:pPr>
              <w:autoSpaceDE w:val="0"/>
              <w:autoSpaceDN w:val="0"/>
              <w:adjustRightInd w:val="0"/>
              <w:spacing w:after="0" w:line="240" w:lineRule="auto"/>
              <w:ind w:left="0" w:hanging="2"/>
              <w:jc w:val="center"/>
              <w:rPr>
                <w:rFonts w:ascii="Times New Roman" w:hAnsi="Times New Roman" w:cs="Times New Roman"/>
                <w:sz w:val="20"/>
                <w:szCs w:val="20"/>
              </w:rPr>
            </w:pPr>
          </w:p>
        </w:tc>
      </w:tr>
    </w:tbl>
    <w:p w14:paraId="6D41BEA8" w14:textId="77777777" w:rsidR="00A807B2" w:rsidRDefault="005F213D" w:rsidP="005F213D">
      <w:pPr>
        <w:autoSpaceDE w:val="0"/>
        <w:autoSpaceDN w:val="0"/>
        <w:adjustRightInd w:val="0"/>
        <w:spacing w:after="0" w:line="240" w:lineRule="auto"/>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894076">
        <w:rPr>
          <w:rFonts w:ascii="Times New Roman" w:hAnsi="Times New Roman" w:cs="Times New Roman"/>
          <w:sz w:val="20"/>
          <w:szCs w:val="20"/>
        </w:rPr>
        <w:t>Note: **Significance level: 0.05 (2-tailed)</w:t>
      </w:r>
    </w:p>
    <w:p w14:paraId="0E3C1737" w14:textId="77777777" w:rsidR="00A807B2" w:rsidRDefault="005F213D">
      <w:pPr>
        <w:autoSpaceDE w:val="0"/>
        <w:autoSpaceDN w:val="0"/>
        <w:adjustRightInd w:val="0"/>
        <w:spacing w:after="0" w:line="240" w:lineRule="auto"/>
        <w:ind w:left="0" w:hanging="2"/>
        <w:jc w:val="both"/>
        <w:rPr>
          <w:rFonts w:ascii="Times New Roman" w:hAnsi="Times New Roman" w:cs="Times New Roman"/>
          <w:sz w:val="20"/>
          <w:szCs w:val="20"/>
        </w:rPr>
      </w:pPr>
      <w:r>
        <w:rPr>
          <w:rFonts w:ascii="Times New Roman" w:hAnsi="Times New Roman" w:cs="Times New Roman"/>
          <w:sz w:val="20"/>
          <w:szCs w:val="20"/>
        </w:rPr>
        <w:t xml:space="preserve">  </w:t>
      </w:r>
      <w:r w:rsidR="00894076">
        <w:rPr>
          <w:rFonts w:ascii="Times New Roman" w:hAnsi="Times New Roman" w:cs="Times New Roman"/>
          <w:sz w:val="20"/>
          <w:szCs w:val="20"/>
        </w:rPr>
        <w:t>Dependent Variable: Physical Activity</w:t>
      </w:r>
    </w:p>
    <w:p w14:paraId="325346EA" w14:textId="77777777" w:rsidR="00A807B2" w:rsidRDefault="00A807B2" w:rsidP="00FD1A4D">
      <w:pPr>
        <w:autoSpaceDE w:val="0"/>
        <w:autoSpaceDN w:val="0"/>
        <w:adjustRightInd w:val="0"/>
        <w:spacing w:after="0" w:line="240" w:lineRule="auto"/>
        <w:ind w:leftChars="0" w:left="0" w:firstLineChars="0" w:firstLine="0"/>
        <w:jc w:val="both"/>
        <w:rPr>
          <w:rFonts w:ascii="Times New Roman" w:hAnsi="Times New Roman" w:cs="Times New Roman"/>
          <w:sz w:val="24"/>
          <w:szCs w:val="24"/>
        </w:rPr>
      </w:pPr>
    </w:p>
    <w:p w14:paraId="3FD43FBF" w14:textId="77777777" w:rsidR="00A807B2" w:rsidRDefault="00894076" w:rsidP="00FD1A4D">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Based on the above table, it can be seen that the findings show that the linear model is not significant. Hence, it was found that the p-value = 0.180 was greater than α = 0.05, thus, the neighborhood environment did not significantly affect the physical activity of the Malaysian neighborhood residents (t (383) = -2.953, p &gt; 0.05). From the findings, it can be concluded that the neighborhood environment has no significant influence on the physical activity for the study area.</w:t>
      </w:r>
    </w:p>
    <w:p w14:paraId="4C9E59D4" w14:textId="77777777" w:rsidR="00A807B2" w:rsidRDefault="00894076">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are in line with those that are found in the literature, where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{"citationItems":[{"id":"ITEM-1","itemData":{"DOI":"10.1016/j.jth.2020.100881","ISSN":"22141405","abstract":"Introduction: An increasing body of evidence suggests that regular physical activity can have important beneficial effects on individuals’ health into later years. This research investigated the inter-relationships between neighbourhood built environment, physical activity and three physical health outcomes among older adults in Singapore. Methods: Drawing on 2018 data from 810 community-dwelling older adults in Singapore, a simultaneous equation approach was utilised to disentangle the complex interactions among built environment (both objective and self-reported measurements), physical activity and physical health (i.e., body mass index, functional capability and presence or absence of ‘three high’ chronic diseases) while controlling for other confounding factors, including socio-demographics and health behaviour. Results: The accessibility to destinations (e.g., parks, open spaces, playgrounds) and other walkability features (e.g., neighbourhood safety, covered footpath) could promote transportation or recreational outdoor physical activity and therefore, health among older residents in Singapore. Interestingly, built environment characteristics related differently to physical activity undertaken for transportation and recreational purposes. There was a bi-directional relationship between an older adult's functional status and transport-related physical activity. There was also evidence that the connection between number of chronic diseases and recreational physical activity was reciprocal. Conclusion: Insights into the built environment-physical activity-physical health relationships highlight the importance of supportive built environment in the process of health enhancement for older people.","author":[{"dropping-particle":"","family":"Song","given":"Siqi","non-dropping-particle":"","parse-names":false,"suffix":""},{"dropping-particle":"","family":"Yap","given":"Winston","non-dropping-particle":"","parse-names":false,"suffix":""},{"dropping-particle":"","family":"Hou","given":"Yuting","non-dropping-particle":"","parse-names":false,"suffix":""},{"dropping-particle":"","family":"Yuen","given":"Belinda","non-dropping-particle":"","parse-names":false,"suffix":""}],"container-title":"Journal of Transport and Health","id":"ITEM-1","issue":"June","issued":{"date-parts":[["2020"]]},"page":"100881","publisher":"Elsevier Ltd","title":"Neighbourhood built Environment, physical activity, and physical health among older adults in Singapore: A simultaneous equations approach","type":"article-journal","volume":"18"},"uris":["http://www.mendeley.com/documents/?uuid=ab76fea8-70f5-4c75-a8a8-4e6dcdead7f5"]}],"mendeley":{"formattedCitation":"(Song et al., 2020)","plainTextFormattedCitation":"(Song et al., 2020)","previouslyFormattedCitation":"(Song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(Song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have mentioned in his research that none of the subjective built-environment measures has been significantly associated with the level of recreational physical activity. The subjective built-environment consists of the following characteristic aspects: 1) land use mix; 2) street connectivity; (3) pedestrian or cycling infrastructure; (4) aesthetics of neighborhood surroundings; (5) neighborhood safety; and (6) neighborhood amenities. Furthermore, this was also supported by another research, i.e.,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th.2021.101312","ISSN":"2214-1405","author":[{"dropping-particle":"","family":"Xiao","given":"Yang","non-dropping-particle":"","parse-names":false,"suffix":""},{"dropping-particle":"","family":"Miao","given":"Siyu","non-dropping-particle":"","parse-names":false,"suffix":""},{"dropping-particle":"","family":"Zhang","given":"Yuhang","non-dropping-particle":"","parse-names":false,"suffix":""},{"dropping-particle":"","family":"Xie","given":"Bo","non-dropping-particle":"","parse-names":false,"suffix":""},{"dropping-particle":"","family":"Wu","given":"Wenjie","non-dropping-particle":"","parse-names":false,"suffix":""}],"container-title":"Journal of Transport &amp; Health","id":"ITEM-1","issue":"December 2021","issued":{"date-parts":[["2022"]]},"page":"101312","publisher":"Elsevier Ltd","title":"Exploring the associations between neighborhood greenness and level of physical activity of older adults in shanghai","type":"article-journal","volume":"24"},"uris":["http://www.mendeley.com/documents/?uuid=da36f17e-21bc-4751-aab7-93d65fe24ac0"]}],"mendeley":{"formattedCitation":"(Xiao et al., 2022)","plainTextFormattedCitation":"(Xiao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(Xiao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where the researchers had found that all traditional built-environment features such as land use mix, road density, proximity to nearest public transportation station, etcetera, had no significant effects on either the probability of physical activities nor the amount or intensity of that activity, while higher self-rated health and having a job was shown to significantly increase the amount or intensity of total physical activity and active transportation that were undertaken. </w:t>
      </w:r>
    </w:p>
    <w:p w14:paraId="71E8F2E1" w14:textId="77777777" w:rsidR="00A807B2" w:rsidRDefault="00A807B2" w:rsidP="00936BFC">
      <w:pPr>
        <w:spacing w:after="0" w:line="240" w:lineRule="auto"/>
        <w:ind w:leftChars="0" w:left="0" w:firstLineChars="0" w:firstLine="0"/>
        <w:rPr>
          <w:rFonts w:ascii="Times New Roman" w:eastAsia="Times New Roman" w:hAnsi="Times New Roman" w:cs="Times New Roman"/>
        </w:rPr>
      </w:pPr>
    </w:p>
    <w:p w14:paraId="10BA8BEA" w14:textId="77777777" w:rsidR="00936BFC" w:rsidRDefault="00936BFC" w:rsidP="00936BFC">
      <w:pPr>
        <w:spacing w:after="0" w:line="240" w:lineRule="auto"/>
        <w:ind w:leftChars="0" w:left="0" w:firstLineChars="0" w:firstLine="0"/>
        <w:rPr>
          <w:rFonts w:ascii="Times New Roman" w:eastAsia="Times New Roman" w:hAnsi="Times New Roman" w:cs="Times New Roman"/>
        </w:rPr>
      </w:pPr>
    </w:p>
    <w:p w14:paraId="5F965251" w14:textId="77777777" w:rsidR="00A807B2" w:rsidRDefault="00894076" w:rsidP="00DC3A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24E0E41D" w14:textId="77777777" w:rsidR="00A807B2" w:rsidRDefault="00A807B2" w:rsidP="00DC3A52">
      <w:pPr>
        <w:autoSpaceDE w:val="0"/>
        <w:autoSpaceDN w:val="0"/>
        <w:adjustRightInd w:val="0"/>
        <w:spacing w:after="0" w:line="240" w:lineRule="auto"/>
        <w:ind w:left="0" w:hanging="2"/>
        <w:jc w:val="both"/>
        <w:rPr>
          <w:rFonts w:ascii="Times New Roman" w:hAnsi="Times New Roman" w:cs="Times New Roman"/>
          <w:bCs/>
          <w:sz w:val="24"/>
          <w:szCs w:val="24"/>
        </w:rPr>
      </w:pPr>
    </w:p>
    <w:p w14:paraId="629BFB95" w14:textId="77777777" w:rsidR="00A807B2" w:rsidRDefault="00894076" w:rsidP="00DC3A52">
      <w:pPr>
        <w:autoSpaceDE w:val="0"/>
        <w:autoSpaceDN w:val="0"/>
        <w:adjustRightInd w:val="0"/>
        <w:spacing w:after="0" w:line="240" w:lineRule="auto"/>
        <w:ind w:left="0" w:hanging="2"/>
        <w:jc w:val="both"/>
        <w:rPr>
          <w:rFonts w:ascii="Times New Roman" w:hAnsi="Times New Roman" w:cs="Times New Roman"/>
          <w:bCs/>
          <w:sz w:val="24"/>
          <w:szCs w:val="24"/>
        </w:rPr>
      </w:pPr>
      <w:r>
        <w:rPr>
          <w:rFonts w:ascii="Times New Roman" w:hAnsi="Times New Roman" w:cs="Times New Roman"/>
          <w:bCs/>
          <w:sz w:val="24"/>
          <w:szCs w:val="24"/>
        </w:rPr>
        <w:t xml:space="preserve">In conclusion, the majority of the respondents concurred that the neighborhood </w:t>
      </w:r>
      <w:r>
        <w:rPr>
          <w:rFonts w:ascii="Times New Roman" w:hAnsi="Times New Roman" w:cs="Times New Roman"/>
          <w:sz w:val="24"/>
          <w:szCs w:val="24"/>
        </w:rPr>
        <w:t xml:space="preserve">(outdoor) </w:t>
      </w:r>
      <w:r>
        <w:rPr>
          <w:rFonts w:ascii="Times New Roman" w:hAnsi="Times New Roman" w:cs="Times New Roman"/>
          <w:bCs/>
          <w:sz w:val="24"/>
          <w:szCs w:val="24"/>
        </w:rPr>
        <w:t xml:space="preserve">environment in USJ was developed with high-quality services, was free from crime, and had a </w:t>
      </w:r>
      <w:proofErr w:type="spellStart"/>
      <w:r>
        <w:rPr>
          <w:rFonts w:ascii="Times New Roman" w:hAnsi="Times New Roman" w:cs="Times New Roman"/>
          <w:bCs/>
          <w:sz w:val="24"/>
          <w:szCs w:val="24"/>
        </w:rPr>
        <w:t>favourable</w:t>
      </w:r>
      <w:proofErr w:type="spellEnd"/>
      <w:r>
        <w:rPr>
          <w:rFonts w:ascii="Times New Roman" w:hAnsi="Times New Roman" w:cs="Times New Roman"/>
          <w:bCs/>
          <w:sz w:val="24"/>
          <w:szCs w:val="24"/>
        </w:rPr>
        <w:t xml:space="preserve"> environment. The respondents also engaged in strenuous and moderate physical activity concurrently, either as part of their jobs, household chores, or for leisure. The quality of outdoor neighborhood environment (based on the respondents’ perception), however, had no significant impact on USJ residents' participation in physical activity, according to the regression analysis. This is also supported by a research finding that green space (part of neighborhood environment facilities) was not significantly associated with general or mental health, or any physical activity type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{"citationItems":[{"id":"ITEM-1","itemData":{"DOI":"10.1016/j.envint.2019.105016","ISSN":"18736750","PMID":"31352260","abstract":"Background: Evidence suggests that living near blue spaces such as the coast, lakes and rivers may be good for health and wellbeing. Although greater levels of physical activity (PA) may be a potential mechanism, we know little about the types of PA that might account for this. Objectives: To explore the mediating role of: a) ‘watersports’ (e.g. sailing/canoeing); b) ‘on-land outdoor PA’ in natural/mixed settings (e.g. walking/running/cycling); and, c) ‘indoor/other PA’ (e.g. gym/squash) in the relationships between residential blue space availability and health outcomes. Methods: Using data from the Health Survey for England (n = 21,097), we constructed a path model to explore whether weekly volumes of each PA type mediate any of the relationships between residential blue space availability (coastal proximity and presence of freshwater) and self-reported general and mental health, controlling for green space density and a range of socio-economic factors at the individual- and area-level. Results: Supporting predictions, living nearer the coast was associated with better self-reported general and mental health and this was partially mediated by on-land outdoor PA (primarily walking). Watersports were more common among those living within 5kms of the coast, but did not mediate associations between coastal proximity and health. Presence of freshwater in the neighbourhood was associated with better mental health, but this effect was not mediated by PA. Conclusions: Although nearby blue spaces offer potentially easier access to watersports, relatively few individuals in England engage in them and thus they do not account for positive population health associations. Rather, the benefits to health from coastal living seem, at least in part, due to participation in land-based outdoor activities (especially walking). Further research is needed to explore the mechanisms behind the relationship between freshwater presence and mental health.","author":[{"dropping-particle":"","family":"Pasanen","given":"Tytti P.","non-dropping-particle":"","parse-names":false,"suffix":""},{"dropping-particle":"","family":"White","given":"Mathew P.","non-dropping-particle":"","parse-names":false,"suffix":""},{"dropping-particle":"","family":"Wheeler","given":"Benedict W.","non-dropping-particle":"","parse-names":false,"suffix":""},{"dropping-particle":"","family":"Garrett","given":"Joanne K.","non-dropping-particle":"","parse-names":false,"suffix":""},{"dropping-particle":"","family":"Elliott","given":"Lewis R.","non-dropping-particle":"","parse-names":false,"suffix":""}],"container-title":"Environment International","id":"ITEM-1","issue":"June","issued":{"date-parts":[["2019"]]},"page":"105016","publisher":"Elsevier","title":"Neighbourhood blue space, health and wellbeing: The mediating role of different types of physical activity","type":"article-journal","volume":"131"},"uris":["http://www.mendeley.com/documents/?uuid=68cc1078-fcc6-46e9-8351-b219c8520091"]}],"mendeley":{"formattedCitation":"(Pasanen et al., 2019)","plainTextFormattedCitation":"(Pasanen et al., 2019)","previouslyFormattedCitation":"(Pasanen et al.,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(Pasanen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The majority of respondents indicated that they typically engaged in indoor physical exercise, with both 43.9% reporting vigorous activity and 40% reporting moderate activity. Despite the fact that other researchers have found links between </w:t>
      </w:r>
      <w:r>
        <w:rPr>
          <w:rFonts w:ascii="Times New Roman" w:hAnsi="Times New Roman" w:cs="Times New Roman"/>
          <w:bCs/>
          <w:sz w:val="24"/>
          <w:szCs w:val="24"/>
        </w:rPr>
        <w:lastRenderedPageBreak/>
        <w:t>neighborhood-built environment characteristics and physical activity (such as mixed land use, which indicates having destinations like restaurants and shops nearby), this study found the opposite. It may be because of other environmental factors such as pollution (noise and air pollution)</w:t>
      </w:r>
      <w:r>
        <w:rPr>
          <w:rFonts w:ascii="Times New Roman" w:hAnsi="Times New Roman" w:cs="Times New Roman"/>
          <w:sz w:val="24"/>
          <w:szCs w:val="24"/>
        </w:rPr>
        <w:t xml:space="preserve">, a </w:t>
      </w:r>
      <w:r>
        <w:rPr>
          <w:rFonts w:ascii="Times New Roman" w:hAnsi="Times New Roman" w:cs="Times New Roman"/>
          <w:bCs/>
          <w:sz w:val="24"/>
          <w:szCs w:val="24"/>
        </w:rPr>
        <w:t xml:space="preserve">study revealed that higher levels of air pollution may have a negative impact on physical activity since they may make a neighborhood less inviting for outdoor recreation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{"citationItems":[{"id":"ITEM-1","itemData":{"DOI":"10.1186/s12940-022-00839-x","ISSN":"1476069X","PMID":"35255905","abstract":"Background: Recent studies showed that air pollution might play a role in the etiology of mental disorders. In this study we evaluated the association between air pollution and mental and self-rated health and the possible mediating effect of physical activity in this association. Methods: In 2008, 2013 and 2018 the Belgian Health Interview Survey (BHIS) enrolled 16,455 participants who completed following mental health dimensions: psychological distress, suboptimal vitality, suicidal ideation, and depressive and generalized anxiety disorder and self-rated health. Annual exposure to nitrogen dioxide (NO2), particulate matter ≤ 2.5 µm (PM2.5) and black carbon (BC) were estimated at the participants’ residence by a high resolution spatiotemporal model. Multivariate logistic regressions were carried out taking into account a priori selected covariates. Results: Long-term exposure to PM2.5, BC and NO2 averaged 14.5, 1.4, and 21.8 µg/m3, respectively. An interquartile range (IQR) increment in PM2.5 exposure was associated with higher odds of suboptimal vitality (OR = 1.27; 95% CI: 1.13, 1.42), poor self-rated health (OR = 1.20; 95% CI: 1.09, 1.32) and depressive disorder (OR = 1.19; 95% CI: 1.00, 1.41). Secondly, an association was found between BC exposure and higher odds of poor self-rated health and depressive and generalized anxiety disorder and between NO2 exposure and higher odds of psychological distress, suboptimal vitality and poor self-rated health. No association was found between long-term ambient air pollution and suicidal ideation or severe psychological distress. The mediation analysis suggested that between 15.2% (PM2.5-generalized anxiety disorder) and 40.1% (NO2-poor self-rated health) of the association may be mediated by a difference in physical activity. Conclusions: Long-term exposure to PM2.5, BC or NO2 was adversely associated with multiple mental health dimensions and self-rated health and part of the association was mediated by physical activity. Our results suggest that policies aiming to reduce air pollution levels could also reduce the burden of mental health disorders in Belgium.","author":[{"dropping-particle":"","family":"Hautekiet","given":"Pauline","non-dropping-particle":"","parse-names":false,"suffix":""},{"dropping-particle":"","family":"Saenen","given":"Nelly D.","non-dropping-particle":"","parse-names":false,"suffix":""},{"dropping-particle":"","family":"Demarest","given":"Stefaan","non-dropping-particle":"","parse-names":false,"suffix":""},{"dropping-particle":"","family":"Keune","given":"Hans","non-dropping-particle":"","parse-names":false,"suffix":""},{"dropping-particle":"","family":"Pelgrims","given":"Ingrid","non-dropping-particle":"","parse-names":false,"suffix":""},{"dropping-particle":"","family":"Heyden","given":"Johan","non-dropping-particle":"Van der","parse-names":false,"suffix":""},{"dropping-particle":"","family":"Clercq","given":"Eva M.","non-dropping-particle":"De","parse-names":false,"suffix":""},{"dropping-particle":"","family":"Nawrot","given":"Tim S.","non-dropping-particle":"","parse-names":false,"suffix":""}],"container-title":"Environmental Health: A Global Access Science Source","id":"ITEM-1","issue":"1","issued":{"date-parts":[["2022"]]},"page":"1-13","publisher":"BioMed Central","title":"Air pollution in association with mental and self-rated health and the mediating effect of physical activity","type":"article-journal","volume":"21"},"uris":["http://www.mendeley.com/documents/?uuid=ef16d351-7f8a-488f-b1d8-0ea5f276e5a9"]}],"mendeley":{"formattedCitation":"(Hautekiet et al., 2022)","plainTextFormattedCitation":"(Hautekiet et al., 2022)","previouslyFormattedCitation":"(Hautekiet et al.,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(Hautekiet et al., 2022)</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Other than that, limited time to spend outdoor due to their commitment with families at home, and could also be that the respondents were exposed to the neighborhood’s environment more frequently when engaging in physical activity, which increased their unhappiness with the neighborhood’s quality. According to a study by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{"citationItems":[{"id":"ITEM-1","itemData":{"DOI":"10.17576/geo-2021-1701-08","abstract":"… that are critical in maintaining social cohesion, pride and social capital (Ngesan et al., 2012) … review on environmental health in relation to neighbourhood planning and human physical activity … The Qualiy of life- Comparative studies, USA, Sage Studies in International Sociology …","author":[{"dropping-particle":"","family":"Hoon Leh","given":"Oliver Ling","non-dropping-particle":"","parse-names":false,"suffix":""},{"dropping-particle":"","family":"Salehudin","given":"Siti Nazurah","non-dropping-particle":"","parse-names":false,"suffix":""},{"dropping-particle":"","family":"Marzukhi","given":"Marlyana Azyyati","non-dropping-particle":"","parse-names":false,"suffix":""},{"dropping-particle":"","family":"Kwong","given":"Qi Jie","non-dropping-particle":"","parse-names":false,"suffix":""}],"container-title":"Malaysian Journal of Society and Space","id":"ITEM-1","issue":"1","issued":{"date-parts":[["2021"]]},"page":"94-106","title":"The quality of life among visitors of recreational parks: A case study of Recreational Parks in Temerloh Town, Pahang, Malaysia","type":"article-journal","volume":"17"},"uris":["http://www.mendeley.com/documents/?uuid=ab3a3d32-00ca-4884-a713-13b27f1fdec6"]}],"mendeley":{"formattedCitation":"(Hoon Leh et al., 2021)","manualFormatting":"Ling et al., (2021)","plainTextFormattedCitation":"(Hoon Leh et al., 2021)","previouslyFormattedCitation":"(Hoon Leh et al.,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sz w:val="24"/>
          <w:szCs w:val="24"/>
        </w:rPr>
        <w:t>Ling et al. (2021)</w:t>
      </w:r>
      <w:r>
        <w:rPr>
          <w:rFonts w:ascii="Times New Roman" w:hAnsi="Times New Roman" w:cs="Times New Roman"/>
          <w:bCs/>
          <w:sz w:val="24"/>
          <w:szCs w:val="24"/>
        </w:rPr>
        <w:fldChar w:fldCharType="end"/>
      </w:r>
      <w:r>
        <w:rPr>
          <w:rFonts w:ascii="Times New Roman" w:hAnsi="Times New Roman" w:cs="Times New Roman"/>
          <w:bCs/>
          <w:sz w:val="24"/>
          <w:szCs w:val="24"/>
        </w:rPr>
        <w:t>, improving the physical and social features of parks can encourage people to participate in active recreation. Thus, it is hoped that planners, landscape architects, park managers, and developers will be better able to create and maintain more attractive neighborhood environments, which will increase users' satisfaction with the parks and neighborhood settings that offer a venue for physical activity toward better health.</w:t>
      </w:r>
    </w:p>
    <w:p w14:paraId="150F752C" w14:textId="77777777" w:rsidR="00A807B2" w:rsidRPr="0009642D" w:rsidRDefault="00A807B2" w:rsidP="00DC3A52">
      <w:pPr>
        <w:spacing w:after="0" w:line="240" w:lineRule="auto"/>
        <w:ind w:leftChars="0" w:left="0" w:firstLineChars="0" w:firstLine="0"/>
        <w:rPr>
          <w:rFonts w:ascii="Times New Roman" w:eastAsia="Times New Roman" w:hAnsi="Times New Roman" w:cs="Times New Roman"/>
        </w:rPr>
      </w:pPr>
    </w:p>
    <w:p w14:paraId="0D0EDDFF" w14:textId="77777777" w:rsidR="00DC3A52" w:rsidRPr="0009642D" w:rsidRDefault="00DC3A52" w:rsidP="00DC3A52">
      <w:pPr>
        <w:spacing w:after="0" w:line="240" w:lineRule="auto"/>
        <w:ind w:leftChars="0" w:left="0" w:firstLineChars="0" w:firstLine="0"/>
        <w:rPr>
          <w:rFonts w:ascii="Times New Roman" w:eastAsia="Times New Roman" w:hAnsi="Times New Roman" w:cs="Times New Roman"/>
        </w:rPr>
      </w:pPr>
    </w:p>
    <w:p w14:paraId="0E673E48" w14:textId="77777777" w:rsidR="00A807B2" w:rsidRDefault="00894076" w:rsidP="00DC3A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29CCFDF0" w14:textId="77777777" w:rsidR="00A807B2" w:rsidRDefault="00894076" w:rsidP="00DC3A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36B95A" w14:textId="77777777" w:rsidR="00A807B2" w:rsidRDefault="00894076" w:rsidP="00DC3A52">
      <w:pPr>
        <w:pStyle w:val="NoSpacing"/>
        <w:spacing w:after="0" w:line="240" w:lineRule="auto"/>
        <w:ind w:left="0" w:hanging="2"/>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authors would like to thank </w:t>
      </w:r>
      <w:proofErr w:type="spellStart"/>
      <w:r>
        <w:rPr>
          <w:rFonts w:ascii="Times New Roman" w:hAnsi="Times New Roman" w:cs="Times New Roman"/>
          <w:sz w:val="24"/>
          <w:szCs w:val="24"/>
          <w:lang w:val="en-GB"/>
        </w:rPr>
        <w:t>Universiti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MARA (</w:t>
      </w:r>
      <w:proofErr w:type="spellStart"/>
      <w:r>
        <w:rPr>
          <w:rFonts w:ascii="Times New Roman" w:hAnsi="Times New Roman" w:cs="Times New Roman"/>
          <w:sz w:val="24"/>
          <w:szCs w:val="24"/>
          <w:lang w:val="en-GB"/>
        </w:rPr>
        <w:t>UiTM</w:t>
      </w:r>
      <w:proofErr w:type="spellEnd"/>
      <w:r>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eastAsia="zh-CN"/>
        </w:rPr>
        <w:t xml:space="preserve">and the Ministry of Higher Education </w:t>
      </w:r>
      <w:r>
        <w:rPr>
          <w:rFonts w:ascii="Times New Roman" w:hAnsi="Times New Roman" w:cs="Times New Roman"/>
          <w:sz w:val="24"/>
          <w:szCs w:val="24"/>
          <w:lang w:val="en-GB"/>
        </w:rPr>
        <w:t>for the support and funding of the study through the FRGS grant (FRGS/1/2014/SS06/UITM/02/3)</w:t>
      </w:r>
      <w:r>
        <w:rPr>
          <w:rFonts w:ascii="Times New Roman" w:eastAsiaTheme="minorEastAsia" w:hAnsi="Times New Roman" w:cs="Times New Roman"/>
          <w:sz w:val="24"/>
          <w:szCs w:val="24"/>
          <w:lang w:eastAsia="zh-CN"/>
        </w:rPr>
        <w:t>.</w:t>
      </w:r>
      <w:r>
        <w:rPr>
          <w:rFonts w:ascii="Times New Roman" w:hAnsi="Times New Roman" w:cs="Times New Roman"/>
          <w:sz w:val="24"/>
          <w:szCs w:val="24"/>
          <w:lang w:val="en-GB"/>
        </w:rPr>
        <w:t> The authors would also like to thank all the departments, organisations and individuals who had contributed to this study.</w:t>
      </w:r>
    </w:p>
    <w:p w14:paraId="26719161" w14:textId="77777777" w:rsidR="00A807B2" w:rsidRDefault="00A807B2" w:rsidP="00DC3A52">
      <w:pPr>
        <w:spacing w:after="0" w:line="240" w:lineRule="auto"/>
        <w:ind w:left="0" w:hanging="2"/>
        <w:rPr>
          <w:rFonts w:ascii="Times New Roman" w:eastAsia="Times New Roman" w:hAnsi="Times New Roman" w:cs="Times New Roman"/>
          <w:sz w:val="24"/>
          <w:szCs w:val="24"/>
        </w:rPr>
      </w:pPr>
    </w:p>
    <w:p w14:paraId="6DE30E5A" w14:textId="77777777" w:rsidR="00A807B2" w:rsidRDefault="00A807B2" w:rsidP="00DC3A52">
      <w:pPr>
        <w:spacing w:after="0" w:line="240" w:lineRule="auto"/>
        <w:ind w:leftChars="0" w:left="0" w:firstLineChars="0" w:firstLine="0"/>
        <w:rPr>
          <w:rFonts w:ascii="Times New Roman" w:eastAsia="Times New Roman" w:hAnsi="Times New Roman" w:cs="Times New Roman"/>
          <w:sz w:val="24"/>
          <w:szCs w:val="24"/>
        </w:rPr>
      </w:pPr>
    </w:p>
    <w:p w14:paraId="3AAA83EA" w14:textId="77777777" w:rsidR="00A807B2" w:rsidRDefault="00894076" w:rsidP="00DC3A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3A936D2B" w14:textId="77777777" w:rsidR="00A807B2" w:rsidRDefault="008940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4CFD733"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fldChar w:fldCharType="begin" w:fldLock="1"/>
      </w:r>
      <w:r>
        <w:rPr>
          <w:rFonts w:ascii="Times New Roman" w:hAnsi="Times New Roman" w:cs="Times New Roman"/>
          <w:color w:val="222222"/>
          <w:sz w:val="24"/>
          <w:szCs w:val="24"/>
          <w:shd w:val="clear" w:color="auto" w:fill="FFFFFF"/>
        </w:rPr>
        <w:instrText xml:space="preserve">ADDIN Mendeley Bibliography CSL_BIBLIOGRAPHY </w:instrText>
      </w:r>
      <w:r>
        <w:rPr>
          <w:rFonts w:ascii="Times New Roman" w:hAnsi="Times New Roman" w:cs="Times New Roman"/>
          <w:color w:val="222222"/>
          <w:sz w:val="24"/>
          <w:szCs w:val="24"/>
          <w:shd w:val="clear" w:color="auto" w:fill="FFFFFF"/>
        </w:rPr>
        <w:fldChar w:fldCharType="separate"/>
      </w:r>
      <w:r>
        <w:rPr>
          <w:rFonts w:ascii="Times New Roman" w:hAnsi="Times New Roman" w:cs="Times New Roman"/>
          <w:sz w:val="24"/>
          <w:szCs w:val="24"/>
        </w:rPr>
        <w:t xml:space="preserve">Anderson, J. (2021). </w:t>
      </w:r>
      <w:r>
        <w:rPr>
          <w:rFonts w:ascii="Times New Roman" w:hAnsi="Times New Roman" w:cs="Times New Roman"/>
          <w:i/>
          <w:iCs/>
          <w:sz w:val="24"/>
          <w:szCs w:val="24"/>
        </w:rPr>
        <w:t xml:space="preserve">Neighbourhood Environment and the effect on Well-being , Physical Activity </w:t>
      </w:r>
      <w:r w:rsidR="007D702D">
        <w:rPr>
          <w:rFonts w:ascii="Times New Roman" w:hAnsi="Times New Roman" w:cs="Times New Roman"/>
          <w:i/>
          <w:iCs/>
          <w:sz w:val="24"/>
          <w:szCs w:val="24"/>
        </w:rPr>
        <w:tab/>
      </w:r>
      <w:r>
        <w:rPr>
          <w:rFonts w:ascii="Times New Roman" w:hAnsi="Times New Roman" w:cs="Times New Roman"/>
          <w:i/>
          <w:iCs/>
          <w:sz w:val="24"/>
          <w:szCs w:val="24"/>
        </w:rPr>
        <w:t>, and Social Connectedness</w:t>
      </w:r>
      <w:r>
        <w:rPr>
          <w:rFonts w:ascii="Times New Roman" w:hAnsi="Times New Roman" w:cs="Times New Roman"/>
          <w:sz w:val="24"/>
          <w:szCs w:val="24"/>
        </w:rPr>
        <w:t>. Massey University, Palmerston North, New Zealand.</w:t>
      </w:r>
    </w:p>
    <w:p w14:paraId="747F8B6D"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Bedimo-Rung, A. L. (2005). The Significance of Parks to Physical Activity and. </w:t>
      </w:r>
      <w:r>
        <w:rPr>
          <w:rFonts w:ascii="Times New Roman" w:hAnsi="Times New Roman" w:cs="Times New Roman"/>
          <w:i/>
          <w:iCs/>
          <w:sz w:val="24"/>
          <w:szCs w:val="24"/>
        </w:rPr>
        <w:t xml:space="preserve">American Journal </w:t>
      </w:r>
      <w:r w:rsidR="007D702D">
        <w:rPr>
          <w:rFonts w:ascii="Times New Roman" w:hAnsi="Times New Roman" w:cs="Times New Roman"/>
          <w:i/>
          <w:iCs/>
          <w:sz w:val="24"/>
          <w:szCs w:val="24"/>
        </w:rPr>
        <w:tab/>
      </w:r>
      <w:r>
        <w:rPr>
          <w:rFonts w:ascii="Times New Roman" w:hAnsi="Times New Roman" w:cs="Times New Roman"/>
          <w:i/>
          <w:iCs/>
          <w:sz w:val="24"/>
          <w:szCs w:val="24"/>
        </w:rPr>
        <w:t>of Preventive Medicine</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(2S2), 159–168. https://doi.org/10.1016/j.ampre.2004.10.024</w:t>
      </w:r>
    </w:p>
    <w:p w14:paraId="5C14D4E0" w14:textId="77777777" w:rsidR="00A807B2" w:rsidRPr="007D702D"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sidRPr="007D702D">
        <w:rPr>
          <w:rFonts w:ascii="Times New Roman" w:hAnsi="Times New Roman" w:cs="Times New Roman"/>
          <w:sz w:val="24"/>
          <w:szCs w:val="24"/>
        </w:rPr>
        <w:t xml:space="preserve">C3 Collaborating for Health. (2012). </w:t>
      </w:r>
      <w:r w:rsidRPr="007D702D">
        <w:rPr>
          <w:rFonts w:ascii="Times New Roman" w:hAnsi="Times New Roman" w:cs="Times New Roman"/>
          <w:iCs/>
          <w:sz w:val="24"/>
          <w:szCs w:val="24"/>
        </w:rPr>
        <w:t xml:space="preserve">Review The benefits of physical activity for health and well </w:t>
      </w:r>
      <w:r w:rsidR="007D702D">
        <w:rPr>
          <w:rFonts w:ascii="Times New Roman" w:hAnsi="Times New Roman" w:cs="Times New Roman"/>
          <w:iCs/>
          <w:sz w:val="24"/>
          <w:szCs w:val="24"/>
        </w:rPr>
        <w:tab/>
      </w:r>
      <w:r w:rsidRPr="007D702D">
        <w:rPr>
          <w:rFonts w:ascii="Times New Roman" w:hAnsi="Times New Roman" w:cs="Times New Roman"/>
          <w:iCs/>
          <w:sz w:val="24"/>
          <w:szCs w:val="24"/>
        </w:rPr>
        <w:t>‐ being</w:t>
      </w:r>
      <w:r w:rsidRPr="007D702D">
        <w:rPr>
          <w:rFonts w:ascii="Times New Roman" w:hAnsi="Times New Roman" w:cs="Times New Roman"/>
          <w:sz w:val="24"/>
          <w:szCs w:val="24"/>
        </w:rPr>
        <w:t xml:space="preserve">. </w:t>
      </w:r>
      <w:r w:rsidRPr="007D702D">
        <w:rPr>
          <w:rFonts w:ascii="Times New Roman" w:hAnsi="Times New Roman" w:cs="Times New Roman"/>
          <w:iCs/>
          <w:sz w:val="24"/>
          <w:szCs w:val="24"/>
        </w:rPr>
        <w:t>October</w:t>
      </w:r>
      <w:r w:rsidRPr="007D702D">
        <w:rPr>
          <w:rFonts w:ascii="Times New Roman" w:hAnsi="Times New Roman" w:cs="Times New Roman"/>
          <w:sz w:val="24"/>
          <w:szCs w:val="24"/>
        </w:rPr>
        <w:t>.</w:t>
      </w:r>
    </w:p>
    <w:p w14:paraId="26376E04"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sidRPr="007D702D">
        <w:rPr>
          <w:rFonts w:ascii="Times New Roman" w:hAnsi="Times New Roman" w:cs="Times New Roman"/>
          <w:sz w:val="24"/>
          <w:szCs w:val="24"/>
        </w:rPr>
        <w:t xml:space="preserve">Edwards, P., &amp; Tsouros, A. (2006). FACTS Promoting physical activity and active living in urban </w:t>
      </w:r>
      <w:r w:rsidR="007D702D" w:rsidRPr="007D702D">
        <w:rPr>
          <w:rFonts w:ascii="Times New Roman" w:hAnsi="Times New Roman" w:cs="Times New Roman"/>
          <w:sz w:val="24"/>
          <w:szCs w:val="24"/>
        </w:rPr>
        <w:tab/>
      </w:r>
      <w:r w:rsidRPr="007D702D">
        <w:rPr>
          <w:rFonts w:ascii="Times New Roman" w:hAnsi="Times New Roman" w:cs="Times New Roman"/>
          <w:sz w:val="24"/>
          <w:szCs w:val="24"/>
        </w:rPr>
        <w:t xml:space="preserve">environments. In </w:t>
      </w:r>
      <w:r w:rsidRPr="007D702D">
        <w:rPr>
          <w:rFonts w:ascii="Times New Roman" w:hAnsi="Times New Roman" w:cs="Times New Roman"/>
          <w:i/>
          <w:iCs/>
          <w:sz w:val="24"/>
          <w:szCs w:val="24"/>
        </w:rPr>
        <w:t>World Health</w:t>
      </w:r>
      <w:r w:rsidRPr="007D702D">
        <w:rPr>
          <w:rFonts w:ascii="Times New Roman" w:hAnsi="Times New Roman" w:cs="Times New Roman"/>
          <w:sz w:val="24"/>
          <w:szCs w:val="24"/>
        </w:rPr>
        <w:t>. www.euro.who.int/document/e89498.pdf</w:t>
      </w:r>
    </w:p>
    <w:p w14:paraId="378464B9"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Hautekiet, P., Saenen, N. D., Demarest, S., Keune, H., Pelgrims, I., Van der Heyden, J., De Clercq, </w:t>
      </w:r>
      <w:r w:rsidR="007D702D">
        <w:rPr>
          <w:rFonts w:ascii="Times New Roman" w:hAnsi="Times New Roman" w:cs="Times New Roman"/>
          <w:sz w:val="24"/>
          <w:szCs w:val="24"/>
        </w:rPr>
        <w:tab/>
      </w:r>
      <w:r>
        <w:rPr>
          <w:rFonts w:ascii="Times New Roman" w:hAnsi="Times New Roman" w:cs="Times New Roman"/>
          <w:sz w:val="24"/>
          <w:szCs w:val="24"/>
        </w:rPr>
        <w:t xml:space="preserve">E. M., &amp; Nawrot, T. S. (2022). Air pollution in association with mental and self-rated health </w:t>
      </w:r>
      <w:r w:rsidR="007D702D">
        <w:rPr>
          <w:rFonts w:ascii="Times New Roman" w:hAnsi="Times New Roman" w:cs="Times New Roman"/>
          <w:sz w:val="24"/>
          <w:szCs w:val="24"/>
        </w:rPr>
        <w:tab/>
      </w:r>
      <w:r>
        <w:rPr>
          <w:rFonts w:ascii="Times New Roman" w:hAnsi="Times New Roman" w:cs="Times New Roman"/>
          <w:sz w:val="24"/>
          <w:szCs w:val="24"/>
        </w:rPr>
        <w:t xml:space="preserve">and the mediating effect of physical activity. </w:t>
      </w:r>
      <w:r>
        <w:rPr>
          <w:rFonts w:ascii="Times New Roman" w:hAnsi="Times New Roman" w:cs="Times New Roman"/>
          <w:i/>
          <w:iCs/>
          <w:sz w:val="24"/>
          <w:szCs w:val="24"/>
        </w:rPr>
        <w:t xml:space="preserve">Environmental Health: A Global Access </w:t>
      </w:r>
      <w:r w:rsidR="007D702D">
        <w:rPr>
          <w:rFonts w:ascii="Times New Roman" w:hAnsi="Times New Roman" w:cs="Times New Roman"/>
          <w:i/>
          <w:iCs/>
          <w:sz w:val="24"/>
          <w:szCs w:val="24"/>
        </w:rPr>
        <w:tab/>
      </w:r>
      <w:r>
        <w:rPr>
          <w:rFonts w:ascii="Times New Roman" w:hAnsi="Times New Roman" w:cs="Times New Roman"/>
          <w:i/>
          <w:iCs/>
          <w:sz w:val="24"/>
          <w:szCs w:val="24"/>
        </w:rPr>
        <w:t>Science Source</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(1), 1–13. https://doi.org/10.1186/s12940-022-00839-x</w:t>
      </w:r>
    </w:p>
    <w:p w14:paraId="6D18DBCE"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Hoon Leh, O. L., Salehudin, S. N., Marzukhi, M. A., &amp; Kwong, Q. J. (2021). The quality of life </w:t>
      </w:r>
      <w:r w:rsidR="007D702D">
        <w:rPr>
          <w:rFonts w:ascii="Times New Roman" w:hAnsi="Times New Roman" w:cs="Times New Roman"/>
          <w:sz w:val="24"/>
          <w:szCs w:val="24"/>
        </w:rPr>
        <w:tab/>
      </w:r>
      <w:r>
        <w:rPr>
          <w:rFonts w:ascii="Times New Roman" w:hAnsi="Times New Roman" w:cs="Times New Roman"/>
          <w:sz w:val="24"/>
          <w:szCs w:val="24"/>
        </w:rPr>
        <w:t xml:space="preserve">among visitors of recreational parks: A case study of Recreational Parks in Temerloh </w:t>
      </w:r>
      <w:r w:rsidR="007D702D">
        <w:rPr>
          <w:rFonts w:ascii="Times New Roman" w:hAnsi="Times New Roman" w:cs="Times New Roman"/>
          <w:sz w:val="24"/>
          <w:szCs w:val="24"/>
        </w:rPr>
        <w:tab/>
      </w:r>
      <w:r>
        <w:rPr>
          <w:rFonts w:ascii="Times New Roman" w:hAnsi="Times New Roman" w:cs="Times New Roman"/>
          <w:sz w:val="24"/>
          <w:szCs w:val="24"/>
        </w:rPr>
        <w:t xml:space="preserve">Town, Pahang, Malaysia. </w:t>
      </w:r>
      <w:r w:rsidR="007D702D" w:rsidRPr="007D702D">
        <w:rPr>
          <w:rFonts w:ascii="Times New Roman" w:hAnsi="Times New Roman" w:cs="Times New Roman"/>
          <w:i/>
          <w:sz w:val="24"/>
          <w:szCs w:val="24"/>
        </w:rPr>
        <w:t>Geografia-</w:t>
      </w:r>
      <w:r w:rsidRPr="007D702D">
        <w:rPr>
          <w:rFonts w:ascii="Times New Roman" w:hAnsi="Times New Roman" w:cs="Times New Roman"/>
          <w:i/>
          <w:iCs/>
          <w:sz w:val="24"/>
          <w:szCs w:val="24"/>
        </w:rPr>
        <w:t>Ma</w:t>
      </w:r>
      <w:r>
        <w:rPr>
          <w:rFonts w:ascii="Times New Roman" w:hAnsi="Times New Roman" w:cs="Times New Roman"/>
          <w:i/>
          <w:iCs/>
          <w:sz w:val="24"/>
          <w:szCs w:val="24"/>
        </w:rPr>
        <w:t>laysian Journal of Society and Space</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(1), 94–</w:t>
      </w:r>
      <w:r w:rsidR="007D702D">
        <w:rPr>
          <w:rFonts w:ascii="Times New Roman" w:hAnsi="Times New Roman" w:cs="Times New Roman"/>
          <w:sz w:val="24"/>
          <w:szCs w:val="24"/>
        </w:rPr>
        <w:tab/>
      </w:r>
      <w:r>
        <w:rPr>
          <w:rFonts w:ascii="Times New Roman" w:hAnsi="Times New Roman" w:cs="Times New Roman"/>
          <w:sz w:val="24"/>
          <w:szCs w:val="24"/>
        </w:rPr>
        <w:t>106. https://doi.org/10.17576/geo-2021-1701-08</w:t>
      </w:r>
    </w:p>
    <w:p w14:paraId="6DB55C6D"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Hunter, D. J., &amp; Reddy, K. S. (2013). Noncommunicable Diseases. </w:t>
      </w:r>
      <w:r>
        <w:rPr>
          <w:rFonts w:ascii="Times New Roman" w:hAnsi="Times New Roman" w:cs="Times New Roman"/>
          <w:i/>
          <w:iCs/>
          <w:sz w:val="24"/>
          <w:szCs w:val="24"/>
        </w:rPr>
        <w:t xml:space="preserve">New England Journal of </w:t>
      </w:r>
      <w:r w:rsidR="00B76D5E">
        <w:rPr>
          <w:rFonts w:ascii="Times New Roman" w:hAnsi="Times New Roman" w:cs="Times New Roman"/>
          <w:i/>
          <w:iCs/>
          <w:sz w:val="24"/>
          <w:szCs w:val="24"/>
        </w:rPr>
        <w:tab/>
      </w:r>
      <w:r>
        <w:rPr>
          <w:rFonts w:ascii="Times New Roman" w:hAnsi="Times New Roman" w:cs="Times New Roman"/>
          <w:i/>
          <w:iCs/>
          <w:sz w:val="24"/>
          <w:szCs w:val="24"/>
        </w:rPr>
        <w:t>Medicine</w:t>
      </w:r>
      <w:r>
        <w:rPr>
          <w:rFonts w:ascii="Times New Roman" w:hAnsi="Times New Roman" w:cs="Times New Roman"/>
          <w:sz w:val="24"/>
          <w:szCs w:val="24"/>
        </w:rPr>
        <w:t xml:space="preserve">, </w:t>
      </w:r>
      <w:r>
        <w:rPr>
          <w:rFonts w:ascii="Times New Roman" w:hAnsi="Times New Roman" w:cs="Times New Roman"/>
          <w:i/>
          <w:iCs/>
          <w:sz w:val="24"/>
          <w:szCs w:val="24"/>
        </w:rPr>
        <w:t>369</w:t>
      </w:r>
      <w:r>
        <w:rPr>
          <w:rFonts w:ascii="Times New Roman" w:hAnsi="Times New Roman" w:cs="Times New Roman"/>
          <w:sz w:val="24"/>
          <w:szCs w:val="24"/>
        </w:rPr>
        <w:t>(14), 1336–1343. https://doi.org/10.1056/NEJMra1109345</w:t>
      </w:r>
    </w:p>
    <w:p w14:paraId="61A7C5B2" w14:textId="77777777" w:rsidR="00A807B2" w:rsidRDefault="00894076" w:rsidP="000964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Krejcie, R. V., &amp; Morgan, D. W. (1970). Determining Sample Size for Research Activities. </w:t>
      </w:r>
      <w:r w:rsidR="00B76D5E">
        <w:rPr>
          <w:rFonts w:ascii="Times New Roman" w:hAnsi="Times New Roman" w:cs="Times New Roman"/>
          <w:sz w:val="24"/>
          <w:szCs w:val="24"/>
        </w:rPr>
        <w:tab/>
      </w:r>
      <w:r>
        <w:rPr>
          <w:rFonts w:ascii="Times New Roman" w:hAnsi="Times New Roman" w:cs="Times New Roman"/>
          <w:i/>
          <w:iCs/>
          <w:sz w:val="24"/>
          <w:szCs w:val="24"/>
        </w:rPr>
        <w:t>Educational and Psychological Measurement</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 xml:space="preserve">(3), 607–610. </w:t>
      </w:r>
      <w:r w:rsidR="00B76D5E">
        <w:rPr>
          <w:rFonts w:ascii="Times New Roman" w:hAnsi="Times New Roman" w:cs="Times New Roman"/>
          <w:sz w:val="24"/>
          <w:szCs w:val="24"/>
        </w:rPr>
        <w:tab/>
      </w:r>
      <w:r>
        <w:rPr>
          <w:rFonts w:ascii="Times New Roman" w:hAnsi="Times New Roman" w:cs="Times New Roman"/>
          <w:sz w:val="24"/>
          <w:szCs w:val="24"/>
        </w:rPr>
        <w:t>https://doi.org/10.1177/001316447003000308</w:t>
      </w:r>
    </w:p>
    <w:p w14:paraId="7C58207E"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lastRenderedPageBreak/>
        <w:t xml:space="preserve">McCormack, G. R. (2017). Neighbourhood built environment characteristics associated with </w:t>
      </w:r>
      <w:r w:rsidR="00B76D5E">
        <w:rPr>
          <w:rFonts w:ascii="Times New Roman" w:hAnsi="Times New Roman" w:cs="Times New Roman"/>
          <w:sz w:val="24"/>
          <w:szCs w:val="24"/>
        </w:rPr>
        <w:tab/>
      </w:r>
      <w:r>
        <w:rPr>
          <w:rFonts w:ascii="Times New Roman" w:hAnsi="Times New Roman" w:cs="Times New Roman"/>
          <w:sz w:val="24"/>
          <w:szCs w:val="24"/>
        </w:rPr>
        <w:t xml:space="preserve">different types of physical activity in Canadian adults. </w:t>
      </w:r>
      <w:r>
        <w:rPr>
          <w:rFonts w:ascii="Times New Roman" w:hAnsi="Times New Roman" w:cs="Times New Roman"/>
          <w:i/>
          <w:iCs/>
          <w:sz w:val="24"/>
          <w:szCs w:val="24"/>
        </w:rPr>
        <w:t xml:space="preserve">Health Promotion and Chronic </w:t>
      </w:r>
      <w:r w:rsidR="00B76D5E">
        <w:rPr>
          <w:rFonts w:ascii="Times New Roman" w:hAnsi="Times New Roman" w:cs="Times New Roman"/>
          <w:i/>
          <w:iCs/>
          <w:sz w:val="24"/>
          <w:szCs w:val="24"/>
        </w:rPr>
        <w:tab/>
      </w:r>
      <w:r>
        <w:rPr>
          <w:rFonts w:ascii="Times New Roman" w:hAnsi="Times New Roman" w:cs="Times New Roman"/>
          <w:i/>
          <w:iCs/>
          <w:sz w:val="24"/>
          <w:szCs w:val="24"/>
        </w:rPr>
        <w:t>Disease Prevention in Canada</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(6), 175–185. https://doi.org/10.24095/hpcdp.37.6.01</w:t>
      </w:r>
    </w:p>
    <w:p w14:paraId="5BE37204" w14:textId="77777777" w:rsidR="00B76D5E"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Mytton, O. T., Townsend, N., Rutter, H., &amp; Foster, C. (2012). Green space and physical activity: </w:t>
      </w:r>
      <w:r w:rsidR="00B76D5E">
        <w:rPr>
          <w:rFonts w:ascii="Times New Roman" w:hAnsi="Times New Roman" w:cs="Times New Roman"/>
          <w:sz w:val="24"/>
          <w:szCs w:val="24"/>
        </w:rPr>
        <w:tab/>
      </w:r>
      <w:r>
        <w:rPr>
          <w:rFonts w:ascii="Times New Roman" w:hAnsi="Times New Roman" w:cs="Times New Roman"/>
          <w:sz w:val="24"/>
          <w:szCs w:val="24"/>
        </w:rPr>
        <w:t xml:space="preserve">An observational study using Health Survey for England data. </w:t>
      </w:r>
      <w:r>
        <w:rPr>
          <w:rFonts w:ascii="Times New Roman" w:hAnsi="Times New Roman" w:cs="Times New Roman"/>
          <w:i/>
          <w:iCs/>
          <w:sz w:val="24"/>
          <w:szCs w:val="24"/>
        </w:rPr>
        <w:t>Health and Place</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(5), </w:t>
      </w:r>
      <w:r w:rsidR="00B76D5E">
        <w:rPr>
          <w:rFonts w:ascii="Times New Roman" w:hAnsi="Times New Roman" w:cs="Times New Roman"/>
          <w:sz w:val="24"/>
          <w:szCs w:val="24"/>
        </w:rPr>
        <w:tab/>
      </w:r>
      <w:r>
        <w:rPr>
          <w:rFonts w:ascii="Times New Roman" w:hAnsi="Times New Roman" w:cs="Times New Roman"/>
          <w:sz w:val="24"/>
          <w:szCs w:val="24"/>
        </w:rPr>
        <w:t xml:space="preserve">1034–1041. </w:t>
      </w:r>
    </w:p>
    <w:p w14:paraId="3F99E130"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Panter, J. R., &amp; Jones, A. P. (2008). Associations between physical activity, perceptions of the </w:t>
      </w:r>
      <w:r w:rsidR="00B76D5E">
        <w:rPr>
          <w:rFonts w:ascii="Times New Roman" w:hAnsi="Times New Roman" w:cs="Times New Roman"/>
          <w:sz w:val="24"/>
          <w:szCs w:val="24"/>
        </w:rPr>
        <w:tab/>
      </w:r>
      <w:r>
        <w:rPr>
          <w:rFonts w:ascii="Times New Roman" w:hAnsi="Times New Roman" w:cs="Times New Roman"/>
          <w:sz w:val="24"/>
          <w:szCs w:val="24"/>
        </w:rPr>
        <w:t xml:space="preserve">neighbourhood environment and access to facilities in an English city. </w:t>
      </w:r>
      <w:r>
        <w:rPr>
          <w:rFonts w:ascii="Times New Roman" w:hAnsi="Times New Roman" w:cs="Times New Roman"/>
          <w:i/>
          <w:iCs/>
          <w:sz w:val="24"/>
          <w:szCs w:val="24"/>
        </w:rPr>
        <w:t xml:space="preserve">Social Science and </w:t>
      </w:r>
      <w:r w:rsidR="00B76D5E">
        <w:rPr>
          <w:rFonts w:ascii="Times New Roman" w:hAnsi="Times New Roman" w:cs="Times New Roman"/>
          <w:i/>
          <w:iCs/>
          <w:sz w:val="24"/>
          <w:szCs w:val="24"/>
        </w:rPr>
        <w:tab/>
      </w:r>
      <w:r>
        <w:rPr>
          <w:rFonts w:ascii="Times New Roman" w:hAnsi="Times New Roman" w:cs="Times New Roman"/>
          <w:i/>
          <w:iCs/>
          <w:sz w:val="24"/>
          <w:szCs w:val="24"/>
        </w:rPr>
        <w:t>Medicine</w:t>
      </w:r>
      <w:r>
        <w:rPr>
          <w:rFonts w:ascii="Times New Roman" w:hAnsi="Times New Roman" w:cs="Times New Roman"/>
          <w:sz w:val="24"/>
          <w:szCs w:val="24"/>
        </w:rPr>
        <w:t xml:space="preserve">, </w:t>
      </w:r>
      <w:r>
        <w:rPr>
          <w:rFonts w:ascii="Times New Roman" w:hAnsi="Times New Roman" w:cs="Times New Roman"/>
          <w:i/>
          <w:iCs/>
          <w:sz w:val="24"/>
          <w:szCs w:val="24"/>
        </w:rPr>
        <w:t>67</w:t>
      </w:r>
      <w:r>
        <w:rPr>
          <w:rFonts w:ascii="Times New Roman" w:hAnsi="Times New Roman" w:cs="Times New Roman"/>
          <w:sz w:val="24"/>
          <w:szCs w:val="24"/>
        </w:rPr>
        <w:t>(11), 1917–1923. https://doi.org/10.1016/j.socscimed.2008.09.001</w:t>
      </w:r>
    </w:p>
    <w:p w14:paraId="0D60D132"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Pasanen, T. P., White, M. P., Wheeler, B. W., Garrett, J. K., &amp; Elliott, L. R. (2019). Neighbourhood </w:t>
      </w:r>
      <w:r w:rsidR="00B76D5E">
        <w:rPr>
          <w:rFonts w:ascii="Times New Roman" w:hAnsi="Times New Roman" w:cs="Times New Roman"/>
          <w:sz w:val="24"/>
          <w:szCs w:val="24"/>
        </w:rPr>
        <w:tab/>
      </w:r>
      <w:r>
        <w:rPr>
          <w:rFonts w:ascii="Times New Roman" w:hAnsi="Times New Roman" w:cs="Times New Roman"/>
          <w:sz w:val="24"/>
          <w:szCs w:val="24"/>
        </w:rPr>
        <w:t xml:space="preserve">blue space, health and wellbeing: The mediating role of different types of physical activity. </w:t>
      </w:r>
      <w:r w:rsidR="00B76D5E">
        <w:rPr>
          <w:rFonts w:ascii="Times New Roman" w:hAnsi="Times New Roman" w:cs="Times New Roman"/>
          <w:sz w:val="24"/>
          <w:szCs w:val="24"/>
        </w:rPr>
        <w:tab/>
      </w:r>
      <w:r>
        <w:rPr>
          <w:rFonts w:ascii="Times New Roman" w:hAnsi="Times New Roman" w:cs="Times New Roman"/>
          <w:i/>
          <w:iCs/>
          <w:sz w:val="24"/>
          <w:szCs w:val="24"/>
        </w:rPr>
        <w:t>Environment International</w:t>
      </w:r>
      <w:r>
        <w:rPr>
          <w:rFonts w:ascii="Times New Roman" w:hAnsi="Times New Roman" w:cs="Times New Roman"/>
          <w:sz w:val="24"/>
          <w:szCs w:val="24"/>
        </w:rPr>
        <w:t xml:space="preserve">, </w:t>
      </w:r>
      <w:r>
        <w:rPr>
          <w:rFonts w:ascii="Times New Roman" w:hAnsi="Times New Roman" w:cs="Times New Roman"/>
          <w:i/>
          <w:iCs/>
          <w:sz w:val="24"/>
          <w:szCs w:val="24"/>
        </w:rPr>
        <w:t>131</w:t>
      </w:r>
      <w:r>
        <w:rPr>
          <w:rFonts w:ascii="Times New Roman" w:hAnsi="Times New Roman" w:cs="Times New Roman"/>
          <w:sz w:val="24"/>
          <w:szCs w:val="24"/>
        </w:rPr>
        <w:t xml:space="preserve">(June), 105016. </w:t>
      </w:r>
      <w:r w:rsidR="00B76D5E">
        <w:rPr>
          <w:rFonts w:ascii="Times New Roman" w:hAnsi="Times New Roman" w:cs="Times New Roman"/>
          <w:sz w:val="24"/>
          <w:szCs w:val="24"/>
        </w:rPr>
        <w:tab/>
      </w:r>
      <w:r>
        <w:rPr>
          <w:rFonts w:ascii="Times New Roman" w:hAnsi="Times New Roman" w:cs="Times New Roman"/>
          <w:sz w:val="24"/>
          <w:szCs w:val="24"/>
        </w:rPr>
        <w:t>https://doi.org/10.1016/j.envint.2019.105016</w:t>
      </w:r>
    </w:p>
    <w:p w14:paraId="56462E13"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Rachele, J. N., Sugiyama, T., Davies, S., Loh, V. H. Y., Turrell, G., Carver, A., &amp; Cerin, E. (2019). </w:t>
      </w:r>
      <w:r w:rsidR="00B76D5E">
        <w:rPr>
          <w:rFonts w:ascii="Times New Roman" w:hAnsi="Times New Roman" w:cs="Times New Roman"/>
          <w:sz w:val="24"/>
          <w:szCs w:val="24"/>
        </w:rPr>
        <w:tab/>
      </w:r>
      <w:r>
        <w:rPr>
          <w:rFonts w:ascii="Times New Roman" w:hAnsi="Times New Roman" w:cs="Times New Roman"/>
          <w:sz w:val="24"/>
          <w:szCs w:val="24"/>
        </w:rPr>
        <w:t xml:space="preserve">Neighbourhood built environment and physical function among mid-to-older aged adults: </w:t>
      </w:r>
      <w:r w:rsidR="00B76D5E">
        <w:rPr>
          <w:rFonts w:ascii="Times New Roman" w:hAnsi="Times New Roman" w:cs="Times New Roman"/>
          <w:sz w:val="24"/>
          <w:szCs w:val="24"/>
        </w:rPr>
        <w:tab/>
      </w:r>
      <w:r>
        <w:rPr>
          <w:rFonts w:ascii="Times New Roman" w:hAnsi="Times New Roman" w:cs="Times New Roman"/>
          <w:sz w:val="24"/>
          <w:szCs w:val="24"/>
        </w:rPr>
        <w:t xml:space="preserve">A systematic review. </w:t>
      </w:r>
      <w:r>
        <w:rPr>
          <w:rFonts w:ascii="Times New Roman" w:hAnsi="Times New Roman" w:cs="Times New Roman"/>
          <w:i/>
          <w:iCs/>
          <w:sz w:val="24"/>
          <w:szCs w:val="24"/>
        </w:rPr>
        <w:t>Health and Place</w:t>
      </w:r>
      <w:r>
        <w:rPr>
          <w:rFonts w:ascii="Times New Roman" w:hAnsi="Times New Roman" w:cs="Times New Roman"/>
          <w:sz w:val="24"/>
          <w:szCs w:val="24"/>
        </w:rPr>
        <w:t xml:space="preserve">, </w:t>
      </w:r>
      <w:r>
        <w:rPr>
          <w:rFonts w:ascii="Times New Roman" w:hAnsi="Times New Roman" w:cs="Times New Roman"/>
          <w:i/>
          <w:iCs/>
          <w:sz w:val="24"/>
          <w:szCs w:val="24"/>
        </w:rPr>
        <w:t>58</w:t>
      </w:r>
      <w:r>
        <w:rPr>
          <w:rFonts w:ascii="Times New Roman" w:hAnsi="Times New Roman" w:cs="Times New Roman"/>
          <w:sz w:val="24"/>
          <w:szCs w:val="24"/>
        </w:rPr>
        <w:t xml:space="preserve">, 102137. </w:t>
      </w:r>
      <w:r w:rsidR="00B76D5E">
        <w:rPr>
          <w:rFonts w:ascii="Times New Roman" w:hAnsi="Times New Roman" w:cs="Times New Roman"/>
          <w:sz w:val="24"/>
          <w:szCs w:val="24"/>
        </w:rPr>
        <w:tab/>
      </w:r>
      <w:r>
        <w:rPr>
          <w:rFonts w:ascii="Times New Roman" w:hAnsi="Times New Roman" w:cs="Times New Roman"/>
          <w:sz w:val="24"/>
          <w:szCs w:val="24"/>
        </w:rPr>
        <w:t>https://doi.org/10.1016/j.healthplace.2019.05.015</w:t>
      </w:r>
    </w:p>
    <w:p w14:paraId="5D62709B"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Richardson, E. a, Pearce, J., Mitchell, R., &amp; Kingham, S. (2013). Role of physical activity in the </w:t>
      </w:r>
      <w:r w:rsidR="00B76D5E">
        <w:rPr>
          <w:rFonts w:ascii="Times New Roman" w:hAnsi="Times New Roman" w:cs="Times New Roman"/>
          <w:sz w:val="24"/>
          <w:szCs w:val="24"/>
        </w:rPr>
        <w:tab/>
      </w:r>
      <w:r>
        <w:rPr>
          <w:rFonts w:ascii="Times New Roman" w:hAnsi="Times New Roman" w:cs="Times New Roman"/>
          <w:sz w:val="24"/>
          <w:szCs w:val="24"/>
        </w:rPr>
        <w:t xml:space="preserve">relationship between urban green space and health. </w:t>
      </w:r>
      <w:r>
        <w:rPr>
          <w:rFonts w:ascii="Times New Roman" w:hAnsi="Times New Roman" w:cs="Times New Roman"/>
          <w:i/>
          <w:iCs/>
          <w:sz w:val="24"/>
          <w:szCs w:val="24"/>
        </w:rPr>
        <w:t>Public Health</w:t>
      </w:r>
      <w:r>
        <w:rPr>
          <w:rFonts w:ascii="Times New Roman" w:hAnsi="Times New Roman" w:cs="Times New Roman"/>
          <w:sz w:val="24"/>
          <w:szCs w:val="24"/>
        </w:rPr>
        <w:t xml:space="preserve">, </w:t>
      </w:r>
      <w:r>
        <w:rPr>
          <w:rFonts w:ascii="Times New Roman" w:hAnsi="Times New Roman" w:cs="Times New Roman"/>
          <w:i/>
          <w:iCs/>
          <w:sz w:val="24"/>
          <w:szCs w:val="24"/>
        </w:rPr>
        <w:t>127</w:t>
      </w:r>
      <w:r>
        <w:rPr>
          <w:rFonts w:ascii="Times New Roman" w:hAnsi="Times New Roman" w:cs="Times New Roman"/>
          <w:sz w:val="24"/>
          <w:szCs w:val="24"/>
        </w:rPr>
        <w:t xml:space="preserve">(4), 318–324. </w:t>
      </w:r>
      <w:r w:rsidR="00B76D5E">
        <w:rPr>
          <w:rFonts w:ascii="Times New Roman" w:hAnsi="Times New Roman" w:cs="Times New Roman"/>
          <w:sz w:val="24"/>
          <w:szCs w:val="24"/>
        </w:rPr>
        <w:tab/>
      </w:r>
      <w:r>
        <w:rPr>
          <w:rFonts w:ascii="Times New Roman" w:hAnsi="Times New Roman" w:cs="Times New Roman"/>
          <w:sz w:val="24"/>
          <w:szCs w:val="24"/>
        </w:rPr>
        <w:t>https://doi.org/10.1016/j.puhe.2013.01.004</w:t>
      </w:r>
    </w:p>
    <w:p w14:paraId="2486E51E" w14:textId="77777777" w:rsidR="00A807B2" w:rsidRPr="00A4378D"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sidRPr="004F6CC6">
        <w:rPr>
          <w:rFonts w:ascii="Times New Roman" w:hAnsi="Times New Roman" w:cs="Times New Roman"/>
          <w:sz w:val="24"/>
          <w:szCs w:val="24"/>
        </w:rPr>
        <w:t xml:space="preserve">Sahl, M. J. (2009). </w:t>
      </w:r>
      <w:r w:rsidRPr="004F6CC6">
        <w:rPr>
          <w:rFonts w:ascii="Times New Roman" w:hAnsi="Times New Roman" w:cs="Times New Roman"/>
          <w:iCs/>
          <w:sz w:val="24"/>
          <w:szCs w:val="24"/>
        </w:rPr>
        <w:t>Urban Neighborhoods as Determinants of Health Status</w:t>
      </w:r>
      <w:r w:rsidRPr="004F6CC6">
        <w:rPr>
          <w:rFonts w:ascii="Times New Roman" w:hAnsi="Times New Roman" w:cs="Times New Roman"/>
          <w:sz w:val="24"/>
          <w:szCs w:val="24"/>
        </w:rPr>
        <w:t>.</w:t>
      </w:r>
    </w:p>
    <w:p w14:paraId="66107E92"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Song, S., Yap, W., Hou, Y., &amp; Yuen, B. (2020). Neighbourhood built Environment, physical </w:t>
      </w:r>
      <w:r w:rsidR="00B76D5E">
        <w:rPr>
          <w:rFonts w:ascii="Times New Roman" w:hAnsi="Times New Roman" w:cs="Times New Roman"/>
          <w:sz w:val="24"/>
          <w:szCs w:val="24"/>
        </w:rPr>
        <w:tab/>
      </w:r>
      <w:r>
        <w:rPr>
          <w:rFonts w:ascii="Times New Roman" w:hAnsi="Times New Roman" w:cs="Times New Roman"/>
          <w:sz w:val="24"/>
          <w:szCs w:val="24"/>
        </w:rPr>
        <w:t xml:space="preserve">activity, and physical health among older adults in Singapore: A simultaneous equations </w:t>
      </w:r>
      <w:r w:rsidR="00B76D5E">
        <w:rPr>
          <w:rFonts w:ascii="Times New Roman" w:hAnsi="Times New Roman" w:cs="Times New Roman"/>
          <w:sz w:val="24"/>
          <w:szCs w:val="24"/>
        </w:rPr>
        <w:tab/>
      </w:r>
      <w:r>
        <w:rPr>
          <w:rFonts w:ascii="Times New Roman" w:hAnsi="Times New Roman" w:cs="Times New Roman"/>
          <w:sz w:val="24"/>
          <w:szCs w:val="24"/>
        </w:rPr>
        <w:t xml:space="preserve">approach. </w:t>
      </w:r>
      <w:r>
        <w:rPr>
          <w:rFonts w:ascii="Times New Roman" w:hAnsi="Times New Roman" w:cs="Times New Roman"/>
          <w:i/>
          <w:iCs/>
          <w:sz w:val="24"/>
          <w:szCs w:val="24"/>
        </w:rPr>
        <w:t>Journal of Transport and Health</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 100881. </w:t>
      </w:r>
      <w:r w:rsidR="00B76D5E">
        <w:rPr>
          <w:rFonts w:ascii="Times New Roman" w:hAnsi="Times New Roman" w:cs="Times New Roman"/>
          <w:sz w:val="24"/>
          <w:szCs w:val="24"/>
        </w:rPr>
        <w:tab/>
      </w:r>
      <w:r>
        <w:rPr>
          <w:rFonts w:ascii="Times New Roman" w:hAnsi="Times New Roman" w:cs="Times New Roman"/>
          <w:sz w:val="24"/>
          <w:szCs w:val="24"/>
        </w:rPr>
        <w:t>https://doi.org/10.1016/j.jth.2020.100881</w:t>
      </w:r>
    </w:p>
    <w:p w14:paraId="21D49C9B"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Wang, R., Liu, Y., Lu, Y., Yuan, Y., Zhang, J., Liu, P., &amp; Yao, Y. (2019). The linkage between </w:t>
      </w:r>
      <w:r w:rsidR="0093037A">
        <w:rPr>
          <w:rFonts w:ascii="Times New Roman" w:hAnsi="Times New Roman" w:cs="Times New Roman"/>
          <w:sz w:val="24"/>
          <w:szCs w:val="24"/>
        </w:rPr>
        <w:tab/>
      </w:r>
      <w:r>
        <w:rPr>
          <w:rFonts w:ascii="Times New Roman" w:hAnsi="Times New Roman" w:cs="Times New Roman"/>
          <w:sz w:val="24"/>
          <w:szCs w:val="24"/>
        </w:rPr>
        <w:t xml:space="preserve">the perception of neighbourhood and physical activity in Guangzhou, China: Using street </w:t>
      </w:r>
      <w:r w:rsidR="0093037A">
        <w:rPr>
          <w:rFonts w:ascii="Times New Roman" w:hAnsi="Times New Roman" w:cs="Times New Roman"/>
          <w:sz w:val="24"/>
          <w:szCs w:val="24"/>
        </w:rPr>
        <w:tab/>
      </w:r>
      <w:r>
        <w:rPr>
          <w:rFonts w:ascii="Times New Roman" w:hAnsi="Times New Roman" w:cs="Times New Roman"/>
          <w:sz w:val="24"/>
          <w:szCs w:val="24"/>
        </w:rPr>
        <w:t xml:space="preserve">view imagery with deep learning techniques. </w:t>
      </w:r>
      <w:r>
        <w:rPr>
          <w:rFonts w:ascii="Times New Roman" w:hAnsi="Times New Roman" w:cs="Times New Roman"/>
          <w:i/>
          <w:iCs/>
          <w:sz w:val="24"/>
          <w:szCs w:val="24"/>
        </w:rPr>
        <w:t>International Journal of Health Geographics</w:t>
      </w:r>
      <w:r>
        <w:rPr>
          <w:rFonts w:ascii="Times New Roman" w:hAnsi="Times New Roman" w:cs="Times New Roman"/>
          <w:sz w:val="24"/>
          <w:szCs w:val="24"/>
        </w:rPr>
        <w:t xml:space="preserve">, </w:t>
      </w:r>
      <w:r w:rsidR="0093037A">
        <w:rPr>
          <w:rFonts w:ascii="Times New Roman" w:hAnsi="Times New Roman" w:cs="Times New Roman"/>
          <w:sz w:val="24"/>
          <w:szCs w:val="24"/>
        </w:rPr>
        <w:tab/>
      </w:r>
      <w:r>
        <w:rPr>
          <w:rFonts w:ascii="Times New Roman" w:hAnsi="Times New Roman" w:cs="Times New Roman"/>
          <w:i/>
          <w:iCs/>
          <w:sz w:val="24"/>
          <w:szCs w:val="24"/>
        </w:rPr>
        <w:t>18</w:t>
      </w:r>
      <w:r>
        <w:rPr>
          <w:rFonts w:ascii="Times New Roman" w:hAnsi="Times New Roman" w:cs="Times New Roman"/>
          <w:sz w:val="24"/>
          <w:szCs w:val="24"/>
        </w:rPr>
        <w:t>(1), 1–11. https://doi.org/10.1186/s12942-019-0182-z</w:t>
      </w:r>
    </w:p>
    <w:p w14:paraId="7488998F" w14:textId="77777777" w:rsidR="00A807B2" w:rsidRPr="0093037A"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sidRPr="0093037A">
        <w:rPr>
          <w:rFonts w:ascii="Times New Roman" w:hAnsi="Times New Roman" w:cs="Times New Roman"/>
          <w:sz w:val="24"/>
          <w:szCs w:val="24"/>
        </w:rPr>
        <w:t xml:space="preserve">World Health Organization. (2005). Review of Best Practice in Interventions to Promote Physical </w:t>
      </w:r>
      <w:r w:rsidR="0093037A" w:rsidRPr="0093037A">
        <w:rPr>
          <w:rFonts w:ascii="Times New Roman" w:hAnsi="Times New Roman" w:cs="Times New Roman"/>
          <w:sz w:val="24"/>
          <w:szCs w:val="24"/>
        </w:rPr>
        <w:tab/>
      </w:r>
      <w:r w:rsidRPr="0093037A">
        <w:rPr>
          <w:rFonts w:ascii="Times New Roman" w:hAnsi="Times New Roman" w:cs="Times New Roman"/>
          <w:sz w:val="24"/>
          <w:szCs w:val="24"/>
        </w:rPr>
        <w:t xml:space="preserve">Activity in Developing Countries. </w:t>
      </w:r>
      <w:r w:rsidRPr="0093037A">
        <w:rPr>
          <w:rFonts w:ascii="Times New Roman" w:hAnsi="Times New Roman" w:cs="Times New Roman"/>
          <w:iCs/>
          <w:sz w:val="24"/>
          <w:szCs w:val="24"/>
        </w:rPr>
        <w:t xml:space="preserve">WHO Workshop on Physical Activity and Public Health, </w:t>
      </w:r>
      <w:r w:rsidR="0093037A" w:rsidRPr="0093037A">
        <w:rPr>
          <w:rFonts w:ascii="Times New Roman" w:hAnsi="Times New Roman" w:cs="Times New Roman"/>
          <w:iCs/>
          <w:sz w:val="24"/>
          <w:szCs w:val="24"/>
        </w:rPr>
        <w:tab/>
      </w:r>
      <w:r w:rsidRPr="0093037A">
        <w:rPr>
          <w:rFonts w:ascii="Times New Roman" w:hAnsi="Times New Roman" w:cs="Times New Roman"/>
          <w:iCs/>
          <w:sz w:val="24"/>
          <w:szCs w:val="24"/>
        </w:rPr>
        <w:t>Beijing, China, Held on 24–27 October 2005</w:t>
      </w:r>
      <w:r w:rsidRPr="0093037A">
        <w:rPr>
          <w:rFonts w:ascii="Times New Roman" w:hAnsi="Times New Roman" w:cs="Times New Roman"/>
          <w:sz w:val="24"/>
          <w:szCs w:val="24"/>
        </w:rPr>
        <w:t xml:space="preserve">. </w:t>
      </w:r>
      <w:r w:rsidR="0093037A" w:rsidRPr="0093037A">
        <w:rPr>
          <w:rFonts w:ascii="Times New Roman" w:hAnsi="Times New Roman" w:cs="Times New Roman"/>
          <w:sz w:val="24"/>
          <w:szCs w:val="24"/>
        </w:rPr>
        <w:tab/>
      </w:r>
      <w:r w:rsidRPr="0093037A">
        <w:rPr>
          <w:rFonts w:ascii="Times New Roman" w:hAnsi="Times New Roman" w:cs="Times New Roman"/>
          <w:sz w:val="24"/>
          <w:szCs w:val="24"/>
        </w:rPr>
        <w:t>https://www.who.int/dietphysicalactivity/bestpracticePA2008.pdf</w:t>
      </w:r>
    </w:p>
    <w:p w14:paraId="3777E615" w14:textId="77777777" w:rsidR="00A807B2"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Pr>
          <w:rFonts w:ascii="Times New Roman" w:hAnsi="Times New Roman" w:cs="Times New Roman"/>
          <w:sz w:val="24"/>
          <w:szCs w:val="24"/>
        </w:rPr>
        <w:t xml:space="preserve">World Health Organization. (2010). Global Recoomendations on Physical Activity for Health. </w:t>
      </w:r>
      <w:r w:rsidR="0093037A">
        <w:rPr>
          <w:rFonts w:ascii="Times New Roman" w:hAnsi="Times New Roman" w:cs="Times New Roman"/>
          <w:sz w:val="24"/>
          <w:szCs w:val="24"/>
        </w:rPr>
        <w:tab/>
      </w:r>
      <w:r>
        <w:rPr>
          <w:rFonts w:ascii="Times New Roman" w:hAnsi="Times New Roman" w:cs="Times New Roman"/>
          <w:i/>
          <w:iCs/>
          <w:sz w:val="24"/>
          <w:szCs w:val="24"/>
        </w:rPr>
        <w:t>Geneva: World Health Organization</w:t>
      </w:r>
      <w:r>
        <w:rPr>
          <w:rFonts w:ascii="Times New Roman" w:hAnsi="Times New Roman" w:cs="Times New Roman"/>
          <w:sz w:val="24"/>
          <w:szCs w:val="24"/>
        </w:rPr>
        <w:t>. https://www.who.int/dietphysicalactivity/global-PA-</w:t>
      </w:r>
      <w:r w:rsidR="0093037A">
        <w:rPr>
          <w:rFonts w:ascii="Times New Roman" w:hAnsi="Times New Roman" w:cs="Times New Roman"/>
          <w:sz w:val="24"/>
          <w:szCs w:val="24"/>
        </w:rPr>
        <w:tab/>
      </w:r>
      <w:r>
        <w:rPr>
          <w:rFonts w:ascii="Times New Roman" w:hAnsi="Times New Roman" w:cs="Times New Roman"/>
          <w:sz w:val="24"/>
          <w:szCs w:val="24"/>
        </w:rPr>
        <w:t>recs-2010.pdf</w:t>
      </w:r>
    </w:p>
    <w:p w14:paraId="0DC27319" w14:textId="77777777" w:rsidR="00A807B2" w:rsidRPr="00A4378D"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szCs w:val="24"/>
        </w:rPr>
      </w:pPr>
      <w:r w:rsidRPr="00A4378D">
        <w:rPr>
          <w:rFonts w:ascii="Times New Roman" w:hAnsi="Times New Roman" w:cs="Times New Roman"/>
          <w:sz w:val="24"/>
          <w:szCs w:val="24"/>
        </w:rPr>
        <w:t xml:space="preserve">Xiao, Y., Miao, S., Zhang, Y., Xie, B., &amp; Wu, W. (2022). Exploring the associations between </w:t>
      </w:r>
      <w:r w:rsidR="0093037A" w:rsidRPr="00A4378D">
        <w:rPr>
          <w:rFonts w:ascii="Times New Roman" w:hAnsi="Times New Roman" w:cs="Times New Roman"/>
          <w:sz w:val="24"/>
          <w:szCs w:val="24"/>
        </w:rPr>
        <w:tab/>
      </w:r>
      <w:r w:rsidRPr="00A4378D">
        <w:rPr>
          <w:rFonts w:ascii="Times New Roman" w:hAnsi="Times New Roman" w:cs="Times New Roman"/>
          <w:sz w:val="24"/>
          <w:szCs w:val="24"/>
        </w:rPr>
        <w:t xml:space="preserve">neighborhood greenness and level of physical activity of older adults in shanghai. </w:t>
      </w:r>
      <w:r w:rsidRPr="00A4378D">
        <w:rPr>
          <w:rFonts w:ascii="Times New Roman" w:hAnsi="Times New Roman" w:cs="Times New Roman"/>
          <w:i/>
          <w:iCs/>
          <w:sz w:val="24"/>
          <w:szCs w:val="24"/>
        </w:rPr>
        <w:t xml:space="preserve">Journal </w:t>
      </w:r>
      <w:r w:rsidR="0093037A" w:rsidRPr="00A4378D">
        <w:rPr>
          <w:rFonts w:ascii="Times New Roman" w:hAnsi="Times New Roman" w:cs="Times New Roman"/>
          <w:i/>
          <w:iCs/>
          <w:sz w:val="24"/>
          <w:szCs w:val="24"/>
        </w:rPr>
        <w:tab/>
      </w:r>
      <w:r w:rsidRPr="00A4378D">
        <w:rPr>
          <w:rFonts w:ascii="Times New Roman" w:hAnsi="Times New Roman" w:cs="Times New Roman"/>
          <w:i/>
          <w:iCs/>
          <w:sz w:val="24"/>
          <w:szCs w:val="24"/>
        </w:rPr>
        <w:t>of Transport &amp; Health</w:t>
      </w:r>
      <w:r w:rsidRPr="00A4378D">
        <w:rPr>
          <w:rFonts w:ascii="Times New Roman" w:hAnsi="Times New Roman" w:cs="Times New Roman"/>
          <w:sz w:val="24"/>
          <w:szCs w:val="24"/>
        </w:rPr>
        <w:t xml:space="preserve">, </w:t>
      </w:r>
      <w:r w:rsidRPr="00A4378D">
        <w:rPr>
          <w:rFonts w:ascii="Times New Roman" w:hAnsi="Times New Roman" w:cs="Times New Roman"/>
          <w:i/>
          <w:iCs/>
          <w:sz w:val="24"/>
          <w:szCs w:val="24"/>
        </w:rPr>
        <w:t>24</w:t>
      </w:r>
      <w:r w:rsidRPr="00A4378D">
        <w:rPr>
          <w:rFonts w:ascii="Times New Roman" w:hAnsi="Times New Roman" w:cs="Times New Roman"/>
          <w:sz w:val="24"/>
          <w:szCs w:val="24"/>
        </w:rPr>
        <w:t xml:space="preserve">, 101312. </w:t>
      </w:r>
      <w:r w:rsidR="0093037A" w:rsidRPr="00A4378D">
        <w:rPr>
          <w:rFonts w:ascii="Times New Roman" w:hAnsi="Times New Roman" w:cs="Times New Roman"/>
          <w:sz w:val="24"/>
          <w:szCs w:val="24"/>
        </w:rPr>
        <w:tab/>
      </w:r>
      <w:r w:rsidRPr="00A4378D">
        <w:rPr>
          <w:rFonts w:ascii="Times New Roman" w:hAnsi="Times New Roman" w:cs="Times New Roman"/>
          <w:sz w:val="24"/>
          <w:szCs w:val="24"/>
        </w:rPr>
        <w:t>https://doi.org/10.1016/j.jth.2021.101312</w:t>
      </w:r>
    </w:p>
    <w:p w14:paraId="77C633C9" w14:textId="77777777" w:rsidR="00A807B2" w:rsidRPr="00A4378D" w:rsidRDefault="00894076" w:rsidP="007D702D">
      <w:pPr>
        <w:widowControl w:val="0"/>
        <w:autoSpaceDE w:val="0"/>
        <w:autoSpaceDN w:val="0"/>
        <w:adjustRightInd w:val="0"/>
        <w:spacing w:after="0" w:line="240" w:lineRule="auto"/>
        <w:ind w:leftChars="0" w:left="305" w:hangingChars="127" w:hanging="305"/>
        <w:jc w:val="both"/>
        <w:rPr>
          <w:rFonts w:ascii="Times New Roman" w:hAnsi="Times New Roman" w:cs="Times New Roman"/>
          <w:sz w:val="24"/>
        </w:rPr>
      </w:pPr>
      <w:r w:rsidRPr="00A4378D">
        <w:rPr>
          <w:rFonts w:ascii="Times New Roman" w:hAnsi="Times New Roman" w:cs="Times New Roman"/>
          <w:sz w:val="24"/>
          <w:szCs w:val="24"/>
        </w:rPr>
        <w:t xml:space="preserve">Zainol, R., &amp; Maidin, S. L. (2011). </w:t>
      </w:r>
      <w:r w:rsidRPr="00A4378D">
        <w:rPr>
          <w:rFonts w:ascii="Times New Roman" w:hAnsi="Times New Roman" w:cs="Times New Roman"/>
          <w:iCs/>
          <w:sz w:val="24"/>
          <w:szCs w:val="24"/>
        </w:rPr>
        <w:t xml:space="preserve">The Use of GIS Application in Identifying Youth Recreational </w:t>
      </w:r>
      <w:r w:rsidR="0093037A" w:rsidRPr="00A4378D">
        <w:rPr>
          <w:rFonts w:ascii="Times New Roman" w:hAnsi="Times New Roman" w:cs="Times New Roman"/>
          <w:iCs/>
          <w:sz w:val="24"/>
          <w:szCs w:val="24"/>
        </w:rPr>
        <w:tab/>
      </w:r>
      <w:r w:rsidRPr="00A4378D">
        <w:rPr>
          <w:rFonts w:ascii="Times New Roman" w:hAnsi="Times New Roman" w:cs="Times New Roman"/>
          <w:iCs/>
          <w:sz w:val="24"/>
          <w:szCs w:val="24"/>
        </w:rPr>
        <w:t>Area in Subang Jaya, Selangor</w:t>
      </w:r>
      <w:r w:rsidRPr="00A4378D">
        <w:rPr>
          <w:rFonts w:ascii="Times New Roman" w:hAnsi="Times New Roman" w:cs="Times New Roman"/>
          <w:sz w:val="24"/>
          <w:szCs w:val="24"/>
        </w:rPr>
        <w:t>.</w:t>
      </w:r>
      <w:r w:rsidR="00A4378D">
        <w:rPr>
          <w:rFonts w:ascii="Times New Roman" w:hAnsi="Times New Roman" w:cs="Times New Roman"/>
          <w:sz w:val="24"/>
          <w:szCs w:val="24"/>
        </w:rPr>
        <w:t xml:space="preserve"> Proceedings REAL CORP</w:t>
      </w:r>
      <w:r w:rsidRPr="00A4378D">
        <w:rPr>
          <w:rFonts w:ascii="Times New Roman" w:hAnsi="Times New Roman" w:cs="Times New Roman"/>
          <w:sz w:val="24"/>
          <w:szCs w:val="24"/>
        </w:rPr>
        <w:t>.</w:t>
      </w:r>
    </w:p>
    <w:p w14:paraId="09BD9E95" w14:textId="77777777" w:rsidR="00A807B2" w:rsidRDefault="00894076" w:rsidP="0009642D">
      <w:pPr>
        <w:widowControl w:val="0"/>
        <w:autoSpaceDE w:val="0"/>
        <w:autoSpaceDN w:val="0"/>
        <w:adjustRightInd w:val="0"/>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fldChar w:fldCharType="end"/>
      </w:r>
    </w:p>
    <w:sectPr w:rsidR="00A807B2" w:rsidSect="00D576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5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D61A" w14:textId="77777777" w:rsidR="00261A6C" w:rsidRDefault="00261A6C">
      <w:pPr>
        <w:spacing w:line="240" w:lineRule="auto"/>
        <w:ind w:left="0" w:hanging="2"/>
      </w:pPr>
      <w:r>
        <w:separator/>
      </w:r>
    </w:p>
  </w:endnote>
  <w:endnote w:type="continuationSeparator" w:id="0">
    <w:p w14:paraId="0648009B" w14:textId="77777777" w:rsidR="00261A6C" w:rsidRDefault="00261A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GGNK K+ Aldine 401 BT">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FBD9" w14:textId="77777777" w:rsidR="00427AE3" w:rsidRDefault="00427AE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4A7D" w14:textId="77777777" w:rsidR="00427AE3" w:rsidRDefault="00427AE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E28B" w14:textId="77777777" w:rsidR="00427AE3" w:rsidRDefault="00427AE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C5CA" w14:textId="77777777" w:rsidR="00261A6C" w:rsidRDefault="00261A6C">
      <w:pPr>
        <w:spacing w:after="0"/>
        <w:ind w:left="0" w:hanging="2"/>
      </w:pPr>
      <w:r>
        <w:separator/>
      </w:r>
    </w:p>
  </w:footnote>
  <w:footnote w:type="continuationSeparator" w:id="0">
    <w:p w14:paraId="7509A162" w14:textId="77777777" w:rsidR="00261A6C" w:rsidRDefault="00261A6C">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BA73" w14:textId="77777777" w:rsidR="00427AE3" w:rsidRDefault="00427AE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F476" w14:textId="32956CBC" w:rsidR="00427AE3" w:rsidRPr="00D57678" w:rsidRDefault="00427AE3" w:rsidP="00B97BFB">
    <w:pPr>
      <w:tabs>
        <w:tab w:val="left" w:pos="720"/>
        <w:tab w:val="center" w:pos="4680"/>
        <w:tab w:val="right" w:pos="9360"/>
      </w:tabs>
      <w:spacing w:after="0" w:line="240" w:lineRule="auto"/>
      <w:ind w:leftChars="0" w:left="2" w:hanging="2"/>
      <w:jc w:val="both"/>
      <w:rPr>
        <w:rFonts w:ascii="Times New Roman" w:eastAsia="Times New Roman" w:hAnsi="Times New Roman" w:cs="Times New Roman"/>
        <w:sz w:val="18"/>
        <w:szCs w:val="18"/>
      </w:rPr>
    </w:pPr>
    <w:bookmarkStart w:id="13" w:name="_GoBack"/>
    <w:proofErr w:type="spellStart"/>
    <w:r w:rsidRPr="00D57678">
      <w:rPr>
        <w:rFonts w:ascii="Times New Roman" w:eastAsia="Times New Roman" w:hAnsi="Times New Roman" w:cs="Times New Roman"/>
        <w:sz w:val="18"/>
        <w:szCs w:val="18"/>
      </w:rPr>
      <w:t>Geografia</w:t>
    </w:r>
    <w:proofErr w:type="spellEnd"/>
    <w:r w:rsidRPr="00D57678">
      <w:rPr>
        <w:rFonts w:ascii="Times New Roman" w:eastAsia="Times New Roman" w:hAnsi="Times New Roman" w:cs="Times New Roman"/>
        <w:sz w:val="18"/>
        <w:szCs w:val="18"/>
      </w:rPr>
      <w:t>-Malaysian Journal of Society and Space</w:t>
    </w:r>
    <w:r w:rsidRPr="00D57678">
      <w:rPr>
        <w:rFonts w:ascii="Times New Roman" w:eastAsia="Times New Roman" w:hAnsi="Times New Roman" w:cs="Times New Roman"/>
        <w:b/>
        <w:sz w:val="18"/>
        <w:szCs w:val="18"/>
      </w:rPr>
      <w:t xml:space="preserve"> </w:t>
    </w:r>
    <w:r w:rsidRPr="00D57678">
      <w:rPr>
        <w:rFonts w:ascii="Times New Roman" w:eastAsia="Times New Roman" w:hAnsi="Times New Roman" w:cs="Times New Roman"/>
        <w:sz w:val="18"/>
        <w:szCs w:val="18"/>
      </w:rPr>
      <w:t>19 issue</w:t>
    </w:r>
    <w:r w:rsidRPr="00D57678">
      <w:rPr>
        <w:rFonts w:ascii="Times New Roman" w:eastAsia="Times New Roman" w:hAnsi="Times New Roman" w:cs="Times New Roman"/>
        <w:b/>
        <w:sz w:val="18"/>
        <w:szCs w:val="18"/>
      </w:rPr>
      <w:t xml:space="preserve"> </w:t>
    </w:r>
    <w:r w:rsidRPr="00D57678">
      <w:rPr>
        <w:rFonts w:ascii="Times New Roman" w:eastAsia="Times New Roman" w:hAnsi="Times New Roman" w:cs="Times New Roman"/>
        <w:sz w:val="18"/>
        <w:szCs w:val="18"/>
      </w:rPr>
      <w:t>2</w:t>
    </w:r>
    <w:r w:rsidRPr="00D57678">
      <w:rPr>
        <w:rFonts w:ascii="Times New Roman" w:eastAsia="Times New Roman" w:hAnsi="Times New Roman" w:cs="Times New Roman"/>
        <w:b/>
        <w:sz w:val="18"/>
        <w:szCs w:val="18"/>
      </w:rPr>
      <w:t xml:space="preserve"> </w:t>
    </w:r>
    <w:r w:rsidRPr="00D57678">
      <w:rPr>
        <w:rFonts w:ascii="Times New Roman" w:eastAsia="Times New Roman" w:hAnsi="Times New Roman" w:cs="Times New Roman"/>
        <w:sz w:val="18"/>
        <w:szCs w:val="18"/>
      </w:rPr>
      <w:t>(</w:t>
    </w:r>
    <w:r>
      <w:rPr>
        <w:rFonts w:ascii="Times New Roman" w:eastAsia="Times New Roman" w:hAnsi="Times New Roman" w:cs="Times New Roman"/>
        <w:sz w:val="18"/>
        <w:szCs w:val="18"/>
      </w:rPr>
      <w:t>51-63</w:t>
    </w:r>
    <w:r w:rsidRPr="00D57678">
      <w:rPr>
        <w:rFonts w:ascii="Times New Roman" w:eastAsia="Times New Roman" w:hAnsi="Times New Roman" w:cs="Times New Roman"/>
        <w:sz w:val="18"/>
        <w:szCs w:val="18"/>
      </w:rPr>
      <w:t>)</w:t>
    </w:r>
    <w:r w:rsidRPr="00D57678">
      <w:rPr>
        <w:rFonts w:ascii="Times New Roman" w:eastAsia="Times New Roman" w:hAnsi="Times New Roman" w:cs="Times New Roman"/>
        <w:sz w:val="18"/>
        <w:szCs w:val="18"/>
      </w:rPr>
      <w:tab/>
    </w:r>
  </w:p>
  <w:p w14:paraId="4DAE9A39" w14:textId="1FFE8487" w:rsidR="00427AE3" w:rsidRPr="00D57678" w:rsidRDefault="00427AE3" w:rsidP="00B97BFB">
    <w:pPr>
      <w:pStyle w:val="Header"/>
      <w:spacing w:after="0" w:line="240" w:lineRule="auto"/>
      <w:ind w:left="0" w:hanging="2"/>
      <w:rPr>
        <w:rFonts w:ascii="Times New Roman" w:hAnsi="Times New Roman" w:cs="Times New Roman"/>
        <w:sz w:val="18"/>
        <w:szCs w:val="18"/>
      </w:rPr>
    </w:pPr>
    <w:r w:rsidRPr="00D57678">
      <w:rPr>
        <w:rFonts w:ascii="Times New Roman" w:eastAsia="Times New Roman" w:hAnsi="Times New Roman" w:cs="Times New Roman"/>
        <w:sz w:val="18"/>
        <w:szCs w:val="18"/>
      </w:rPr>
      <w:t xml:space="preserve">© 2023, e-ISSN 2682-7727  </w:t>
    </w:r>
    <w:hyperlink r:id="rId1" w:history="1">
      <w:r w:rsidRPr="00D57678">
        <w:rPr>
          <w:rStyle w:val="Hyperlink"/>
          <w:rFonts w:ascii="Times New Roman" w:hAnsi="Times New Roman" w:cs="Times New Roman"/>
          <w:color w:val="auto"/>
          <w:sz w:val="18"/>
          <w:szCs w:val="18"/>
          <w:u w:val="none"/>
        </w:rPr>
        <w:t>https://doi.org/10.17576/geo-2023-1902-04</w:t>
      </w:r>
    </w:hyperlink>
    <w:bookmarkEnd w:id="13"/>
    <w:sdt>
      <w:sdtPr>
        <w:rPr>
          <w:rFonts w:ascii="Times New Roman" w:hAnsi="Times New Roman" w:cs="Times New Roman"/>
          <w:sz w:val="18"/>
          <w:szCs w:val="18"/>
        </w:rPr>
        <w:id w:val="29295411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57678">
          <w:rPr>
            <w:rFonts w:ascii="Times New Roman" w:hAnsi="Times New Roman" w:cs="Times New Roman"/>
            <w:sz w:val="18"/>
            <w:szCs w:val="18"/>
          </w:rPr>
          <w:fldChar w:fldCharType="begin"/>
        </w:r>
        <w:r w:rsidRPr="00D57678">
          <w:rPr>
            <w:rFonts w:ascii="Times New Roman" w:hAnsi="Times New Roman" w:cs="Times New Roman"/>
            <w:sz w:val="18"/>
            <w:szCs w:val="18"/>
          </w:rPr>
          <w:instrText xml:space="preserve"> PAGE   \* MERGEFORMAT </w:instrText>
        </w:r>
        <w:r w:rsidRPr="00D57678">
          <w:rPr>
            <w:rFonts w:ascii="Times New Roman" w:hAnsi="Times New Roman" w:cs="Times New Roman"/>
            <w:sz w:val="18"/>
            <w:szCs w:val="18"/>
          </w:rPr>
          <w:fldChar w:fldCharType="separate"/>
        </w:r>
        <w:r w:rsidR="00B97BFB">
          <w:rPr>
            <w:rFonts w:ascii="Times New Roman" w:hAnsi="Times New Roman" w:cs="Times New Roman"/>
            <w:noProof/>
            <w:sz w:val="18"/>
            <w:szCs w:val="18"/>
          </w:rPr>
          <w:t>52</w:t>
        </w:r>
        <w:r w:rsidRPr="00D5767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EC74" w14:textId="77777777" w:rsidR="00427AE3" w:rsidRDefault="00427AE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3NzQzNrYwNTIxNjVQ0lEKTi0uzszPAykwrAUAl5RNdywAAAA="/>
  </w:docVars>
  <w:rsids>
    <w:rsidRoot w:val="00AD334D"/>
    <w:rsid w:val="00003713"/>
    <w:rsid w:val="0001695B"/>
    <w:rsid w:val="00021825"/>
    <w:rsid w:val="00023741"/>
    <w:rsid w:val="00045288"/>
    <w:rsid w:val="00072BD4"/>
    <w:rsid w:val="00095DD7"/>
    <w:rsid w:val="0009642D"/>
    <w:rsid w:val="000A1083"/>
    <w:rsid w:val="000B71DF"/>
    <w:rsid w:val="000D0E6D"/>
    <w:rsid w:val="000E3127"/>
    <w:rsid w:val="00147F60"/>
    <w:rsid w:val="00163C3F"/>
    <w:rsid w:val="00191418"/>
    <w:rsid w:val="001955EF"/>
    <w:rsid w:val="001A5762"/>
    <w:rsid w:val="001A729E"/>
    <w:rsid w:val="001B0B50"/>
    <w:rsid w:val="001D0DA5"/>
    <w:rsid w:val="0024230A"/>
    <w:rsid w:val="00246A3B"/>
    <w:rsid w:val="00256BFC"/>
    <w:rsid w:val="002608C0"/>
    <w:rsid w:val="00261A6C"/>
    <w:rsid w:val="00263033"/>
    <w:rsid w:val="00292CED"/>
    <w:rsid w:val="002A14E3"/>
    <w:rsid w:val="002B1091"/>
    <w:rsid w:val="002B5E18"/>
    <w:rsid w:val="002D58F9"/>
    <w:rsid w:val="002F560C"/>
    <w:rsid w:val="00334EB0"/>
    <w:rsid w:val="00383CB5"/>
    <w:rsid w:val="003B5FAD"/>
    <w:rsid w:val="003C14BF"/>
    <w:rsid w:val="003E01F1"/>
    <w:rsid w:val="003E35C6"/>
    <w:rsid w:val="003E5F23"/>
    <w:rsid w:val="00420F70"/>
    <w:rsid w:val="00427AE3"/>
    <w:rsid w:val="00434131"/>
    <w:rsid w:val="0044182D"/>
    <w:rsid w:val="004465E6"/>
    <w:rsid w:val="00447FA7"/>
    <w:rsid w:val="00463488"/>
    <w:rsid w:val="004830DE"/>
    <w:rsid w:val="00484685"/>
    <w:rsid w:val="0049278D"/>
    <w:rsid w:val="004960B9"/>
    <w:rsid w:val="004B0413"/>
    <w:rsid w:val="004F0FE5"/>
    <w:rsid w:val="004F5F82"/>
    <w:rsid w:val="004F6CC6"/>
    <w:rsid w:val="00510E3C"/>
    <w:rsid w:val="00521E06"/>
    <w:rsid w:val="005638D4"/>
    <w:rsid w:val="0056636E"/>
    <w:rsid w:val="00593C77"/>
    <w:rsid w:val="005B216A"/>
    <w:rsid w:val="005D0EE1"/>
    <w:rsid w:val="005D321C"/>
    <w:rsid w:val="005E476C"/>
    <w:rsid w:val="005F213D"/>
    <w:rsid w:val="0063448F"/>
    <w:rsid w:val="00644CB0"/>
    <w:rsid w:val="0065216B"/>
    <w:rsid w:val="006A344E"/>
    <w:rsid w:val="006C20C0"/>
    <w:rsid w:val="006C66AB"/>
    <w:rsid w:val="006E1E53"/>
    <w:rsid w:val="00713CDA"/>
    <w:rsid w:val="0071768E"/>
    <w:rsid w:val="007446E1"/>
    <w:rsid w:val="00752F00"/>
    <w:rsid w:val="00754489"/>
    <w:rsid w:val="007663C5"/>
    <w:rsid w:val="00787AF8"/>
    <w:rsid w:val="00796854"/>
    <w:rsid w:val="007B3F31"/>
    <w:rsid w:val="007B605F"/>
    <w:rsid w:val="007C2462"/>
    <w:rsid w:val="007D702D"/>
    <w:rsid w:val="007F4393"/>
    <w:rsid w:val="008258F1"/>
    <w:rsid w:val="00864292"/>
    <w:rsid w:val="0087098A"/>
    <w:rsid w:val="00884807"/>
    <w:rsid w:val="00885B0E"/>
    <w:rsid w:val="00894076"/>
    <w:rsid w:val="008A2955"/>
    <w:rsid w:val="008E370A"/>
    <w:rsid w:val="009163BB"/>
    <w:rsid w:val="0093037A"/>
    <w:rsid w:val="00930FEE"/>
    <w:rsid w:val="00935A16"/>
    <w:rsid w:val="00936BFC"/>
    <w:rsid w:val="009779E7"/>
    <w:rsid w:val="009A543A"/>
    <w:rsid w:val="009E18CE"/>
    <w:rsid w:val="00A27D1E"/>
    <w:rsid w:val="00A4378D"/>
    <w:rsid w:val="00A63A1C"/>
    <w:rsid w:val="00A807B2"/>
    <w:rsid w:val="00AC1712"/>
    <w:rsid w:val="00AD334D"/>
    <w:rsid w:val="00AD3E25"/>
    <w:rsid w:val="00B420B5"/>
    <w:rsid w:val="00B53818"/>
    <w:rsid w:val="00B76D5E"/>
    <w:rsid w:val="00B97614"/>
    <w:rsid w:val="00B97BFB"/>
    <w:rsid w:val="00BB3FF6"/>
    <w:rsid w:val="00BC6A8E"/>
    <w:rsid w:val="00BE120C"/>
    <w:rsid w:val="00C108C3"/>
    <w:rsid w:val="00C22BBB"/>
    <w:rsid w:val="00C574E0"/>
    <w:rsid w:val="00C67866"/>
    <w:rsid w:val="00C7157D"/>
    <w:rsid w:val="00C821C4"/>
    <w:rsid w:val="00CC1B5F"/>
    <w:rsid w:val="00CD3554"/>
    <w:rsid w:val="00CD5A2B"/>
    <w:rsid w:val="00CF639E"/>
    <w:rsid w:val="00D22F92"/>
    <w:rsid w:val="00D41E90"/>
    <w:rsid w:val="00D44750"/>
    <w:rsid w:val="00D50613"/>
    <w:rsid w:val="00D57678"/>
    <w:rsid w:val="00D906A2"/>
    <w:rsid w:val="00DB26AF"/>
    <w:rsid w:val="00DC2E56"/>
    <w:rsid w:val="00DC3A52"/>
    <w:rsid w:val="00DD56D5"/>
    <w:rsid w:val="00DE2406"/>
    <w:rsid w:val="00E30E19"/>
    <w:rsid w:val="00E40ECD"/>
    <w:rsid w:val="00E42FB5"/>
    <w:rsid w:val="00E4340B"/>
    <w:rsid w:val="00E57CAC"/>
    <w:rsid w:val="00E636FD"/>
    <w:rsid w:val="00E72BCF"/>
    <w:rsid w:val="00E84E74"/>
    <w:rsid w:val="00EB4895"/>
    <w:rsid w:val="00ED3CD6"/>
    <w:rsid w:val="00EE302A"/>
    <w:rsid w:val="00EE5594"/>
    <w:rsid w:val="00F07591"/>
    <w:rsid w:val="00F1359C"/>
    <w:rsid w:val="00F2706D"/>
    <w:rsid w:val="00F5028D"/>
    <w:rsid w:val="00F64EEE"/>
    <w:rsid w:val="00F954F1"/>
    <w:rsid w:val="00FB174A"/>
    <w:rsid w:val="00FC629D"/>
    <w:rsid w:val="00FC7B26"/>
    <w:rsid w:val="00FD1A4D"/>
    <w:rsid w:val="00FE486D"/>
    <w:rsid w:val="30C641FF"/>
    <w:rsid w:val="366756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F81B"/>
  <w15:docId w15:val="{FE6C0B4D-EEF6-4A2F-9F01-5688208C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uppressAutoHyphens w:val="0"/>
      <w:spacing w:after="0" w:line="240" w:lineRule="auto"/>
      <w:ind w:leftChars="0" w:left="0" w:firstLineChars="0" w:firstLine="0"/>
      <w:textAlignment w:val="auto"/>
      <w:outlineLvl w:val="9"/>
    </w:pPr>
    <w:rPr>
      <w:rFonts w:ascii="Times New Roman" w:eastAsia="Times New Roman" w:hAnsi="Times New Roman" w:cs="Times New Roman"/>
      <w:b/>
      <w:bCs/>
      <w:position w:val="0"/>
      <w:sz w:val="20"/>
      <w:szCs w:val="20"/>
      <w:lang w:val="en-GB"/>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uiPriority w:val="1"/>
    <w:qFormat/>
    <w:pPr>
      <w:suppressAutoHyphens/>
      <w:spacing w:after="200" w:line="1" w:lineRule="atLeast"/>
      <w:ind w:leftChars="-1" w:left="-1" w:hangingChars="1" w:hanging="1"/>
      <w:textAlignment w:val="top"/>
      <w:outlineLvl w:val="0"/>
    </w:pPr>
    <w:rPr>
      <w:position w:val="-1"/>
      <w:sz w:val="22"/>
      <w:szCs w:val="22"/>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 w:type="paragraph" w:customStyle="1" w:styleId="Default">
    <w:name w:val="Default"/>
    <w:pPr>
      <w:autoSpaceDE w:val="0"/>
      <w:autoSpaceDN w:val="0"/>
      <w:adjustRightInd w:val="0"/>
    </w:pPr>
    <w:rPr>
      <w:rFonts w:ascii="IGGNK K+ Aldine 401 BT" w:hAnsi="IGGNK K+ Aldine 401 BT" w:cs="IGGNK K+ Aldine 401 BT"/>
      <w:color w:val="000000"/>
      <w:sz w:val="24"/>
      <w:szCs w:val="24"/>
    </w:rPr>
  </w:style>
  <w:style w:type="paragraph" w:customStyle="1" w:styleId="Revision2">
    <w:name w:val="Revision2"/>
    <w:hidden/>
    <w:uiPriority w:val="99"/>
    <w:semiHidden/>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18A87A-9493-46F9-9BCE-66B17A94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12368</Words>
  <Characters>70504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2023-05-30T06:50:00Z</cp:lastPrinted>
  <dcterms:created xsi:type="dcterms:W3CDTF">2023-05-30T06:44:00Z</dcterms:created>
  <dcterms:modified xsi:type="dcterms:W3CDTF">2023-05-30T07:10:00Z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15988319-3fd2-36f6-8feb-3eb9060c1575</vt:lpwstr>
  </property>
  <property fmtid="{D5CDD505-2E9C-101B-9397-08002B2CF9AE}" pid="25" name="Mendeley Citation Style_1">
    <vt:lpwstr>http://www.zotero.org/styles/apa</vt:lpwstr>
  </property>
  <property fmtid="{D5CDD505-2E9C-101B-9397-08002B2CF9AE}" pid="26" name="GrammarlyDocumentId">
    <vt:lpwstr>fde6dd97b7de68065c622d43e001b22da8ca5c70664943cef1e603cd211f92c1</vt:lpwstr>
  </property>
  <property fmtid="{D5CDD505-2E9C-101B-9397-08002B2CF9AE}" pid="27" name="ICV">
    <vt:lpwstr>238B95F3055D4A6CBE8C6F1619A47244</vt:lpwstr>
  </property>
</Properties>
</file>