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F4049" w14:textId="2E8CE82B" w:rsidR="00F55B7D" w:rsidRPr="000A40E3" w:rsidRDefault="00995A09" w:rsidP="00CC2C08">
      <w:pPr>
        <w:spacing w:line="240" w:lineRule="auto"/>
        <w:ind w:right="51"/>
        <w:jc w:val="center"/>
        <w:rPr>
          <w:b/>
          <w:bCs/>
          <w:sz w:val="28"/>
          <w:szCs w:val="28"/>
        </w:rPr>
      </w:pPr>
      <w:r w:rsidRPr="000A40E3">
        <w:rPr>
          <w:b/>
          <w:bCs/>
          <w:sz w:val="28"/>
          <w:szCs w:val="28"/>
        </w:rPr>
        <w:t xml:space="preserve">Determinants </w:t>
      </w:r>
      <w:r w:rsidR="009710E0" w:rsidRPr="000A40E3">
        <w:rPr>
          <w:b/>
          <w:bCs/>
          <w:sz w:val="28"/>
          <w:szCs w:val="28"/>
        </w:rPr>
        <w:t xml:space="preserve">of </w:t>
      </w:r>
      <w:r w:rsidR="00E82DA8">
        <w:rPr>
          <w:b/>
          <w:bCs/>
          <w:sz w:val="28"/>
          <w:szCs w:val="28"/>
        </w:rPr>
        <w:t>M</w:t>
      </w:r>
      <w:r w:rsidR="000A40E3" w:rsidRPr="000A40E3">
        <w:rPr>
          <w:b/>
          <w:bCs/>
          <w:sz w:val="28"/>
          <w:szCs w:val="28"/>
        </w:rPr>
        <w:t>alaysian palm oil export efficiency</w:t>
      </w:r>
      <w:r w:rsidR="00916648" w:rsidRPr="000A40E3">
        <w:rPr>
          <w:b/>
          <w:bCs/>
          <w:sz w:val="28"/>
          <w:szCs w:val="28"/>
        </w:rPr>
        <w:t xml:space="preserve">: A </w:t>
      </w:r>
      <w:r w:rsidR="000A40E3" w:rsidRPr="000A40E3">
        <w:rPr>
          <w:b/>
          <w:bCs/>
          <w:sz w:val="28"/>
          <w:szCs w:val="28"/>
        </w:rPr>
        <w:t>gravity stochastic frontier model</w:t>
      </w:r>
    </w:p>
    <w:p w14:paraId="0E880C65" w14:textId="77777777" w:rsidR="00CC2C08" w:rsidRPr="00A7171A" w:rsidRDefault="00CC2C08" w:rsidP="007F58F3">
      <w:pPr>
        <w:spacing w:line="240" w:lineRule="auto"/>
        <w:ind w:right="51"/>
        <w:jc w:val="center"/>
        <w:rPr>
          <w:sz w:val="22"/>
        </w:rPr>
      </w:pPr>
    </w:p>
    <w:p w14:paraId="33564F51" w14:textId="4B39ABA7" w:rsidR="00B317C4" w:rsidRPr="00A7171A" w:rsidRDefault="00AC7D6B" w:rsidP="007F58F3">
      <w:pPr>
        <w:pStyle w:val="BodyText"/>
        <w:spacing w:line="240" w:lineRule="auto"/>
        <w:ind w:right="40"/>
        <w:jc w:val="center"/>
        <w:rPr>
          <w:sz w:val="22"/>
        </w:rPr>
      </w:pPr>
      <w:r w:rsidRPr="00A7171A">
        <w:rPr>
          <w:sz w:val="22"/>
        </w:rPr>
        <w:t>Syajarul Imna Mohd Amin</w:t>
      </w:r>
      <w:r w:rsidRPr="00A7171A">
        <w:rPr>
          <w:sz w:val="22"/>
          <w:vertAlign w:val="superscript"/>
        </w:rPr>
        <w:t>1</w:t>
      </w:r>
      <w:r w:rsidR="000A40E3" w:rsidRPr="00A7171A">
        <w:rPr>
          <w:sz w:val="22"/>
        </w:rPr>
        <w:t xml:space="preserve">, </w:t>
      </w:r>
      <w:r w:rsidRPr="00A7171A">
        <w:rPr>
          <w:sz w:val="22"/>
        </w:rPr>
        <w:t xml:space="preserve">Md Shafiin </w:t>
      </w:r>
      <w:r w:rsidR="00B13D8E" w:rsidRPr="00A7171A">
        <w:rPr>
          <w:sz w:val="22"/>
        </w:rPr>
        <w:t>Shukor</w:t>
      </w:r>
      <w:r w:rsidR="00B13D8E" w:rsidRPr="00A7171A">
        <w:rPr>
          <w:sz w:val="22"/>
          <w:vertAlign w:val="superscript"/>
        </w:rPr>
        <w:t>1</w:t>
      </w:r>
      <w:r w:rsidR="000A40E3" w:rsidRPr="00A7171A">
        <w:rPr>
          <w:sz w:val="22"/>
        </w:rPr>
        <w:t xml:space="preserve">, </w:t>
      </w:r>
      <w:r w:rsidRPr="00A7171A">
        <w:rPr>
          <w:sz w:val="22"/>
        </w:rPr>
        <w:t>Aisyah Abdul-Rahman</w:t>
      </w:r>
      <w:r w:rsidRPr="00A7171A">
        <w:rPr>
          <w:sz w:val="22"/>
          <w:vertAlign w:val="superscript"/>
        </w:rPr>
        <w:t>1,</w:t>
      </w:r>
      <w:r w:rsidR="000A12C9" w:rsidRPr="00A7171A">
        <w:rPr>
          <w:sz w:val="22"/>
          <w:vertAlign w:val="superscript"/>
        </w:rPr>
        <w:t>2</w:t>
      </w:r>
    </w:p>
    <w:p w14:paraId="3E837BED" w14:textId="5535FF00" w:rsidR="00916648" w:rsidRPr="00A7171A" w:rsidRDefault="00916648" w:rsidP="007F58F3">
      <w:pPr>
        <w:pStyle w:val="BodyText"/>
        <w:spacing w:line="240" w:lineRule="auto"/>
        <w:ind w:right="40"/>
        <w:jc w:val="center"/>
        <w:rPr>
          <w:sz w:val="22"/>
        </w:rPr>
      </w:pPr>
    </w:p>
    <w:p w14:paraId="00904856" w14:textId="70F6804C" w:rsidR="0083206A" w:rsidRPr="00A7171A" w:rsidRDefault="0083206A" w:rsidP="007F58F3">
      <w:pPr>
        <w:pStyle w:val="BodyText"/>
        <w:spacing w:line="240" w:lineRule="auto"/>
        <w:ind w:right="40"/>
        <w:jc w:val="center"/>
        <w:rPr>
          <w:sz w:val="22"/>
        </w:rPr>
      </w:pPr>
      <w:r w:rsidRPr="00A7171A">
        <w:rPr>
          <w:sz w:val="22"/>
          <w:vertAlign w:val="superscript"/>
        </w:rPr>
        <w:t>1</w:t>
      </w:r>
      <w:r w:rsidR="00AC7D6B" w:rsidRPr="00A7171A">
        <w:rPr>
          <w:sz w:val="22"/>
        </w:rPr>
        <w:t>Fac</w:t>
      </w:r>
      <w:r w:rsidR="00916648" w:rsidRPr="00A7171A">
        <w:rPr>
          <w:sz w:val="22"/>
        </w:rPr>
        <w:t>ult</w:t>
      </w:r>
      <w:r w:rsidR="000D5A45" w:rsidRPr="00A7171A">
        <w:rPr>
          <w:sz w:val="22"/>
        </w:rPr>
        <w:t>y of Economics and Manangement</w:t>
      </w:r>
      <w:r w:rsidR="000A12C9" w:rsidRPr="00A7171A">
        <w:rPr>
          <w:sz w:val="22"/>
        </w:rPr>
        <w:t>, Universiti Kebangsaan Malaysia, 43600 Bangi, Malaysia</w:t>
      </w:r>
    </w:p>
    <w:p w14:paraId="0541E393" w14:textId="00495410" w:rsidR="00413D34" w:rsidRPr="00A7171A" w:rsidRDefault="000A12C9" w:rsidP="007F58F3">
      <w:pPr>
        <w:pStyle w:val="BodyText"/>
        <w:spacing w:line="240" w:lineRule="auto"/>
        <w:ind w:right="40"/>
        <w:jc w:val="center"/>
        <w:rPr>
          <w:sz w:val="22"/>
        </w:rPr>
      </w:pPr>
      <w:r w:rsidRPr="00A7171A">
        <w:rPr>
          <w:sz w:val="22"/>
          <w:vertAlign w:val="superscript"/>
        </w:rPr>
        <w:t>2</w:t>
      </w:r>
      <w:r w:rsidR="0083206A" w:rsidRPr="00A7171A">
        <w:rPr>
          <w:sz w:val="22"/>
        </w:rPr>
        <w:t>Institut Islam Hadhari</w:t>
      </w:r>
      <w:r w:rsidRPr="00A7171A">
        <w:rPr>
          <w:sz w:val="22"/>
        </w:rPr>
        <w:t xml:space="preserve">, </w:t>
      </w:r>
      <w:r w:rsidR="00413D34" w:rsidRPr="00A7171A">
        <w:rPr>
          <w:sz w:val="22"/>
        </w:rPr>
        <w:t>Universiti Kebangsaan Malaysia, 43600 Bangi, Malaysia</w:t>
      </w:r>
    </w:p>
    <w:p w14:paraId="112DB5D0" w14:textId="7D240312" w:rsidR="00B317C4" w:rsidRPr="00A7171A" w:rsidRDefault="00B317C4" w:rsidP="007F58F3">
      <w:pPr>
        <w:pStyle w:val="BodyText"/>
        <w:spacing w:line="240" w:lineRule="auto"/>
        <w:ind w:right="40"/>
        <w:jc w:val="center"/>
        <w:rPr>
          <w:sz w:val="22"/>
        </w:rPr>
      </w:pPr>
    </w:p>
    <w:p w14:paraId="6996C518" w14:textId="013F12FA" w:rsidR="00413D34" w:rsidRPr="00A7171A" w:rsidRDefault="00AC7D6B" w:rsidP="007F58F3">
      <w:pPr>
        <w:spacing w:line="240" w:lineRule="auto"/>
        <w:jc w:val="center"/>
        <w:rPr>
          <w:sz w:val="22"/>
        </w:rPr>
      </w:pPr>
      <w:r w:rsidRPr="00A7171A">
        <w:rPr>
          <w:sz w:val="22"/>
        </w:rPr>
        <w:t>Correspondence</w:t>
      </w:r>
      <w:r w:rsidR="00413D34" w:rsidRPr="00A7171A">
        <w:rPr>
          <w:sz w:val="22"/>
        </w:rPr>
        <w:t xml:space="preserve">: </w:t>
      </w:r>
      <w:r w:rsidR="00046E8B" w:rsidRPr="00A7171A">
        <w:rPr>
          <w:sz w:val="22"/>
        </w:rPr>
        <w:t>Syajarul Imna Mohd Amin (</w:t>
      </w:r>
      <w:r w:rsidR="00E4433D" w:rsidRPr="00A7171A">
        <w:rPr>
          <w:color w:val="000000"/>
          <w:sz w:val="22"/>
          <w:lang w:val="ms-MY"/>
        </w:rPr>
        <w:t xml:space="preserve">email: </w:t>
      </w:r>
      <w:r w:rsidR="00413D34" w:rsidRPr="00A7171A">
        <w:rPr>
          <w:sz w:val="22"/>
        </w:rPr>
        <w:t>imna@ukm.edu.my</w:t>
      </w:r>
      <w:r w:rsidRPr="00A7171A">
        <w:rPr>
          <w:sz w:val="22"/>
        </w:rPr>
        <w:t>)</w:t>
      </w:r>
    </w:p>
    <w:p w14:paraId="3E004BFD" w14:textId="77777777" w:rsidR="000A12C9" w:rsidRPr="00A7171A" w:rsidRDefault="000A12C9" w:rsidP="007F58F3">
      <w:pPr>
        <w:spacing w:line="240" w:lineRule="auto"/>
        <w:jc w:val="center"/>
        <w:rPr>
          <w:sz w:val="22"/>
        </w:rPr>
      </w:pPr>
    </w:p>
    <w:p w14:paraId="1F22506F" w14:textId="23611695" w:rsidR="00E4433D" w:rsidRPr="00A7171A" w:rsidRDefault="00E4433D" w:rsidP="007F58F3">
      <w:pPr>
        <w:spacing w:line="240" w:lineRule="auto"/>
        <w:ind w:hanging="2"/>
        <w:rPr>
          <w:sz w:val="22"/>
        </w:rPr>
      </w:pPr>
      <w:r w:rsidRPr="00A7171A">
        <w:rPr>
          <w:sz w:val="22"/>
          <w:lang w:val="ms-MY"/>
        </w:rPr>
        <w:t xml:space="preserve">Received: 30 </w:t>
      </w:r>
      <w:r w:rsidR="00A7171A">
        <w:rPr>
          <w:sz w:val="22"/>
          <w:lang w:val="ms-MY"/>
        </w:rPr>
        <w:t xml:space="preserve">March </w:t>
      </w:r>
      <w:r w:rsidRPr="00A7171A">
        <w:rPr>
          <w:sz w:val="22"/>
          <w:lang w:val="ms-MY"/>
        </w:rPr>
        <w:t>202</w:t>
      </w:r>
      <w:r w:rsidR="00A7171A">
        <w:rPr>
          <w:sz w:val="22"/>
          <w:lang w:val="ms-MY"/>
        </w:rPr>
        <w:t>3</w:t>
      </w:r>
      <w:r w:rsidRPr="00A7171A">
        <w:rPr>
          <w:sz w:val="22"/>
          <w:lang w:val="en-GB"/>
        </w:rPr>
        <w:t>; Accepted:</w:t>
      </w:r>
      <w:r w:rsidRPr="00A7171A">
        <w:rPr>
          <w:sz w:val="22"/>
          <w:lang w:val="ms-MY"/>
        </w:rPr>
        <w:t xml:space="preserve"> 1</w:t>
      </w:r>
      <w:r w:rsidR="00A7171A">
        <w:rPr>
          <w:sz w:val="22"/>
          <w:lang w:val="ms-MY"/>
        </w:rPr>
        <w:t>4</w:t>
      </w:r>
      <w:r w:rsidRPr="00A7171A">
        <w:rPr>
          <w:sz w:val="22"/>
          <w:lang w:val="ms-MY"/>
        </w:rPr>
        <w:t xml:space="preserve"> May 2024</w:t>
      </w:r>
      <w:r w:rsidRPr="00A7171A">
        <w:rPr>
          <w:sz w:val="22"/>
          <w:lang w:val="en-GB"/>
        </w:rPr>
        <w:t xml:space="preserve">; Published: </w:t>
      </w:r>
      <w:r w:rsidRPr="00A7171A">
        <w:rPr>
          <w:sz w:val="22"/>
        </w:rPr>
        <w:t>31 May 2024</w:t>
      </w:r>
    </w:p>
    <w:p w14:paraId="27A7CEB7" w14:textId="77777777" w:rsidR="000A12C9" w:rsidRPr="00A7171A" w:rsidRDefault="000A12C9" w:rsidP="007F58F3">
      <w:pPr>
        <w:spacing w:line="240" w:lineRule="auto"/>
        <w:jc w:val="both"/>
        <w:rPr>
          <w:sz w:val="22"/>
        </w:rPr>
      </w:pPr>
    </w:p>
    <w:p w14:paraId="50BAA91C" w14:textId="77777777" w:rsidR="007F13FD" w:rsidRDefault="007F13FD" w:rsidP="007F58F3">
      <w:pPr>
        <w:spacing w:line="240" w:lineRule="auto"/>
        <w:rPr>
          <w:b/>
        </w:rPr>
      </w:pPr>
    </w:p>
    <w:p w14:paraId="51EE8E24" w14:textId="065D9F73" w:rsidR="00EA2A44" w:rsidRPr="00AC7D6B" w:rsidRDefault="00AC7D6B" w:rsidP="007F13FD">
      <w:pPr>
        <w:spacing w:line="240" w:lineRule="auto"/>
        <w:rPr>
          <w:b/>
        </w:rPr>
      </w:pPr>
      <w:r w:rsidRPr="00AC7D6B">
        <w:rPr>
          <w:b/>
        </w:rPr>
        <w:t>Abstract</w:t>
      </w:r>
    </w:p>
    <w:p w14:paraId="163FB98F" w14:textId="77777777" w:rsidR="00AC7D6B" w:rsidRDefault="00AC7D6B" w:rsidP="007F13FD">
      <w:pPr>
        <w:spacing w:line="240" w:lineRule="auto"/>
        <w:jc w:val="both"/>
        <w:rPr>
          <w:i/>
        </w:rPr>
      </w:pPr>
    </w:p>
    <w:p w14:paraId="13E94F8C" w14:textId="42779338" w:rsidR="00AC7D6B" w:rsidRDefault="00491F97" w:rsidP="007F13FD">
      <w:pPr>
        <w:spacing w:line="240" w:lineRule="auto"/>
        <w:jc w:val="both"/>
      </w:pPr>
      <w:r w:rsidRPr="00491F97">
        <w:t>Palm oil export is one of the significant contributors to the Malaysian economy. The country's palm oil export is affected by international market uncertainties. This study examines the determinants of Malaysian palm oil export efficiency from 2000 to 2020. The Gravity Stochastic Frontier Model (GSFM) findings show that importing countries' GDP and foreign exchange rates positively affect Malaysian palm oil export. In contrast, distance has a negative impact on palm oil export. The study also found that technical efficiency increased from 2000 to 2020. Meanwhile, the average export efficiency score was high except for the US. This study enriches the agricultural literature, especially concerning palm oil export in Malaysia. Thus, the findings enlighten the industry and policymakers in formulating policies that can improve palm oil export and its competitiveness at the global level.</w:t>
      </w:r>
    </w:p>
    <w:p w14:paraId="0057965B" w14:textId="77777777" w:rsidR="00491F97" w:rsidRDefault="00491F97" w:rsidP="007F13FD">
      <w:pPr>
        <w:spacing w:line="240" w:lineRule="auto"/>
        <w:jc w:val="both"/>
      </w:pPr>
    </w:p>
    <w:p w14:paraId="64F04241" w14:textId="161ADB81" w:rsidR="00302BD9" w:rsidRDefault="00EA2A44" w:rsidP="007F13FD">
      <w:pPr>
        <w:spacing w:line="240" w:lineRule="auto"/>
        <w:jc w:val="both"/>
      </w:pPr>
      <w:r w:rsidRPr="007F13FD">
        <w:rPr>
          <w:b/>
        </w:rPr>
        <w:t>Keywords:</w:t>
      </w:r>
      <w:r w:rsidRPr="00EA2A44">
        <w:t xml:space="preserve"> </w:t>
      </w:r>
      <w:r w:rsidR="00AC7D6B" w:rsidRPr="00C762EC">
        <w:t xml:space="preserve">Efficiency, </w:t>
      </w:r>
      <w:r w:rsidR="007F13FD">
        <w:t>exchange rate, e</w:t>
      </w:r>
      <w:r w:rsidR="00AC7D6B" w:rsidRPr="00C762EC">
        <w:t xml:space="preserve">xport, Gravity Stochastic Frontier Model, Malaysia, </w:t>
      </w:r>
      <w:r w:rsidR="007F13FD" w:rsidRPr="00C762EC">
        <w:t>palm oil</w:t>
      </w:r>
    </w:p>
    <w:p w14:paraId="3FFE6C5D" w14:textId="702AAE26" w:rsidR="00EA2A44" w:rsidRDefault="00EA2A44" w:rsidP="007F13FD">
      <w:pPr>
        <w:spacing w:line="240" w:lineRule="auto"/>
        <w:jc w:val="both"/>
      </w:pPr>
    </w:p>
    <w:p w14:paraId="371D2355" w14:textId="77777777" w:rsidR="000A12C9" w:rsidRPr="00491F97" w:rsidRDefault="000A12C9" w:rsidP="007F13FD">
      <w:pPr>
        <w:spacing w:line="240" w:lineRule="auto"/>
        <w:jc w:val="both"/>
      </w:pPr>
    </w:p>
    <w:p w14:paraId="7D8AD384" w14:textId="6E49EC12" w:rsidR="00B317C4" w:rsidRPr="00AC7D6B" w:rsidRDefault="00AC7D6B" w:rsidP="007F13FD">
      <w:pPr>
        <w:spacing w:line="240" w:lineRule="auto"/>
        <w:ind w:left="3029" w:right="3049" w:hanging="3029"/>
        <w:jc w:val="both"/>
        <w:rPr>
          <w:b/>
          <w:szCs w:val="24"/>
        </w:rPr>
      </w:pPr>
      <w:r w:rsidRPr="00AC7D6B">
        <w:rPr>
          <w:b/>
          <w:szCs w:val="24"/>
        </w:rPr>
        <w:t>Introduction</w:t>
      </w:r>
    </w:p>
    <w:p w14:paraId="2B8564EF" w14:textId="77777777" w:rsidR="00E47F39" w:rsidRDefault="00E47F39" w:rsidP="007F13FD">
      <w:pPr>
        <w:spacing w:line="240" w:lineRule="auto"/>
        <w:jc w:val="both"/>
      </w:pPr>
    </w:p>
    <w:p w14:paraId="0113F92D" w14:textId="290081A9" w:rsidR="00E47F39" w:rsidRDefault="00E47F39" w:rsidP="007F13FD">
      <w:pPr>
        <w:spacing w:line="240" w:lineRule="auto"/>
        <w:jc w:val="both"/>
      </w:pPr>
      <w:r>
        <w:t>Palm oil is known for its advantages, such as high oil production yield, lower cost, and stability at high temperatures (Zamri et al., 2018), and requires a smaller land area than other vegetable oil cultivation (MPOC, 2022). Palm oil production can reach about 3.35 tons per hectare compared to sesame oil (0.76), rapeseed oil (0.74), and soybean oil (0.45) (MPOC, 2022). In addition, palm oil has multi-purposes, such as food products, biodiesel, cosmetics and pharmaceuticals (MPOC, 2022). In Malaysia, palm oil is the highest-producing commodity and is one of the major contributing sectors to the national economy (DSOM, 2021). The palm oil industry has dominated the country’s agricultural sector trade with 25.8% to production and 34.3% to world palm oil export by 2020 (DOSM, 2021). The country’s major palm oil export destinations are India, China, Pakistan, the Netherlands, and the US (DOSM, 2021). The industry is expected to remain relevant, given the global demand for oils and fats (MPOC, 2020).</w:t>
      </w:r>
    </w:p>
    <w:p w14:paraId="764AF415" w14:textId="77777777" w:rsidR="00E47F39" w:rsidRDefault="00E47F39" w:rsidP="007F13FD">
      <w:pPr>
        <w:spacing w:line="240" w:lineRule="auto"/>
        <w:ind w:firstLine="720"/>
        <w:jc w:val="both"/>
      </w:pPr>
      <w:r>
        <w:t xml:space="preserve">The palm oil industry faces the challenges of global market volatility. For example, export trade politics between China and the US could cause influence the demand for soybean oil and palm oil. Moreover, the increased supply of rapeseed vegetable oil in India and domestic commodity protection policies in other countries, such as grape seed oil and sunflower oil, could affect palm oil export (Devadason &amp; Mubarik, 2021). Meanwhile, global palm oil demand was also affected by the European Union’s palm oil boycott campaign and sustainable development issues related to environmental damage, such as deforestation, greenhouse gas </w:t>
      </w:r>
      <w:r>
        <w:lastRenderedPageBreak/>
        <w:t>emissions and wastewater pollution (Norhidayu et al., 2017). Recently, the contagion implications of COVID-19 infection have also restricted global palm oil export, partly due to fewer working hours and a downward trend in global demand (MPOB, 2020). Based on MPOB data for the first half of 2020, Malaysia has recorded a decline in production of 5.8%.</w:t>
      </w:r>
    </w:p>
    <w:p w14:paraId="3482C770" w14:textId="77777777" w:rsidR="00E47F39" w:rsidRDefault="00E47F39" w:rsidP="007F13FD">
      <w:pPr>
        <w:spacing w:line="240" w:lineRule="auto"/>
        <w:ind w:firstLine="720"/>
        <w:jc w:val="both"/>
      </w:pPr>
      <w:r>
        <w:t>The trade theory argues that national diversification and market uncertainties such as national income, foreign exchange rates, prices of substitute goods, distance and competition can cause inefficiencies in realising export potential (Abdullahi et al., 2021; Atif et al., 2017). There is demand (external factors from importing countries) and supply factors (internal factors from exporting countries) that have a deterrent effect on a country’s export potential (Funke &amp; Holly, 1992; Guloglu &amp; Pay, 2016). Thus, the palm oil industry needs to improve export efficiency to increase its competitiveness and trade potential at the international level. Export efficiency is a comparative advantage and a critical component of risk management in ensuring sustainable growth in the long run. Increased efficiency will result in improved cost management, output quality, technology, human resources, and capital, ultimately increasing productivity (Ismail et al., 2017).</w:t>
      </w:r>
    </w:p>
    <w:p w14:paraId="1829D1CE" w14:textId="77777777" w:rsidR="00E47F39" w:rsidRDefault="00E47F39" w:rsidP="007F13FD">
      <w:pPr>
        <w:spacing w:line="240" w:lineRule="auto"/>
        <w:ind w:firstLine="720"/>
        <w:jc w:val="both"/>
      </w:pPr>
      <w:r>
        <w:t>Previous palm oil studies focused on Southeast Asian countries such as Indonesia, Malaysia, and Thailand. Palm oil performance trends are primarily documented (Ezechi &amp; Young, 2019; Kushairi et al., 2017; Norhidayu et al., 2017; Zamri et al., 2018), but research on efficiency is minimal. Existing studies focused on technical efficiency (TE) (Azman et al., 2014; Ismiasih, 2018; Juyjaeng et al., 2018; Puruhito, 2019; Riffin, 2017) and total frontier production (TFP) (Ismail et al., 2017; Afzal et al., 2018; Jelita et al., 2020) to measure the productivity of farmers and manufacturers. Meanwhile, studies on export determinants were documented in different sectors, such as textiles (Dhiman et al., 2020; Fahmy-Abdullah et al., 2018; Ho et al., 2020; Rahman et al., 2019), manufacturing (Basarac Sertić et al., 2015; Pay et al., 2015), energy (Bashir et al., 2020; Hu &amp; Xu, 2022; Kazemzadeh et al., 2022), chemicals (Atif et al., 2019), environment (Wang et al., 2020; Yang &amp; Li, 2019), and livestock (Tikhomirov &amp; Fomin, 2018). In comparison, the study of agricultural export is related to cocoa (Abdullahi et al., 2021), rice (Kea et al., 2019), rubber (Mohamad &amp; Zainuddin, 2021), and the aggregate agricultural sector (Meyers al., 2018; Atif et al., 2017). However, studies related to palm oil export are limited.</w:t>
      </w:r>
    </w:p>
    <w:p w14:paraId="1F82FAE0" w14:textId="4B03DD06" w:rsidR="00A63670" w:rsidRDefault="00E47F39" w:rsidP="007F13FD">
      <w:pPr>
        <w:spacing w:line="240" w:lineRule="auto"/>
        <w:ind w:firstLine="720"/>
        <w:jc w:val="both"/>
      </w:pPr>
      <w:r>
        <w:t>Closest to this study, Devadason and Mubarik (2021) compared the integration of palm oil export and palm-based products between Southeast Asia and Latin America. While Lugo Arias et al. (2020) analysed the long-run cointegration relationship between palm oil export, palm oil prices, and foreign exchange rates for 26 countries. However, they did not examine palm oil export from the aspect of efficiency and its determinants. Thus, this study aims to identify the determinants of Malaysian palm oil export efficiency from 2000 to 2020. Furthermore, it focuses on Malaysian palm oil export to major trading partners, namely China, Pakistan, India, the Netherlands, and the US. The findings will contribute to the literature related to agriculture in the context of Malaysia using the GSFM model. The gravity model is an increasingly adopted analytical technique in trade-related research because of its advantages in predicting trade flows between countries (Westerlund &amp; Wilhelmsson, 2011). In addition, applying stochastic frontier parametric techniques also has the advantage of producing unbiased estimates in the presence of measurement errors and stochastic disturbances (Ruggiero, 2007). The findings will provide relevant information to policymakers and address the need to promote the efficiency and productivity of the industry in realising the long-term growth of the palm oil sector in Malaysia.</w:t>
      </w:r>
    </w:p>
    <w:p w14:paraId="41094462" w14:textId="77777777" w:rsidR="00E47F39" w:rsidRDefault="00E47F39" w:rsidP="007F13FD">
      <w:pPr>
        <w:spacing w:line="240" w:lineRule="auto"/>
        <w:ind w:firstLine="720"/>
        <w:jc w:val="both"/>
      </w:pPr>
    </w:p>
    <w:p w14:paraId="2AC35013" w14:textId="77777777" w:rsidR="009F01DB" w:rsidRDefault="009F01DB" w:rsidP="007F13FD">
      <w:pPr>
        <w:spacing w:line="240" w:lineRule="auto"/>
        <w:ind w:firstLine="720"/>
        <w:jc w:val="both"/>
      </w:pPr>
    </w:p>
    <w:p w14:paraId="3A17602B" w14:textId="77777777" w:rsidR="009F01DB" w:rsidRDefault="009F01DB" w:rsidP="007F13FD">
      <w:pPr>
        <w:spacing w:line="240" w:lineRule="auto"/>
        <w:ind w:firstLine="720"/>
        <w:jc w:val="both"/>
      </w:pPr>
    </w:p>
    <w:p w14:paraId="4DCD7068" w14:textId="77777777" w:rsidR="009F01DB" w:rsidRDefault="009F01DB" w:rsidP="007F13FD">
      <w:pPr>
        <w:spacing w:line="240" w:lineRule="auto"/>
        <w:ind w:firstLine="720"/>
        <w:jc w:val="both"/>
      </w:pPr>
    </w:p>
    <w:p w14:paraId="51D47797" w14:textId="52DE44DB" w:rsidR="00B616F8" w:rsidRPr="00AC7D6B" w:rsidRDefault="00AC7D6B" w:rsidP="007F13FD">
      <w:pPr>
        <w:spacing w:line="240" w:lineRule="auto"/>
        <w:rPr>
          <w:b/>
          <w:szCs w:val="24"/>
        </w:rPr>
      </w:pPr>
      <w:r w:rsidRPr="00AC7D6B">
        <w:rPr>
          <w:b/>
          <w:szCs w:val="24"/>
        </w:rPr>
        <w:lastRenderedPageBreak/>
        <w:t xml:space="preserve">Literature </w:t>
      </w:r>
      <w:r w:rsidR="009F01DB">
        <w:rPr>
          <w:b/>
          <w:szCs w:val="24"/>
        </w:rPr>
        <w:t>r</w:t>
      </w:r>
      <w:r w:rsidRPr="00AC7D6B">
        <w:rPr>
          <w:b/>
          <w:szCs w:val="24"/>
        </w:rPr>
        <w:t>eview</w:t>
      </w:r>
    </w:p>
    <w:p w14:paraId="5EFCBD56" w14:textId="77777777" w:rsidR="00F1486E" w:rsidRDefault="00F1486E" w:rsidP="007F13FD">
      <w:pPr>
        <w:spacing w:line="240" w:lineRule="auto"/>
        <w:jc w:val="center"/>
      </w:pPr>
    </w:p>
    <w:p w14:paraId="4F121FA7" w14:textId="70150DEE" w:rsidR="00A63670" w:rsidRDefault="00A63670" w:rsidP="007F13FD">
      <w:pPr>
        <w:pStyle w:val="BodyText"/>
        <w:spacing w:line="240" w:lineRule="auto"/>
        <w:jc w:val="both"/>
      </w:pPr>
      <w:r w:rsidRPr="00A63670">
        <w:t xml:space="preserve">The trade literature examining the factors influencing </w:t>
      </w:r>
      <w:r w:rsidR="00031A21">
        <w:t>export</w:t>
      </w:r>
      <w:r w:rsidRPr="00A63670">
        <w:t xml:space="preserve"> can be viewed from the perspective of demand and supply. Senhadji and Montenegro (1999) found that demand factors such as income and price influence </w:t>
      </w:r>
      <w:r w:rsidR="00031A21">
        <w:t>export</w:t>
      </w:r>
      <w:r w:rsidRPr="00A63670">
        <w:t xml:space="preserve"> for 53 industries in developing countries. Meanwhile, supply factors such as labour, production, subsidies and taxes at the industrial and aggregate levels were also found to significantly influence </w:t>
      </w:r>
      <w:r w:rsidR="00031A21">
        <w:t>export</w:t>
      </w:r>
      <w:r w:rsidRPr="00A63670">
        <w:t xml:space="preserve"> (Togan, 1993; Rodriguez &amp; Samy, 2003; Edwards &amp; Golub, 2004). Thus, Funke and Holly (1992) concluded that a robust export determinant model needs to consider both demand and supply factors. </w:t>
      </w:r>
      <w:r w:rsidR="005D05B5" w:rsidRPr="00A63670">
        <w:t>It is vital to avoid the problem of missing relevant variables (Guloglu &amp; Pay, 2016).</w:t>
      </w:r>
      <w:r w:rsidR="005D05B5">
        <w:t xml:space="preserve"> </w:t>
      </w:r>
      <w:r w:rsidRPr="00A63670">
        <w:t xml:space="preserve">Accordingly, many studies incorporate demand and supply factors in their export determinants model in textiles (Dhiman et al., 2020; Fahmy-Abdullah et al., 2018; Ho et al., 2020; Rahman et al., 2019), manufacturing (Basarac Sertić et al., 2015; Pay et al., 2015), energy (Bashir et al., 2020; Hu &amp; Xu, 2022; Kazemzadeh et al., 2022), chemicals (Atif et al., 2019), environment (Wang et al., 2020; Yang &amp; Li, 2019), and livestock (Tikhomirov &amp; Fomin, 2018). </w:t>
      </w:r>
    </w:p>
    <w:p w14:paraId="7D263C38" w14:textId="15981ADF" w:rsidR="00A63670" w:rsidRDefault="00A63670" w:rsidP="007F13FD">
      <w:pPr>
        <w:pStyle w:val="BodyText"/>
        <w:spacing w:line="240" w:lineRule="auto"/>
        <w:ind w:firstLine="720"/>
        <w:jc w:val="both"/>
      </w:pPr>
      <w:r>
        <w:t xml:space="preserve">Specifically for the agricultural and plantation industries, Atif et al. (2017) used GSFM to identify determinants of Pakistan’s agricultural </w:t>
      </w:r>
      <w:r w:rsidR="00031A21">
        <w:t>export</w:t>
      </w:r>
      <w:r>
        <w:t xml:space="preserve"> to </w:t>
      </w:r>
      <w:r w:rsidR="005D05B5">
        <w:t>63 major trading partners (1995-</w:t>
      </w:r>
      <w:r>
        <w:t xml:space="preserve">2014). The findings show that Pakistan’s GDP and importing countries, foreign exchange rates, regional trade agreements, and shared borders positively impact Pakistan’s agricultural </w:t>
      </w:r>
      <w:r w:rsidR="00031A21">
        <w:t>export</w:t>
      </w:r>
      <w:r>
        <w:t>. In contrast, g</w:t>
      </w:r>
      <w:r w:rsidR="005D05B5">
        <w:t>eographical distance and tariff</w:t>
      </w:r>
      <w:r>
        <w:t xml:space="preserve"> have a negative impact. However, the similarity of communication languages ​​</w:t>
      </w:r>
      <w:r w:rsidR="005D05B5">
        <w:t>did not</w:t>
      </w:r>
      <w:r>
        <w:t xml:space="preserve"> </w:t>
      </w:r>
      <w:r w:rsidR="005D05B5">
        <w:t>affect</w:t>
      </w:r>
      <w:r>
        <w:t xml:space="preserve"> Pakistan’s agricultural </w:t>
      </w:r>
      <w:r w:rsidR="00031A21">
        <w:t>export</w:t>
      </w:r>
      <w:r>
        <w:t xml:space="preserve">. Abdullahi et al. (2021) found that Nigeria’s cocoa </w:t>
      </w:r>
      <w:r w:rsidR="00031A21">
        <w:t>export</w:t>
      </w:r>
      <w:r>
        <w:t xml:space="preserve"> are posi</w:t>
      </w:r>
      <w:r w:rsidR="005D05B5">
        <w:t>tively influenced by GDP</w:t>
      </w:r>
      <w:r>
        <w:t>, foreign exchange policy, World Trade Organization (WTO), European Union, and common colonial countries. In comparison, it is negatively influenced by GDP per capita, distance, l</w:t>
      </w:r>
      <w:r w:rsidR="005D05B5">
        <w:t>andlocked countries</w:t>
      </w:r>
      <w:r>
        <w:t xml:space="preserve">, Australia, and the Economic Community of West Africa </w:t>
      </w:r>
      <w:r w:rsidR="005D05B5">
        <w:t xml:space="preserve">countries </w:t>
      </w:r>
      <w:r>
        <w:t xml:space="preserve">(ECOWAS). </w:t>
      </w:r>
    </w:p>
    <w:p w14:paraId="3B55198E" w14:textId="090769FC" w:rsidR="00F4649D" w:rsidRDefault="00A63670" w:rsidP="007F13FD">
      <w:pPr>
        <w:pStyle w:val="BodyText"/>
        <w:spacing w:line="240" w:lineRule="auto"/>
        <w:ind w:firstLine="720"/>
        <w:jc w:val="both"/>
      </w:pPr>
      <w:r>
        <w:t xml:space="preserve">Kea et al. (2019) showed that Cambodian rice </w:t>
      </w:r>
      <w:r w:rsidR="00031A21">
        <w:t>export</w:t>
      </w:r>
      <w:r>
        <w:t xml:space="preserve"> positively correlate with the inter-country relations</w:t>
      </w:r>
      <w:r w:rsidR="005D05B5" w:rsidRPr="005D05B5">
        <w:t xml:space="preserve"> </w:t>
      </w:r>
      <w:r w:rsidR="005D05B5">
        <w:t>history</w:t>
      </w:r>
      <w:r>
        <w:t xml:space="preserve">, foreign exchange policy, and land area. Mohamad and Zainuddin (2021) show that bilateral </w:t>
      </w:r>
      <w:r w:rsidR="00031A21">
        <w:t>export</w:t>
      </w:r>
      <w:r>
        <w:t xml:space="preserve"> of natural rubber to Thailand, Indonesia, Vietnam, and Malaysia have a positive relationship with non-tariff restrictions. </w:t>
      </w:r>
      <w:r w:rsidR="00031A21">
        <w:t>Export</w:t>
      </w:r>
      <w:r>
        <w:t xml:space="preserve"> of natural rubber </w:t>
      </w:r>
      <w:r w:rsidR="00201D61">
        <w:t>increased</w:t>
      </w:r>
      <w:r>
        <w:t xml:space="preserve"> after implementing the “Belt and Road Initiatives” (BRI). In Ukraine, Meyers al. (2018) </w:t>
      </w:r>
      <w:r w:rsidR="005D05B5">
        <w:t>evidenced</w:t>
      </w:r>
      <w:r>
        <w:t xml:space="preserve"> that the </w:t>
      </w:r>
      <w:r w:rsidR="005D05B5">
        <w:t xml:space="preserve">inefficiency of agricultural </w:t>
      </w:r>
      <w:r>
        <w:t xml:space="preserve">export is due to the high dependence on </w:t>
      </w:r>
      <w:r w:rsidR="005D05B5">
        <w:t>main</w:t>
      </w:r>
      <w:r>
        <w:t xml:space="preserve"> export commodities and foreign markets</w:t>
      </w:r>
      <w:r w:rsidR="005D05B5">
        <w:t xml:space="preserve"> volatility.</w:t>
      </w:r>
      <w:r>
        <w:t xml:space="preserve"> They suggested that Ukraine could diversify the export markets </w:t>
      </w:r>
      <w:r w:rsidR="005D05B5">
        <w:t xml:space="preserve">structure </w:t>
      </w:r>
      <w:r>
        <w:t>such as milk and dairy products, eggs, meat, vegetables and fruits.</w:t>
      </w:r>
    </w:p>
    <w:p w14:paraId="7A4776F3" w14:textId="3AD94B2E" w:rsidR="00F4649D" w:rsidRDefault="00F4649D" w:rsidP="007F13FD">
      <w:pPr>
        <w:pStyle w:val="BodyText"/>
        <w:spacing w:line="240" w:lineRule="auto"/>
        <w:ind w:firstLine="720"/>
        <w:jc w:val="both"/>
      </w:pPr>
      <w:r w:rsidRPr="00F4649D">
        <w:t xml:space="preserve">Most palm oil efficiency </w:t>
      </w:r>
      <w:r w:rsidR="003E6EF2">
        <w:t xml:space="preserve">research </w:t>
      </w:r>
      <w:r w:rsidRPr="00F4649D">
        <w:t xml:space="preserve">have focused on the productivity aspects of farmers and manufacturers. In Indonesia, Euler et al. (2016) found that important factors of smallholder palm oil production in Sumatra are </w:t>
      </w:r>
      <w:r w:rsidR="00C855E0">
        <w:t>fertiliser</w:t>
      </w:r>
      <w:r w:rsidRPr="00F4649D">
        <w:t xml:space="preserve"> cost, harvest interval period and plant damage. Rifin (2017) found that domestic vs export-oriented ownership, location and business are essential variables to explain efficiency. In particular, </w:t>
      </w:r>
      <w:r w:rsidR="00995A09">
        <w:t>palm oil</w:t>
      </w:r>
      <w:r w:rsidRPr="00F4649D">
        <w:t xml:space="preserve"> mills owned by national private companies are the most efficient, followed by foreign and government-owned companies. </w:t>
      </w:r>
      <w:r w:rsidR="00995A09">
        <w:t>Palm oil</w:t>
      </w:r>
      <w:r w:rsidRPr="00F4649D">
        <w:t xml:space="preserve"> mills in Kalimantan are more efficient than in other islands, and locally-oriented mills are more efficient than export-oriented ones. Similarly, Jelita et al. (2020) found that although most large </w:t>
      </w:r>
      <w:r w:rsidR="00995A09">
        <w:t>palm oil</w:t>
      </w:r>
      <w:r w:rsidRPr="00F4649D">
        <w:t xml:space="preserve"> mills are located in Sumatra, more efficient </w:t>
      </w:r>
      <w:r w:rsidR="00995A09">
        <w:t>palm oil</w:t>
      </w:r>
      <w:r w:rsidRPr="00F4649D">
        <w:t xml:space="preserve"> mills are found in Kalimantan. The foreign-owned private sector was more efficient than the privately-owned and state-owned factories. Also, it shows that TFP growth is negative and minimally influenced by technological change.</w:t>
      </w:r>
    </w:p>
    <w:p w14:paraId="2C596130" w14:textId="7CEAF3CF" w:rsidR="00F4649D" w:rsidRDefault="00F4649D" w:rsidP="007F13FD">
      <w:pPr>
        <w:pStyle w:val="BodyText"/>
        <w:spacing w:line="240" w:lineRule="auto"/>
        <w:ind w:firstLine="720"/>
        <w:jc w:val="both"/>
      </w:pPr>
      <w:r>
        <w:t xml:space="preserve">Ismiasih (2018) evidenced that TE farmers in West Kalimantan are influenced by the number of productive trees, tree age, </w:t>
      </w:r>
      <w:r w:rsidR="00C855E0">
        <w:t>fertiliser</w:t>
      </w:r>
      <w:r>
        <w:t xml:space="preserve">, labour and artificial pesticides. The causes of inefficiency are a percentage of own capital, cooperative membership, and contract farm membership. In the case of the North Mamuju District case, Puruhito et al. (2019) found that </w:t>
      </w:r>
      <w:r>
        <w:lastRenderedPageBreak/>
        <w:t xml:space="preserve">soil, </w:t>
      </w:r>
      <w:r w:rsidR="00C855E0">
        <w:t>fertiliser</w:t>
      </w:r>
      <w:r>
        <w:t xml:space="preserve"> use, non-family labour, tree age, and farm distance to the river positively affected TE, while farm sanitation frequency decreased TE. In contrast, the causes of inefficiency are experience, household income, age and differences in plasma patterns. Apriyanti (2019) found that the productivity of producers and producers in Sumatra, Indonesia, is influenced by the maturity age of </w:t>
      </w:r>
      <w:r w:rsidR="00995A09">
        <w:t>palm oil</w:t>
      </w:r>
      <w:r>
        <w:t xml:space="preserve"> trees, labour, </w:t>
      </w:r>
      <w:r w:rsidR="00201D61">
        <w:t>fertiliser</w:t>
      </w:r>
      <w:r>
        <w:t xml:space="preserve"> and farm area.</w:t>
      </w:r>
    </w:p>
    <w:p w14:paraId="0FBC9966" w14:textId="50389873" w:rsidR="00F4649D" w:rsidRDefault="00F4649D" w:rsidP="007F13FD">
      <w:pPr>
        <w:pStyle w:val="BodyText"/>
        <w:spacing w:line="240" w:lineRule="auto"/>
        <w:ind w:firstLine="720"/>
        <w:jc w:val="both"/>
      </w:pPr>
      <w:r>
        <w:t xml:space="preserve">In comparison, the productivity function of </w:t>
      </w:r>
      <w:r w:rsidR="00995A09">
        <w:t>palm oil</w:t>
      </w:r>
      <w:r>
        <w:t xml:space="preserve"> in the Jambi district produces low technical efficiency (Saidin et al., 2019). It also shows that technical efficiency is highly responsive to soil area, the number of trees, and urea </w:t>
      </w:r>
      <w:r w:rsidR="00201D61">
        <w:t>fertiliser</w:t>
      </w:r>
      <w:r>
        <w:t xml:space="preserve">. Juyjaeng et al. (2018) studied TE and the factors influencing TE of </w:t>
      </w:r>
      <w:r w:rsidR="00995A09">
        <w:t>palm oil</w:t>
      </w:r>
      <w:r>
        <w:t xml:space="preserve"> production between the member and non-member farmers under the Large Agricultural Plot Scheme (LAPS) in Bang Saphan Noi district</w:t>
      </w:r>
      <w:r w:rsidR="00201D61">
        <w:t>,</w:t>
      </w:r>
      <w:r>
        <w:t xml:space="preserve"> Thailand. The findings indicate that LAPS member farmers have higher TE than non-members. It also shows that farmers ’experience and age positively correlate with TE.</w:t>
      </w:r>
    </w:p>
    <w:p w14:paraId="6882F9D5" w14:textId="1A61465B" w:rsidR="00F4649D" w:rsidRDefault="00F4649D" w:rsidP="007F13FD">
      <w:pPr>
        <w:pStyle w:val="BodyText"/>
        <w:spacing w:line="240" w:lineRule="auto"/>
        <w:ind w:firstLine="720"/>
        <w:jc w:val="both"/>
      </w:pPr>
      <w:r w:rsidRPr="00F4649D">
        <w:t xml:space="preserve">Azman (2014) evaluated TE for large and small palm oil mills in Malaysia and compared TE between integrated and non -integrated mills in the country. He found that large factories with a production capacity of more than 20t/h were more efficient than small factories, and integrated factories were more efficient than non -integrated factories. Norhidayu et al. (2017) </w:t>
      </w:r>
      <w:r w:rsidR="00201D61">
        <w:t>analysed</w:t>
      </w:r>
      <w:r w:rsidRPr="00F4649D">
        <w:t xml:space="preserve"> crude palm oil (CPO) production in Malaysia based on Cobb Douglass's theory. The findings show that increased labour, capital and consumption rates lead to higher CPO production. Ismail et al. (2017) studied the impact of TFP growth on the output growth of the palm oil industry in Malaysia from 2000 to 2012. They used the Malmquist index based on the DEA procedure to measure TFP. The findings show that TFP growth has a positive relationship with output growth, and its impact is higher in non-food-based industries compared to food-based industries. Next, Foong et al. (2018) </w:t>
      </w:r>
      <w:r w:rsidR="00201D61">
        <w:t>analysed</w:t>
      </w:r>
      <w:r w:rsidRPr="00F4649D">
        <w:t xml:space="preserve"> the operating performance of </w:t>
      </w:r>
      <w:r w:rsidR="00995A09">
        <w:t>palm oil</w:t>
      </w:r>
      <w:r w:rsidRPr="00F4649D">
        <w:t xml:space="preserve"> mills through an input-output </w:t>
      </w:r>
      <w:r w:rsidR="00201D61">
        <w:t>optimisation</w:t>
      </w:r>
      <w:r w:rsidRPr="00F4649D">
        <w:t xml:space="preserve"> model. They performed a feasible operating range analysis (FORA) to explore the usability and feasibility of the process and found that capital costs were reduced by 37% and economic performance increased by 49%. The plant consumption index increased from 0.48 to 0.76 during the peak season.</w:t>
      </w:r>
    </w:p>
    <w:p w14:paraId="4871498A" w14:textId="41AB02C5" w:rsidR="00613DB6" w:rsidRDefault="00F4649D" w:rsidP="007F13FD">
      <w:pPr>
        <w:pStyle w:val="BodyText"/>
        <w:spacing w:line="240" w:lineRule="auto"/>
        <w:ind w:firstLine="720"/>
        <w:jc w:val="both"/>
      </w:pPr>
      <w:r w:rsidRPr="00F4649D">
        <w:t xml:space="preserve">However, to the author's knowledge, there are still no studies that attempt to explore the determinants and performance of palm oil export efficiency, particularly in Malaysia. Devadason and Mubarik (2021) compared the export efficiency of palm oil and palm-based products between the integration of Southeast Asian and Latin American countries. The findings evidenced that the level of trade efficiency is relatively low. Lugo Arias et al. (2020) found that the foreign exchange rate has a positive relationship with the competitiveness of palm oil </w:t>
      </w:r>
      <w:r w:rsidR="00031A21">
        <w:t>export</w:t>
      </w:r>
      <w:r w:rsidRPr="00F4649D">
        <w:t xml:space="preserve"> and a negative </w:t>
      </w:r>
      <w:r w:rsidR="00201D61">
        <w:t>association</w:t>
      </w:r>
      <w:r w:rsidRPr="00F4649D">
        <w:t xml:space="preserve"> with palm oil prices for 26 selected countries. Thus, this study is conducted to fill the gap of previous studies by offering empirical evidence on the determinants of palm oil </w:t>
      </w:r>
      <w:r w:rsidR="00031A21">
        <w:t>export</w:t>
      </w:r>
      <w:r w:rsidRPr="00F4649D">
        <w:t xml:space="preserve"> and the efficiency of palm oil </w:t>
      </w:r>
      <w:r w:rsidR="00031A21">
        <w:t>export</w:t>
      </w:r>
      <w:r w:rsidRPr="00F4649D">
        <w:t xml:space="preserve"> in Malaysia.</w:t>
      </w:r>
    </w:p>
    <w:p w14:paraId="4AD845CE" w14:textId="77777777" w:rsidR="003A5F7E" w:rsidRDefault="003A5F7E" w:rsidP="007F13FD">
      <w:pPr>
        <w:pStyle w:val="BodyText"/>
        <w:spacing w:line="240" w:lineRule="auto"/>
        <w:jc w:val="both"/>
      </w:pPr>
    </w:p>
    <w:p w14:paraId="65D64D81" w14:textId="77777777" w:rsidR="00E4793F" w:rsidRDefault="00E4793F" w:rsidP="007F13FD">
      <w:pPr>
        <w:pStyle w:val="BodyText"/>
        <w:spacing w:line="240" w:lineRule="auto"/>
        <w:jc w:val="both"/>
      </w:pPr>
    </w:p>
    <w:p w14:paraId="68BD9B19" w14:textId="0159ECA2" w:rsidR="00613DB6" w:rsidRPr="00AC7D6B" w:rsidRDefault="00AC7D6B" w:rsidP="00AC7D6B">
      <w:pPr>
        <w:pStyle w:val="BodyText"/>
        <w:spacing w:line="240" w:lineRule="auto"/>
        <w:rPr>
          <w:b/>
          <w:szCs w:val="24"/>
        </w:rPr>
      </w:pPr>
      <w:r>
        <w:rPr>
          <w:b/>
          <w:szCs w:val="24"/>
        </w:rPr>
        <w:t>Data a</w:t>
      </w:r>
      <w:r w:rsidRPr="00AC7D6B">
        <w:rPr>
          <w:b/>
          <w:szCs w:val="24"/>
        </w:rPr>
        <w:t xml:space="preserve">nd </w:t>
      </w:r>
      <w:r w:rsidR="009F01DB">
        <w:rPr>
          <w:b/>
          <w:szCs w:val="24"/>
        </w:rPr>
        <w:t>m</w:t>
      </w:r>
      <w:r w:rsidRPr="00AC7D6B">
        <w:rPr>
          <w:b/>
          <w:szCs w:val="24"/>
        </w:rPr>
        <w:t>ethodology</w:t>
      </w:r>
    </w:p>
    <w:p w14:paraId="7D0C1CDC" w14:textId="77777777" w:rsidR="00506111" w:rsidRDefault="00506111" w:rsidP="00AC7D6B">
      <w:pPr>
        <w:pStyle w:val="BodyText"/>
        <w:spacing w:line="240" w:lineRule="auto"/>
        <w:jc w:val="both"/>
        <w:rPr>
          <w:b/>
          <w:color w:val="000000" w:themeColor="text1"/>
          <w:szCs w:val="24"/>
        </w:rPr>
      </w:pPr>
    </w:p>
    <w:p w14:paraId="500ACDD0" w14:textId="20669E28" w:rsidR="00B45F0B" w:rsidRPr="00AC7D6B" w:rsidRDefault="00B933A7" w:rsidP="00AC7D6B">
      <w:pPr>
        <w:pStyle w:val="BodyText"/>
        <w:spacing w:line="240" w:lineRule="auto"/>
        <w:jc w:val="both"/>
        <w:rPr>
          <w:i/>
          <w:color w:val="000000" w:themeColor="text1"/>
          <w:szCs w:val="24"/>
        </w:rPr>
      </w:pPr>
      <w:r w:rsidRPr="00AC7D6B">
        <w:rPr>
          <w:i/>
          <w:color w:val="000000" w:themeColor="text1"/>
          <w:szCs w:val="24"/>
        </w:rPr>
        <w:t xml:space="preserve">Analysis </w:t>
      </w:r>
      <w:r w:rsidR="00C01E49">
        <w:rPr>
          <w:i/>
          <w:color w:val="000000" w:themeColor="text1"/>
          <w:szCs w:val="24"/>
        </w:rPr>
        <w:t>a</w:t>
      </w:r>
      <w:r w:rsidRPr="00AC7D6B">
        <w:rPr>
          <w:i/>
          <w:color w:val="000000" w:themeColor="text1"/>
          <w:szCs w:val="24"/>
        </w:rPr>
        <w:t>pproach</w:t>
      </w:r>
    </w:p>
    <w:p w14:paraId="47FC8378" w14:textId="77777777" w:rsidR="00B45F0B" w:rsidRPr="00506111" w:rsidRDefault="00B45F0B" w:rsidP="00AC7D6B">
      <w:pPr>
        <w:pStyle w:val="BodyText"/>
        <w:spacing w:line="240" w:lineRule="auto"/>
        <w:jc w:val="both"/>
        <w:rPr>
          <w:color w:val="000000" w:themeColor="text1"/>
          <w:szCs w:val="24"/>
        </w:rPr>
      </w:pPr>
    </w:p>
    <w:p w14:paraId="2C3D44AA" w14:textId="1E9AE335" w:rsidR="00AC7D6B" w:rsidRPr="00506111" w:rsidRDefault="00E47F39" w:rsidP="00AC7D6B">
      <w:pPr>
        <w:pStyle w:val="BodyText"/>
        <w:spacing w:line="240" w:lineRule="auto"/>
        <w:jc w:val="both"/>
        <w:rPr>
          <w:color w:val="000000" w:themeColor="text1"/>
          <w:szCs w:val="24"/>
        </w:rPr>
      </w:pPr>
      <w:r w:rsidRPr="00E47F39">
        <w:rPr>
          <w:color w:val="000000" w:themeColor="text1"/>
          <w:szCs w:val="24"/>
        </w:rPr>
        <w:t xml:space="preserve">The study applied the Gravity Stochastic Frontier Model (GSFM) introduced by Kalirajan (2000) to address the inherent bias in the conventional gravity model of trade and estimate the performance (efficiency) of trade flows. The gravity model is a widely adopted estimation model for studying the determinants of trade between countries. However, there are weaknesses in the approximate gravity model. Export or import values ​​are usually taken as sample averages rather than optimal values ​​feasible for trading countries. It might be problematic in approximate gravity models involving the presence of highly divergent sample values ​​(Ravishankar &amp; Stack, 2014). Therefore, the SFA method stands better in estimating </w:t>
      </w:r>
      <w:r w:rsidRPr="00E47F39">
        <w:rPr>
          <w:color w:val="000000" w:themeColor="text1"/>
          <w:szCs w:val="24"/>
        </w:rPr>
        <w:lastRenderedPageBreak/>
        <w:t>the gravity model. Kalirajan (2007) introduced the stochastic frontier method in the gravity equation proposed by Aigner, Lovell, and Schmidt (1977) to describe variations in trade between trading partners. The trade boundary estimated through this approach gives freedom in taking the optimal level of trade between countries in the analysis. The model's positive or negative error terms affect these bilateral trade limits. It allows the randomly generated trading frontier to vary according to the specific part that determines the gravity model. Then the observed magnitude of trade can be compared with the forecast value of the border of trading partner countries to analyze the maximum trade capacity. The equation of the GSFM model is as follows;</w:t>
      </w:r>
    </w:p>
    <w:p w14:paraId="7D8D8DB0" w14:textId="66A16D57" w:rsidR="00363FE5" w:rsidRPr="00506111" w:rsidRDefault="00702F23" w:rsidP="00AC7D6B">
      <w:pPr>
        <w:pStyle w:val="BodyText"/>
        <w:spacing w:line="240" w:lineRule="auto"/>
        <w:ind w:firstLine="2835"/>
        <w:jc w:val="both"/>
        <w:rPr>
          <w:color w:val="000000" w:themeColor="text1"/>
          <w:szCs w:val="24"/>
        </w:rPr>
      </w:pPr>
      <m:oMath>
        <m:sSub>
          <m:sSubPr>
            <m:ctrlPr>
              <w:rPr>
                <w:rFonts w:ascii="Cambria Math" w:hAnsi="Cambria Math"/>
                <w:i/>
                <w:color w:val="000000" w:themeColor="text1"/>
                <w:szCs w:val="24"/>
              </w:rPr>
            </m:ctrlPr>
          </m:sSubPr>
          <m:e>
            <m:r>
              <w:rPr>
                <w:rFonts w:ascii="Cambria Math" w:hAnsi="Cambria Math"/>
                <w:color w:val="000000" w:themeColor="text1"/>
                <w:szCs w:val="24"/>
              </w:rPr>
              <m:t>lnX</m:t>
            </m:r>
          </m:e>
          <m:sub>
            <m:r>
              <w:rPr>
                <w:rFonts w:ascii="Cambria Math" w:hAnsi="Cambria Math"/>
                <w:color w:val="000000" w:themeColor="text1"/>
                <w:szCs w:val="24"/>
              </w:rPr>
              <m:t>ijt</m:t>
            </m:r>
          </m:sub>
        </m:sSub>
        <m:r>
          <w:rPr>
            <w:rFonts w:ascii="Cambria Math" w:hAnsi="Cambria Math"/>
            <w:color w:val="000000" w:themeColor="text1"/>
            <w:szCs w:val="24"/>
          </w:rPr>
          <m:t>=lnf(</m:t>
        </m:r>
        <m:sSub>
          <m:sSubPr>
            <m:ctrlPr>
              <w:rPr>
                <w:rFonts w:ascii="Cambria Math" w:hAnsi="Cambria Math"/>
                <w:i/>
                <w:color w:val="000000" w:themeColor="text1"/>
                <w:szCs w:val="24"/>
              </w:rPr>
            </m:ctrlPr>
          </m:sSubPr>
          <m:e>
            <m:r>
              <w:rPr>
                <w:rFonts w:ascii="Cambria Math" w:hAnsi="Cambria Math"/>
                <w:color w:val="000000" w:themeColor="text1"/>
                <w:szCs w:val="24"/>
              </w:rPr>
              <m:t>Y</m:t>
            </m:r>
          </m:e>
          <m:sub>
            <m:r>
              <w:rPr>
                <w:rFonts w:ascii="Cambria Math" w:hAnsi="Cambria Math"/>
                <w:color w:val="000000" w:themeColor="text1"/>
                <w:szCs w:val="24"/>
              </w:rPr>
              <m:t>ijt</m:t>
            </m:r>
          </m:sub>
        </m:sSub>
        <m:r>
          <w:rPr>
            <w:rFonts w:ascii="Cambria Math" w:hAnsi="Cambria Math"/>
            <w:color w:val="000000" w:themeColor="text1"/>
            <w:szCs w:val="24"/>
          </w:rPr>
          <m:t>,β)</m:t>
        </m:r>
        <m:sSup>
          <m:sSupPr>
            <m:ctrlPr>
              <w:rPr>
                <w:rFonts w:ascii="Cambria Math" w:hAnsi="Cambria Math"/>
                <w:i/>
                <w:color w:val="000000" w:themeColor="text1"/>
                <w:szCs w:val="24"/>
              </w:rPr>
            </m:ctrlPr>
          </m:sSupPr>
          <m:e>
            <m:r>
              <w:rPr>
                <w:rFonts w:ascii="Cambria Math" w:hAnsi="Cambria Math"/>
                <w:color w:val="000000" w:themeColor="text1"/>
                <w:szCs w:val="24"/>
              </w:rPr>
              <m:t>exp</m:t>
            </m:r>
          </m:e>
          <m:sup>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V</m:t>
                </m:r>
              </m:e>
              <m:sub>
                <m:r>
                  <w:rPr>
                    <w:rFonts w:ascii="Cambria Math" w:hAnsi="Cambria Math"/>
                    <w:color w:val="000000" w:themeColor="text1"/>
                    <w:szCs w:val="24"/>
                  </w:rPr>
                  <m:t>ijt</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U</m:t>
                </m:r>
              </m:e>
              <m:sub>
                <m:r>
                  <w:rPr>
                    <w:rFonts w:ascii="Cambria Math" w:hAnsi="Cambria Math"/>
                    <w:color w:val="000000" w:themeColor="text1"/>
                    <w:szCs w:val="24"/>
                  </w:rPr>
                  <m:t>ijt</m:t>
                </m:r>
              </m:sub>
            </m:sSub>
            <m:r>
              <w:rPr>
                <w:rFonts w:ascii="Cambria Math" w:hAnsi="Cambria Math"/>
                <w:color w:val="000000" w:themeColor="text1"/>
                <w:szCs w:val="24"/>
              </w:rPr>
              <m:t>)</m:t>
            </m:r>
          </m:sup>
        </m:sSup>
      </m:oMath>
      <w:r w:rsidR="0083206A">
        <w:rPr>
          <w:color w:val="000000" w:themeColor="text1"/>
          <w:szCs w:val="24"/>
        </w:rPr>
        <w:t xml:space="preserve"> </w:t>
      </w:r>
      <w:r w:rsidR="0083206A">
        <w:rPr>
          <w:color w:val="000000" w:themeColor="text1"/>
          <w:szCs w:val="24"/>
        </w:rPr>
        <w:tab/>
      </w:r>
      <w:r w:rsidR="0083206A">
        <w:rPr>
          <w:color w:val="000000" w:themeColor="text1"/>
          <w:szCs w:val="24"/>
        </w:rPr>
        <w:tab/>
      </w:r>
      <w:r w:rsidR="0083206A">
        <w:rPr>
          <w:color w:val="000000" w:themeColor="text1"/>
          <w:szCs w:val="24"/>
        </w:rPr>
        <w:tab/>
      </w:r>
      <w:r w:rsidR="0083206A">
        <w:rPr>
          <w:color w:val="000000" w:themeColor="text1"/>
          <w:szCs w:val="24"/>
        </w:rPr>
        <w:tab/>
        <w:t>(1)</w:t>
      </w:r>
    </w:p>
    <w:p w14:paraId="03CF9C38" w14:textId="77777777" w:rsidR="00506111" w:rsidRPr="00506111" w:rsidRDefault="00506111" w:rsidP="00AC7D6B">
      <w:pPr>
        <w:pStyle w:val="BodyText"/>
        <w:spacing w:line="240" w:lineRule="auto"/>
        <w:jc w:val="both"/>
        <w:rPr>
          <w:color w:val="000000" w:themeColor="text1"/>
          <w:szCs w:val="24"/>
        </w:rPr>
      </w:pPr>
    </w:p>
    <w:p w14:paraId="02609C85" w14:textId="4EAC658B" w:rsidR="00A707B4" w:rsidRPr="00506111" w:rsidRDefault="008A5D1A" w:rsidP="00AC7D6B">
      <w:pPr>
        <w:pStyle w:val="BodyText"/>
        <w:spacing w:line="240" w:lineRule="auto"/>
        <w:jc w:val="both"/>
        <w:rPr>
          <w:color w:val="000000" w:themeColor="text1"/>
          <w:szCs w:val="24"/>
        </w:rPr>
      </w:pPr>
      <w:r>
        <w:rPr>
          <w:color w:val="000000" w:themeColor="text1"/>
          <w:szCs w:val="24"/>
        </w:rPr>
        <w:t>where</w:t>
      </w:r>
      <w:r w:rsidR="00363FE5" w:rsidRPr="00506111">
        <w:rPr>
          <w:color w:val="000000" w:themeColor="text1"/>
          <w:szCs w:val="24"/>
        </w:rPr>
        <w:t xml:space="preserve"> </w:t>
      </w:r>
      <m:oMath>
        <m:sSub>
          <m:sSubPr>
            <m:ctrlPr>
              <w:rPr>
                <w:rFonts w:ascii="Cambria Math" w:hAnsi="Cambria Math"/>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ijt</m:t>
            </m:r>
          </m:sub>
        </m:sSub>
      </m:oMath>
      <w:r w:rsidR="00363FE5" w:rsidRPr="00506111">
        <w:rPr>
          <w:color w:val="000000" w:themeColor="text1"/>
          <w:szCs w:val="24"/>
        </w:rPr>
        <w:t xml:space="preserve"> </w:t>
      </w:r>
      <w:r w:rsidRPr="008A5D1A">
        <w:rPr>
          <w:color w:val="000000" w:themeColor="text1"/>
          <w:szCs w:val="24"/>
        </w:rPr>
        <w:t xml:space="preserve">represents actual </w:t>
      </w:r>
      <w:r w:rsidR="00031A21">
        <w:rPr>
          <w:color w:val="000000" w:themeColor="text1"/>
          <w:szCs w:val="24"/>
        </w:rPr>
        <w:t>export</w:t>
      </w:r>
      <w:r w:rsidRPr="008A5D1A">
        <w:rPr>
          <w:color w:val="000000" w:themeColor="text1"/>
          <w:szCs w:val="24"/>
        </w:rPr>
        <w:t xml:space="preserve"> from the country</w:t>
      </w:r>
      <w:r w:rsidR="00363FE5" w:rsidRPr="00506111">
        <w:rPr>
          <w:color w:val="000000" w:themeColor="text1"/>
          <w:szCs w:val="24"/>
        </w:rPr>
        <w:t xml:space="preserve"> (i) </w:t>
      </w:r>
      <w:r w:rsidRPr="008A5D1A">
        <w:rPr>
          <w:color w:val="000000" w:themeColor="text1"/>
          <w:szCs w:val="24"/>
        </w:rPr>
        <w:t>to importing country</w:t>
      </w:r>
      <w:r w:rsidR="00363FE5" w:rsidRPr="00506111">
        <w:rPr>
          <w:color w:val="000000" w:themeColor="text1"/>
          <w:szCs w:val="24"/>
        </w:rPr>
        <w:t xml:space="preserve"> (j). </w:t>
      </w:r>
      <m:oMath>
        <m:r>
          <w:rPr>
            <w:rFonts w:ascii="Cambria Math" w:hAnsi="Cambria Math"/>
            <w:color w:val="000000" w:themeColor="text1"/>
            <w:szCs w:val="24"/>
          </w:rPr>
          <m:t>f</m:t>
        </m:r>
        <m:r>
          <m:rPr>
            <m:sty m:val="p"/>
          </m:rPr>
          <w:rPr>
            <w:rFonts w:ascii="Cambria Math" w:hAnsi="Cambria Math"/>
            <w:color w:val="000000" w:themeColor="text1"/>
            <w:szCs w:val="24"/>
          </w:rPr>
          <m:t>(</m:t>
        </m:r>
        <m:sSub>
          <m:sSubPr>
            <m:ctrlPr>
              <w:rPr>
                <w:rFonts w:ascii="Cambria Math" w:hAnsi="Cambria Math"/>
                <w:color w:val="000000" w:themeColor="text1"/>
                <w:szCs w:val="24"/>
              </w:rPr>
            </m:ctrlPr>
          </m:sSubPr>
          <m:e>
            <m:r>
              <w:rPr>
                <w:rFonts w:ascii="Cambria Math" w:hAnsi="Cambria Math"/>
                <w:color w:val="000000" w:themeColor="text1"/>
                <w:szCs w:val="24"/>
              </w:rPr>
              <m:t>Y</m:t>
            </m:r>
          </m:e>
          <m:sub>
            <m:r>
              <w:rPr>
                <w:rFonts w:ascii="Cambria Math" w:hAnsi="Cambria Math"/>
                <w:color w:val="000000" w:themeColor="text1"/>
                <w:szCs w:val="24"/>
              </w:rPr>
              <m:t>ijt</m:t>
            </m:r>
          </m:sub>
        </m:sSub>
        <m:r>
          <m:rPr>
            <m:sty m:val="p"/>
          </m:rPr>
          <w:rPr>
            <w:rFonts w:ascii="Cambria Math" w:hAnsi="Cambria Math"/>
            <w:color w:val="000000" w:themeColor="text1"/>
            <w:szCs w:val="24"/>
          </w:rPr>
          <m:t>,</m:t>
        </m:r>
        <m:r>
          <w:rPr>
            <w:rFonts w:ascii="Cambria Math" w:hAnsi="Cambria Math"/>
            <w:color w:val="000000" w:themeColor="text1"/>
            <w:szCs w:val="24"/>
          </w:rPr>
          <m:t>β</m:t>
        </m:r>
        <m:r>
          <m:rPr>
            <m:sty m:val="p"/>
          </m:rPr>
          <w:rPr>
            <w:rFonts w:ascii="Cambria Math" w:hAnsi="Cambria Math"/>
            <w:color w:val="000000" w:themeColor="text1"/>
            <w:szCs w:val="24"/>
          </w:rPr>
          <m:t>)</m:t>
        </m:r>
      </m:oMath>
      <w:r w:rsidR="00363FE5" w:rsidRPr="00506111">
        <w:rPr>
          <w:color w:val="000000" w:themeColor="text1"/>
          <w:szCs w:val="24"/>
        </w:rPr>
        <w:t xml:space="preserve"> </w:t>
      </w:r>
      <w:r w:rsidRPr="008A5D1A">
        <w:rPr>
          <w:color w:val="000000" w:themeColor="text1"/>
          <w:szCs w:val="24"/>
        </w:rPr>
        <w:t>is the export determining function</w:t>
      </w:r>
      <w:r>
        <w:rPr>
          <w:color w:val="000000" w:themeColor="text1"/>
          <w:szCs w:val="24"/>
        </w:rPr>
        <w:t xml:space="preserve"> </w:t>
      </w:r>
      <m:oMath>
        <m:r>
          <m:rPr>
            <m:sty m:val="p"/>
          </m:rPr>
          <w:rPr>
            <w:rFonts w:ascii="Cambria Math" w:hAnsi="Cambria Math"/>
            <w:color w:val="000000" w:themeColor="text1"/>
            <w:szCs w:val="24"/>
          </w:rPr>
          <m:t>(</m:t>
        </m:r>
        <m:sSub>
          <m:sSubPr>
            <m:ctrlPr>
              <w:rPr>
                <w:rFonts w:ascii="Cambria Math" w:hAnsi="Cambria Math"/>
                <w:color w:val="000000" w:themeColor="text1"/>
                <w:szCs w:val="24"/>
              </w:rPr>
            </m:ctrlPr>
          </m:sSubPr>
          <m:e>
            <m:r>
              <w:rPr>
                <w:rFonts w:ascii="Cambria Math" w:hAnsi="Cambria Math"/>
                <w:color w:val="000000" w:themeColor="text1"/>
                <w:szCs w:val="24"/>
              </w:rPr>
              <m:t>Y</m:t>
            </m:r>
          </m:e>
          <m:sub>
            <m:r>
              <w:rPr>
                <w:rFonts w:ascii="Cambria Math" w:hAnsi="Cambria Math"/>
                <w:color w:val="000000" w:themeColor="text1"/>
                <w:szCs w:val="24"/>
              </w:rPr>
              <m:t>ijt</m:t>
            </m:r>
          </m:sub>
        </m:sSub>
        <m:r>
          <m:rPr>
            <m:sty m:val="p"/>
          </m:rPr>
          <w:rPr>
            <w:rFonts w:ascii="Cambria Math" w:hAnsi="Cambria Math"/>
            <w:color w:val="000000" w:themeColor="text1"/>
            <w:szCs w:val="24"/>
          </w:rPr>
          <m:t>)</m:t>
        </m:r>
      </m:oMath>
      <w:r>
        <w:rPr>
          <w:color w:val="000000" w:themeColor="text1"/>
          <w:szCs w:val="24"/>
        </w:rPr>
        <w:t>, and</w:t>
      </w:r>
      <w:r w:rsidR="008A38CA" w:rsidRPr="00506111">
        <w:rPr>
          <w:color w:val="000000" w:themeColor="text1"/>
          <w:szCs w:val="24"/>
        </w:rPr>
        <w:t xml:space="preserve"> </w:t>
      </w:r>
      <m:oMath>
        <m:r>
          <w:rPr>
            <w:rFonts w:ascii="Cambria Math" w:hAnsi="Cambria Math"/>
            <w:color w:val="000000" w:themeColor="text1"/>
            <w:szCs w:val="24"/>
          </w:rPr>
          <m:t>β</m:t>
        </m:r>
      </m:oMath>
      <w:r w:rsidR="008A38CA" w:rsidRPr="00506111">
        <w:rPr>
          <w:color w:val="000000" w:themeColor="text1"/>
          <w:szCs w:val="24"/>
        </w:rPr>
        <w:t xml:space="preserve"> </w:t>
      </w:r>
      <w:r w:rsidR="00D42133" w:rsidRPr="00D42133">
        <w:rPr>
          <w:color w:val="000000" w:themeColor="text1"/>
          <w:szCs w:val="24"/>
        </w:rPr>
        <w:t>is</w:t>
      </w:r>
      <w:r w:rsidR="00D42133">
        <w:rPr>
          <w:color w:val="000000" w:themeColor="text1"/>
          <w:szCs w:val="24"/>
        </w:rPr>
        <w:t xml:space="preserve"> a vector of unknown parameters</w:t>
      </w:r>
      <w:r w:rsidR="00363FE5" w:rsidRPr="00506111">
        <w:rPr>
          <w:color w:val="000000" w:themeColor="text1"/>
          <w:szCs w:val="24"/>
        </w:rPr>
        <w:t xml:space="preserve">. </w:t>
      </w:r>
      <w:r w:rsidR="00D42133" w:rsidRPr="00D42133">
        <w:rPr>
          <w:color w:val="000000" w:themeColor="text1"/>
          <w:szCs w:val="24"/>
        </w:rPr>
        <w:t>The error term</w:t>
      </w:r>
      <w:r w:rsidR="00D42133">
        <w:rPr>
          <w:color w:val="000000" w:themeColor="text1"/>
          <w:szCs w:val="24"/>
        </w:rPr>
        <w:t xml:space="preserve"> </w:t>
      </w:r>
      <m:oMath>
        <m:sSub>
          <m:sSubPr>
            <m:ctrlPr>
              <w:rPr>
                <w:rFonts w:ascii="Cambria Math" w:hAnsi="Cambria Math"/>
                <w:color w:val="000000" w:themeColor="text1"/>
                <w:szCs w:val="24"/>
              </w:rPr>
            </m:ctrlPr>
          </m:sSubPr>
          <m:e>
            <m:r>
              <w:rPr>
                <w:rFonts w:ascii="Cambria Math" w:hAnsi="Cambria Math"/>
                <w:color w:val="000000" w:themeColor="text1"/>
                <w:szCs w:val="24"/>
              </w:rPr>
              <m:t>U</m:t>
            </m:r>
          </m:e>
          <m:sub>
            <m:r>
              <w:rPr>
                <w:rFonts w:ascii="Cambria Math" w:hAnsi="Cambria Math"/>
                <w:color w:val="000000" w:themeColor="text1"/>
                <w:szCs w:val="24"/>
              </w:rPr>
              <m:t>ijt</m:t>
            </m:r>
          </m:sub>
        </m:sSub>
      </m:oMath>
      <w:r w:rsidR="008A38CA" w:rsidRPr="00506111">
        <w:rPr>
          <w:color w:val="000000" w:themeColor="text1"/>
          <w:szCs w:val="24"/>
        </w:rPr>
        <w:t xml:space="preserve"> </w:t>
      </w:r>
      <w:r w:rsidR="00D42133" w:rsidRPr="00D42133">
        <w:rPr>
          <w:color w:val="000000" w:themeColor="text1"/>
          <w:szCs w:val="24"/>
        </w:rPr>
        <w:t xml:space="preserve">is the economic distance caused by the influence of trade restrictions of the importing country (Anderson, 1979). Economic distance is the difference between actual and potential </w:t>
      </w:r>
      <w:r w:rsidR="00031A21">
        <w:rPr>
          <w:color w:val="000000" w:themeColor="text1"/>
          <w:szCs w:val="24"/>
        </w:rPr>
        <w:t>export</w:t>
      </w:r>
      <w:r w:rsidR="00D42133" w:rsidRPr="00D42133">
        <w:rPr>
          <w:color w:val="000000" w:themeColor="text1"/>
          <w:szCs w:val="24"/>
        </w:rPr>
        <w:t xml:space="preserve"> between two countries. The value of</w:t>
      </w:r>
      <w:r w:rsidR="00D42133">
        <w:rPr>
          <w:color w:val="000000" w:themeColor="text1"/>
          <w:szCs w:val="24"/>
        </w:rPr>
        <w:t xml:space="preserve"> </w:t>
      </w:r>
      <m:oMath>
        <m:sSub>
          <m:sSubPr>
            <m:ctrlPr>
              <w:rPr>
                <w:rFonts w:ascii="Cambria Math" w:hAnsi="Cambria Math"/>
                <w:color w:val="000000" w:themeColor="text1"/>
                <w:szCs w:val="24"/>
              </w:rPr>
            </m:ctrlPr>
          </m:sSubPr>
          <m:e>
            <m:r>
              <w:rPr>
                <w:rFonts w:ascii="Cambria Math" w:hAnsi="Cambria Math"/>
                <w:color w:val="000000" w:themeColor="text1"/>
                <w:szCs w:val="24"/>
              </w:rPr>
              <m:t>U</m:t>
            </m:r>
          </m:e>
          <m:sub>
            <m:r>
              <w:rPr>
                <w:rFonts w:ascii="Cambria Math" w:hAnsi="Cambria Math"/>
                <w:color w:val="000000" w:themeColor="text1"/>
                <w:szCs w:val="24"/>
              </w:rPr>
              <m:t>ijt</m:t>
            </m:r>
          </m:sub>
        </m:sSub>
      </m:oMath>
      <w:r w:rsidR="00A707B4" w:rsidRPr="00506111">
        <w:rPr>
          <w:color w:val="000000" w:themeColor="text1"/>
          <w:szCs w:val="24"/>
        </w:rPr>
        <w:t xml:space="preserve"> </w:t>
      </w:r>
      <w:r w:rsidR="00D42133" w:rsidRPr="00D42133">
        <w:rPr>
          <w:color w:val="000000" w:themeColor="text1"/>
          <w:szCs w:val="24"/>
        </w:rPr>
        <w:t>ranges from 0 to 1, and</w:t>
      </w:r>
      <w:r w:rsidR="00D42133">
        <w:rPr>
          <w:color w:val="000000" w:themeColor="text1"/>
          <w:szCs w:val="24"/>
        </w:rPr>
        <w:t xml:space="preserve"> </w:t>
      </w:r>
      <m:oMath>
        <m:sSub>
          <m:sSubPr>
            <m:ctrlPr>
              <w:rPr>
                <w:rFonts w:ascii="Cambria Math" w:hAnsi="Cambria Math"/>
                <w:color w:val="000000" w:themeColor="text1"/>
                <w:szCs w:val="24"/>
              </w:rPr>
            </m:ctrlPr>
          </m:sSubPr>
          <m:e>
            <m:r>
              <w:rPr>
                <w:rFonts w:ascii="Cambria Math" w:hAnsi="Cambria Math"/>
                <w:color w:val="000000" w:themeColor="text1"/>
                <w:szCs w:val="24"/>
              </w:rPr>
              <m:t>U</m:t>
            </m:r>
          </m:e>
          <m:sub>
            <m:r>
              <w:rPr>
                <w:rFonts w:ascii="Cambria Math" w:hAnsi="Cambria Math"/>
                <w:color w:val="000000" w:themeColor="text1"/>
                <w:szCs w:val="24"/>
              </w:rPr>
              <m:t>ijt</m:t>
            </m:r>
          </m:sub>
        </m:sSub>
      </m:oMath>
      <w:r w:rsidR="00A707B4" w:rsidRPr="00506111">
        <w:rPr>
          <w:color w:val="000000" w:themeColor="text1"/>
          <w:szCs w:val="24"/>
        </w:rPr>
        <w:t xml:space="preserve"> </w:t>
      </w:r>
      <w:r w:rsidR="00D42133" w:rsidRPr="00D42133">
        <w:rPr>
          <w:color w:val="000000" w:themeColor="text1"/>
          <w:szCs w:val="24"/>
        </w:rPr>
        <w:t>is assumed to be semi-normally distributed</w:t>
      </w:r>
      <w:r w:rsidR="00A707B4" w:rsidRPr="00506111">
        <w:rPr>
          <w:color w:val="000000" w:themeColor="text1"/>
          <w:szCs w:val="24"/>
        </w:rPr>
        <w:t xml:space="preserve">. </w:t>
      </w:r>
    </w:p>
    <w:p w14:paraId="1F4857F3" w14:textId="5E1EAC04" w:rsidR="00D57E04" w:rsidRDefault="00E418BE" w:rsidP="00AC7D6B">
      <w:pPr>
        <w:pStyle w:val="BodyText"/>
        <w:spacing w:line="240" w:lineRule="auto"/>
        <w:jc w:val="both"/>
        <w:rPr>
          <w:color w:val="000000" w:themeColor="text1"/>
          <w:szCs w:val="24"/>
        </w:rPr>
      </w:pPr>
      <w:r w:rsidRPr="00506111">
        <w:rPr>
          <w:color w:val="000000" w:themeColor="text1"/>
          <w:szCs w:val="24"/>
        </w:rPr>
        <w:tab/>
      </w:r>
      <w:r w:rsidR="00D42133" w:rsidRPr="00D42133">
        <w:rPr>
          <w:color w:val="000000" w:themeColor="text1"/>
          <w:szCs w:val="24"/>
        </w:rPr>
        <w:t xml:space="preserve">Measuring export performance (efficiency) is the same as measuring the firm's production performance. A firm is at its best when operating on the optimal production frontier. This situation shows that the firm achieves economic efficiency, known as technical efficiency (Kalirajan &amp; Shand, 1999). Similarly, a country is said to achieve optimal export potential when it operates on the most efficient border. It means that export potential is achieved when there is less resistance to trade (Drysdale et al., 2000; Kalirajan, 2000; Armstrong &amp; Kalirajan, 2008). This situation means the maximum possible export value can be achieved using the most open (most efficient) trade policy. Therefore, the determination of export performance (achieved economic export efficiency) with the ratio of actual </w:t>
      </w:r>
      <w:r w:rsidR="00031A21">
        <w:rPr>
          <w:color w:val="000000" w:themeColor="text1"/>
          <w:szCs w:val="24"/>
        </w:rPr>
        <w:t>export</w:t>
      </w:r>
      <w:r w:rsidR="00D42133" w:rsidRPr="00D42133">
        <w:rPr>
          <w:color w:val="000000" w:themeColor="text1"/>
          <w:szCs w:val="24"/>
        </w:rPr>
        <w:t xml:space="preserve"> to export potential as the following equation;</w:t>
      </w:r>
    </w:p>
    <w:p w14:paraId="74DEA525" w14:textId="77777777" w:rsidR="00201D61" w:rsidRPr="00506111" w:rsidRDefault="00201D61" w:rsidP="00AC7D6B">
      <w:pPr>
        <w:pStyle w:val="BodyText"/>
        <w:spacing w:line="240" w:lineRule="auto"/>
        <w:jc w:val="both"/>
        <w:rPr>
          <w:color w:val="000000" w:themeColor="text1"/>
          <w:szCs w:val="24"/>
        </w:rPr>
      </w:pPr>
    </w:p>
    <w:p w14:paraId="2BFCA03F" w14:textId="7CD6DE06" w:rsidR="00D57E04" w:rsidRPr="00506111" w:rsidRDefault="00665EE5" w:rsidP="00AC7D6B">
      <w:pPr>
        <w:pStyle w:val="BodyText"/>
        <w:spacing w:line="240" w:lineRule="auto"/>
        <w:ind w:firstLine="2268"/>
        <w:jc w:val="both"/>
        <w:rPr>
          <w:color w:val="000000" w:themeColor="text1"/>
          <w:szCs w:val="24"/>
        </w:rPr>
      </w:pPr>
      <m:oMath>
        <m:r>
          <w:rPr>
            <w:rFonts w:ascii="Cambria Math" w:hAnsi="Cambria Math"/>
            <w:color w:val="000000" w:themeColor="text1"/>
            <w:szCs w:val="24"/>
          </w:rPr>
          <m:t>TEX=</m:t>
        </m:r>
        <m:f>
          <m:fPr>
            <m:ctrlPr>
              <w:rPr>
                <w:rFonts w:ascii="Cambria Math" w:hAnsi="Cambria Math"/>
                <w:i/>
                <w:color w:val="000000" w:themeColor="text1"/>
                <w:szCs w:val="24"/>
              </w:rPr>
            </m:ctrlPr>
          </m:fPr>
          <m:num>
            <m:r>
              <w:rPr>
                <w:rFonts w:ascii="Cambria Math" w:hAnsi="Cambria Math"/>
                <w:color w:val="000000" w:themeColor="text1"/>
                <w:szCs w:val="24"/>
              </w:rPr>
              <m:t>f(</m:t>
            </m:r>
            <m:sSub>
              <m:sSubPr>
                <m:ctrlPr>
                  <w:rPr>
                    <w:rFonts w:ascii="Cambria Math" w:hAnsi="Cambria Math"/>
                    <w:i/>
                    <w:color w:val="000000" w:themeColor="text1"/>
                    <w:szCs w:val="24"/>
                  </w:rPr>
                </m:ctrlPr>
              </m:sSubPr>
              <m:e>
                <m:sSub>
                  <m:sSubPr>
                    <m:ctrlPr>
                      <w:rPr>
                        <w:rFonts w:ascii="Cambria Math" w:hAnsi="Cambria Math"/>
                        <w:i/>
                        <w:color w:val="000000" w:themeColor="text1"/>
                        <w:szCs w:val="24"/>
                      </w:rPr>
                    </m:ctrlPr>
                  </m:sSubPr>
                  <m:e>
                    <m:r>
                      <w:rPr>
                        <w:rFonts w:ascii="Cambria Math" w:hAnsi="Cambria Math"/>
                        <w:color w:val="000000" w:themeColor="text1"/>
                        <w:szCs w:val="24"/>
                      </w:rPr>
                      <m:t>Y</m:t>
                    </m:r>
                  </m:e>
                  <m:sub>
                    <m:r>
                      <w:rPr>
                        <w:rFonts w:ascii="Cambria Math" w:hAnsi="Cambria Math"/>
                        <w:color w:val="000000" w:themeColor="text1"/>
                        <w:szCs w:val="24"/>
                      </w:rPr>
                      <m:t>ijt,</m:t>
                    </m:r>
                  </m:sub>
                </m:sSub>
                <m:r>
                  <w:rPr>
                    <w:rFonts w:ascii="Cambria Math" w:hAnsi="Cambria Math"/>
                    <w:color w:val="000000" w:themeColor="text1"/>
                    <w:szCs w:val="24"/>
                  </w:rPr>
                  <m:t xml:space="preserve">β) </m:t>
                </m:r>
                <m:r>
                  <m:rPr>
                    <m:sty m:val="p"/>
                  </m:rPr>
                  <w:rPr>
                    <w:rFonts w:ascii="Cambria Math" w:hAnsi="Cambria Math"/>
                    <w:color w:val="000000" w:themeColor="text1"/>
                    <w:szCs w:val="24"/>
                  </w:rPr>
                  <m:t>exp⁡</m:t>
                </m:r>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v</m:t>
                    </m:r>
                  </m:e>
                  <m:sub>
                    <m:r>
                      <w:rPr>
                        <w:rFonts w:ascii="Cambria Math" w:hAnsi="Cambria Math"/>
                        <w:color w:val="000000" w:themeColor="text1"/>
                        <w:szCs w:val="24"/>
                      </w:rPr>
                      <m:t>ijt</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u</m:t>
                    </m:r>
                  </m:e>
                  <m:sub>
                    <m:r>
                      <w:rPr>
                        <w:rFonts w:ascii="Cambria Math" w:hAnsi="Cambria Math"/>
                        <w:color w:val="000000" w:themeColor="text1"/>
                        <w:szCs w:val="24"/>
                      </w:rPr>
                      <m:t>ijt</m:t>
                    </m:r>
                  </m:sub>
                </m:sSub>
                <m:r>
                  <w:rPr>
                    <w:rFonts w:ascii="Cambria Math" w:hAnsi="Cambria Math"/>
                    <w:color w:val="000000" w:themeColor="text1"/>
                    <w:szCs w:val="24"/>
                  </w:rPr>
                  <m:t>)</m:t>
                </m:r>
              </m:e>
              <m:sub>
                <m:r>
                  <w:rPr>
                    <w:rFonts w:ascii="Cambria Math" w:hAnsi="Cambria Math"/>
                    <w:color w:val="000000" w:themeColor="text1"/>
                    <w:szCs w:val="24"/>
                  </w:rPr>
                  <m:t xml:space="preserve"> </m:t>
                </m:r>
              </m:sub>
            </m:sSub>
          </m:num>
          <m:den>
            <m:r>
              <w:rPr>
                <w:rFonts w:ascii="Cambria Math" w:hAnsi="Cambria Math"/>
                <w:color w:val="000000" w:themeColor="text1"/>
                <w:szCs w:val="24"/>
              </w:rPr>
              <m:t>f</m:t>
            </m:r>
            <m:d>
              <m:dPr>
                <m:ctrlPr>
                  <w:rPr>
                    <w:rFonts w:ascii="Cambria Math" w:hAnsi="Cambria Math"/>
                    <w:i/>
                    <w:color w:val="000000" w:themeColor="text1"/>
                    <w:szCs w:val="24"/>
                  </w:rPr>
                </m:ctrlPr>
              </m:dPr>
              <m:e>
                <m:r>
                  <w:rPr>
                    <w:rFonts w:ascii="Cambria Math" w:hAnsi="Cambria Math"/>
                    <w:color w:val="000000" w:themeColor="text1"/>
                    <w:szCs w:val="24"/>
                  </w:rPr>
                  <m:t>T;β</m:t>
                </m:r>
              </m:e>
            </m:d>
            <m:r>
              <m:rPr>
                <m:sty m:val="p"/>
              </m:rPr>
              <w:rPr>
                <w:rFonts w:ascii="Cambria Math" w:hAnsi="Cambria Math"/>
                <w:color w:val="000000" w:themeColor="text1"/>
                <w:szCs w:val="24"/>
              </w:rPr>
              <m:t>exp⁡</m:t>
            </m:r>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v</m:t>
                </m:r>
              </m:e>
              <m:sub>
                <m:r>
                  <w:rPr>
                    <w:rFonts w:ascii="Cambria Math" w:hAnsi="Cambria Math"/>
                    <w:color w:val="000000" w:themeColor="text1"/>
                    <w:szCs w:val="24"/>
                  </w:rPr>
                  <m:t>ijt)</m:t>
                </m:r>
              </m:sub>
            </m:sSub>
          </m:den>
        </m:f>
        <m:r>
          <w:rPr>
            <w:rFonts w:ascii="Cambria Math" w:hAnsi="Cambria Math"/>
            <w:color w:val="000000" w:themeColor="text1"/>
            <w:szCs w:val="24"/>
          </w:rPr>
          <m:t>=</m:t>
        </m:r>
        <m:sSup>
          <m:sSupPr>
            <m:ctrlPr>
              <w:rPr>
                <w:rFonts w:ascii="Cambria Math" w:hAnsi="Cambria Math"/>
                <w:color w:val="000000" w:themeColor="text1"/>
                <w:szCs w:val="24"/>
              </w:rPr>
            </m:ctrlPr>
          </m:sSupPr>
          <m:e>
            <m:r>
              <m:rPr>
                <m:sty m:val="p"/>
              </m:rPr>
              <w:rPr>
                <w:rFonts w:ascii="Cambria Math" w:hAnsi="Cambria Math"/>
                <w:color w:val="000000" w:themeColor="text1"/>
                <w:szCs w:val="24"/>
              </w:rPr>
              <m:t>exp</m:t>
            </m:r>
          </m:e>
          <m:sup>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u</m:t>
                </m:r>
              </m:e>
              <m:sub>
                <m:r>
                  <w:rPr>
                    <w:rFonts w:ascii="Cambria Math" w:hAnsi="Cambria Math"/>
                    <w:color w:val="000000" w:themeColor="text1"/>
                    <w:szCs w:val="24"/>
                  </w:rPr>
                  <m:t>ijt</m:t>
                </m:r>
              </m:sub>
            </m:sSub>
            <m:r>
              <m:rPr>
                <m:sty m:val="p"/>
              </m:rPr>
              <w:rPr>
                <w:rFonts w:ascii="Cambria Math" w:hAnsi="Cambria Math"/>
                <w:color w:val="000000" w:themeColor="text1"/>
                <w:szCs w:val="24"/>
              </w:rPr>
              <m:t>)</m:t>
            </m:r>
          </m:sup>
        </m:sSup>
        <m:r>
          <m:rPr>
            <m:sty m:val="p"/>
          </m:rPr>
          <w:rPr>
            <w:rFonts w:ascii="Cambria Math" w:hAnsi="Cambria Math"/>
            <w:color w:val="000000" w:themeColor="text1"/>
            <w:szCs w:val="24"/>
          </w:rPr>
          <m:t>⁡</m:t>
        </m:r>
      </m:oMath>
      <w:r w:rsidR="0083206A">
        <w:rPr>
          <w:color w:val="000000" w:themeColor="text1"/>
          <w:szCs w:val="24"/>
        </w:rPr>
        <w:tab/>
      </w:r>
      <w:r w:rsidR="0083206A">
        <w:rPr>
          <w:color w:val="000000" w:themeColor="text1"/>
          <w:szCs w:val="24"/>
        </w:rPr>
        <w:tab/>
      </w:r>
      <w:r w:rsidR="0083206A">
        <w:rPr>
          <w:color w:val="000000" w:themeColor="text1"/>
          <w:szCs w:val="24"/>
        </w:rPr>
        <w:tab/>
      </w:r>
      <w:r w:rsidR="0083206A">
        <w:rPr>
          <w:color w:val="000000" w:themeColor="text1"/>
          <w:szCs w:val="24"/>
        </w:rPr>
        <w:tab/>
        <w:t>(2)</w:t>
      </w:r>
    </w:p>
    <w:p w14:paraId="4E21BDAC" w14:textId="77777777" w:rsidR="00955967" w:rsidRDefault="00955967" w:rsidP="00AC7D6B">
      <w:pPr>
        <w:pStyle w:val="BodyText"/>
        <w:spacing w:line="240" w:lineRule="auto"/>
        <w:jc w:val="both"/>
        <w:rPr>
          <w:color w:val="000000" w:themeColor="text1"/>
          <w:szCs w:val="24"/>
        </w:rPr>
      </w:pPr>
    </w:p>
    <w:p w14:paraId="3CF54AD8" w14:textId="6FC5AE62" w:rsidR="00955967" w:rsidRPr="00B0127E" w:rsidRDefault="00201D61" w:rsidP="00AC7D6B">
      <w:pPr>
        <w:pStyle w:val="BodyText"/>
        <w:spacing w:line="240" w:lineRule="auto"/>
        <w:jc w:val="both"/>
        <w:rPr>
          <w:szCs w:val="24"/>
        </w:rPr>
      </w:pPr>
      <w:r w:rsidRPr="00201D61">
        <w:rPr>
          <w:szCs w:val="24"/>
        </w:rPr>
        <w:t xml:space="preserve">The advantages of the GSFM analysis estimation method are as follows: First, the method can estimate factors affecting </w:t>
      </w:r>
      <w:r w:rsidR="00031A21">
        <w:rPr>
          <w:szCs w:val="24"/>
        </w:rPr>
        <w:t>export</w:t>
      </w:r>
      <w:r w:rsidRPr="00201D61">
        <w:rPr>
          <w:szCs w:val="24"/>
        </w:rPr>
        <w:t xml:space="preserve"> and, at the same time, estimate export efficiency. Second, this method has two errors: sampling and inefficiency. The inefficiency error describes the gap between the optimal and actual </w:t>
      </w:r>
      <w:r w:rsidR="00031A21">
        <w:rPr>
          <w:szCs w:val="24"/>
        </w:rPr>
        <w:t>export</w:t>
      </w:r>
      <w:r w:rsidRPr="00201D61">
        <w:rPr>
          <w:szCs w:val="24"/>
        </w:rPr>
        <w:t xml:space="preserve">. It shows the extent to which </w:t>
      </w:r>
      <w:r w:rsidR="00031A21">
        <w:rPr>
          <w:szCs w:val="24"/>
        </w:rPr>
        <w:t>export</w:t>
      </w:r>
      <w:r w:rsidRPr="00201D61">
        <w:rPr>
          <w:szCs w:val="24"/>
        </w:rPr>
        <w:t xml:space="preserve"> can be achieved due to the effects of trade constraints.</w:t>
      </w:r>
    </w:p>
    <w:p w14:paraId="3A3D381B" w14:textId="77777777" w:rsidR="00D26033" w:rsidRPr="00B0127E" w:rsidRDefault="00D26033" w:rsidP="00AC7D6B">
      <w:pPr>
        <w:pStyle w:val="BodyText"/>
        <w:spacing w:line="240" w:lineRule="auto"/>
        <w:jc w:val="both"/>
        <w:rPr>
          <w:b/>
          <w:szCs w:val="24"/>
        </w:rPr>
      </w:pPr>
    </w:p>
    <w:p w14:paraId="5881BFFC" w14:textId="4F34B474" w:rsidR="00D57E04" w:rsidRPr="00AC7D6B" w:rsidRDefault="00201D61" w:rsidP="00AC7D6B">
      <w:pPr>
        <w:pStyle w:val="BodyText"/>
        <w:spacing w:line="240" w:lineRule="auto"/>
        <w:jc w:val="both"/>
        <w:rPr>
          <w:i/>
          <w:color w:val="000000" w:themeColor="text1"/>
          <w:szCs w:val="24"/>
        </w:rPr>
      </w:pPr>
      <w:r w:rsidRPr="00AC7D6B">
        <w:rPr>
          <w:i/>
          <w:color w:val="000000" w:themeColor="text1"/>
          <w:szCs w:val="24"/>
        </w:rPr>
        <w:t>Data sources</w:t>
      </w:r>
    </w:p>
    <w:p w14:paraId="58DBAC3B" w14:textId="23CA315F" w:rsidR="00363FE5" w:rsidRPr="00506111" w:rsidRDefault="00363FE5" w:rsidP="00AC7D6B">
      <w:pPr>
        <w:pStyle w:val="BodyText"/>
        <w:spacing w:line="240" w:lineRule="auto"/>
        <w:jc w:val="both"/>
        <w:rPr>
          <w:color w:val="000000" w:themeColor="text1"/>
          <w:sz w:val="28"/>
          <w:szCs w:val="28"/>
        </w:rPr>
      </w:pPr>
    </w:p>
    <w:p w14:paraId="731B9B08" w14:textId="4AFC4A83" w:rsidR="009A1EEA" w:rsidRDefault="00201D61" w:rsidP="00AC7D6B">
      <w:pPr>
        <w:pStyle w:val="BodyText"/>
        <w:spacing w:line="240" w:lineRule="auto"/>
        <w:jc w:val="both"/>
        <w:rPr>
          <w:color w:val="FF0000"/>
          <w:szCs w:val="24"/>
        </w:rPr>
      </w:pPr>
      <w:r w:rsidRPr="00201D61">
        <w:rPr>
          <w:color w:val="000000" w:themeColor="text1"/>
          <w:szCs w:val="24"/>
        </w:rPr>
        <w:t xml:space="preserve">This study uses annual panel data of five bilateral trading partners of </w:t>
      </w:r>
      <w:r w:rsidR="005F587A">
        <w:rPr>
          <w:color w:val="000000" w:themeColor="text1"/>
          <w:szCs w:val="24"/>
        </w:rPr>
        <w:t>Malaysian</w:t>
      </w:r>
      <w:r w:rsidRPr="00201D61">
        <w:rPr>
          <w:color w:val="000000" w:themeColor="text1"/>
          <w:szCs w:val="24"/>
        </w:rPr>
        <w:t xml:space="preserve"> </w:t>
      </w:r>
      <w:r w:rsidR="00995A09">
        <w:rPr>
          <w:color w:val="000000" w:themeColor="text1"/>
          <w:szCs w:val="24"/>
        </w:rPr>
        <w:t>palm oil</w:t>
      </w:r>
      <w:r w:rsidRPr="00201D61">
        <w:rPr>
          <w:color w:val="000000" w:themeColor="text1"/>
          <w:szCs w:val="24"/>
        </w:rPr>
        <w:t xml:space="preserve"> </w:t>
      </w:r>
      <w:r w:rsidR="00031A21">
        <w:rPr>
          <w:color w:val="000000" w:themeColor="text1"/>
          <w:szCs w:val="24"/>
        </w:rPr>
        <w:t>export</w:t>
      </w:r>
      <w:r w:rsidRPr="00201D61">
        <w:rPr>
          <w:color w:val="000000" w:themeColor="text1"/>
          <w:szCs w:val="24"/>
        </w:rPr>
        <w:t xml:space="preserve"> from 2000 to 2020. The list of selected trading partner countries is based on their relative importance to </w:t>
      </w:r>
      <w:r w:rsidR="005F587A">
        <w:rPr>
          <w:color w:val="000000" w:themeColor="text1"/>
          <w:szCs w:val="24"/>
        </w:rPr>
        <w:t>Malaysian</w:t>
      </w:r>
      <w:r w:rsidRPr="00201D61">
        <w:rPr>
          <w:color w:val="000000" w:themeColor="text1"/>
          <w:szCs w:val="24"/>
        </w:rPr>
        <w:t xml:space="preserve"> </w:t>
      </w:r>
      <w:r w:rsidR="00995A09">
        <w:rPr>
          <w:color w:val="000000" w:themeColor="text1"/>
          <w:szCs w:val="24"/>
        </w:rPr>
        <w:t>palm oil</w:t>
      </w:r>
      <w:r w:rsidRPr="00201D61">
        <w:rPr>
          <w:color w:val="000000" w:themeColor="text1"/>
          <w:szCs w:val="24"/>
        </w:rPr>
        <w:t xml:space="preserve"> </w:t>
      </w:r>
      <w:r w:rsidR="00031A21">
        <w:rPr>
          <w:color w:val="000000" w:themeColor="text1"/>
          <w:szCs w:val="24"/>
        </w:rPr>
        <w:t>export</w:t>
      </w:r>
      <w:r w:rsidRPr="00201D61">
        <w:rPr>
          <w:color w:val="000000" w:themeColor="text1"/>
          <w:szCs w:val="24"/>
        </w:rPr>
        <w:t xml:space="preserve">. They are China, India, Pakistan, the Netherlands and the </w:t>
      </w:r>
      <w:r w:rsidR="008C371B">
        <w:rPr>
          <w:color w:val="000000" w:themeColor="text1"/>
          <w:szCs w:val="24"/>
        </w:rPr>
        <w:t>US</w:t>
      </w:r>
      <w:r w:rsidRPr="00201D61">
        <w:rPr>
          <w:color w:val="000000" w:themeColor="text1"/>
          <w:szCs w:val="24"/>
        </w:rPr>
        <w:t xml:space="preserve">. Aggregate data on </w:t>
      </w:r>
      <w:r w:rsidR="00995A09">
        <w:rPr>
          <w:color w:val="000000" w:themeColor="text1"/>
          <w:szCs w:val="24"/>
        </w:rPr>
        <w:t>palm oil</w:t>
      </w:r>
      <w:r w:rsidRPr="00201D61">
        <w:rPr>
          <w:color w:val="000000" w:themeColor="text1"/>
          <w:szCs w:val="24"/>
        </w:rPr>
        <w:t xml:space="preserve"> </w:t>
      </w:r>
      <w:r w:rsidR="00031A21">
        <w:rPr>
          <w:color w:val="000000" w:themeColor="text1"/>
          <w:szCs w:val="24"/>
        </w:rPr>
        <w:t>export</w:t>
      </w:r>
      <w:r w:rsidRPr="00201D61">
        <w:rPr>
          <w:color w:val="000000" w:themeColor="text1"/>
          <w:szCs w:val="24"/>
        </w:rPr>
        <w:t xml:space="preserve"> was taken from the Department of Statistics Malaysia (DOSM). Data on </w:t>
      </w:r>
      <w:r w:rsidR="005F587A">
        <w:rPr>
          <w:color w:val="000000" w:themeColor="text1"/>
          <w:szCs w:val="24"/>
        </w:rPr>
        <w:t>Malaysian</w:t>
      </w:r>
      <w:r w:rsidRPr="00201D61">
        <w:rPr>
          <w:color w:val="000000" w:themeColor="text1"/>
          <w:szCs w:val="24"/>
        </w:rPr>
        <w:t xml:space="preserve"> Gross Domestic Product (GDP) and importing countries were from the World Bank. </w:t>
      </w:r>
      <w:r w:rsidR="005F587A">
        <w:rPr>
          <w:color w:val="000000" w:themeColor="text1"/>
          <w:szCs w:val="24"/>
        </w:rPr>
        <w:t>Indonesian</w:t>
      </w:r>
      <w:r w:rsidRPr="00201D61">
        <w:rPr>
          <w:color w:val="000000" w:themeColor="text1"/>
          <w:szCs w:val="24"/>
        </w:rPr>
        <w:t xml:space="preserve"> export data and tariffs were obtained from the Datastream database. The country's two-way foreign exchange rate data was collected from Bank Negara Malaysia, while the distance data was from Globefeed's distance calculator.</w:t>
      </w:r>
    </w:p>
    <w:p w14:paraId="10CE0741" w14:textId="7E97A206" w:rsidR="002F66EB" w:rsidRDefault="00201D61" w:rsidP="00AC7D6B">
      <w:pPr>
        <w:pStyle w:val="BodyText"/>
        <w:spacing w:line="240" w:lineRule="auto"/>
        <w:ind w:firstLine="709"/>
        <w:jc w:val="both"/>
        <w:rPr>
          <w:color w:val="000000" w:themeColor="text1"/>
          <w:szCs w:val="24"/>
        </w:rPr>
      </w:pPr>
      <w:r w:rsidRPr="00201D61">
        <w:rPr>
          <w:color w:val="000000" w:themeColor="text1"/>
          <w:szCs w:val="24"/>
        </w:rPr>
        <w:t>This study adopted the function proposed by Drysdale et al. (2000) and Kalirajan and Finley (2005), GSFM, which can be rewritten as:</w:t>
      </w:r>
    </w:p>
    <w:p w14:paraId="1A2FCA80" w14:textId="77777777" w:rsidR="00201D61" w:rsidRPr="00EE7B21" w:rsidRDefault="00201D61" w:rsidP="00AC7D6B">
      <w:pPr>
        <w:pStyle w:val="BodyText"/>
        <w:spacing w:line="240" w:lineRule="auto"/>
        <w:ind w:firstLine="709"/>
        <w:jc w:val="both"/>
        <w:rPr>
          <w:color w:val="000000" w:themeColor="text1"/>
          <w:szCs w:val="24"/>
        </w:rPr>
      </w:pPr>
    </w:p>
    <w:p w14:paraId="2618F0FC" w14:textId="6E9C4053" w:rsidR="00D67BA0" w:rsidRPr="00EE7B21" w:rsidRDefault="009A1EEA" w:rsidP="00AC7D6B">
      <w:pPr>
        <w:pStyle w:val="BodyText"/>
        <w:spacing w:line="240" w:lineRule="auto"/>
        <w:ind w:left="1701" w:hanging="992"/>
        <w:rPr>
          <w:color w:val="000000" w:themeColor="text1"/>
          <w:szCs w:val="24"/>
        </w:rPr>
      </w:pPr>
      <m:oMath>
        <m:r>
          <w:rPr>
            <w:rFonts w:ascii="Cambria Math" w:hAnsi="Cambria Math"/>
            <w:color w:val="000000" w:themeColor="text1"/>
            <w:szCs w:val="24"/>
          </w:rPr>
          <m:t>ln</m:t>
        </m:r>
        <m:sSub>
          <m:sSubPr>
            <m:ctrlPr>
              <w:rPr>
                <w:rFonts w:ascii="Cambria Math" w:hAnsi="Cambria Math"/>
                <w:i/>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mjt</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β</m:t>
            </m:r>
          </m:e>
          <m:sub>
            <m:r>
              <w:rPr>
                <w:rFonts w:ascii="Cambria Math" w:hAnsi="Cambria Math"/>
                <w:color w:val="000000" w:themeColor="text1"/>
                <w:szCs w:val="24"/>
              </w:rPr>
              <m:t>0</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β</m:t>
            </m:r>
          </m:e>
          <m:sub>
            <m:r>
              <w:rPr>
                <w:rFonts w:ascii="Cambria Math" w:hAnsi="Cambria Math"/>
                <w:color w:val="000000" w:themeColor="text1"/>
                <w:szCs w:val="24"/>
              </w:rPr>
              <m:t>1</m:t>
            </m:r>
          </m:sub>
        </m:sSub>
        <m:sSub>
          <m:sSubPr>
            <m:ctrlPr>
              <w:rPr>
                <w:rFonts w:ascii="Cambria Math" w:hAnsi="Cambria Math"/>
                <w:i/>
                <w:color w:val="000000" w:themeColor="text1"/>
                <w:szCs w:val="24"/>
              </w:rPr>
            </m:ctrlPr>
          </m:sSubPr>
          <m:e>
            <m:r>
              <w:rPr>
                <w:rFonts w:ascii="Cambria Math" w:hAnsi="Cambria Math"/>
                <w:color w:val="000000" w:themeColor="text1"/>
                <w:szCs w:val="24"/>
              </w:rPr>
              <m:t>lnGDP</m:t>
            </m:r>
          </m:e>
          <m:sub>
            <m:r>
              <w:rPr>
                <w:rFonts w:ascii="Cambria Math" w:hAnsi="Cambria Math"/>
                <w:color w:val="000000" w:themeColor="text1"/>
                <w:szCs w:val="24"/>
              </w:rPr>
              <m:t>Mt</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β</m:t>
            </m:r>
          </m:e>
          <m:sub>
            <m:r>
              <w:rPr>
                <w:rFonts w:ascii="Cambria Math" w:hAnsi="Cambria Math"/>
                <w:color w:val="000000" w:themeColor="text1"/>
                <w:szCs w:val="24"/>
              </w:rPr>
              <m:t>2</m:t>
            </m:r>
          </m:sub>
        </m:sSub>
        <m:sSub>
          <m:sSubPr>
            <m:ctrlPr>
              <w:rPr>
                <w:rFonts w:ascii="Cambria Math" w:hAnsi="Cambria Math"/>
                <w:i/>
                <w:color w:val="000000" w:themeColor="text1"/>
                <w:szCs w:val="24"/>
              </w:rPr>
            </m:ctrlPr>
          </m:sSubPr>
          <m:e>
            <m:r>
              <w:rPr>
                <w:rFonts w:ascii="Cambria Math" w:hAnsi="Cambria Math"/>
                <w:color w:val="000000" w:themeColor="text1"/>
                <w:szCs w:val="24"/>
              </w:rPr>
              <m:t>lnGDP</m:t>
            </m:r>
          </m:e>
          <m:sub>
            <m:r>
              <w:rPr>
                <w:rFonts w:ascii="Cambria Math" w:hAnsi="Cambria Math"/>
                <w:color w:val="000000" w:themeColor="text1"/>
                <w:szCs w:val="24"/>
              </w:rPr>
              <m:t>ji</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sSub>
              <m:sSubPr>
                <m:ctrlPr>
                  <w:rPr>
                    <w:rFonts w:ascii="Cambria Math" w:hAnsi="Cambria Math"/>
                    <w:i/>
                    <w:color w:val="000000" w:themeColor="text1"/>
                    <w:szCs w:val="24"/>
                  </w:rPr>
                </m:ctrlPr>
              </m:sSubPr>
              <m:e>
                <m:r>
                  <w:rPr>
                    <w:rFonts w:ascii="Cambria Math" w:hAnsi="Cambria Math"/>
                    <w:color w:val="000000" w:themeColor="text1"/>
                    <w:szCs w:val="24"/>
                  </w:rPr>
                  <m:t>β</m:t>
                </m:r>
              </m:e>
              <m:sub>
                <m:r>
                  <w:rPr>
                    <w:rFonts w:ascii="Cambria Math" w:hAnsi="Cambria Math"/>
                    <w:color w:val="000000" w:themeColor="text1"/>
                    <w:szCs w:val="24"/>
                  </w:rPr>
                  <m:t>3</m:t>
                </m:r>
              </m:sub>
            </m:sSub>
            <m:r>
              <w:rPr>
                <w:rFonts w:ascii="Cambria Math" w:hAnsi="Cambria Math"/>
                <w:color w:val="000000" w:themeColor="text1"/>
                <w:szCs w:val="24"/>
              </w:rPr>
              <m:t xml:space="preserve">lnX </m:t>
            </m:r>
          </m:e>
          <m:sub>
            <m:r>
              <w:rPr>
                <w:rFonts w:ascii="Cambria Math" w:hAnsi="Cambria Math"/>
                <w:color w:val="000000" w:themeColor="text1"/>
                <w:szCs w:val="24"/>
              </w:rPr>
              <m:t>Indon</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β</m:t>
            </m:r>
          </m:e>
          <m:sub>
            <m:r>
              <w:rPr>
                <w:rFonts w:ascii="Cambria Math" w:hAnsi="Cambria Math"/>
                <w:color w:val="000000" w:themeColor="text1"/>
                <w:szCs w:val="24"/>
              </w:rPr>
              <m:t>4</m:t>
            </m:r>
          </m:sub>
        </m:sSub>
        <m:r>
          <w:rPr>
            <w:rFonts w:ascii="Cambria Math" w:hAnsi="Cambria Math"/>
            <w:color w:val="000000" w:themeColor="text1"/>
            <w:szCs w:val="24"/>
          </w:rPr>
          <m:t>ln</m:t>
        </m:r>
        <m:sSub>
          <m:sSubPr>
            <m:ctrlPr>
              <w:rPr>
                <w:rFonts w:ascii="Cambria Math" w:hAnsi="Cambria Math"/>
                <w:i/>
                <w:color w:val="000000" w:themeColor="text1"/>
                <w:szCs w:val="24"/>
              </w:rPr>
            </m:ctrlPr>
          </m:sSubPr>
          <m:e>
            <m:r>
              <w:rPr>
                <w:rFonts w:ascii="Cambria Math" w:hAnsi="Cambria Math"/>
                <w:color w:val="000000" w:themeColor="text1"/>
                <w:szCs w:val="24"/>
              </w:rPr>
              <m:t xml:space="preserve">CPO </m:t>
            </m:r>
          </m:e>
          <m:sub>
            <m:r>
              <w:rPr>
                <w:rFonts w:ascii="Cambria Math" w:hAnsi="Cambria Math"/>
                <w:color w:val="000000" w:themeColor="text1"/>
                <w:szCs w:val="24"/>
              </w:rPr>
              <m:t>Mal</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β</m:t>
            </m:r>
          </m:e>
          <m:sub>
            <m:r>
              <w:rPr>
                <w:rFonts w:ascii="Cambria Math" w:hAnsi="Cambria Math"/>
                <w:color w:val="000000" w:themeColor="text1"/>
                <w:szCs w:val="24"/>
              </w:rPr>
              <m:t>5</m:t>
            </m:r>
          </m:sub>
        </m:sSub>
        <m:r>
          <w:rPr>
            <w:rFonts w:ascii="Cambria Math" w:hAnsi="Cambria Math"/>
            <w:color w:val="000000" w:themeColor="text1"/>
            <w:szCs w:val="24"/>
          </w:rPr>
          <m:t>lnSoy+</m:t>
        </m:r>
        <m:sSub>
          <m:sSubPr>
            <m:ctrlPr>
              <w:rPr>
                <w:rFonts w:ascii="Cambria Math" w:hAnsi="Cambria Math"/>
                <w:i/>
                <w:color w:val="000000" w:themeColor="text1"/>
                <w:szCs w:val="24"/>
              </w:rPr>
            </m:ctrlPr>
          </m:sSubPr>
          <m:e>
            <m:r>
              <w:rPr>
                <w:rFonts w:ascii="Cambria Math" w:hAnsi="Cambria Math"/>
                <w:color w:val="000000" w:themeColor="text1"/>
                <w:szCs w:val="24"/>
              </w:rPr>
              <m:t>β</m:t>
            </m:r>
          </m:e>
          <m:sub>
            <m:r>
              <w:rPr>
                <w:rFonts w:ascii="Cambria Math" w:hAnsi="Cambria Math"/>
                <w:color w:val="000000" w:themeColor="text1"/>
                <w:szCs w:val="24"/>
              </w:rPr>
              <m:t>6</m:t>
            </m:r>
          </m:sub>
        </m:sSub>
        <m:r>
          <w:rPr>
            <w:rFonts w:ascii="Cambria Math" w:hAnsi="Cambria Math"/>
            <w:color w:val="000000" w:themeColor="text1"/>
            <w:szCs w:val="24"/>
          </w:rPr>
          <m:t>ln</m:t>
        </m:r>
        <m:sSub>
          <m:sSubPr>
            <m:ctrlPr>
              <w:rPr>
                <w:rFonts w:ascii="Cambria Math" w:hAnsi="Cambria Math"/>
                <w:i/>
                <w:color w:val="000000" w:themeColor="text1"/>
                <w:szCs w:val="24"/>
              </w:rPr>
            </m:ctrlPr>
          </m:sSubPr>
          <m:e>
            <m:r>
              <w:rPr>
                <w:rFonts w:ascii="Cambria Math" w:hAnsi="Cambria Math"/>
                <w:color w:val="000000" w:themeColor="text1"/>
                <w:szCs w:val="24"/>
              </w:rPr>
              <m:t>Dis</m:t>
            </m:r>
          </m:e>
          <m:sub>
            <m:r>
              <w:rPr>
                <w:rFonts w:ascii="Cambria Math" w:hAnsi="Cambria Math"/>
                <w:color w:val="000000" w:themeColor="text1"/>
                <w:szCs w:val="24"/>
              </w:rPr>
              <m:t>j</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β</m:t>
            </m:r>
          </m:e>
          <m:sub>
            <m:r>
              <w:rPr>
                <w:rFonts w:ascii="Cambria Math" w:hAnsi="Cambria Math"/>
                <w:color w:val="000000" w:themeColor="text1"/>
                <w:szCs w:val="24"/>
              </w:rPr>
              <m:t>7</m:t>
            </m:r>
          </m:sub>
        </m:sSub>
        <m:sSub>
          <m:sSubPr>
            <m:ctrlPr>
              <w:rPr>
                <w:rFonts w:ascii="Cambria Math" w:hAnsi="Cambria Math"/>
                <w:i/>
                <w:color w:val="000000" w:themeColor="text1"/>
                <w:szCs w:val="24"/>
              </w:rPr>
            </m:ctrlPr>
          </m:sSubPr>
          <m:e>
            <m:r>
              <w:rPr>
                <w:rFonts w:ascii="Cambria Math" w:hAnsi="Cambria Math"/>
                <w:color w:val="000000" w:themeColor="text1"/>
                <w:szCs w:val="24"/>
              </w:rPr>
              <m:t>lnTax</m:t>
            </m:r>
          </m:e>
          <m:sub>
            <m:r>
              <w:rPr>
                <w:rFonts w:ascii="Cambria Math" w:hAnsi="Cambria Math"/>
                <w:color w:val="000000" w:themeColor="text1"/>
                <w:szCs w:val="24"/>
              </w:rPr>
              <m:t>7</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β</m:t>
            </m:r>
          </m:e>
          <m:sub>
            <m:r>
              <w:rPr>
                <w:rFonts w:ascii="Cambria Math" w:hAnsi="Cambria Math"/>
                <w:color w:val="000000" w:themeColor="text1"/>
                <w:szCs w:val="24"/>
              </w:rPr>
              <m:t>8</m:t>
            </m:r>
          </m:sub>
        </m:sSub>
        <m:sSub>
          <m:sSubPr>
            <m:ctrlPr>
              <w:rPr>
                <w:rFonts w:ascii="Cambria Math" w:hAnsi="Cambria Math"/>
                <w:i/>
                <w:color w:val="000000" w:themeColor="text1"/>
                <w:szCs w:val="24"/>
              </w:rPr>
            </m:ctrlPr>
          </m:sSubPr>
          <m:e>
            <m:r>
              <w:rPr>
                <w:rFonts w:ascii="Cambria Math" w:hAnsi="Cambria Math"/>
                <w:color w:val="000000" w:themeColor="text1"/>
                <w:szCs w:val="24"/>
              </w:rPr>
              <m:t xml:space="preserve">lnXR </m:t>
            </m:r>
          </m:e>
          <m:sub>
            <m:r>
              <w:rPr>
                <w:rFonts w:ascii="Cambria Math" w:hAnsi="Cambria Math"/>
                <w:color w:val="000000" w:themeColor="text1"/>
                <w:szCs w:val="24"/>
              </w:rPr>
              <m:t>j</m:t>
            </m:r>
          </m:sub>
        </m:sSub>
        <m:r>
          <w:rPr>
            <w:rFonts w:ascii="Cambria Math" w:hAnsi="Cambria Math"/>
            <w:color w:val="000000" w:themeColor="text1"/>
            <w:szCs w:val="24"/>
          </w:rPr>
          <m:t xml:space="preserve">+ </m:t>
        </m:r>
        <m:sSub>
          <m:sSubPr>
            <m:ctrlPr>
              <w:rPr>
                <w:rFonts w:ascii="Cambria Math" w:hAnsi="Cambria Math"/>
                <w:i/>
                <w:color w:val="000000" w:themeColor="text1"/>
                <w:szCs w:val="24"/>
              </w:rPr>
            </m:ctrlPr>
          </m:sSubPr>
          <m:e>
            <m:r>
              <w:rPr>
                <w:rFonts w:ascii="Cambria Math" w:hAnsi="Cambria Math"/>
                <w:color w:val="000000" w:themeColor="text1"/>
                <w:szCs w:val="24"/>
              </w:rPr>
              <m:t>V</m:t>
            </m:r>
          </m:e>
          <m:sub>
            <m:r>
              <w:rPr>
                <w:rFonts w:ascii="Cambria Math" w:hAnsi="Cambria Math"/>
                <w:color w:val="000000" w:themeColor="text1"/>
                <w:szCs w:val="24"/>
              </w:rPr>
              <m:t>ijt</m:t>
            </m:r>
          </m:sub>
        </m:sSub>
        <m:r>
          <w:rPr>
            <w:rFonts w:ascii="Cambria Math" w:hAnsi="Cambria Math"/>
            <w:color w:val="000000" w:themeColor="text1"/>
            <w:szCs w:val="24"/>
          </w:rPr>
          <m:t>-</m:t>
        </m:r>
        <m:sSub>
          <m:sSubPr>
            <m:ctrlPr>
              <w:rPr>
                <w:rFonts w:ascii="Cambria Math" w:hAnsi="Cambria Math"/>
                <w:i/>
                <w:color w:val="000000" w:themeColor="text1"/>
                <w:szCs w:val="24"/>
              </w:rPr>
            </m:ctrlPr>
          </m:sSubPr>
          <m:e>
            <m:r>
              <w:rPr>
                <w:rFonts w:ascii="Cambria Math" w:hAnsi="Cambria Math"/>
                <w:color w:val="000000" w:themeColor="text1"/>
                <w:szCs w:val="24"/>
              </w:rPr>
              <m:t>U</m:t>
            </m:r>
          </m:e>
          <m:sub>
            <m:r>
              <w:rPr>
                <w:rFonts w:ascii="Cambria Math" w:hAnsi="Cambria Math"/>
                <w:color w:val="000000" w:themeColor="text1"/>
                <w:szCs w:val="24"/>
              </w:rPr>
              <m:t>ijt</m:t>
            </m:r>
          </m:sub>
        </m:sSub>
      </m:oMath>
      <w:r w:rsidR="00B14E69">
        <w:rPr>
          <w:color w:val="000000" w:themeColor="text1"/>
          <w:szCs w:val="24"/>
        </w:rPr>
        <w:t xml:space="preserve">                    (3)</w:t>
      </w:r>
      <w:r w:rsidR="0083206A">
        <w:rPr>
          <w:color w:val="000000" w:themeColor="text1"/>
          <w:szCs w:val="24"/>
        </w:rPr>
        <w:tab/>
      </w:r>
      <w:r w:rsidR="0083206A">
        <w:rPr>
          <w:color w:val="000000" w:themeColor="text1"/>
          <w:szCs w:val="24"/>
        </w:rPr>
        <w:tab/>
        <w:t xml:space="preserve">     </w:t>
      </w:r>
      <w:r w:rsidR="00B14E69">
        <w:rPr>
          <w:color w:val="000000" w:themeColor="text1"/>
          <w:szCs w:val="24"/>
        </w:rPr>
        <w:t xml:space="preserve">                             </w:t>
      </w:r>
    </w:p>
    <w:p w14:paraId="67210A55" w14:textId="5CAEA9A7" w:rsidR="005549D2" w:rsidRDefault="00201D61" w:rsidP="00AC7D6B">
      <w:pPr>
        <w:pStyle w:val="BodyText"/>
        <w:spacing w:line="240" w:lineRule="auto"/>
        <w:jc w:val="both"/>
        <w:rPr>
          <w:color w:val="000000" w:themeColor="text1"/>
          <w:szCs w:val="24"/>
        </w:rPr>
      </w:pPr>
      <w:r>
        <w:rPr>
          <w:color w:val="000000" w:themeColor="text1"/>
          <w:szCs w:val="24"/>
        </w:rPr>
        <w:t>where</w:t>
      </w:r>
      <w:r w:rsidR="00D67BA0" w:rsidRPr="00EE7B21">
        <w:rPr>
          <w:color w:val="000000" w:themeColor="text1"/>
          <w:szCs w:val="24"/>
        </w:rPr>
        <w:t xml:space="preserve"> </w:t>
      </w:r>
      <m:oMath>
        <m:sSub>
          <m:sSubPr>
            <m:ctrlPr>
              <w:rPr>
                <w:rFonts w:ascii="Cambria Math" w:hAnsi="Cambria Math"/>
                <w:i/>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ijt</m:t>
            </m:r>
          </m:sub>
        </m:sSub>
      </m:oMath>
      <w:r w:rsidR="00D67BA0" w:rsidRPr="00EE7B21">
        <w:rPr>
          <w:color w:val="000000" w:themeColor="text1"/>
          <w:szCs w:val="24"/>
        </w:rPr>
        <w:t xml:space="preserve"> </w:t>
      </w:r>
      <w:r w:rsidRPr="00201D61">
        <w:rPr>
          <w:color w:val="000000" w:themeColor="text1"/>
          <w:szCs w:val="24"/>
        </w:rPr>
        <w:t xml:space="preserve">is the amount of Malaysian </w:t>
      </w:r>
      <w:r w:rsidR="00995A09">
        <w:rPr>
          <w:color w:val="000000" w:themeColor="text1"/>
          <w:szCs w:val="24"/>
        </w:rPr>
        <w:t>palm oil</w:t>
      </w:r>
      <w:r w:rsidRPr="00201D61">
        <w:rPr>
          <w:color w:val="000000" w:themeColor="text1"/>
          <w:szCs w:val="24"/>
        </w:rPr>
        <w:t xml:space="preserve"> </w:t>
      </w:r>
      <w:r w:rsidR="00031A21">
        <w:rPr>
          <w:color w:val="000000" w:themeColor="text1"/>
          <w:szCs w:val="24"/>
        </w:rPr>
        <w:t>export</w:t>
      </w:r>
      <w:r w:rsidRPr="00201D61">
        <w:rPr>
          <w:color w:val="000000" w:themeColor="text1"/>
          <w:szCs w:val="24"/>
        </w:rPr>
        <w:t xml:space="preserve"> (m) to trading partners (j) as the dependent variable</w:t>
      </w:r>
      <w:r w:rsidR="0052340A">
        <w:rPr>
          <w:color w:val="000000" w:themeColor="text1"/>
          <w:szCs w:val="24"/>
        </w:rPr>
        <w:t xml:space="preserve">. </w:t>
      </w:r>
      <m:oMath>
        <m:sSub>
          <m:sSubPr>
            <m:ctrlPr>
              <w:rPr>
                <w:rFonts w:ascii="Cambria Math" w:hAnsi="Cambria Math"/>
                <w:i/>
                <w:color w:val="000000" w:themeColor="text1"/>
                <w:szCs w:val="24"/>
              </w:rPr>
            </m:ctrlPr>
          </m:sSubPr>
          <m:e>
            <m:r>
              <w:rPr>
                <w:rFonts w:ascii="Cambria Math" w:hAnsi="Cambria Math"/>
                <w:color w:val="000000" w:themeColor="text1"/>
                <w:szCs w:val="24"/>
              </w:rPr>
              <m:t>GDP</m:t>
            </m:r>
          </m:e>
          <m:sub>
            <m:r>
              <w:rPr>
                <w:rFonts w:ascii="Cambria Math" w:hAnsi="Cambria Math"/>
                <w:color w:val="000000" w:themeColor="text1"/>
                <w:szCs w:val="24"/>
              </w:rPr>
              <m:t>Mt</m:t>
            </m:r>
          </m:sub>
        </m:sSub>
      </m:oMath>
      <w:r w:rsidR="0052340A">
        <w:rPr>
          <w:color w:val="000000" w:themeColor="text1"/>
          <w:szCs w:val="24"/>
        </w:rPr>
        <w:t xml:space="preserve"> </w:t>
      </w:r>
      <w:r w:rsidRPr="00201D61">
        <w:rPr>
          <w:color w:val="000000" w:themeColor="text1"/>
          <w:szCs w:val="24"/>
        </w:rPr>
        <w:t>i</w:t>
      </w:r>
      <w:r w:rsidR="00954073">
        <w:rPr>
          <w:color w:val="000000" w:themeColor="text1"/>
          <w:szCs w:val="24"/>
        </w:rPr>
        <w:t>s</w:t>
      </w:r>
      <w:r w:rsidRPr="00201D61">
        <w:rPr>
          <w:color w:val="000000" w:themeColor="text1"/>
          <w:szCs w:val="24"/>
        </w:rPr>
        <w:t xml:space="preserve"> </w:t>
      </w:r>
      <w:r w:rsidR="005F587A">
        <w:rPr>
          <w:color w:val="000000" w:themeColor="text1"/>
          <w:szCs w:val="24"/>
        </w:rPr>
        <w:t>Malaysian</w:t>
      </w:r>
      <w:r w:rsidRPr="00201D61">
        <w:rPr>
          <w:color w:val="000000" w:themeColor="text1"/>
          <w:szCs w:val="24"/>
        </w:rPr>
        <w:t xml:space="preserve"> GDP, and</w:t>
      </w:r>
      <w:r w:rsidR="00D67BA0" w:rsidRPr="00EE7B21">
        <w:rPr>
          <w:color w:val="000000" w:themeColor="text1"/>
          <w:szCs w:val="24"/>
        </w:rPr>
        <w:t xml:space="preserve"> </w:t>
      </w:r>
      <m:oMath>
        <m:sSub>
          <m:sSubPr>
            <m:ctrlPr>
              <w:rPr>
                <w:rFonts w:ascii="Cambria Math" w:hAnsi="Cambria Math"/>
                <w:i/>
                <w:color w:val="000000" w:themeColor="text1"/>
                <w:szCs w:val="24"/>
              </w:rPr>
            </m:ctrlPr>
          </m:sSubPr>
          <m:e>
            <m:r>
              <w:rPr>
                <w:rFonts w:ascii="Cambria Math" w:hAnsi="Cambria Math"/>
                <w:color w:val="000000" w:themeColor="text1"/>
                <w:szCs w:val="24"/>
              </w:rPr>
              <m:t>GDP</m:t>
            </m:r>
          </m:e>
          <m:sub>
            <m:r>
              <w:rPr>
                <w:rFonts w:ascii="Cambria Math" w:hAnsi="Cambria Math"/>
                <w:color w:val="000000" w:themeColor="text1"/>
                <w:szCs w:val="24"/>
              </w:rPr>
              <m:t>ji</m:t>
            </m:r>
          </m:sub>
        </m:sSub>
      </m:oMath>
      <w:r w:rsidR="00D67BA0" w:rsidRPr="00EE7B21">
        <w:rPr>
          <w:color w:val="000000" w:themeColor="text1"/>
          <w:szCs w:val="24"/>
        </w:rPr>
        <w:t xml:space="preserve"> </w:t>
      </w:r>
      <w:r w:rsidRPr="00201D61">
        <w:rPr>
          <w:color w:val="000000" w:themeColor="text1"/>
          <w:szCs w:val="24"/>
        </w:rPr>
        <w:t xml:space="preserve"> is the GDP of trading partners</w:t>
      </w:r>
      <w:r w:rsidR="00D67BA0" w:rsidRPr="00EE7B21">
        <w:rPr>
          <w:color w:val="000000" w:themeColor="text1"/>
          <w:szCs w:val="24"/>
        </w:rPr>
        <w:t xml:space="preserve"> (j)</w:t>
      </w:r>
      <w:r w:rsidR="0052340A">
        <w:rPr>
          <w:color w:val="000000" w:themeColor="text1"/>
          <w:szCs w:val="24"/>
        </w:rPr>
        <w:t xml:space="preserve"> </w:t>
      </w:r>
      <w:r w:rsidR="00954073" w:rsidRPr="00954073">
        <w:rPr>
          <w:color w:val="000000" w:themeColor="text1"/>
          <w:szCs w:val="24"/>
        </w:rPr>
        <w:t>as a proxy for a country's market size</w:t>
      </w:r>
      <w:r w:rsidR="00D67BA0" w:rsidRPr="00EE7B21">
        <w:rPr>
          <w:color w:val="000000" w:themeColor="text1"/>
          <w:szCs w:val="24"/>
        </w:rPr>
        <w:t>.</w:t>
      </w:r>
      <w:r w:rsidR="005549D2">
        <w:rPr>
          <w:color w:val="000000" w:themeColor="text1"/>
          <w:szCs w:val="24"/>
        </w:rPr>
        <w:t xml:space="preserve"> </w:t>
      </w:r>
      <w:r w:rsidR="005F587A">
        <w:rPr>
          <w:color w:val="000000" w:themeColor="text1"/>
          <w:szCs w:val="24"/>
        </w:rPr>
        <w:t>Malaysian</w:t>
      </w:r>
      <w:r w:rsidR="00954073" w:rsidRPr="00954073">
        <w:rPr>
          <w:color w:val="000000" w:themeColor="text1"/>
          <w:szCs w:val="24"/>
        </w:rPr>
        <w:t xml:space="preserve"> GDP reflects producer/exporter capacity, while importer GDP refers to foreign market earning capacity and demand for </w:t>
      </w:r>
      <w:r w:rsidR="00995A09">
        <w:rPr>
          <w:color w:val="000000" w:themeColor="text1"/>
          <w:szCs w:val="24"/>
        </w:rPr>
        <w:t>palm oil</w:t>
      </w:r>
      <w:r w:rsidR="00954073" w:rsidRPr="00954073">
        <w:rPr>
          <w:color w:val="000000" w:themeColor="text1"/>
          <w:szCs w:val="24"/>
        </w:rPr>
        <w:t xml:space="preserve"> </w:t>
      </w:r>
      <w:r w:rsidR="00031A21">
        <w:rPr>
          <w:color w:val="000000" w:themeColor="text1"/>
          <w:szCs w:val="24"/>
        </w:rPr>
        <w:t>export</w:t>
      </w:r>
      <w:r w:rsidR="00954073" w:rsidRPr="00954073">
        <w:rPr>
          <w:color w:val="000000" w:themeColor="text1"/>
          <w:szCs w:val="24"/>
        </w:rPr>
        <w:t xml:space="preserve">. Abdullahi et al. (2021) and Atif et al. (2017) have included domestic and foreign economic size variables to distinguish supply and demand effects. It expects a positive relationship between the size of the economy and </w:t>
      </w:r>
      <w:r w:rsidR="00031A21">
        <w:rPr>
          <w:color w:val="000000" w:themeColor="text1"/>
          <w:szCs w:val="24"/>
        </w:rPr>
        <w:t>export</w:t>
      </w:r>
      <w:r w:rsidR="00954073" w:rsidRPr="00954073">
        <w:rPr>
          <w:color w:val="000000" w:themeColor="text1"/>
          <w:szCs w:val="24"/>
        </w:rPr>
        <w:t>.</w:t>
      </w:r>
    </w:p>
    <w:p w14:paraId="2D2F3293" w14:textId="47E58D1D" w:rsidR="00D67BA0" w:rsidRDefault="00702F23" w:rsidP="00AC7D6B">
      <w:pPr>
        <w:pStyle w:val="BodyText"/>
        <w:spacing w:line="240" w:lineRule="auto"/>
        <w:ind w:firstLine="720"/>
        <w:jc w:val="both"/>
        <w:rPr>
          <w:color w:val="000000" w:themeColor="text1"/>
          <w:szCs w:val="24"/>
        </w:rPr>
      </w:pPr>
      <m:oMath>
        <m:sSub>
          <m:sSubPr>
            <m:ctrlPr>
              <w:rPr>
                <w:rFonts w:ascii="Cambria Math" w:hAnsi="Cambria Math"/>
                <w:i/>
                <w:color w:val="000000" w:themeColor="text1"/>
                <w:szCs w:val="24"/>
              </w:rPr>
            </m:ctrlPr>
          </m:sSubPr>
          <m:e>
            <m:r>
              <w:rPr>
                <w:rFonts w:ascii="Cambria Math" w:hAnsi="Cambria Math"/>
                <w:color w:val="000000" w:themeColor="text1"/>
                <w:szCs w:val="24"/>
              </w:rPr>
              <m:t>X</m:t>
            </m:r>
          </m:e>
          <m:sub>
            <m:r>
              <w:rPr>
                <w:rFonts w:ascii="Cambria Math" w:hAnsi="Cambria Math"/>
                <w:color w:val="000000" w:themeColor="text1"/>
                <w:szCs w:val="24"/>
              </w:rPr>
              <m:t>Indon</m:t>
            </m:r>
          </m:sub>
        </m:sSub>
      </m:oMath>
      <w:r w:rsidR="0052340A">
        <w:rPr>
          <w:color w:val="000000" w:themeColor="text1"/>
          <w:szCs w:val="24"/>
        </w:rPr>
        <w:t xml:space="preserve"> </w:t>
      </w:r>
      <w:r w:rsidR="00AB0780" w:rsidRPr="00AB0780">
        <w:rPr>
          <w:color w:val="000000" w:themeColor="text1"/>
          <w:szCs w:val="24"/>
        </w:rPr>
        <w:t xml:space="preserve">is CPO </w:t>
      </w:r>
      <w:r w:rsidR="00031A21">
        <w:rPr>
          <w:color w:val="000000" w:themeColor="text1"/>
          <w:szCs w:val="24"/>
        </w:rPr>
        <w:t>export</w:t>
      </w:r>
      <w:r w:rsidR="00AB0780" w:rsidRPr="00AB0780">
        <w:rPr>
          <w:color w:val="000000" w:themeColor="text1"/>
          <w:szCs w:val="24"/>
        </w:rPr>
        <w:t xml:space="preserve"> from Indonesia as a proxy for competition. </w:t>
      </w:r>
      <w:r w:rsidR="005F587A">
        <w:rPr>
          <w:color w:val="000000" w:themeColor="text1"/>
          <w:szCs w:val="24"/>
        </w:rPr>
        <w:t>Malaysian</w:t>
      </w:r>
      <w:r w:rsidR="00AB0780" w:rsidRPr="00AB0780">
        <w:rPr>
          <w:color w:val="000000" w:themeColor="text1"/>
          <w:szCs w:val="24"/>
        </w:rPr>
        <w:t xml:space="preserve"> CPO </w:t>
      </w:r>
      <w:r w:rsidR="00031A21">
        <w:rPr>
          <w:color w:val="000000" w:themeColor="text1"/>
          <w:szCs w:val="24"/>
        </w:rPr>
        <w:t>export</w:t>
      </w:r>
      <w:r w:rsidR="00AB0780" w:rsidRPr="00AB0780">
        <w:rPr>
          <w:color w:val="000000" w:themeColor="text1"/>
          <w:szCs w:val="24"/>
        </w:rPr>
        <w:t xml:space="preserve"> are expected to have a negative relationship with </w:t>
      </w:r>
      <w:r w:rsidR="005F587A">
        <w:rPr>
          <w:color w:val="000000" w:themeColor="text1"/>
          <w:szCs w:val="24"/>
        </w:rPr>
        <w:t>Indonesian</w:t>
      </w:r>
      <w:r w:rsidR="00AB0780" w:rsidRPr="00AB0780">
        <w:rPr>
          <w:color w:val="000000" w:themeColor="text1"/>
          <w:szCs w:val="24"/>
        </w:rPr>
        <w:t xml:space="preserve"> CPO </w:t>
      </w:r>
      <w:r w:rsidR="00031A21">
        <w:rPr>
          <w:color w:val="000000" w:themeColor="text1"/>
          <w:szCs w:val="24"/>
        </w:rPr>
        <w:t>export</w:t>
      </w:r>
      <w:r w:rsidR="00AB0780" w:rsidRPr="00AB0780">
        <w:rPr>
          <w:color w:val="000000" w:themeColor="text1"/>
          <w:szCs w:val="24"/>
        </w:rPr>
        <w:t xml:space="preserve">. The intense competition in international markets will reduce demand and </w:t>
      </w:r>
      <w:r w:rsidR="00031A21">
        <w:rPr>
          <w:color w:val="000000" w:themeColor="text1"/>
          <w:szCs w:val="24"/>
        </w:rPr>
        <w:t>export</w:t>
      </w:r>
      <w:r w:rsidR="00AB0780" w:rsidRPr="00AB0780">
        <w:rPr>
          <w:color w:val="000000" w:themeColor="text1"/>
          <w:szCs w:val="24"/>
        </w:rPr>
        <w:t xml:space="preserve"> of local palm oil (Opoku et al., 2020) and indirectly cause local manufacturers to focus on the local market instead of looking for opportunities in overseas markets (Fung et al., 2008). </w:t>
      </w:r>
      <m:oMath>
        <m:sSub>
          <m:sSubPr>
            <m:ctrlPr>
              <w:rPr>
                <w:rFonts w:ascii="Cambria Math" w:hAnsi="Cambria Math"/>
                <w:i/>
                <w:color w:val="000000" w:themeColor="text1"/>
                <w:szCs w:val="24"/>
              </w:rPr>
            </m:ctrlPr>
          </m:sSubPr>
          <m:e>
            <m:r>
              <w:rPr>
                <w:rFonts w:ascii="Cambria Math" w:hAnsi="Cambria Math"/>
                <w:color w:val="000000" w:themeColor="text1"/>
                <w:szCs w:val="24"/>
              </w:rPr>
              <m:t xml:space="preserve">CPO </m:t>
            </m:r>
          </m:e>
          <m:sub>
            <m:r>
              <w:rPr>
                <w:rFonts w:ascii="Cambria Math" w:hAnsi="Cambria Math"/>
                <w:color w:val="000000" w:themeColor="text1"/>
                <w:szCs w:val="24"/>
              </w:rPr>
              <m:t>Mal</m:t>
            </m:r>
          </m:sub>
        </m:sSub>
      </m:oMath>
      <w:r w:rsidR="00C55480">
        <w:rPr>
          <w:color w:val="000000" w:themeColor="text1"/>
          <w:szCs w:val="24"/>
        </w:rPr>
        <w:t xml:space="preserve"> </w:t>
      </w:r>
      <w:r w:rsidR="00AB0780" w:rsidRPr="00AB0780">
        <w:rPr>
          <w:color w:val="000000" w:themeColor="text1"/>
          <w:szCs w:val="24"/>
        </w:rPr>
        <w:t xml:space="preserve">is the Malaysian CPO price and is expected to have a negative relationship with export. Cost increases cause a decrease in demand. </w:t>
      </w:r>
      <w:r w:rsidR="00CC1A84" w:rsidRPr="00CC1A84">
        <w:rPr>
          <w:i/>
          <w:color w:val="000000" w:themeColor="text1"/>
          <w:szCs w:val="24"/>
        </w:rPr>
        <w:t>Soy</w:t>
      </w:r>
      <w:r w:rsidR="00C55480">
        <w:rPr>
          <w:color w:val="000000" w:themeColor="text1"/>
          <w:szCs w:val="24"/>
        </w:rPr>
        <w:t xml:space="preserve"> </w:t>
      </w:r>
      <w:r w:rsidR="00AB0780" w:rsidRPr="00AB0780">
        <w:rPr>
          <w:color w:val="000000" w:themeColor="text1"/>
          <w:szCs w:val="24"/>
        </w:rPr>
        <w:t xml:space="preserve">is the price of soybean oil and is a proxy for substitute goods. The increase in soybean prices is expected to increase demand for palm oil because, relatively, the price of palm oil becomes cheaper. </w:t>
      </w:r>
      <w:r w:rsidR="00CC1A84" w:rsidRPr="00CC1A84">
        <w:rPr>
          <w:i/>
          <w:color w:val="000000" w:themeColor="text1"/>
          <w:szCs w:val="24"/>
        </w:rPr>
        <w:t>Dis</w:t>
      </w:r>
      <w:r w:rsidR="00CC1A84">
        <w:rPr>
          <w:color w:val="000000" w:themeColor="text1"/>
          <w:szCs w:val="24"/>
        </w:rPr>
        <w:t xml:space="preserve"> </w:t>
      </w:r>
      <w:r w:rsidR="00AB0780" w:rsidRPr="00AB0780">
        <w:rPr>
          <w:color w:val="000000" w:themeColor="text1"/>
          <w:szCs w:val="24"/>
        </w:rPr>
        <w:t xml:space="preserve">is a distance that refers to transportation costs and is expected to be negatively related to </w:t>
      </w:r>
      <w:r w:rsidR="00031A21">
        <w:rPr>
          <w:color w:val="000000" w:themeColor="text1"/>
          <w:szCs w:val="24"/>
        </w:rPr>
        <w:t>export</w:t>
      </w:r>
      <w:r w:rsidR="00AB0780" w:rsidRPr="00AB0780">
        <w:rPr>
          <w:color w:val="000000" w:themeColor="text1"/>
          <w:szCs w:val="24"/>
        </w:rPr>
        <w:t xml:space="preserve"> (Abdullahi et al., 2021; Atif et al., 2017). The longer the distance, the higher the cost, causing </w:t>
      </w:r>
      <w:r w:rsidR="00031A21">
        <w:rPr>
          <w:color w:val="000000" w:themeColor="text1"/>
          <w:szCs w:val="24"/>
        </w:rPr>
        <w:t>export</w:t>
      </w:r>
      <w:r w:rsidR="00AB0780" w:rsidRPr="00AB0780">
        <w:rPr>
          <w:color w:val="000000" w:themeColor="text1"/>
          <w:szCs w:val="24"/>
        </w:rPr>
        <w:t xml:space="preserve"> to decrease.</w:t>
      </w:r>
      <w:r w:rsidR="005951B1">
        <w:rPr>
          <w:color w:val="000000" w:themeColor="text1"/>
          <w:szCs w:val="24"/>
        </w:rPr>
        <w:t xml:space="preserve"> </w:t>
      </w:r>
      <w:r w:rsidR="005951B1" w:rsidRPr="00AB0780">
        <w:rPr>
          <w:i/>
          <w:color w:val="000000" w:themeColor="text1"/>
          <w:szCs w:val="24"/>
        </w:rPr>
        <w:t>Tax</w:t>
      </w:r>
      <w:r w:rsidR="005951B1">
        <w:rPr>
          <w:color w:val="000000" w:themeColor="text1"/>
          <w:szCs w:val="24"/>
        </w:rPr>
        <w:t xml:space="preserve"> </w:t>
      </w:r>
      <w:r w:rsidR="004C6D0B" w:rsidRPr="004C6D0B">
        <w:rPr>
          <w:color w:val="000000" w:themeColor="text1"/>
          <w:szCs w:val="24"/>
        </w:rPr>
        <w:t xml:space="preserve">is a tariff that also shows the cost of </w:t>
      </w:r>
      <w:r w:rsidR="00031A21">
        <w:rPr>
          <w:color w:val="000000" w:themeColor="text1"/>
          <w:szCs w:val="24"/>
        </w:rPr>
        <w:t>export</w:t>
      </w:r>
      <w:r w:rsidR="004C6D0B" w:rsidRPr="004C6D0B">
        <w:rPr>
          <w:color w:val="000000" w:themeColor="text1"/>
          <w:szCs w:val="24"/>
        </w:rPr>
        <w:t xml:space="preserve">, where the higher the tariff rate, the lower the </w:t>
      </w:r>
      <w:r w:rsidR="00031A21">
        <w:rPr>
          <w:color w:val="000000" w:themeColor="text1"/>
          <w:szCs w:val="24"/>
        </w:rPr>
        <w:t>export</w:t>
      </w:r>
      <w:r w:rsidR="004C6D0B" w:rsidRPr="004C6D0B">
        <w:rPr>
          <w:color w:val="000000" w:themeColor="text1"/>
          <w:szCs w:val="24"/>
        </w:rPr>
        <w:t xml:space="preserve"> (Atif et al., 2017)</w:t>
      </w:r>
      <w:r w:rsidR="004C6D0B">
        <w:rPr>
          <w:color w:val="000000" w:themeColor="text1"/>
          <w:szCs w:val="24"/>
        </w:rPr>
        <w:t xml:space="preserve">. </w:t>
      </w:r>
      <w:r w:rsidR="005951B1" w:rsidRPr="004C6D0B">
        <w:rPr>
          <w:i/>
          <w:color w:val="000000" w:themeColor="text1"/>
          <w:szCs w:val="24"/>
        </w:rPr>
        <w:t>XR</w:t>
      </w:r>
      <w:r w:rsidR="005951B1">
        <w:rPr>
          <w:color w:val="000000" w:themeColor="text1"/>
          <w:szCs w:val="24"/>
        </w:rPr>
        <w:t xml:space="preserve"> </w:t>
      </w:r>
      <w:r w:rsidR="004C6D0B" w:rsidRPr="004C6D0B">
        <w:rPr>
          <w:color w:val="000000" w:themeColor="text1"/>
          <w:szCs w:val="24"/>
        </w:rPr>
        <w:t>refers to the bilateral foreign exchange rate between Ringgit Malaysia and the importing country. It is a proxy for international trade prices. Depreciation in the Malaysian Ringgit lowers the price of domestic goods in the international market, and it is expected to generate more export revenue due to increased demand (Abdullahi et al., 2021; Atif et al., 2017; Kea et al., 2019).</w:t>
      </w:r>
    </w:p>
    <w:p w14:paraId="37275A15" w14:textId="66020AEB" w:rsidR="00D67BA0" w:rsidRDefault="00D67BA0" w:rsidP="00AC7D6B">
      <w:pPr>
        <w:pStyle w:val="BodyText"/>
        <w:spacing w:line="240" w:lineRule="auto"/>
        <w:jc w:val="center"/>
        <w:rPr>
          <w:sz w:val="28"/>
          <w:szCs w:val="28"/>
        </w:rPr>
      </w:pPr>
    </w:p>
    <w:p w14:paraId="1E5CB933" w14:textId="77777777" w:rsidR="002F056F" w:rsidRDefault="002F056F" w:rsidP="00AC7D6B">
      <w:pPr>
        <w:pStyle w:val="BodyText"/>
        <w:spacing w:line="240" w:lineRule="auto"/>
        <w:jc w:val="center"/>
        <w:rPr>
          <w:sz w:val="28"/>
          <w:szCs w:val="28"/>
        </w:rPr>
      </w:pPr>
    </w:p>
    <w:p w14:paraId="36D70EF0" w14:textId="5837C1F7" w:rsidR="00A13ADB" w:rsidRPr="00AC7D6B" w:rsidRDefault="00AC7D6B" w:rsidP="00AC7D6B">
      <w:pPr>
        <w:pStyle w:val="BodyText"/>
        <w:spacing w:line="240" w:lineRule="auto"/>
        <w:rPr>
          <w:b/>
          <w:szCs w:val="24"/>
        </w:rPr>
      </w:pPr>
      <w:r>
        <w:rPr>
          <w:b/>
          <w:szCs w:val="24"/>
        </w:rPr>
        <w:t>Results a</w:t>
      </w:r>
      <w:r w:rsidRPr="00AC7D6B">
        <w:rPr>
          <w:b/>
          <w:szCs w:val="24"/>
        </w:rPr>
        <w:t xml:space="preserve">nd </w:t>
      </w:r>
      <w:r w:rsidR="005E6074">
        <w:rPr>
          <w:b/>
          <w:szCs w:val="24"/>
        </w:rPr>
        <w:t>d</w:t>
      </w:r>
      <w:r w:rsidRPr="00AC7D6B">
        <w:rPr>
          <w:b/>
          <w:szCs w:val="24"/>
        </w:rPr>
        <w:t>iscussion</w:t>
      </w:r>
    </w:p>
    <w:p w14:paraId="7364F0D7" w14:textId="45B15DC4" w:rsidR="00854C6D" w:rsidRDefault="00854C6D" w:rsidP="00AC7D6B">
      <w:pPr>
        <w:pStyle w:val="BodyText"/>
        <w:spacing w:line="240" w:lineRule="auto"/>
      </w:pPr>
    </w:p>
    <w:p w14:paraId="665E80A2" w14:textId="67741DFF" w:rsidR="00EA2973" w:rsidRDefault="001052EF" w:rsidP="001052EF">
      <w:pPr>
        <w:pStyle w:val="BodyText"/>
        <w:spacing w:line="240" w:lineRule="auto"/>
        <w:jc w:val="both"/>
        <w:rPr>
          <w:color w:val="000000" w:themeColor="text1"/>
          <w:szCs w:val="24"/>
        </w:rPr>
      </w:pPr>
      <w:r>
        <w:rPr>
          <w:color w:val="000000" w:themeColor="text1"/>
          <w:szCs w:val="24"/>
        </w:rPr>
        <w:t>T</w:t>
      </w:r>
      <w:r w:rsidR="00E47F39" w:rsidRPr="00E47F39">
        <w:rPr>
          <w:color w:val="000000" w:themeColor="text1"/>
          <w:szCs w:val="24"/>
        </w:rPr>
        <w:t>able 1 details the statistical summary of the model variables. Based on the average Malaysian palm oil export over the past 20 years, China has imported the most palm oil, followed by India, Pakistan, the Netherlands and the US. The relatively large standard deviation values ​​for export to Malaysian five main trading partners indicate that global palm oil demand was volatile during the observation period. Likewise, the standard deviation for most other variables such as Malaysian GDP, GDP of importing countries (India and Pakistan), Indonesian palm oil export, CPO prices, soybean oil prices and bilateral foreign exchange of Malaysian Ringgit and Pakistani Rupee. It shows the high uncertainty in the global market, which has the potential to impact Malaysian palm oil demand.</w:t>
      </w:r>
    </w:p>
    <w:p w14:paraId="50A86694" w14:textId="77777777" w:rsidR="001052EF" w:rsidRDefault="001052EF" w:rsidP="00AC7D6B">
      <w:pPr>
        <w:pStyle w:val="BodyText"/>
        <w:spacing w:line="240" w:lineRule="auto"/>
        <w:jc w:val="center"/>
      </w:pPr>
    </w:p>
    <w:p w14:paraId="5279BFB6" w14:textId="76D5B3FD" w:rsidR="00EA2973" w:rsidRPr="005E6074" w:rsidRDefault="00AC7D6B" w:rsidP="00AC7D6B">
      <w:pPr>
        <w:pStyle w:val="BodyText"/>
        <w:spacing w:line="240" w:lineRule="auto"/>
        <w:jc w:val="center"/>
        <w:rPr>
          <w:bCs/>
          <w:sz w:val="20"/>
          <w:szCs w:val="20"/>
        </w:rPr>
      </w:pPr>
      <w:r w:rsidRPr="005E6074">
        <w:rPr>
          <w:b/>
          <w:sz w:val="20"/>
          <w:szCs w:val="20"/>
        </w:rPr>
        <w:t>Table</w:t>
      </w:r>
      <w:r w:rsidR="00EA2973" w:rsidRPr="005E6074">
        <w:rPr>
          <w:b/>
          <w:sz w:val="20"/>
          <w:szCs w:val="20"/>
        </w:rPr>
        <w:t xml:space="preserve"> 1. </w:t>
      </w:r>
      <w:r w:rsidR="007C745A" w:rsidRPr="005E6074">
        <w:rPr>
          <w:bCs/>
          <w:sz w:val="20"/>
          <w:szCs w:val="20"/>
        </w:rPr>
        <w:t>Descriptive statistics</w:t>
      </w:r>
    </w:p>
    <w:p w14:paraId="117597B7" w14:textId="77777777" w:rsidR="000A12C9" w:rsidRPr="005E6074" w:rsidRDefault="000A12C9" w:rsidP="00AC7D6B">
      <w:pPr>
        <w:pStyle w:val="BodyText"/>
        <w:spacing w:line="240" w:lineRule="auto"/>
        <w:jc w:val="center"/>
        <w:rPr>
          <w:b/>
          <w:sz w:val="20"/>
          <w:szCs w:val="20"/>
        </w:rPr>
      </w:pPr>
    </w:p>
    <w:tbl>
      <w:tblPr>
        <w:tblStyle w:val="TableGrid"/>
        <w:tblW w:w="9070"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8"/>
        <w:gridCol w:w="1275"/>
        <w:gridCol w:w="1701"/>
        <w:gridCol w:w="1134"/>
        <w:gridCol w:w="1134"/>
        <w:gridCol w:w="1134"/>
        <w:gridCol w:w="1134"/>
      </w:tblGrid>
      <w:tr w:rsidR="00EA2973" w:rsidRPr="005E6074" w14:paraId="0A32FBF7" w14:textId="77777777" w:rsidTr="001E4AC5">
        <w:tc>
          <w:tcPr>
            <w:tcW w:w="1558" w:type="dxa"/>
            <w:tcBorders>
              <w:top w:val="single" w:sz="4" w:space="0" w:color="auto"/>
              <w:bottom w:val="single" w:sz="4" w:space="0" w:color="auto"/>
            </w:tcBorders>
            <w:shd w:val="clear" w:color="auto" w:fill="8EAADB" w:themeFill="accent5" w:themeFillTint="99"/>
          </w:tcPr>
          <w:p w14:paraId="45BD47E8" w14:textId="208B09C9" w:rsidR="00EA2973" w:rsidRPr="005E6074" w:rsidRDefault="007C745A" w:rsidP="005E6074">
            <w:pPr>
              <w:spacing w:line="240" w:lineRule="auto"/>
              <w:jc w:val="center"/>
              <w:rPr>
                <w:b/>
                <w:sz w:val="20"/>
                <w:szCs w:val="20"/>
              </w:rPr>
            </w:pPr>
            <w:r w:rsidRPr="005E6074">
              <w:rPr>
                <w:b/>
                <w:sz w:val="20"/>
                <w:szCs w:val="20"/>
              </w:rPr>
              <w:t>Variables</w:t>
            </w:r>
          </w:p>
        </w:tc>
        <w:tc>
          <w:tcPr>
            <w:tcW w:w="1275" w:type="dxa"/>
            <w:tcBorders>
              <w:top w:val="single" w:sz="4" w:space="0" w:color="auto"/>
              <w:bottom w:val="single" w:sz="4" w:space="0" w:color="auto"/>
            </w:tcBorders>
            <w:shd w:val="clear" w:color="auto" w:fill="8EAADB" w:themeFill="accent5" w:themeFillTint="99"/>
          </w:tcPr>
          <w:p w14:paraId="097C788F" w14:textId="77777777" w:rsidR="00EA2973" w:rsidRPr="005E6074" w:rsidRDefault="00EA2973" w:rsidP="005E6074">
            <w:pPr>
              <w:spacing w:line="240" w:lineRule="auto"/>
              <w:jc w:val="center"/>
              <w:rPr>
                <w:b/>
                <w:sz w:val="20"/>
                <w:szCs w:val="20"/>
              </w:rPr>
            </w:pPr>
            <w:r w:rsidRPr="005E6074">
              <w:rPr>
                <w:b/>
                <w:sz w:val="20"/>
                <w:szCs w:val="20"/>
              </w:rPr>
              <w:t>Unit</w:t>
            </w:r>
          </w:p>
        </w:tc>
        <w:tc>
          <w:tcPr>
            <w:tcW w:w="1701" w:type="dxa"/>
            <w:tcBorders>
              <w:top w:val="single" w:sz="4" w:space="0" w:color="auto"/>
              <w:bottom w:val="single" w:sz="4" w:space="0" w:color="auto"/>
            </w:tcBorders>
            <w:shd w:val="clear" w:color="auto" w:fill="8EAADB" w:themeFill="accent5" w:themeFillTint="99"/>
          </w:tcPr>
          <w:p w14:paraId="0729C14C" w14:textId="7DF1E336" w:rsidR="00EA2973" w:rsidRPr="005E6074" w:rsidRDefault="007C745A" w:rsidP="005E6074">
            <w:pPr>
              <w:spacing w:line="240" w:lineRule="auto"/>
              <w:jc w:val="center"/>
              <w:rPr>
                <w:b/>
                <w:sz w:val="20"/>
                <w:szCs w:val="20"/>
              </w:rPr>
            </w:pPr>
            <w:r w:rsidRPr="005E6074">
              <w:rPr>
                <w:b/>
                <w:sz w:val="20"/>
                <w:szCs w:val="20"/>
              </w:rPr>
              <w:t>Country</w:t>
            </w:r>
          </w:p>
        </w:tc>
        <w:tc>
          <w:tcPr>
            <w:tcW w:w="1134" w:type="dxa"/>
            <w:tcBorders>
              <w:top w:val="single" w:sz="4" w:space="0" w:color="auto"/>
              <w:bottom w:val="single" w:sz="4" w:space="0" w:color="auto"/>
            </w:tcBorders>
            <w:shd w:val="clear" w:color="auto" w:fill="8EAADB" w:themeFill="accent5" w:themeFillTint="99"/>
          </w:tcPr>
          <w:p w14:paraId="67E92EB0" w14:textId="56A4188D" w:rsidR="00EA2973" w:rsidRPr="005E6074" w:rsidRDefault="007C745A" w:rsidP="005E6074">
            <w:pPr>
              <w:spacing w:line="240" w:lineRule="auto"/>
              <w:jc w:val="center"/>
              <w:rPr>
                <w:b/>
                <w:sz w:val="20"/>
                <w:szCs w:val="20"/>
              </w:rPr>
            </w:pPr>
            <w:r w:rsidRPr="005E6074">
              <w:rPr>
                <w:b/>
                <w:sz w:val="20"/>
                <w:szCs w:val="20"/>
              </w:rPr>
              <w:t>Mean</w:t>
            </w:r>
          </w:p>
        </w:tc>
        <w:tc>
          <w:tcPr>
            <w:tcW w:w="1134" w:type="dxa"/>
            <w:tcBorders>
              <w:top w:val="single" w:sz="4" w:space="0" w:color="auto"/>
              <w:bottom w:val="single" w:sz="4" w:space="0" w:color="auto"/>
            </w:tcBorders>
            <w:shd w:val="clear" w:color="auto" w:fill="8EAADB" w:themeFill="accent5" w:themeFillTint="99"/>
          </w:tcPr>
          <w:p w14:paraId="77B10AF9" w14:textId="4BA772C6" w:rsidR="00EA2973" w:rsidRPr="005E6074" w:rsidRDefault="00EA2973" w:rsidP="005E6074">
            <w:pPr>
              <w:spacing w:line="240" w:lineRule="auto"/>
              <w:jc w:val="center"/>
              <w:rPr>
                <w:b/>
                <w:sz w:val="20"/>
                <w:szCs w:val="20"/>
              </w:rPr>
            </w:pPr>
            <w:r w:rsidRPr="005E6074">
              <w:rPr>
                <w:b/>
                <w:sz w:val="20"/>
                <w:szCs w:val="20"/>
              </w:rPr>
              <w:t>S.</w:t>
            </w:r>
            <w:r w:rsidR="007C745A" w:rsidRPr="005E6074">
              <w:rPr>
                <w:b/>
                <w:sz w:val="20"/>
                <w:szCs w:val="20"/>
              </w:rPr>
              <w:t>Dev</w:t>
            </w:r>
          </w:p>
        </w:tc>
        <w:tc>
          <w:tcPr>
            <w:tcW w:w="1134" w:type="dxa"/>
            <w:tcBorders>
              <w:top w:val="single" w:sz="4" w:space="0" w:color="auto"/>
              <w:bottom w:val="single" w:sz="4" w:space="0" w:color="auto"/>
            </w:tcBorders>
            <w:shd w:val="clear" w:color="auto" w:fill="8EAADB" w:themeFill="accent5" w:themeFillTint="99"/>
          </w:tcPr>
          <w:p w14:paraId="5DFEE805" w14:textId="77777777" w:rsidR="00EA2973" w:rsidRPr="005E6074" w:rsidRDefault="00EA2973" w:rsidP="005E6074">
            <w:pPr>
              <w:spacing w:line="240" w:lineRule="auto"/>
              <w:jc w:val="center"/>
              <w:rPr>
                <w:b/>
                <w:sz w:val="20"/>
                <w:szCs w:val="20"/>
              </w:rPr>
            </w:pPr>
            <w:r w:rsidRPr="005E6074">
              <w:rPr>
                <w:b/>
                <w:sz w:val="20"/>
                <w:szCs w:val="20"/>
              </w:rPr>
              <w:t>Minimum</w:t>
            </w:r>
          </w:p>
        </w:tc>
        <w:tc>
          <w:tcPr>
            <w:tcW w:w="1134" w:type="dxa"/>
            <w:tcBorders>
              <w:top w:val="single" w:sz="4" w:space="0" w:color="auto"/>
              <w:bottom w:val="single" w:sz="4" w:space="0" w:color="auto"/>
            </w:tcBorders>
            <w:shd w:val="clear" w:color="auto" w:fill="8EAADB" w:themeFill="accent5" w:themeFillTint="99"/>
          </w:tcPr>
          <w:p w14:paraId="1717E182" w14:textId="7F5AD9A9" w:rsidR="00EA2973" w:rsidRPr="005E6074" w:rsidRDefault="007C745A" w:rsidP="005E6074">
            <w:pPr>
              <w:spacing w:line="240" w:lineRule="auto"/>
              <w:jc w:val="center"/>
              <w:rPr>
                <w:b/>
                <w:sz w:val="20"/>
                <w:szCs w:val="20"/>
              </w:rPr>
            </w:pPr>
            <w:r w:rsidRPr="005E6074">
              <w:rPr>
                <w:b/>
                <w:sz w:val="20"/>
                <w:szCs w:val="20"/>
              </w:rPr>
              <w:t>Maximum</w:t>
            </w:r>
          </w:p>
        </w:tc>
      </w:tr>
      <w:tr w:rsidR="00EA2973" w:rsidRPr="005E6074" w14:paraId="33496A80" w14:textId="77777777" w:rsidTr="005E6074">
        <w:tc>
          <w:tcPr>
            <w:tcW w:w="1558" w:type="dxa"/>
            <w:vMerge w:val="restart"/>
            <w:tcBorders>
              <w:top w:val="single" w:sz="4" w:space="0" w:color="auto"/>
            </w:tcBorders>
          </w:tcPr>
          <w:p w14:paraId="60F8EDFF" w14:textId="7A1962C3" w:rsidR="00EA2973" w:rsidRPr="005E6074" w:rsidRDefault="005F587A" w:rsidP="005E6074">
            <w:pPr>
              <w:spacing w:line="240" w:lineRule="auto"/>
              <w:jc w:val="both"/>
              <w:rPr>
                <w:sz w:val="20"/>
                <w:szCs w:val="20"/>
              </w:rPr>
            </w:pPr>
            <w:r w:rsidRPr="005E6074">
              <w:rPr>
                <w:sz w:val="20"/>
                <w:szCs w:val="20"/>
              </w:rPr>
              <w:t>Malaysian</w:t>
            </w:r>
            <w:r w:rsidR="007C745A" w:rsidRPr="005E6074">
              <w:rPr>
                <w:sz w:val="20"/>
                <w:szCs w:val="20"/>
              </w:rPr>
              <w:t xml:space="preserve"> </w:t>
            </w:r>
            <w:r w:rsidR="00470EC4" w:rsidRPr="005E6074">
              <w:rPr>
                <w:sz w:val="20"/>
                <w:szCs w:val="20"/>
              </w:rPr>
              <w:t xml:space="preserve">CPO </w:t>
            </w:r>
            <w:r w:rsidR="007C745A" w:rsidRPr="005E6074">
              <w:rPr>
                <w:sz w:val="20"/>
                <w:szCs w:val="20"/>
              </w:rPr>
              <w:t>export</w:t>
            </w:r>
          </w:p>
        </w:tc>
        <w:tc>
          <w:tcPr>
            <w:tcW w:w="1275" w:type="dxa"/>
            <w:vMerge w:val="restart"/>
            <w:tcBorders>
              <w:top w:val="single" w:sz="4" w:space="0" w:color="auto"/>
            </w:tcBorders>
          </w:tcPr>
          <w:p w14:paraId="48CF437A" w14:textId="77777777" w:rsidR="00EA2973" w:rsidRPr="005E6074" w:rsidRDefault="00EA2973" w:rsidP="005E6074">
            <w:pPr>
              <w:spacing w:line="240" w:lineRule="auto"/>
              <w:jc w:val="center"/>
              <w:rPr>
                <w:sz w:val="20"/>
                <w:szCs w:val="20"/>
              </w:rPr>
            </w:pPr>
            <w:r w:rsidRPr="005E6074">
              <w:rPr>
                <w:sz w:val="20"/>
                <w:szCs w:val="20"/>
              </w:rPr>
              <w:t>USD1000</w:t>
            </w:r>
          </w:p>
        </w:tc>
        <w:tc>
          <w:tcPr>
            <w:tcW w:w="1701" w:type="dxa"/>
            <w:tcBorders>
              <w:top w:val="single" w:sz="4" w:space="0" w:color="auto"/>
            </w:tcBorders>
          </w:tcPr>
          <w:p w14:paraId="525C721E" w14:textId="77777777" w:rsidR="00EA2973" w:rsidRPr="005E6074" w:rsidRDefault="00EA2973" w:rsidP="005E6074">
            <w:pPr>
              <w:spacing w:line="240" w:lineRule="auto"/>
              <w:jc w:val="center"/>
              <w:rPr>
                <w:sz w:val="20"/>
                <w:szCs w:val="20"/>
              </w:rPr>
            </w:pPr>
            <w:r w:rsidRPr="005E6074">
              <w:rPr>
                <w:sz w:val="20"/>
                <w:szCs w:val="20"/>
              </w:rPr>
              <w:t>China</w:t>
            </w:r>
          </w:p>
        </w:tc>
        <w:tc>
          <w:tcPr>
            <w:tcW w:w="1134" w:type="dxa"/>
            <w:tcBorders>
              <w:top w:val="single" w:sz="4" w:space="0" w:color="auto"/>
            </w:tcBorders>
          </w:tcPr>
          <w:p w14:paraId="3F92B7B9" w14:textId="12BCEAC0" w:rsidR="00EA2973" w:rsidRPr="005E6074" w:rsidRDefault="00EA2973" w:rsidP="005E6074">
            <w:pPr>
              <w:spacing w:line="240" w:lineRule="auto"/>
              <w:jc w:val="center"/>
              <w:rPr>
                <w:sz w:val="20"/>
                <w:szCs w:val="20"/>
              </w:rPr>
            </w:pPr>
            <w:r w:rsidRPr="005E6074">
              <w:rPr>
                <w:sz w:val="20"/>
                <w:szCs w:val="20"/>
              </w:rPr>
              <w:t>1,452,051</w:t>
            </w:r>
          </w:p>
        </w:tc>
        <w:tc>
          <w:tcPr>
            <w:tcW w:w="1134" w:type="dxa"/>
            <w:tcBorders>
              <w:top w:val="single" w:sz="4" w:space="0" w:color="auto"/>
            </w:tcBorders>
          </w:tcPr>
          <w:p w14:paraId="7A9F1157" w14:textId="748691A0" w:rsidR="00EA2973" w:rsidRPr="005E6074" w:rsidRDefault="00EA2973" w:rsidP="005E6074">
            <w:pPr>
              <w:spacing w:line="240" w:lineRule="auto"/>
              <w:jc w:val="center"/>
              <w:rPr>
                <w:sz w:val="20"/>
                <w:szCs w:val="20"/>
              </w:rPr>
            </w:pPr>
            <w:r w:rsidRPr="005E6074">
              <w:rPr>
                <w:sz w:val="20"/>
                <w:szCs w:val="20"/>
              </w:rPr>
              <w:t>963,</w:t>
            </w:r>
            <w:r w:rsidR="00953103" w:rsidRPr="005E6074">
              <w:rPr>
                <w:sz w:val="20"/>
                <w:szCs w:val="20"/>
              </w:rPr>
              <w:t>183</w:t>
            </w:r>
          </w:p>
        </w:tc>
        <w:tc>
          <w:tcPr>
            <w:tcW w:w="1134" w:type="dxa"/>
            <w:tcBorders>
              <w:top w:val="single" w:sz="4" w:space="0" w:color="auto"/>
            </w:tcBorders>
          </w:tcPr>
          <w:p w14:paraId="43692E57" w14:textId="698DAB12" w:rsidR="00EA2973" w:rsidRPr="005E6074" w:rsidRDefault="00953103" w:rsidP="005E6074">
            <w:pPr>
              <w:spacing w:line="240" w:lineRule="auto"/>
              <w:jc w:val="center"/>
              <w:rPr>
                <w:sz w:val="20"/>
                <w:szCs w:val="20"/>
              </w:rPr>
            </w:pPr>
            <w:r w:rsidRPr="005E6074">
              <w:rPr>
                <w:sz w:val="20"/>
                <w:szCs w:val="20"/>
              </w:rPr>
              <w:t>276,813</w:t>
            </w:r>
          </w:p>
        </w:tc>
        <w:tc>
          <w:tcPr>
            <w:tcW w:w="1134" w:type="dxa"/>
            <w:tcBorders>
              <w:top w:val="single" w:sz="4" w:space="0" w:color="auto"/>
            </w:tcBorders>
          </w:tcPr>
          <w:p w14:paraId="3523A3A3" w14:textId="77777777" w:rsidR="00EA2973" w:rsidRPr="005E6074" w:rsidRDefault="00EA2973" w:rsidP="005E6074">
            <w:pPr>
              <w:spacing w:line="240" w:lineRule="auto"/>
              <w:jc w:val="center"/>
              <w:rPr>
                <w:sz w:val="20"/>
                <w:szCs w:val="20"/>
              </w:rPr>
            </w:pPr>
            <w:r w:rsidRPr="005E6074">
              <w:rPr>
                <w:sz w:val="20"/>
                <w:szCs w:val="20"/>
              </w:rPr>
              <w:t>3,572,871</w:t>
            </w:r>
          </w:p>
        </w:tc>
      </w:tr>
      <w:tr w:rsidR="00EA2973" w:rsidRPr="005E6074" w14:paraId="665F3266" w14:textId="77777777" w:rsidTr="005E6074">
        <w:tc>
          <w:tcPr>
            <w:tcW w:w="1558" w:type="dxa"/>
            <w:vMerge/>
          </w:tcPr>
          <w:p w14:paraId="22877284" w14:textId="77777777" w:rsidR="00EA2973" w:rsidRPr="005E6074" w:rsidRDefault="00EA2973" w:rsidP="005E6074">
            <w:pPr>
              <w:spacing w:line="240" w:lineRule="auto"/>
              <w:jc w:val="both"/>
              <w:rPr>
                <w:sz w:val="20"/>
                <w:szCs w:val="20"/>
              </w:rPr>
            </w:pPr>
          </w:p>
        </w:tc>
        <w:tc>
          <w:tcPr>
            <w:tcW w:w="1275" w:type="dxa"/>
            <w:vMerge/>
          </w:tcPr>
          <w:p w14:paraId="4140E667" w14:textId="77777777" w:rsidR="00EA2973" w:rsidRPr="005E6074" w:rsidRDefault="00EA2973" w:rsidP="005E6074">
            <w:pPr>
              <w:spacing w:line="240" w:lineRule="auto"/>
              <w:jc w:val="center"/>
              <w:rPr>
                <w:sz w:val="20"/>
                <w:szCs w:val="20"/>
              </w:rPr>
            </w:pPr>
          </w:p>
        </w:tc>
        <w:tc>
          <w:tcPr>
            <w:tcW w:w="1701" w:type="dxa"/>
          </w:tcPr>
          <w:p w14:paraId="71D3DCF3" w14:textId="77777777" w:rsidR="00EA2973" w:rsidRPr="005E6074" w:rsidRDefault="00EA2973" w:rsidP="005E6074">
            <w:pPr>
              <w:spacing w:line="240" w:lineRule="auto"/>
              <w:jc w:val="center"/>
              <w:rPr>
                <w:sz w:val="20"/>
                <w:szCs w:val="20"/>
              </w:rPr>
            </w:pPr>
            <w:r w:rsidRPr="005E6074">
              <w:rPr>
                <w:sz w:val="20"/>
                <w:szCs w:val="20"/>
              </w:rPr>
              <w:t>India</w:t>
            </w:r>
          </w:p>
        </w:tc>
        <w:tc>
          <w:tcPr>
            <w:tcW w:w="1134" w:type="dxa"/>
          </w:tcPr>
          <w:p w14:paraId="67D046D1" w14:textId="7AE8CCCB" w:rsidR="00EA2973" w:rsidRPr="005E6074" w:rsidRDefault="00EA2973" w:rsidP="005E6074">
            <w:pPr>
              <w:spacing w:line="240" w:lineRule="auto"/>
              <w:jc w:val="center"/>
              <w:rPr>
                <w:sz w:val="20"/>
                <w:szCs w:val="20"/>
              </w:rPr>
            </w:pPr>
            <w:r w:rsidRPr="005E6074">
              <w:rPr>
                <w:sz w:val="20"/>
                <w:szCs w:val="20"/>
              </w:rPr>
              <w:t>1,099,555</w:t>
            </w:r>
          </w:p>
        </w:tc>
        <w:tc>
          <w:tcPr>
            <w:tcW w:w="1134" w:type="dxa"/>
          </w:tcPr>
          <w:p w14:paraId="3C39B989" w14:textId="77777777" w:rsidR="00EA2973" w:rsidRPr="005E6074" w:rsidRDefault="00EA2973" w:rsidP="005E6074">
            <w:pPr>
              <w:spacing w:line="240" w:lineRule="auto"/>
              <w:jc w:val="center"/>
              <w:rPr>
                <w:sz w:val="20"/>
                <w:szCs w:val="20"/>
              </w:rPr>
            </w:pPr>
            <w:r w:rsidRPr="005E6074">
              <w:rPr>
                <w:sz w:val="20"/>
                <w:szCs w:val="20"/>
              </w:rPr>
              <w:t>736,101</w:t>
            </w:r>
          </w:p>
        </w:tc>
        <w:tc>
          <w:tcPr>
            <w:tcW w:w="1134" w:type="dxa"/>
          </w:tcPr>
          <w:p w14:paraId="0D8F8F0B" w14:textId="5005803B" w:rsidR="00EA2973" w:rsidRPr="005E6074" w:rsidRDefault="00953103" w:rsidP="005E6074">
            <w:pPr>
              <w:spacing w:line="240" w:lineRule="auto"/>
              <w:jc w:val="center"/>
              <w:rPr>
                <w:sz w:val="20"/>
                <w:szCs w:val="20"/>
              </w:rPr>
            </w:pPr>
            <w:r w:rsidRPr="005E6074">
              <w:rPr>
                <w:sz w:val="20"/>
                <w:szCs w:val="20"/>
              </w:rPr>
              <w:t>146,167</w:t>
            </w:r>
          </w:p>
        </w:tc>
        <w:tc>
          <w:tcPr>
            <w:tcW w:w="1134" w:type="dxa"/>
          </w:tcPr>
          <w:p w14:paraId="576F5D68" w14:textId="77777777" w:rsidR="00EA2973" w:rsidRPr="005E6074" w:rsidRDefault="00EA2973" w:rsidP="005E6074">
            <w:pPr>
              <w:spacing w:line="240" w:lineRule="auto"/>
              <w:jc w:val="center"/>
              <w:rPr>
                <w:sz w:val="20"/>
                <w:szCs w:val="20"/>
              </w:rPr>
            </w:pPr>
            <w:r w:rsidRPr="005E6074">
              <w:rPr>
                <w:sz w:val="20"/>
                <w:szCs w:val="20"/>
              </w:rPr>
              <w:t>2,364,524</w:t>
            </w:r>
          </w:p>
        </w:tc>
      </w:tr>
      <w:tr w:rsidR="00EA2973" w:rsidRPr="005E6074" w14:paraId="42A88D03" w14:textId="77777777" w:rsidTr="005E6074">
        <w:tc>
          <w:tcPr>
            <w:tcW w:w="1558" w:type="dxa"/>
            <w:vMerge/>
          </w:tcPr>
          <w:p w14:paraId="6D1D682A" w14:textId="77777777" w:rsidR="00EA2973" w:rsidRPr="005E6074" w:rsidRDefault="00EA2973" w:rsidP="005E6074">
            <w:pPr>
              <w:spacing w:line="240" w:lineRule="auto"/>
              <w:jc w:val="both"/>
              <w:rPr>
                <w:sz w:val="20"/>
                <w:szCs w:val="20"/>
              </w:rPr>
            </w:pPr>
          </w:p>
        </w:tc>
        <w:tc>
          <w:tcPr>
            <w:tcW w:w="1275" w:type="dxa"/>
            <w:vMerge/>
          </w:tcPr>
          <w:p w14:paraId="1C320FCB" w14:textId="77777777" w:rsidR="00EA2973" w:rsidRPr="005E6074" w:rsidRDefault="00EA2973" w:rsidP="005E6074">
            <w:pPr>
              <w:spacing w:line="240" w:lineRule="auto"/>
              <w:jc w:val="center"/>
              <w:rPr>
                <w:sz w:val="20"/>
                <w:szCs w:val="20"/>
              </w:rPr>
            </w:pPr>
          </w:p>
        </w:tc>
        <w:tc>
          <w:tcPr>
            <w:tcW w:w="1701" w:type="dxa"/>
          </w:tcPr>
          <w:p w14:paraId="47948E07" w14:textId="7EF4276D" w:rsidR="00EA2973" w:rsidRPr="005E6074" w:rsidRDefault="003466D5" w:rsidP="005E6074">
            <w:pPr>
              <w:spacing w:line="240" w:lineRule="auto"/>
              <w:jc w:val="center"/>
              <w:rPr>
                <w:sz w:val="20"/>
                <w:szCs w:val="20"/>
              </w:rPr>
            </w:pPr>
            <w:r w:rsidRPr="005E6074">
              <w:rPr>
                <w:sz w:val="20"/>
                <w:szCs w:val="20"/>
              </w:rPr>
              <w:t>Netherland</w:t>
            </w:r>
          </w:p>
        </w:tc>
        <w:tc>
          <w:tcPr>
            <w:tcW w:w="1134" w:type="dxa"/>
          </w:tcPr>
          <w:p w14:paraId="29196D9F" w14:textId="7E153444" w:rsidR="00EA2973" w:rsidRPr="005E6074" w:rsidRDefault="00953103" w:rsidP="005E6074">
            <w:pPr>
              <w:spacing w:line="240" w:lineRule="auto"/>
              <w:jc w:val="center"/>
              <w:rPr>
                <w:sz w:val="20"/>
                <w:szCs w:val="20"/>
              </w:rPr>
            </w:pPr>
            <w:r w:rsidRPr="005E6074">
              <w:rPr>
                <w:sz w:val="20"/>
                <w:szCs w:val="20"/>
              </w:rPr>
              <w:t>628,988</w:t>
            </w:r>
          </w:p>
        </w:tc>
        <w:tc>
          <w:tcPr>
            <w:tcW w:w="1134" w:type="dxa"/>
          </w:tcPr>
          <w:p w14:paraId="4F8F46C0" w14:textId="0E8316EF" w:rsidR="00EA2973" w:rsidRPr="005E6074" w:rsidRDefault="00953103" w:rsidP="005E6074">
            <w:pPr>
              <w:spacing w:line="240" w:lineRule="auto"/>
              <w:jc w:val="center"/>
              <w:rPr>
                <w:sz w:val="20"/>
                <w:szCs w:val="20"/>
              </w:rPr>
            </w:pPr>
            <w:r w:rsidRPr="005E6074">
              <w:rPr>
                <w:sz w:val="20"/>
                <w:szCs w:val="20"/>
              </w:rPr>
              <w:t>330,388</w:t>
            </w:r>
          </w:p>
        </w:tc>
        <w:tc>
          <w:tcPr>
            <w:tcW w:w="1134" w:type="dxa"/>
          </w:tcPr>
          <w:p w14:paraId="469A135C" w14:textId="5613769C" w:rsidR="00EA2973" w:rsidRPr="005E6074" w:rsidRDefault="00953103" w:rsidP="005E6074">
            <w:pPr>
              <w:spacing w:line="240" w:lineRule="auto"/>
              <w:jc w:val="center"/>
              <w:rPr>
                <w:sz w:val="20"/>
                <w:szCs w:val="20"/>
              </w:rPr>
            </w:pPr>
            <w:r w:rsidRPr="005E6074">
              <w:rPr>
                <w:sz w:val="20"/>
                <w:szCs w:val="20"/>
              </w:rPr>
              <w:t>90,221</w:t>
            </w:r>
          </w:p>
        </w:tc>
        <w:tc>
          <w:tcPr>
            <w:tcW w:w="1134" w:type="dxa"/>
          </w:tcPr>
          <w:p w14:paraId="1FE58192" w14:textId="77777777" w:rsidR="00EA2973" w:rsidRPr="005E6074" w:rsidRDefault="00EA2973" w:rsidP="005E6074">
            <w:pPr>
              <w:spacing w:line="240" w:lineRule="auto"/>
              <w:jc w:val="center"/>
              <w:rPr>
                <w:sz w:val="20"/>
                <w:szCs w:val="20"/>
              </w:rPr>
            </w:pPr>
            <w:r w:rsidRPr="005E6074">
              <w:rPr>
                <w:sz w:val="20"/>
                <w:szCs w:val="20"/>
              </w:rPr>
              <w:t>1,300,297</w:t>
            </w:r>
          </w:p>
        </w:tc>
      </w:tr>
      <w:tr w:rsidR="00EA2973" w:rsidRPr="005E6074" w14:paraId="59D2F83E" w14:textId="77777777" w:rsidTr="005E6074">
        <w:tc>
          <w:tcPr>
            <w:tcW w:w="1558" w:type="dxa"/>
            <w:vMerge/>
          </w:tcPr>
          <w:p w14:paraId="57369729" w14:textId="77777777" w:rsidR="00EA2973" w:rsidRPr="005E6074" w:rsidRDefault="00EA2973" w:rsidP="005E6074">
            <w:pPr>
              <w:spacing w:line="240" w:lineRule="auto"/>
              <w:jc w:val="both"/>
              <w:rPr>
                <w:sz w:val="20"/>
                <w:szCs w:val="20"/>
              </w:rPr>
            </w:pPr>
          </w:p>
        </w:tc>
        <w:tc>
          <w:tcPr>
            <w:tcW w:w="1275" w:type="dxa"/>
            <w:vMerge/>
          </w:tcPr>
          <w:p w14:paraId="6451EF63" w14:textId="77777777" w:rsidR="00EA2973" w:rsidRPr="005E6074" w:rsidRDefault="00EA2973" w:rsidP="005E6074">
            <w:pPr>
              <w:spacing w:line="240" w:lineRule="auto"/>
              <w:jc w:val="center"/>
              <w:rPr>
                <w:sz w:val="20"/>
                <w:szCs w:val="20"/>
              </w:rPr>
            </w:pPr>
          </w:p>
        </w:tc>
        <w:tc>
          <w:tcPr>
            <w:tcW w:w="1701" w:type="dxa"/>
          </w:tcPr>
          <w:p w14:paraId="36598D98" w14:textId="77777777" w:rsidR="00EA2973" w:rsidRPr="005E6074" w:rsidRDefault="00EA2973" w:rsidP="005E6074">
            <w:pPr>
              <w:spacing w:line="240" w:lineRule="auto"/>
              <w:jc w:val="center"/>
              <w:rPr>
                <w:sz w:val="20"/>
                <w:szCs w:val="20"/>
              </w:rPr>
            </w:pPr>
            <w:r w:rsidRPr="005E6074">
              <w:rPr>
                <w:sz w:val="20"/>
                <w:szCs w:val="20"/>
              </w:rPr>
              <w:t>Pakistan</w:t>
            </w:r>
          </w:p>
        </w:tc>
        <w:tc>
          <w:tcPr>
            <w:tcW w:w="1134" w:type="dxa"/>
          </w:tcPr>
          <w:p w14:paraId="2499D7E3" w14:textId="43BA29D2" w:rsidR="00EA2973" w:rsidRPr="005E6074" w:rsidRDefault="00953103" w:rsidP="005E6074">
            <w:pPr>
              <w:spacing w:line="240" w:lineRule="auto"/>
              <w:jc w:val="center"/>
              <w:rPr>
                <w:sz w:val="20"/>
                <w:szCs w:val="20"/>
              </w:rPr>
            </w:pPr>
            <w:r w:rsidRPr="005E6074">
              <w:rPr>
                <w:sz w:val="20"/>
                <w:szCs w:val="20"/>
              </w:rPr>
              <w:t>731,834</w:t>
            </w:r>
          </w:p>
        </w:tc>
        <w:tc>
          <w:tcPr>
            <w:tcW w:w="1134" w:type="dxa"/>
          </w:tcPr>
          <w:p w14:paraId="3CFBE6DF" w14:textId="57E32D63" w:rsidR="00EA2973" w:rsidRPr="005E6074" w:rsidRDefault="00953103" w:rsidP="005E6074">
            <w:pPr>
              <w:spacing w:line="240" w:lineRule="auto"/>
              <w:jc w:val="center"/>
              <w:rPr>
                <w:sz w:val="20"/>
                <w:szCs w:val="20"/>
              </w:rPr>
            </w:pPr>
            <w:r w:rsidRPr="005E6074">
              <w:rPr>
                <w:sz w:val="20"/>
                <w:szCs w:val="20"/>
              </w:rPr>
              <w:t>493,256</w:t>
            </w:r>
          </w:p>
        </w:tc>
        <w:tc>
          <w:tcPr>
            <w:tcW w:w="1134" w:type="dxa"/>
          </w:tcPr>
          <w:p w14:paraId="26D4D6D3" w14:textId="41510F79" w:rsidR="00EA2973" w:rsidRPr="005E6074" w:rsidRDefault="00953103" w:rsidP="005E6074">
            <w:pPr>
              <w:spacing w:line="240" w:lineRule="auto"/>
              <w:jc w:val="center"/>
              <w:rPr>
                <w:sz w:val="20"/>
                <w:szCs w:val="20"/>
              </w:rPr>
            </w:pPr>
            <w:r w:rsidRPr="005E6074">
              <w:rPr>
                <w:sz w:val="20"/>
                <w:szCs w:val="20"/>
              </w:rPr>
              <w:t>266,285</w:t>
            </w:r>
          </w:p>
        </w:tc>
        <w:tc>
          <w:tcPr>
            <w:tcW w:w="1134" w:type="dxa"/>
          </w:tcPr>
          <w:p w14:paraId="4E422003" w14:textId="77777777" w:rsidR="00EA2973" w:rsidRPr="005E6074" w:rsidRDefault="00EA2973" w:rsidP="005E6074">
            <w:pPr>
              <w:spacing w:line="240" w:lineRule="auto"/>
              <w:jc w:val="center"/>
              <w:rPr>
                <w:sz w:val="20"/>
                <w:szCs w:val="20"/>
              </w:rPr>
            </w:pPr>
            <w:r w:rsidRPr="005E6074">
              <w:rPr>
                <w:sz w:val="20"/>
                <w:szCs w:val="20"/>
              </w:rPr>
              <w:t>1,988,864</w:t>
            </w:r>
          </w:p>
        </w:tc>
      </w:tr>
      <w:tr w:rsidR="00EA2973" w:rsidRPr="005E6074" w14:paraId="73242193" w14:textId="77777777" w:rsidTr="005E6074">
        <w:tc>
          <w:tcPr>
            <w:tcW w:w="1558" w:type="dxa"/>
            <w:vMerge/>
          </w:tcPr>
          <w:p w14:paraId="0D8A449C" w14:textId="77777777" w:rsidR="00EA2973" w:rsidRPr="005E6074" w:rsidRDefault="00EA2973" w:rsidP="005E6074">
            <w:pPr>
              <w:spacing w:line="240" w:lineRule="auto"/>
              <w:jc w:val="both"/>
              <w:rPr>
                <w:sz w:val="20"/>
                <w:szCs w:val="20"/>
              </w:rPr>
            </w:pPr>
          </w:p>
        </w:tc>
        <w:tc>
          <w:tcPr>
            <w:tcW w:w="1275" w:type="dxa"/>
            <w:vMerge/>
          </w:tcPr>
          <w:p w14:paraId="0C76BF3C" w14:textId="77777777" w:rsidR="00EA2973" w:rsidRPr="005E6074" w:rsidRDefault="00EA2973" w:rsidP="005E6074">
            <w:pPr>
              <w:spacing w:line="240" w:lineRule="auto"/>
              <w:jc w:val="center"/>
              <w:rPr>
                <w:sz w:val="20"/>
                <w:szCs w:val="20"/>
              </w:rPr>
            </w:pPr>
          </w:p>
        </w:tc>
        <w:tc>
          <w:tcPr>
            <w:tcW w:w="1701" w:type="dxa"/>
          </w:tcPr>
          <w:p w14:paraId="42931ADE" w14:textId="757DE4CB" w:rsidR="00EA2973" w:rsidRPr="005E6074" w:rsidRDefault="008C371B" w:rsidP="005E6074">
            <w:pPr>
              <w:spacing w:line="240" w:lineRule="auto"/>
              <w:jc w:val="center"/>
              <w:rPr>
                <w:sz w:val="20"/>
                <w:szCs w:val="20"/>
              </w:rPr>
            </w:pPr>
            <w:r w:rsidRPr="005E6074">
              <w:rPr>
                <w:sz w:val="20"/>
                <w:szCs w:val="20"/>
              </w:rPr>
              <w:t>US</w:t>
            </w:r>
          </w:p>
        </w:tc>
        <w:tc>
          <w:tcPr>
            <w:tcW w:w="1134" w:type="dxa"/>
          </w:tcPr>
          <w:p w14:paraId="207A87B9" w14:textId="5DCB6CFF" w:rsidR="00EA2973" w:rsidRPr="005E6074" w:rsidRDefault="00953103" w:rsidP="005E6074">
            <w:pPr>
              <w:spacing w:line="240" w:lineRule="auto"/>
              <w:jc w:val="center"/>
              <w:rPr>
                <w:sz w:val="20"/>
                <w:szCs w:val="20"/>
              </w:rPr>
            </w:pPr>
            <w:r w:rsidRPr="005E6074">
              <w:rPr>
                <w:sz w:val="20"/>
                <w:szCs w:val="20"/>
              </w:rPr>
              <w:t>304,558</w:t>
            </w:r>
          </w:p>
        </w:tc>
        <w:tc>
          <w:tcPr>
            <w:tcW w:w="1134" w:type="dxa"/>
          </w:tcPr>
          <w:p w14:paraId="17B58C37" w14:textId="60215CE2" w:rsidR="00EA2973" w:rsidRPr="005E6074" w:rsidRDefault="00953103" w:rsidP="005E6074">
            <w:pPr>
              <w:spacing w:line="240" w:lineRule="auto"/>
              <w:jc w:val="center"/>
              <w:rPr>
                <w:sz w:val="20"/>
                <w:szCs w:val="20"/>
              </w:rPr>
            </w:pPr>
            <w:r w:rsidRPr="005E6074">
              <w:rPr>
                <w:sz w:val="20"/>
                <w:szCs w:val="20"/>
              </w:rPr>
              <w:t>240,056</w:t>
            </w:r>
          </w:p>
        </w:tc>
        <w:tc>
          <w:tcPr>
            <w:tcW w:w="1134" w:type="dxa"/>
          </w:tcPr>
          <w:p w14:paraId="2AD0E2D0" w14:textId="7AF539AB" w:rsidR="00EA2973" w:rsidRPr="005E6074" w:rsidRDefault="00953103" w:rsidP="005E6074">
            <w:pPr>
              <w:spacing w:line="240" w:lineRule="auto"/>
              <w:jc w:val="center"/>
              <w:rPr>
                <w:sz w:val="20"/>
                <w:szCs w:val="20"/>
              </w:rPr>
            </w:pPr>
            <w:r w:rsidRPr="005E6074">
              <w:rPr>
                <w:sz w:val="20"/>
                <w:szCs w:val="20"/>
              </w:rPr>
              <w:t>23,599</w:t>
            </w:r>
          </w:p>
        </w:tc>
        <w:tc>
          <w:tcPr>
            <w:tcW w:w="1134" w:type="dxa"/>
          </w:tcPr>
          <w:p w14:paraId="2A9A0E52" w14:textId="6B29AD04" w:rsidR="00EA2973" w:rsidRPr="005E6074" w:rsidRDefault="00953103" w:rsidP="005E6074">
            <w:pPr>
              <w:spacing w:line="240" w:lineRule="auto"/>
              <w:jc w:val="center"/>
              <w:rPr>
                <w:sz w:val="20"/>
                <w:szCs w:val="20"/>
              </w:rPr>
            </w:pPr>
            <w:r w:rsidRPr="005E6074">
              <w:rPr>
                <w:sz w:val="20"/>
                <w:szCs w:val="20"/>
              </w:rPr>
              <w:t>791,080</w:t>
            </w:r>
          </w:p>
        </w:tc>
      </w:tr>
      <w:tr w:rsidR="00EA2973" w:rsidRPr="005E6074" w14:paraId="3B914983" w14:textId="77777777" w:rsidTr="005E6074">
        <w:tc>
          <w:tcPr>
            <w:tcW w:w="1558" w:type="dxa"/>
          </w:tcPr>
          <w:p w14:paraId="4C28F0AC" w14:textId="77D836AB" w:rsidR="00EA2973" w:rsidRPr="005E6074" w:rsidRDefault="005F587A" w:rsidP="005E6074">
            <w:pPr>
              <w:spacing w:line="240" w:lineRule="auto"/>
              <w:jc w:val="both"/>
              <w:rPr>
                <w:sz w:val="20"/>
                <w:szCs w:val="20"/>
              </w:rPr>
            </w:pPr>
            <w:r w:rsidRPr="005E6074">
              <w:rPr>
                <w:sz w:val="20"/>
                <w:szCs w:val="20"/>
              </w:rPr>
              <w:t>Malaysian</w:t>
            </w:r>
            <w:r w:rsidR="007C745A" w:rsidRPr="005E6074">
              <w:rPr>
                <w:sz w:val="20"/>
                <w:szCs w:val="20"/>
              </w:rPr>
              <w:t xml:space="preserve"> GDP</w:t>
            </w:r>
          </w:p>
        </w:tc>
        <w:tc>
          <w:tcPr>
            <w:tcW w:w="1275" w:type="dxa"/>
          </w:tcPr>
          <w:p w14:paraId="59A5E274" w14:textId="77777777" w:rsidR="00EA2973" w:rsidRPr="005E6074" w:rsidRDefault="00EA2973" w:rsidP="005E6074">
            <w:pPr>
              <w:spacing w:line="240" w:lineRule="auto"/>
              <w:jc w:val="center"/>
              <w:rPr>
                <w:sz w:val="20"/>
                <w:szCs w:val="20"/>
              </w:rPr>
            </w:pPr>
            <w:r w:rsidRPr="005E6074">
              <w:rPr>
                <w:sz w:val="20"/>
                <w:szCs w:val="20"/>
              </w:rPr>
              <w:t>USD</w:t>
            </w:r>
          </w:p>
        </w:tc>
        <w:tc>
          <w:tcPr>
            <w:tcW w:w="1701" w:type="dxa"/>
          </w:tcPr>
          <w:p w14:paraId="4BED7287" w14:textId="77777777" w:rsidR="00EA2973" w:rsidRPr="005E6074" w:rsidRDefault="00EA2973" w:rsidP="005E6074">
            <w:pPr>
              <w:spacing w:line="240" w:lineRule="auto"/>
              <w:jc w:val="center"/>
              <w:rPr>
                <w:sz w:val="20"/>
                <w:szCs w:val="20"/>
              </w:rPr>
            </w:pPr>
            <w:r w:rsidRPr="005E6074">
              <w:rPr>
                <w:sz w:val="20"/>
                <w:szCs w:val="20"/>
              </w:rPr>
              <w:t>Malaysia</w:t>
            </w:r>
          </w:p>
        </w:tc>
        <w:tc>
          <w:tcPr>
            <w:tcW w:w="1134" w:type="dxa"/>
          </w:tcPr>
          <w:p w14:paraId="6F4F7E94" w14:textId="77777777" w:rsidR="00EA2973" w:rsidRPr="005E6074" w:rsidRDefault="00EA2973" w:rsidP="005E6074">
            <w:pPr>
              <w:spacing w:line="240" w:lineRule="auto"/>
              <w:jc w:val="center"/>
              <w:rPr>
                <w:sz w:val="20"/>
                <w:szCs w:val="20"/>
              </w:rPr>
            </w:pPr>
            <w:r w:rsidRPr="005E6074">
              <w:rPr>
                <w:sz w:val="20"/>
                <w:szCs w:val="20"/>
              </w:rPr>
              <w:t>2.36e+11</w:t>
            </w:r>
          </w:p>
        </w:tc>
        <w:tc>
          <w:tcPr>
            <w:tcW w:w="1134" w:type="dxa"/>
          </w:tcPr>
          <w:p w14:paraId="57B7F64A" w14:textId="77777777" w:rsidR="00EA2973" w:rsidRPr="005E6074" w:rsidRDefault="00EA2973" w:rsidP="005E6074">
            <w:pPr>
              <w:spacing w:line="240" w:lineRule="auto"/>
              <w:jc w:val="center"/>
              <w:rPr>
                <w:sz w:val="20"/>
                <w:szCs w:val="20"/>
              </w:rPr>
            </w:pPr>
            <w:r w:rsidRPr="005E6074">
              <w:rPr>
                <w:sz w:val="20"/>
                <w:szCs w:val="20"/>
              </w:rPr>
              <w:t>9.55e+10</w:t>
            </w:r>
          </w:p>
        </w:tc>
        <w:tc>
          <w:tcPr>
            <w:tcW w:w="1134" w:type="dxa"/>
          </w:tcPr>
          <w:p w14:paraId="47705EE8" w14:textId="77777777" w:rsidR="00EA2973" w:rsidRPr="005E6074" w:rsidRDefault="00EA2973" w:rsidP="005E6074">
            <w:pPr>
              <w:spacing w:line="240" w:lineRule="auto"/>
              <w:jc w:val="center"/>
              <w:rPr>
                <w:sz w:val="20"/>
                <w:szCs w:val="20"/>
              </w:rPr>
            </w:pPr>
            <w:r w:rsidRPr="005E6074">
              <w:rPr>
                <w:sz w:val="20"/>
                <w:szCs w:val="20"/>
              </w:rPr>
              <w:t>9.28e+10</w:t>
            </w:r>
          </w:p>
        </w:tc>
        <w:tc>
          <w:tcPr>
            <w:tcW w:w="1134" w:type="dxa"/>
          </w:tcPr>
          <w:p w14:paraId="3CF5C4F2" w14:textId="77777777" w:rsidR="00EA2973" w:rsidRPr="005E6074" w:rsidRDefault="00EA2973" w:rsidP="005E6074">
            <w:pPr>
              <w:spacing w:line="240" w:lineRule="auto"/>
              <w:jc w:val="center"/>
              <w:rPr>
                <w:sz w:val="20"/>
                <w:szCs w:val="20"/>
              </w:rPr>
            </w:pPr>
            <w:r w:rsidRPr="005E6074">
              <w:rPr>
                <w:sz w:val="20"/>
                <w:szCs w:val="20"/>
              </w:rPr>
              <w:t>3.65e+11</w:t>
            </w:r>
          </w:p>
        </w:tc>
      </w:tr>
      <w:tr w:rsidR="00EA2973" w:rsidRPr="005E6074" w14:paraId="54984931" w14:textId="77777777" w:rsidTr="005E6074">
        <w:tc>
          <w:tcPr>
            <w:tcW w:w="1558" w:type="dxa"/>
            <w:vMerge w:val="restart"/>
          </w:tcPr>
          <w:p w14:paraId="4FBDF903" w14:textId="5F8AF4FB" w:rsidR="00EA2973" w:rsidRPr="005E6074" w:rsidRDefault="00470EC4" w:rsidP="005E6074">
            <w:pPr>
              <w:spacing w:line="240" w:lineRule="auto"/>
              <w:jc w:val="both"/>
              <w:rPr>
                <w:sz w:val="20"/>
                <w:szCs w:val="20"/>
              </w:rPr>
            </w:pPr>
            <w:r w:rsidRPr="005E6074">
              <w:rPr>
                <w:sz w:val="20"/>
                <w:szCs w:val="20"/>
              </w:rPr>
              <w:t xml:space="preserve">Importer’s </w:t>
            </w:r>
            <w:r w:rsidR="007C745A" w:rsidRPr="005E6074">
              <w:rPr>
                <w:sz w:val="20"/>
                <w:szCs w:val="20"/>
              </w:rPr>
              <w:t>GD</w:t>
            </w:r>
            <w:r w:rsidRPr="005E6074">
              <w:rPr>
                <w:sz w:val="20"/>
                <w:szCs w:val="20"/>
              </w:rPr>
              <w:t>P</w:t>
            </w:r>
          </w:p>
        </w:tc>
        <w:tc>
          <w:tcPr>
            <w:tcW w:w="1275" w:type="dxa"/>
            <w:vMerge w:val="restart"/>
          </w:tcPr>
          <w:p w14:paraId="4606BA70" w14:textId="77777777" w:rsidR="00EA2973" w:rsidRPr="005E6074" w:rsidRDefault="00EA2973" w:rsidP="005E6074">
            <w:pPr>
              <w:spacing w:line="240" w:lineRule="auto"/>
              <w:jc w:val="center"/>
              <w:rPr>
                <w:sz w:val="20"/>
                <w:szCs w:val="20"/>
              </w:rPr>
            </w:pPr>
            <w:r w:rsidRPr="005E6074">
              <w:rPr>
                <w:sz w:val="20"/>
                <w:szCs w:val="20"/>
              </w:rPr>
              <w:t>USD</w:t>
            </w:r>
          </w:p>
        </w:tc>
        <w:tc>
          <w:tcPr>
            <w:tcW w:w="1701" w:type="dxa"/>
          </w:tcPr>
          <w:p w14:paraId="0B2B2612" w14:textId="77777777" w:rsidR="00EA2973" w:rsidRPr="005E6074" w:rsidRDefault="00EA2973" w:rsidP="005E6074">
            <w:pPr>
              <w:spacing w:line="240" w:lineRule="auto"/>
              <w:jc w:val="center"/>
              <w:rPr>
                <w:sz w:val="20"/>
                <w:szCs w:val="20"/>
              </w:rPr>
            </w:pPr>
            <w:r w:rsidRPr="005E6074">
              <w:rPr>
                <w:sz w:val="20"/>
                <w:szCs w:val="20"/>
              </w:rPr>
              <w:t>China</w:t>
            </w:r>
          </w:p>
        </w:tc>
        <w:tc>
          <w:tcPr>
            <w:tcW w:w="1134" w:type="dxa"/>
          </w:tcPr>
          <w:p w14:paraId="116029AE" w14:textId="77777777" w:rsidR="00EA2973" w:rsidRPr="005E6074" w:rsidRDefault="00EA2973" w:rsidP="005E6074">
            <w:pPr>
              <w:spacing w:line="240" w:lineRule="auto"/>
              <w:jc w:val="center"/>
              <w:rPr>
                <w:sz w:val="20"/>
                <w:szCs w:val="20"/>
              </w:rPr>
            </w:pPr>
            <w:r w:rsidRPr="005E6074">
              <w:rPr>
                <w:sz w:val="20"/>
                <w:szCs w:val="20"/>
              </w:rPr>
              <w:t>6.94e+12</w:t>
            </w:r>
          </w:p>
        </w:tc>
        <w:tc>
          <w:tcPr>
            <w:tcW w:w="1134" w:type="dxa"/>
          </w:tcPr>
          <w:p w14:paraId="312BA0F9" w14:textId="77777777" w:rsidR="00EA2973" w:rsidRPr="005E6074" w:rsidRDefault="00EA2973" w:rsidP="005E6074">
            <w:pPr>
              <w:spacing w:line="240" w:lineRule="auto"/>
              <w:jc w:val="center"/>
              <w:rPr>
                <w:sz w:val="20"/>
                <w:szCs w:val="20"/>
              </w:rPr>
            </w:pPr>
            <w:r w:rsidRPr="005E6074">
              <w:rPr>
                <w:sz w:val="20"/>
                <w:szCs w:val="20"/>
              </w:rPr>
              <w:t>4.78e+12</w:t>
            </w:r>
          </w:p>
        </w:tc>
        <w:tc>
          <w:tcPr>
            <w:tcW w:w="1134" w:type="dxa"/>
          </w:tcPr>
          <w:p w14:paraId="71CB431A" w14:textId="77777777" w:rsidR="00EA2973" w:rsidRPr="005E6074" w:rsidRDefault="00EA2973" w:rsidP="005E6074">
            <w:pPr>
              <w:spacing w:line="240" w:lineRule="auto"/>
              <w:jc w:val="center"/>
              <w:rPr>
                <w:sz w:val="20"/>
                <w:szCs w:val="20"/>
              </w:rPr>
            </w:pPr>
            <w:r w:rsidRPr="005E6074">
              <w:rPr>
                <w:sz w:val="20"/>
                <w:szCs w:val="20"/>
              </w:rPr>
              <w:t>1.21e+12</w:t>
            </w:r>
          </w:p>
        </w:tc>
        <w:tc>
          <w:tcPr>
            <w:tcW w:w="1134" w:type="dxa"/>
          </w:tcPr>
          <w:p w14:paraId="1DDA23B3" w14:textId="77777777" w:rsidR="00EA2973" w:rsidRPr="005E6074" w:rsidRDefault="00EA2973" w:rsidP="005E6074">
            <w:pPr>
              <w:spacing w:line="240" w:lineRule="auto"/>
              <w:jc w:val="center"/>
              <w:rPr>
                <w:sz w:val="20"/>
                <w:szCs w:val="20"/>
              </w:rPr>
            </w:pPr>
            <w:r w:rsidRPr="005E6074">
              <w:rPr>
                <w:sz w:val="20"/>
                <w:szCs w:val="20"/>
              </w:rPr>
              <w:t>1.47e+13</w:t>
            </w:r>
          </w:p>
        </w:tc>
      </w:tr>
      <w:tr w:rsidR="00EA2973" w:rsidRPr="005E6074" w14:paraId="378995EC" w14:textId="77777777" w:rsidTr="005E6074">
        <w:tc>
          <w:tcPr>
            <w:tcW w:w="1558" w:type="dxa"/>
            <w:vMerge/>
          </w:tcPr>
          <w:p w14:paraId="713CBB5C" w14:textId="77777777" w:rsidR="00EA2973" w:rsidRPr="005E6074" w:rsidRDefault="00EA2973" w:rsidP="005E6074">
            <w:pPr>
              <w:spacing w:line="240" w:lineRule="auto"/>
              <w:jc w:val="both"/>
              <w:rPr>
                <w:sz w:val="20"/>
                <w:szCs w:val="20"/>
              </w:rPr>
            </w:pPr>
          </w:p>
        </w:tc>
        <w:tc>
          <w:tcPr>
            <w:tcW w:w="1275" w:type="dxa"/>
            <w:vMerge/>
          </w:tcPr>
          <w:p w14:paraId="41EC9B1A" w14:textId="77777777" w:rsidR="00EA2973" w:rsidRPr="005E6074" w:rsidRDefault="00EA2973" w:rsidP="005E6074">
            <w:pPr>
              <w:spacing w:line="240" w:lineRule="auto"/>
              <w:jc w:val="center"/>
              <w:rPr>
                <w:sz w:val="20"/>
                <w:szCs w:val="20"/>
              </w:rPr>
            </w:pPr>
          </w:p>
        </w:tc>
        <w:tc>
          <w:tcPr>
            <w:tcW w:w="1701" w:type="dxa"/>
          </w:tcPr>
          <w:p w14:paraId="2D0716D4" w14:textId="77777777" w:rsidR="00EA2973" w:rsidRPr="005E6074" w:rsidRDefault="00EA2973" w:rsidP="005E6074">
            <w:pPr>
              <w:spacing w:line="240" w:lineRule="auto"/>
              <w:jc w:val="center"/>
              <w:rPr>
                <w:sz w:val="20"/>
                <w:szCs w:val="20"/>
              </w:rPr>
            </w:pPr>
            <w:r w:rsidRPr="005E6074">
              <w:rPr>
                <w:sz w:val="20"/>
                <w:szCs w:val="20"/>
              </w:rPr>
              <w:t>India</w:t>
            </w:r>
          </w:p>
        </w:tc>
        <w:tc>
          <w:tcPr>
            <w:tcW w:w="1134" w:type="dxa"/>
          </w:tcPr>
          <w:p w14:paraId="04038974" w14:textId="77777777" w:rsidR="00EA2973" w:rsidRPr="005E6074" w:rsidRDefault="00EA2973" w:rsidP="005E6074">
            <w:pPr>
              <w:spacing w:line="240" w:lineRule="auto"/>
              <w:jc w:val="center"/>
              <w:rPr>
                <w:sz w:val="20"/>
                <w:szCs w:val="20"/>
              </w:rPr>
            </w:pPr>
            <w:r w:rsidRPr="005E6074">
              <w:rPr>
                <w:sz w:val="20"/>
                <w:szCs w:val="20"/>
              </w:rPr>
              <w:t>1.56e+12</w:t>
            </w:r>
          </w:p>
        </w:tc>
        <w:tc>
          <w:tcPr>
            <w:tcW w:w="1134" w:type="dxa"/>
          </w:tcPr>
          <w:p w14:paraId="16BCD0BB" w14:textId="77777777" w:rsidR="00EA2973" w:rsidRPr="005E6074" w:rsidRDefault="00EA2973" w:rsidP="005E6074">
            <w:pPr>
              <w:spacing w:line="240" w:lineRule="auto"/>
              <w:jc w:val="center"/>
              <w:rPr>
                <w:sz w:val="20"/>
                <w:szCs w:val="20"/>
              </w:rPr>
            </w:pPr>
            <w:r w:rsidRPr="005E6074">
              <w:rPr>
                <w:sz w:val="20"/>
                <w:szCs w:val="20"/>
              </w:rPr>
              <w:t>8.04e+11</w:t>
            </w:r>
          </w:p>
        </w:tc>
        <w:tc>
          <w:tcPr>
            <w:tcW w:w="1134" w:type="dxa"/>
          </w:tcPr>
          <w:p w14:paraId="64A04224" w14:textId="77777777" w:rsidR="00EA2973" w:rsidRPr="005E6074" w:rsidRDefault="00EA2973" w:rsidP="005E6074">
            <w:pPr>
              <w:spacing w:line="240" w:lineRule="auto"/>
              <w:jc w:val="center"/>
              <w:rPr>
                <w:sz w:val="20"/>
                <w:szCs w:val="20"/>
              </w:rPr>
            </w:pPr>
            <w:r w:rsidRPr="005E6074">
              <w:rPr>
                <w:sz w:val="20"/>
                <w:szCs w:val="20"/>
              </w:rPr>
              <w:t>4.68e+11</w:t>
            </w:r>
          </w:p>
        </w:tc>
        <w:tc>
          <w:tcPr>
            <w:tcW w:w="1134" w:type="dxa"/>
          </w:tcPr>
          <w:p w14:paraId="73163F5C" w14:textId="77777777" w:rsidR="00EA2973" w:rsidRPr="005E6074" w:rsidRDefault="00EA2973" w:rsidP="005E6074">
            <w:pPr>
              <w:spacing w:line="240" w:lineRule="auto"/>
              <w:jc w:val="center"/>
              <w:rPr>
                <w:sz w:val="20"/>
                <w:szCs w:val="20"/>
              </w:rPr>
            </w:pPr>
            <w:r w:rsidRPr="005E6074">
              <w:rPr>
                <w:sz w:val="20"/>
                <w:szCs w:val="20"/>
              </w:rPr>
              <w:t>2.87e+12</w:t>
            </w:r>
          </w:p>
        </w:tc>
      </w:tr>
      <w:tr w:rsidR="00EA2973" w:rsidRPr="005E6074" w14:paraId="19942FAE" w14:textId="77777777" w:rsidTr="005E6074">
        <w:tc>
          <w:tcPr>
            <w:tcW w:w="1558" w:type="dxa"/>
            <w:vMerge/>
          </w:tcPr>
          <w:p w14:paraId="34494EFC" w14:textId="77777777" w:rsidR="00EA2973" w:rsidRPr="005E6074" w:rsidRDefault="00EA2973" w:rsidP="005E6074">
            <w:pPr>
              <w:spacing w:line="240" w:lineRule="auto"/>
              <w:jc w:val="both"/>
              <w:rPr>
                <w:sz w:val="20"/>
                <w:szCs w:val="20"/>
              </w:rPr>
            </w:pPr>
          </w:p>
        </w:tc>
        <w:tc>
          <w:tcPr>
            <w:tcW w:w="1275" w:type="dxa"/>
            <w:vMerge/>
          </w:tcPr>
          <w:p w14:paraId="7B67E1A0" w14:textId="77777777" w:rsidR="00EA2973" w:rsidRPr="005E6074" w:rsidRDefault="00EA2973" w:rsidP="005E6074">
            <w:pPr>
              <w:spacing w:line="240" w:lineRule="auto"/>
              <w:jc w:val="center"/>
              <w:rPr>
                <w:sz w:val="20"/>
                <w:szCs w:val="20"/>
              </w:rPr>
            </w:pPr>
          </w:p>
        </w:tc>
        <w:tc>
          <w:tcPr>
            <w:tcW w:w="1701" w:type="dxa"/>
          </w:tcPr>
          <w:p w14:paraId="5B47AD49" w14:textId="2F4A1664" w:rsidR="00EA2973" w:rsidRPr="005E6074" w:rsidRDefault="003466D5" w:rsidP="005E6074">
            <w:pPr>
              <w:spacing w:line="240" w:lineRule="auto"/>
              <w:jc w:val="center"/>
              <w:rPr>
                <w:sz w:val="20"/>
                <w:szCs w:val="20"/>
              </w:rPr>
            </w:pPr>
            <w:r w:rsidRPr="005E6074">
              <w:rPr>
                <w:sz w:val="20"/>
                <w:szCs w:val="20"/>
              </w:rPr>
              <w:t>Netherland</w:t>
            </w:r>
          </w:p>
        </w:tc>
        <w:tc>
          <w:tcPr>
            <w:tcW w:w="1134" w:type="dxa"/>
          </w:tcPr>
          <w:p w14:paraId="67CFB497" w14:textId="77777777" w:rsidR="00EA2973" w:rsidRPr="005E6074" w:rsidRDefault="00EA2973" w:rsidP="005E6074">
            <w:pPr>
              <w:spacing w:line="240" w:lineRule="auto"/>
              <w:jc w:val="center"/>
              <w:rPr>
                <w:sz w:val="20"/>
                <w:szCs w:val="20"/>
              </w:rPr>
            </w:pPr>
            <w:r w:rsidRPr="005E6074">
              <w:rPr>
                <w:sz w:val="20"/>
                <w:szCs w:val="20"/>
              </w:rPr>
              <w:t>7.67e+11</w:t>
            </w:r>
          </w:p>
        </w:tc>
        <w:tc>
          <w:tcPr>
            <w:tcW w:w="1134" w:type="dxa"/>
          </w:tcPr>
          <w:p w14:paraId="264FF45A" w14:textId="77777777" w:rsidR="00EA2973" w:rsidRPr="005E6074" w:rsidRDefault="00EA2973" w:rsidP="005E6074">
            <w:pPr>
              <w:spacing w:line="240" w:lineRule="auto"/>
              <w:jc w:val="center"/>
              <w:rPr>
                <w:sz w:val="20"/>
                <w:szCs w:val="20"/>
              </w:rPr>
            </w:pPr>
            <w:r w:rsidRPr="005E6074">
              <w:rPr>
                <w:sz w:val="20"/>
                <w:szCs w:val="20"/>
              </w:rPr>
              <w:t>1.66e+11</w:t>
            </w:r>
          </w:p>
        </w:tc>
        <w:tc>
          <w:tcPr>
            <w:tcW w:w="1134" w:type="dxa"/>
          </w:tcPr>
          <w:p w14:paraId="645DDEF5" w14:textId="77777777" w:rsidR="00EA2973" w:rsidRPr="005E6074" w:rsidRDefault="00EA2973" w:rsidP="005E6074">
            <w:pPr>
              <w:spacing w:line="240" w:lineRule="auto"/>
              <w:jc w:val="center"/>
              <w:rPr>
                <w:sz w:val="20"/>
                <w:szCs w:val="20"/>
              </w:rPr>
            </w:pPr>
            <w:r w:rsidRPr="005E6074">
              <w:rPr>
                <w:sz w:val="20"/>
                <w:szCs w:val="20"/>
              </w:rPr>
              <w:t>4.16e+11</w:t>
            </w:r>
          </w:p>
        </w:tc>
        <w:tc>
          <w:tcPr>
            <w:tcW w:w="1134" w:type="dxa"/>
          </w:tcPr>
          <w:p w14:paraId="003F5B0A" w14:textId="77777777" w:rsidR="00EA2973" w:rsidRPr="005E6074" w:rsidRDefault="00EA2973" w:rsidP="005E6074">
            <w:pPr>
              <w:spacing w:line="240" w:lineRule="auto"/>
              <w:jc w:val="center"/>
              <w:rPr>
                <w:sz w:val="20"/>
                <w:szCs w:val="20"/>
              </w:rPr>
            </w:pPr>
            <w:r w:rsidRPr="005E6074">
              <w:rPr>
                <w:sz w:val="20"/>
                <w:szCs w:val="20"/>
              </w:rPr>
              <w:t>9.48e+11</w:t>
            </w:r>
          </w:p>
        </w:tc>
      </w:tr>
      <w:tr w:rsidR="00EA2973" w:rsidRPr="005E6074" w14:paraId="156BA41D" w14:textId="77777777" w:rsidTr="005E6074">
        <w:tc>
          <w:tcPr>
            <w:tcW w:w="1558" w:type="dxa"/>
            <w:vMerge/>
          </w:tcPr>
          <w:p w14:paraId="64F5DDA8" w14:textId="77777777" w:rsidR="00EA2973" w:rsidRPr="005E6074" w:rsidRDefault="00EA2973" w:rsidP="005E6074">
            <w:pPr>
              <w:spacing w:line="240" w:lineRule="auto"/>
              <w:jc w:val="both"/>
              <w:rPr>
                <w:sz w:val="20"/>
                <w:szCs w:val="20"/>
              </w:rPr>
            </w:pPr>
          </w:p>
        </w:tc>
        <w:tc>
          <w:tcPr>
            <w:tcW w:w="1275" w:type="dxa"/>
            <w:vMerge/>
          </w:tcPr>
          <w:p w14:paraId="47456E1F" w14:textId="77777777" w:rsidR="00EA2973" w:rsidRPr="005E6074" w:rsidRDefault="00EA2973" w:rsidP="005E6074">
            <w:pPr>
              <w:spacing w:line="240" w:lineRule="auto"/>
              <w:jc w:val="center"/>
              <w:rPr>
                <w:sz w:val="20"/>
                <w:szCs w:val="20"/>
              </w:rPr>
            </w:pPr>
          </w:p>
        </w:tc>
        <w:tc>
          <w:tcPr>
            <w:tcW w:w="1701" w:type="dxa"/>
          </w:tcPr>
          <w:p w14:paraId="4D9E837D" w14:textId="77777777" w:rsidR="00EA2973" w:rsidRPr="005E6074" w:rsidRDefault="00EA2973" w:rsidP="005E6074">
            <w:pPr>
              <w:spacing w:line="240" w:lineRule="auto"/>
              <w:jc w:val="center"/>
              <w:rPr>
                <w:sz w:val="20"/>
                <w:szCs w:val="20"/>
              </w:rPr>
            </w:pPr>
            <w:r w:rsidRPr="005E6074">
              <w:rPr>
                <w:sz w:val="20"/>
                <w:szCs w:val="20"/>
              </w:rPr>
              <w:t>Pakistan</w:t>
            </w:r>
          </w:p>
        </w:tc>
        <w:tc>
          <w:tcPr>
            <w:tcW w:w="1134" w:type="dxa"/>
          </w:tcPr>
          <w:p w14:paraId="55271F49" w14:textId="77777777" w:rsidR="00EA2973" w:rsidRPr="005E6074" w:rsidRDefault="00EA2973" w:rsidP="005E6074">
            <w:pPr>
              <w:spacing w:line="240" w:lineRule="auto"/>
              <w:jc w:val="center"/>
              <w:rPr>
                <w:sz w:val="20"/>
                <w:szCs w:val="20"/>
              </w:rPr>
            </w:pPr>
            <w:r w:rsidRPr="005E6074">
              <w:rPr>
                <w:sz w:val="20"/>
                <w:szCs w:val="20"/>
              </w:rPr>
              <w:t>1.90e+11</w:t>
            </w:r>
          </w:p>
        </w:tc>
        <w:tc>
          <w:tcPr>
            <w:tcW w:w="1134" w:type="dxa"/>
          </w:tcPr>
          <w:p w14:paraId="58E81B4B" w14:textId="77777777" w:rsidR="00EA2973" w:rsidRPr="005E6074" w:rsidRDefault="00EA2973" w:rsidP="005E6074">
            <w:pPr>
              <w:spacing w:line="240" w:lineRule="auto"/>
              <w:jc w:val="center"/>
              <w:rPr>
                <w:sz w:val="20"/>
                <w:szCs w:val="20"/>
              </w:rPr>
            </w:pPr>
            <w:r w:rsidRPr="005E6074">
              <w:rPr>
                <w:sz w:val="20"/>
                <w:szCs w:val="20"/>
              </w:rPr>
              <w:t>7.91e+10</w:t>
            </w:r>
          </w:p>
        </w:tc>
        <w:tc>
          <w:tcPr>
            <w:tcW w:w="1134" w:type="dxa"/>
          </w:tcPr>
          <w:p w14:paraId="5B6BFC0A" w14:textId="77777777" w:rsidR="00EA2973" w:rsidRPr="005E6074" w:rsidRDefault="00EA2973" w:rsidP="005E6074">
            <w:pPr>
              <w:spacing w:line="240" w:lineRule="auto"/>
              <w:jc w:val="center"/>
              <w:rPr>
                <w:sz w:val="20"/>
                <w:szCs w:val="20"/>
              </w:rPr>
            </w:pPr>
            <w:r w:rsidRPr="005E6074">
              <w:rPr>
                <w:sz w:val="20"/>
                <w:szCs w:val="20"/>
              </w:rPr>
              <w:t>7.95e+10</w:t>
            </w:r>
          </w:p>
        </w:tc>
        <w:tc>
          <w:tcPr>
            <w:tcW w:w="1134" w:type="dxa"/>
          </w:tcPr>
          <w:p w14:paraId="58B0E5C5" w14:textId="77777777" w:rsidR="00EA2973" w:rsidRPr="005E6074" w:rsidRDefault="00EA2973" w:rsidP="005E6074">
            <w:pPr>
              <w:spacing w:line="240" w:lineRule="auto"/>
              <w:jc w:val="center"/>
              <w:rPr>
                <w:sz w:val="20"/>
                <w:szCs w:val="20"/>
              </w:rPr>
            </w:pPr>
            <w:r w:rsidRPr="005E6074">
              <w:rPr>
                <w:sz w:val="20"/>
                <w:szCs w:val="20"/>
              </w:rPr>
              <w:t>3.15e+11</w:t>
            </w:r>
          </w:p>
        </w:tc>
      </w:tr>
      <w:tr w:rsidR="00EA2973" w:rsidRPr="005E6074" w14:paraId="7C206AA8" w14:textId="77777777" w:rsidTr="005E6074">
        <w:tc>
          <w:tcPr>
            <w:tcW w:w="1558" w:type="dxa"/>
            <w:vMerge/>
          </w:tcPr>
          <w:p w14:paraId="5D83B570" w14:textId="77777777" w:rsidR="00EA2973" w:rsidRPr="005E6074" w:rsidRDefault="00EA2973" w:rsidP="005E6074">
            <w:pPr>
              <w:spacing w:line="240" w:lineRule="auto"/>
              <w:jc w:val="both"/>
              <w:rPr>
                <w:sz w:val="20"/>
                <w:szCs w:val="20"/>
              </w:rPr>
            </w:pPr>
          </w:p>
        </w:tc>
        <w:tc>
          <w:tcPr>
            <w:tcW w:w="1275" w:type="dxa"/>
            <w:vMerge/>
          </w:tcPr>
          <w:p w14:paraId="20D47FC7" w14:textId="77777777" w:rsidR="00EA2973" w:rsidRPr="005E6074" w:rsidRDefault="00EA2973" w:rsidP="005E6074">
            <w:pPr>
              <w:spacing w:line="240" w:lineRule="auto"/>
              <w:jc w:val="center"/>
              <w:rPr>
                <w:sz w:val="20"/>
                <w:szCs w:val="20"/>
              </w:rPr>
            </w:pPr>
          </w:p>
        </w:tc>
        <w:tc>
          <w:tcPr>
            <w:tcW w:w="1701" w:type="dxa"/>
          </w:tcPr>
          <w:p w14:paraId="1336B2F6" w14:textId="3578C7E4" w:rsidR="00EA2973" w:rsidRPr="005E6074" w:rsidRDefault="008C371B" w:rsidP="005E6074">
            <w:pPr>
              <w:spacing w:line="240" w:lineRule="auto"/>
              <w:jc w:val="center"/>
              <w:rPr>
                <w:sz w:val="20"/>
                <w:szCs w:val="20"/>
              </w:rPr>
            </w:pPr>
            <w:r w:rsidRPr="005E6074">
              <w:rPr>
                <w:sz w:val="20"/>
                <w:szCs w:val="20"/>
              </w:rPr>
              <w:t>US</w:t>
            </w:r>
          </w:p>
        </w:tc>
        <w:tc>
          <w:tcPr>
            <w:tcW w:w="1134" w:type="dxa"/>
          </w:tcPr>
          <w:p w14:paraId="347C4DA7" w14:textId="77777777" w:rsidR="00EA2973" w:rsidRPr="005E6074" w:rsidRDefault="00EA2973" w:rsidP="005E6074">
            <w:pPr>
              <w:spacing w:line="240" w:lineRule="auto"/>
              <w:jc w:val="center"/>
              <w:rPr>
                <w:sz w:val="20"/>
                <w:szCs w:val="20"/>
              </w:rPr>
            </w:pPr>
            <w:r w:rsidRPr="005E6074">
              <w:rPr>
                <w:sz w:val="20"/>
                <w:szCs w:val="20"/>
              </w:rPr>
              <w:t>1.55e+13</w:t>
            </w:r>
          </w:p>
        </w:tc>
        <w:tc>
          <w:tcPr>
            <w:tcW w:w="1134" w:type="dxa"/>
          </w:tcPr>
          <w:p w14:paraId="1FBBC1AF" w14:textId="77777777" w:rsidR="00EA2973" w:rsidRPr="005E6074" w:rsidRDefault="00EA2973" w:rsidP="005E6074">
            <w:pPr>
              <w:spacing w:line="240" w:lineRule="auto"/>
              <w:jc w:val="center"/>
              <w:rPr>
                <w:sz w:val="20"/>
                <w:szCs w:val="20"/>
              </w:rPr>
            </w:pPr>
            <w:r w:rsidRPr="005E6074">
              <w:rPr>
                <w:sz w:val="20"/>
                <w:szCs w:val="20"/>
              </w:rPr>
              <w:t>3.49e+12</w:t>
            </w:r>
          </w:p>
        </w:tc>
        <w:tc>
          <w:tcPr>
            <w:tcW w:w="1134" w:type="dxa"/>
          </w:tcPr>
          <w:p w14:paraId="01020B07" w14:textId="77777777" w:rsidR="00EA2973" w:rsidRPr="005E6074" w:rsidRDefault="00EA2973" w:rsidP="005E6074">
            <w:pPr>
              <w:spacing w:line="240" w:lineRule="auto"/>
              <w:jc w:val="center"/>
              <w:rPr>
                <w:sz w:val="20"/>
                <w:szCs w:val="20"/>
              </w:rPr>
            </w:pPr>
            <w:r w:rsidRPr="005E6074">
              <w:rPr>
                <w:sz w:val="20"/>
                <w:szCs w:val="20"/>
              </w:rPr>
              <w:t>1.03e+13</w:t>
            </w:r>
          </w:p>
        </w:tc>
        <w:tc>
          <w:tcPr>
            <w:tcW w:w="1134" w:type="dxa"/>
          </w:tcPr>
          <w:p w14:paraId="466DC4B7" w14:textId="77777777" w:rsidR="00EA2973" w:rsidRPr="005E6074" w:rsidRDefault="00EA2973" w:rsidP="005E6074">
            <w:pPr>
              <w:spacing w:line="240" w:lineRule="auto"/>
              <w:jc w:val="center"/>
              <w:rPr>
                <w:sz w:val="20"/>
                <w:szCs w:val="20"/>
              </w:rPr>
            </w:pPr>
            <w:r w:rsidRPr="005E6074">
              <w:rPr>
                <w:sz w:val="20"/>
                <w:szCs w:val="20"/>
              </w:rPr>
              <w:t>2.14e+13</w:t>
            </w:r>
          </w:p>
        </w:tc>
      </w:tr>
      <w:tr w:rsidR="00EA2973" w:rsidRPr="005E6074" w14:paraId="7A354260" w14:textId="77777777" w:rsidTr="005E6074">
        <w:trPr>
          <w:trHeight w:val="188"/>
        </w:trPr>
        <w:tc>
          <w:tcPr>
            <w:tcW w:w="1558" w:type="dxa"/>
          </w:tcPr>
          <w:p w14:paraId="02A8B3F5" w14:textId="45F5597D" w:rsidR="00EA2973" w:rsidRPr="005E6074" w:rsidRDefault="005F587A" w:rsidP="005E6074">
            <w:pPr>
              <w:spacing w:line="240" w:lineRule="auto"/>
              <w:jc w:val="both"/>
              <w:rPr>
                <w:sz w:val="20"/>
                <w:szCs w:val="20"/>
              </w:rPr>
            </w:pPr>
            <w:r w:rsidRPr="005E6074">
              <w:rPr>
                <w:sz w:val="20"/>
                <w:szCs w:val="20"/>
              </w:rPr>
              <w:t>Indonesian</w:t>
            </w:r>
            <w:r w:rsidR="007C745A" w:rsidRPr="005E6074">
              <w:rPr>
                <w:sz w:val="20"/>
                <w:szCs w:val="20"/>
              </w:rPr>
              <w:t xml:space="preserve"> </w:t>
            </w:r>
            <w:r w:rsidR="00470EC4" w:rsidRPr="005E6074">
              <w:rPr>
                <w:sz w:val="20"/>
                <w:szCs w:val="20"/>
              </w:rPr>
              <w:t xml:space="preserve">CPO </w:t>
            </w:r>
            <w:r w:rsidR="007C745A" w:rsidRPr="005E6074">
              <w:rPr>
                <w:sz w:val="20"/>
                <w:szCs w:val="20"/>
              </w:rPr>
              <w:t>export</w:t>
            </w:r>
          </w:p>
        </w:tc>
        <w:tc>
          <w:tcPr>
            <w:tcW w:w="1275" w:type="dxa"/>
          </w:tcPr>
          <w:p w14:paraId="1D0C7A79" w14:textId="77777777" w:rsidR="00EA2973" w:rsidRPr="005E6074" w:rsidRDefault="00EA2973" w:rsidP="005E6074">
            <w:pPr>
              <w:spacing w:line="240" w:lineRule="auto"/>
              <w:jc w:val="center"/>
              <w:rPr>
                <w:sz w:val="20"/>
                <w:szCs w:val="20"/>
              </w:rPr>
            </w:pPr>
            <w:r w:rsidRPr="005E6074">
              <w:rPr>
                <w:sz w:val="20"/>
                <w:szCs w:val="20"/>
              </w:rPr>
              <w:t>USD</w:t>
            </w:r>
          </w:p>
        </w:tc>
        <w:tc>
          <w:tcPr>
            <w:tcW w:w="1701" w:type="dxa"/>
          </w:tcPr>
          <w:p w14:paraId="02C33DD8" w14:textId="77777777" w:rsidR="00EA2973" w:rsidRPr="005E6074" w:rsidRDefault="00EA2973" w:rsidP="005E6074">
            <w:pPr>
              <w:spacing w:line="240" w:lineRule="auto"/>
              <w:jc w:val="center"/>
              <w:rPr>
                <w:sz w:val="20"/>
                <w:szCs w:val="20"/>
              </w:rPr>
            </w:pPr>
            <w:r w:rsidRPr="005E6074">
              <w:rPr>
                <w:sz w:val="20"/>
                <w:szCs w:val="20"/>
              </w:rPr>
              <w:t>Global</w:t>
            </w:r>
          </w:p>
        </w:tc>
        <w:tc>
          <w:tcPr>
            <w:tcW w:w="1134" w:type="dxa"/>
          </w:tcPr>
          <w:p w14:paraId="17282F55" w14:textId="77777777" w:rsidR="00EA2973" w:rsidRPr="005E6074" w:rsidRDefault="00EA2973" w:rsidP="005E6074">
            <w:pPr>
              <w:spacing w:line="240" w:lineRule="auto"/>
              <w:jc w:val="center"/>
              <w:rPr>
                <w:sz w:val="20"/>
                <w:szCs w:val="20"/>
              </w:rPr>
            </w:pPr>
            <w:r w:rsidRPr="005E6074">
              <w:rPr>
                <w:sz w:val="20"/>
                <w:szCs w:val="20"/>
              </w:rPr>
              <w:t>1.66e+07</w:t>
            </w:r>
          </w:p>
        </w:tc>
        <w:tc>
          <w:tcPr>
            <w:tcW w:w="1134" w:type="dxa"/>
          </w:tcPr>
          <w:p w14:paraId="7BAC9BA1" w14:textId="77777777" w:rsidR="00EA2973" w:rsidRPr="005E6074" w:rsidRDefault="00EA2973" w:rsidP="005E6074">
            <w:pPr>
              <w:spacing w:line="240" w:lineRule="auto"/>
              <w:jc w:val="center"/>
              <w:rPr>
                <w:sz w:val="20"/>
                <w:szCs w:val="20"/>
              </w:rPr>
            </w:pPr>
            <w:r w:rsidRPr="005E6074">
              <w:rPr>
                <w:sz w:val="20"/>
                <w:szCs w:val="20"/>
              </w:rPr>
              <w:t>8221799</w:t>
            </w:r>
          </w:p>
        </w:tc>
        <w:tc>
          <w:tcPr>
            <w:tcW w:w="1134" w:type="dxa"/>
          </w:tcPr>
          <w:p w14:paraId="27DB78D5" w14:textId="77777777" w:rsidR="00EA2973" w:rsidRPr="005E6074" w:rsidRDefault="00EA2973" w:rsidP="005E6074">
            <w:pPr>
              <w:spacing w:line="240" w:lineRule="auto"/>
              <w:jc w:val="center"/>
              <w:rPr>
                <w:sz w:val="20"/>
                <w:szCs w:val="20"/>
              </w:rPr>
            </w:pPr>
            <w:r w:rsidRPr="005E6074">
              <w:rPr>
                <w:sz w:val="20"/>
                <w:szCs w:val="20"/>
              </w:rPr>
              <w:t>4110027</w:t>
            </w:r>
          </w:p>
        </w:tc>
        <w:tc>
          <w:tcPr>
            <w:tcW w:w="1134" w:type="dxa"/>
          </w:tcPr>
          <w:p w14:paraId="29B75B45" w14:textId="77777777" w:rsidR="00EA2973" w:rsidRPr="005E6074" w:rsidRDefault="00EA2973" w:rsidP="005E6074">
            <w:pPr>
              <w:spacing w:line="240" w:lineRule="auto"/>
              <w:jc w:val="center"/>
              <w:rPr>
                <w:sz w:val="20"/>
                <w:szCs w:val="20"/>
              </w:rPr>
            </w:pPr>
            <w:r w:rsidRPr="005E6074">
              <w:rPr>
                <w:sz w:val="20"/>
                <w:szCs w:val="20"/>
              </w:rPr>
              <w:t>2.89e+07</w:t>
            </w:r>
          </w:p>
        </w:tc>
      </w:tr>
      <w:tr w:rsidR="00EA2973" w:rsidRPr="005E6074" w14:paraId="262A14D1" w14:textId="77777777" w:rsidTr="005E6074">
        <w:tc>
          <w:tcPr>
            <w:tcW w:w="1558" w:type="dxa"/>
          </w:tcPr>
          <w:p w14:paraId="684054AF" w14:textId="264675B4" w:rsidR="00EA2973" w:rsidRPr="005E6074" w:rsidRDefault="007C745A" w:rsidP="005E6074">
            <w:pPr>
              <w:spacing w:line="240" w:lineRule="auto"/>
              <w:jc w:val="both"/>
              <w:rPr>
                <w:sz w:val="20"/>
                <w:szCs w:val="20"/>
              </w:rPr>
            </w:pPr>
            <w:r w:rsidRPr="005E6074">
              <w:rPr>
                <w:sz w:val="20"/>
                <w:szCs w:val="20"/>
              </w:rPr>
              <w:t>CPO price</w:t>
            </w:r>
          </w:p>
        </w:tc>
        <w:tc>
          <w:tcPr>
            <w:tcW w:w="1275" w:type="dxa"/>
          </w:tcPr>
          <w:p w14:paraId="06FDA880" w14:textId="77777777" w:rsidR="00EA2973" w:rsidRPr="005E6074" w:rsidRDefault="00EA2973" w:rsidP="005E6074">
            <w:pPr>
              <w:spacing w:line="240" w:lineRule="auto"/>
              <w:jc w:val="center"/>
              <w:rPr>
                <w:sz w:val="20"/>
                <w:szCs w:val="20"/>
              </w:rPr>
            </w:pPr>
            <w:r w:rsidRPr="005E6074">
              <w:rPr>
                <w:sz w:val="20"/>
                <w:szCs w:val="20"/>
              </w:rPr>
              <w:t>USD per tan</w:t>
            </w:r>
          </w:p>
        </w:tc>
        <w:tc>
          <w:tcPr>
            <w:tcW w:w="1701" w:type="dxa"/>
          </w:tcPr>
          <w:p w14:paraId="4C35F1B1" w14:textId="77777777" w:rsidR="00EA2973" w:rsidRPr="005E6074" w:rsidRDefault="00EA2973" w:rsidP="005E6074">
            <w:pPr>
              <w:spacing w:line="240" w:lineRule="auto"/>
              <w:jc w:val="center"/>
              <w:rPr>
                <w:sz w:val="20"/>
                <w:szCs w:val="20"/>
              </w:rPr>
            </w:pPr>
            <w:r w:rsidRPr="005E6074">
              <w:rPr>
                <w:sz w:val="20"/>
                <w:szCs w:val="20"/>
              </w:rPr>
              <w:t>Global</w:t>
            </w:r>
          </w:p>
        </w:tc>
        <w:tc>
          <w:tcPr>
            <w:tcW w:w="1134" w:type="dxa"/>
          </w:tcPr>
          <w:p w14:paraId="4C86002C" w14:textId="4E32531F" w:rsidR="00EA2973" w:rsidRPr="005E6074" w:rsidRDefault="00CE27D6" w:rsidP="005E6074">
            <w:pPr>
              <w:spacing w:line="240" w:lineRule="auto"/>
              <w:jc w:val="center"/>
              <w:rPr>
                <w:sz w:val="20"/>
                <w:szCs w:val="20"/>
              </w:rPr>
            </w:pPr>
            <w:r w:rsidRPr="005E6074">
              <w:rPr>
                <w:sz w:val="20"/>
                <w:szCs w:val="20"/>
              </w:rPr>
              <w:t>759.87</w:t>
            </w:r>
          </w:p>
        </w:tc>
        <w:tc>
          <w:tcPr>
            <w:tcW w:w="1134" w:type="dxa"/>
          </w:tcPr>
          <w:p w14:paraId="4BC16EE7" w14:textId="0150944D" w:rsidR="00EA2973" w:rsidRPr="005E6074" w:rsidRDefault="00CE27D6" w:rsidP="005E6074">
            <w:pPr>
              <w:spacing w:line="240" w:lineRule="auto"/>
              <w:jc w:val="center"/>
              <w:rPr>
                <w:sz w:val="20"/>
                <w:szCs w:val="20"/>
              </w:rPr>
            </w:pPr>
            <w:r w:rsidRPr="005E6074">
              <w:rPr>
                <w:sz w:val="20"/>
                <w:szCs w:val="20"/>
              </w:rPr>
              <w:t>293.85</w:t>
            </w:r>
          </w:p>
        </w:tc>
        <w:tc>
          <w:tcPr>
            <w:tcW w:w="1134" w:type="dxa"/>
          </w:tcPr>
          <w:p w14:paraId="56C8625E" w14:textId="77777777" w:rsidR="00EA2973" w:rsidRPr="005E6074" w:rsidRDefault="00EA2973" w:rsidP="005E6074">
            <w:pPr>
              <w:spacing w:line="240" w:lineRule="auto"/>
              <w:jc w:val="center"/>
              <w:rPr>
                <w:sz w:val="20"/>
                <w:szCs w:val="20"/>
              </w:rPr>
            </w:pPr>
            <w:r w:rsidRPr="005E6074">
              <w:rPr>
                <w:sz w:val="20"/>
                <w:szCs w:val="20"/>
              </w:rPr>
              <w:t>287.46</w:t>
            </w:r>
          </w:p>
        </w:tc>
        <w:tc>
          <w:tcPr>
            <w:tcW w:w="1134" w:type="dxa"/>
          </w:tcPr>
          <w:p w14:paraId="607290CE" w14:textId="77777777" w:rsidR="00EA2973" w:rsidRPr="005E6074" w:rsidRDefault="00EA2973" w:rsidP="005E6074">
            <w:pPr>
              <w:spacing w:line="240" w:lineRule="auto"/>
              <w:jc w:val="center"/>
              <w:rPr>
                <w:sz w:val="20"/>
                <w:szCs w:val="20"/>
              </w:rPr>
            </w:pPr>
            <w:r w:rsidRPr="005E6074">
              <w:rPr>
                <w:sz w:val="20"/>
                <w:szCs w:val="20"/>
              </w:rPr>
              <w:t>1367</w:t>
            </w:r>
          </w:p>
        </w:tc>
      </w:tr>
      <w:tr w:rsidR="00EA2973" w:rsidRPr="005E6074" w14:paraId="54FC4B36" w14:textId="77777777" w:rsidTr="005E6074">
        <w:tc>
          <w:tcPr>
            <w:tcW w:w="1558" w:type="dxa"/>
          </w:tcPr>
          <w:p w14:paraId="376D5192" w14:textId="0E9FD0DD" w:rsidR="00EA2973" w:rsidRPr="005E6074" w:rsidRDefault="007C745A" w:rsidP="005E6074">
            <w:pPr>
              <w:spacing w:line="240" w:lineRule="auto"/>
              <w:jc w:val="both"/>
              <w:rPr>
                <w:sz w:val="20"/>
                <w:szCs w:val="20"/>
              </w:rPr>
            </w:pPr>
            <w:r w:rsidRPr="005E6074">
              <w:rPr>
                <w:sz w:val="20"/>
                <w:szCs w:val="20"/>
              </w:rPr>
              <w:t>Soybean oil price</w:t>
            </w:r>
          </w:p>
        </w:tc>
        <w:tc>
          <w:tcPr>
            <w:tcW w:w="1275" w:type="dxa"/>
          </w:tcPr>
          <w:p w14:paraId="77DF17FD" w14:textId="77777777" w:rsidR="00EA2973" w:rsidRPr="005E6074" w:rsidRDefault="00EA2973" w:rsidP="005E6074">
            <w:pPr>
              <w:spacing w:line="240" w:lineRule="auto"/>
              <w:jc w:val="center"/>
              <w:rPr>
                <w:sz w:val="20"/>
                <w:szCs w:val="20"/>
              </w:rPr>
            </w:pPr>
            <w:r w:rsidRPr="005E6074">
              <w:rPr>
                <w:sz w:val="20"/>
                <w:szCs w:val="20"/>
              </w:rPr>
              <w:t>USD per tan</w:t>
            </w:r>
          </w:p>
        </w:tc>
        <w:tc>
          <w:tcPr>
            <w:tcW w:w="1701" w:type="dxa"/>
          </w:tcPr>
          <w:p w14:paraId="44A84FD4" w14:textId="77777777" w:rsidR="00EA2973" w:rsidRPr="005E6074" w:rsidRDefault="00EA2973" w:rsidP="005E6074">
            <w:pPr>
              <w:spacing w:line="240" w:lineRule="auto"/>
              <w:jc w:val="center"/>
              <w:rPr>
                <w:sz w:val="20"/>
                <w:szCs w:val="20"/>
              </w:rPr>
            </w:pPr>
            <w:r w:rsidRPr="005E6074">
              <w:rPr>
                <w:sz w:val="20"/>
                <w:szCs w:val="20"/>
              </w:rPr>
              <w:t>Global</w:t>
            </w:r>
          </w:p>
        </w:tc>
        <w:tc>
          <w:tcPr>
            <w:tcW w:w="1134" w:type="dxa"/>
          </w:tcPr>
          <w:p w14:paraId="080B48DE" w14:textId="316130A0" w:rsidR="00EA2973" w:rsidRPr="005E6074" w:rsidRDefault="00CE27D6" w:rsidP="005E6074">
            <w:pPr>
              <w:spacing w:line="240" w:lineRule="auto"/>
              <w:jc w:val="center"/>
              <w:rPr>
                <w:sz w:val="20"/>
                <w:szCs w:val="20"/>
              </w:rPr>
            </w:pPr>
            <w:r w:rsidRPr="005E6074">
              <w:rPr>
                <w:sz w:val="20"/>
                <w:szCs w:val="20"/>
              </w:rPr>
              <w:t>798.66</w:t>
            </w:r>
          </w:p>
        </w:tc>
        <w:tc>
          <w:tcPr>
            <w:tcW w:w="1134" w:type="dxa"/>
          </w:tcPr>
          <w:p w14:paraId="33F71FC0" w14:textId="0F11E306" w:rsidR="00EA2973" w:rsidRPr="005E6074" w:rsidRDefault="00CE27D6" w:rsidP="005E6074">
            <w:pPr>
              <w:spacing w:line="240" w:lineRule="auto"/>
              <w:jc w:val="center"/>
              <w:rPr>
                <w:sz w:val="20"/>
                <w:szCs w:val="20"/>
              </w:rPr>
            </w:pPr>
            <w:r w:rsidRPr="005E6074">
              <w:rPr>
                <w:sz w:val="20"/>
                <w:szCs w:val="20"/>
              </w:rPr>
              <w:t>268.53</w:t>
            </w:r>
          </w:p>
        </w:tc>
        <w:tc>
          <w:tcPr>
            <w:tcW w:w="1134" w:type="dxa"/>
          </w:tcPr>
          <w:p w14:paraId="2A89DDF2" w14:textId="77777777" w:rsidR="00EA2973" w:rsidRPr="005E6074" w:rsidRDefault="00EA2973" w:rsidP="005E6074">
            <w:pPr>
              <w:spacing w:line="240" w:lineRule="auto"/>
              <w:jc w:val="center"/>
              <w:rPr>
                <w:sz w:val="20"/>
                <w:szCs w:val="20"/>
              </w:rPr>
            </w:pPr>
            <w:r w:rsidRPr="005E6074">
              <w:rPr>
                <w:sz w:val="20"/>
                <w:szCs w:val="20"/>
              </w:rPr>
              <w:t>338.14</w:t>
            </w:r>
          </w:p>
        </w:tc>
        <w:tc>
          <w:tcPr>
            <w:tcW w:w="1134" w:type="dxa"/>
          </w:tcPr>
          <w:p w14:paraId="0614548D" w14:textId="77777777" w:rsidR="00EA2973" w:rsidRPr="005E6074" w:rsidRDefault="00EA2973" w:rsidP="005E6074">
            <w:pPr>
              <w:spacing w:line="240" w:lineRule="auto"/>
              <w:jc w:val="center"/>
              <w:rPr>
                <w:sz w:val="20"/>
                <w:szCs w:val="20"/>
              </w:rPr>
            </w:pPr>
            <w:r w:rsidRPr="005E6074">
              <w:rPr>
                <w:sz w:val="20"/>
                <w:szCs w:val="20"/>
              </w:rPr>
              <w:t>1297.66</w:t>
            </w:r>
          </w:p>
        </w:tc>
      </w:tr>
      <w:tr w:rsidR="00EA2973" w:rsidRPr="005E6074" w14:paraId="6E813351" w14:textId="77777777" w:rsidTr="005E6074">
        <w:tc>
          <w:tcPr>
            <w:tcW w:w="1558" w:type="dxa"/>
            <w:vMerge w:val="restart"/>
          </w:tcPr>
          <w:p w14:paraId="6DDE33FA" w14:textId="7AA6C75A" w:rsidR="00EA2973" w:rsidRPr="005E6074" w:rsidRDefault="007C745A" w:rsidP="005E6074">
            <w:pPr>
              <w:spacing w:line="240" w:lineRule="auto"/>
              <w:jc w:val="both"/>
              <w:rPr>
                <w:sz w:val="20"/>
                <w:szCs w:val="20"/>
              </w:rPr>
            </w:pPr>
            <w:r w:rsidRPr="005E6074">
              <w:rPr>
                <w:sz w:val="20"/>
                <w:szCs w:val="20"/>
              </w:rPr>
              <w:t>Distance</w:t>
            </w:r>
          </w:p>
        </w:tc>
        <w:tc>
          <w:tcPr>
            <w:tcW w:w="1275" w:type="dxa"/>
            <w:vMerge w:val="restart"/>
          </w:tcPr>
          <w:p w14:paraId="007CE41A" w14:textId="77777777" w:rsidR="00EA2973" w:rsidRPr="005E6074" w:rsidRDefault="00EA2973" w:rsidP="005E6074">
            <w:pPr>
              <w:spacing w:line="240" w:lineRule="auto"/>
              <w:jc w:val="center"/>
              <w:rPr>
                <w:sz w:val="20"/>
                <w:szCs w:val="20"/>
              </w:rPr>
            </w:pPr>
            <w:r w:rsidRPr="005E6074">
              <w:rPr>
                <w:sz w:val="20"/>
                <w:szCs w:val="20"/>
              </w:rPr>
              <w:t>KM</w:t>
            </w:r>
          </w:p>
        </w:tc>
        <w:tc>
          <w:tcPr>
            <w:tcW w:w="1701" w:type="dxa"/>
          </w:tcPr>
          <w:p w14:paraId="52476AAC" w14:textId="77777777" w:rsidR="00EA2973" w:rsidRPr="005E6074" w:rsidRDefault="00EA2973" w:rsidP="005E6074">
            <w:pPr>
              <w:spacing w:line="240" w:lineRule="auto"/>
              <w:jc w:val="center"/>
              <w:rPr>
                <w:sz w:val="20"/>
                <w:szCs w:val="20"/>
              </w:rPr>
            </w:pPr>
            <w:r w:rsidRPr="005E6074">
              <w:rPr>
                <w:sz w:val="20"/>
                <w:szCs w:val="20"/>
              </w:rPr>
              <w:t>China</w:t>
            </w:r>
          </w:p>
        </w:tc>
        <w:tc>
          <w:tcPr>
            <w:tcW w:w="1134" w:type="dxa"/>
          </w:tcPr>
          <w:p w14:paraId="18D42F4A" w14:textId="77777777" w:rsidR="00EA2973" w:rsidRPr="005E6074" w:rsidRDefault="00EA2973" w:rsidP="005E6074">
            <w:pPr>
              <w:spacing w:line="240" w:lineRule="auto"/>
              <w:jc w:val="center"/>
              <w:rPr>
                <w:sz w:val="20"/>
                <w:szCs w:val="20"/>
              </w:rPr>
            </w:pPr>
            <w:r w:rsidRPr="005E6074">
              <w:rPr>
                <w:sz w:val="20"/>
                <w:szCs w:val="20"/>
              </w:rPr>
              <w:t>4348.05</w:t>
            </w:r>
          </w:p>
        </w:tc>
        <w:tc>
          <w:tcPr>
            <w:tcW w:w="1134" w:type="dxa"/>
          </w:tcPr>
          <w:p w14:paraId="1F26F0EB" w14:textId="1BCD4E8B" w:rsidR="00EA2973" w:rsidRPr="005E6074" w:rsidRDefault="00EA2973" w:rsidP="005E6074">
            <w:pPr>
              <w:spacing w:line="240" w:lineRule="auto"/>
              <w:jc w:val="center"/>
              <w:rPr>
                <w:sz w:val="20"/>
                <w:szCs w:val="20"/>
              </w:rPr>
            </w:pPr>
            <w:r w:rsidRPr="005E6074">
              <w:rPr>
                <w:sz w:val="20"/>
                <w:szCs w:val="20"/>
              </w:rPr>
              <w:t>0</w:t>
            </w:r>
            <w:r w:rsidR="00953103" w:rsidRPr="005E6074">
              <w:rPr>
                <w:sz w:val="20"/>
                <w:szCs w:val="20"/>
              </w:rPr>
              <w:t>.00</w:t>
            </w:r>
          </w:p>
        </w:tc>
        <w:tc>
          <w:tcPr>
            <w:tcW w:w="1134" w:type="dxa"/>
          </w:tcPr>
          <w:p w14:paraId="33F52257" w14:textId="77777777" w:rsidR="00EA2973" w:rsidRPr="005E6074" w:rsidRDefault="00EA2973" w:rsidP="005E6074">
            <w:pPr>
              <w:spacing w:line="240" w:lineRule="auto"/>
              <w:jc w:val="center"/>
              <w:rPr>
                <w:sz w:val="20"/>
                <w:szCs w:val="20"/>
              </w:rPr>
            </w:pPr>
            <w:r w:rsidRPr="005E6074">
              <w:rPr>
                <w:sz w:val="20"/>
                <w:szCs w:val="20"/>
              </w:rPr>
              <w:t>4348.05</w:t>
            </w:r>
          </w:p>
        </w:tc>
        <w:tc>
          <w:tcPr>
            <w:tcW w:w="1134" w:type="dxa"/>
          </w:tcPr>
          <w:p w14:paraId="5E333B92" w14:textId="77777777" w:rsidR="00EA2973" w:rsidRPr="005E6074" w:rsidRDefault="00EA2973" w:rsidP="005E6074">
            <w:pPr>
              <w:spacing w:line="240" w:lineRule="auto"/>
              <w:jc w:val="center"/>
              <w:rPr>
                <w:sz w:val="20"/>
                <w:szCs w:val="20"/>
              </w:rPr>
            </w:pPr>
            <w:r w:rsidRPr="005E6074">
              <w:rPr>
                <w:sz w:val="20"/>
                <w:szCs w:val="20"/>
              </w:rPr>
              <w:t>4348.05</w:t>
            </w:r>
          </w:p>
        </w:tc>
      </w:tr>
      <w:tr w:rsidR="00EA2973" w:rsidRPr="005E6074" w14:paraId="7CF4505C" w14:textId="77777777" w:rsidTr="005E6074">
        <w:tc>
          <w:tcPr>
            <w:tcW w:w="1558" w:type="dxa"/>
            <w:vMerge/>
          </w:tcPr>
          <w:p w14:paraId="6D9A9E1D" w14:textId="77777777" w:rsidR="00EA2973" w:rsidRPr="005E6074" w:rsidRDefault="00EA2973" w:rsidP="005E6074">
            <w:pPr>
              <w:spacing w:line="240" w:lineRule="auto"/>
              <w:jc w:val="both"/>
              <w:rPr>
                <w:sz w:val="20"/>
                <w:szCs w:val="20"/>
              </w:rPr>
            </w:pPr>
          </w:p>
        </w:tc>
        <w:tc>
          <w:tcPr>
            <w:tcW w:w="1275" w:type="dxa"/>
            <w:vMerge/>
          </w:tcPr>
          <w:p w14:paraId="5FB0A9C2" w14:textId="77777777" w:rsidR="00EA2973" w:rsidRPr="005E6074" w:rsidRDefault="00EA2973" w:rsidP="005E6074">
            <w:pPr>
              <w:spacing w:line="240" w:lineRule="auto"/>
              <w:jc w:val="center"/>
              <w:rPr>
                <w:sz w:val="20"/>
                <w:szCs w:val="20"/>
              </w:rPr>
            </w:pPr>
          </w:p>
        </w:tc>
        <w:tc>
          <w:tcPr>
            <w:tcW w:w="1701" w:type="dxa"/>
          </w:tcPr>
          <w:p w14:paraId="176D4E9F" w14:textId="77777777" w:rsidR="00EA2973" w:rsidRPr="005E6074" w:rsidRDefault="00EA2973" w:rsidP="005E6074">
            <w:pPr>
              <w:spacing w:line="240" w:lineRule="auto"/>
              <w:jc w:val="center"/>
              <w:rPr>
                <w:sz w:val="20"/>
                <w:szCs w:val="20"/>
              </w:rPr>
            </w:pPr>
            <w:r w:rsidRPr="005E6074">
              <w:rPr>
                <w:sz w:val="20"/>
                <w:szCs w:val="20"/>
              </w:rPr>
              <w:t>India</w:t>
            </w:r>
          </w:p>
        </w:tc>
        <w:tc>
          <w:tcPr>
            <w:tcW w:w="1134" w:type="dxa"/>
          </w:tcPr>
          <w:p w14:paraId="576DE6C1" w14:textId="77777777" w:rsidR="00EA2973" w:rsidRPr="005E6074" w:rsidRDefault="00EA2973" w:rsidP="005E6074">
            <w:pPr>
              <w:spacing w:line="240" w:lineRule="auto"/>
              <w:jc w:val="center"/>
              <w:rPr>
                <w:sz w:val="20"/>
                <w:szCs w:val="20"/>
              </w:rPr>
            </w:pPr>
            <w:r w:rsidRPr="005E6074">
              <w:rPr>
                <w:sz w:val="20"/>
                <w:szCs w:val="20"/>
              </w:rPr>
              <w:t>3839.16</w:t>
            </w:r>
          </w:p>
        </w:tc>
        <w:tc>
          <w:tcPr>
            <w:tcW w:w="1134" w:type="dxa"/>
          </w:tcPr>
          <w:p w14:paraId="2E3A4E69" w14:textId="5A46D8E2" w:rsidR="00EA2973" w:rsidRPr="005E6074" w:rsidRDefault="00EA2973" w:rsidP="005E6074">
            <w:pPr>
              <w:spacing w:line="240" w:lineRule="auto"/>
              <w:jc w:val="center"/>
              <w:rPr>
                <w:sz w:val="20"/>
                <w:szCs w:val="20"/>
              </w:rPr>
            </w:pPr>
            <w:r w:rsidRPr="005E6074">
              <w:rPr>
                <w:sz w:val="20"/>
                <w:szCs w:val="20"/>
              </w:rPr>
              <w:t>0</w:t>
            </w:r>
            <w:r w:rsidR="00953103" w:rsidRPr="005E6074">
              <w:rPr>
                <w:sz w:val="20"/>
                <w:szCs w:val="20"/>
              </w:rPr>
              <w:t>.00</w:t>
            </w:r>
          </w:p>
        </w:tc>
        <w:tc>
          <w:tcPr>
            <w:tcW w:w="1134" w:type="dxa"/>
          </w:tcPr>
          <w:p w14:paraId="0DDED2E3" w14:textId="77777777" w:rsidR="00EA2973" w:rsidRPr="005E6074" w:rsidRDefault="00EA2973" w:rsidP="005E6074">
            <w:pPr>
              <w:spacing w:line="240" w:lineRule="auto"/>
              <w:jc w:val="center"/>
              <w:rPr>
                <w:sz w:val="20"/>
                <w:szCs w:val="20"/>
              </w:rPr>
            </w:pPr>
            <w:r w:rsidRPr="005E6074">
              <w:rPr>
                <w:sz w:val="20"/>
                <w:szCs w:val="20"/>
              </w:rPr>
              <w:t>3839.16</w:t>
            </w:r>
          </w:p>
        </w:tc>
        <w:tc>
          <w:tcPr>
            <w:tcW w:w="1134" w:type="dxa"/>
          </w:tcPr>
          <w:p w14:paraId="384CFF8B" w14:textId="77777777" w:rsidR="00EA2973" w:rsidRPr="005E6074" w:rsidRDefault="00EA2973" w:rsidP="005E6074">
            <w:pPr>
              <w:spacing w:line="240" w:lineRule="auto"/>
              <w:jc w:val="center"/>
              <w:rPr>
                <w:sz w:val="20"/>
                <w:szCs w:val="20"/>
              </w:rPr>
            </w:pPr>
            <w:r w:rsidRPr="005E6074">
              <w:rPr>
                <w:sz w:val="20"/>
                <w:szCs w:val="20"/>
              </w:rPr>
              <w:t>3839.16</w:t>
            </w:r>
          </w:p>
        </w:tc>
      </w:tr>
      <w:tr w:rsidR="003466D5" w:rsidRPr="005E6074" w14:paraId="74254404" w14:textId="77777777" w:rsidTr="005E6074">
        <w:tc>
          <w:tcPr>
            <w:tcW w:w="1558" w:type="dxa"/>
            <w:vMerge/>
          </w:tcPr>
          <w:p w14:paraId="43BBC398" w14:textId="77777777" w:rsidR="003466D5" w:rsidRPr="005E6074" w:rsidRDefault="003466D5" w:rsidP="005E6074">
            <w:pPr>
              <w:spacing w:line="240" w:lineRule="auto"/>
              <w:jc w:val="both"/>
              <w:rPr>
                <w:sz w:val="20"/>
                <w:szCs w:val="20"/>
              </w:rPr>
            </w:pPr>
          </w:p>
        </w:tc>
        <w:tc>
          <w:tcPr>
            <w:tcW w:w="1275" w:type="dxa"/>
            <w:vMerge/>
          </w:tcPr>
          <w:p w14:paraId="154B86E6" w14:textId="77777777" w:rsidR="003466D5" w:rsidRPr="005E6074" w:rsidRDefault="003466D5" w:rsidP="005E6074">
            <w:pPr>
              <w:spacing w:line="240" w:lineRule="auto"/>
              <w:jc w:val="center"/>
              <w:rPr>
                <w:sz w:val="20"/>
                <w:szCs w:val="20"/>
              </w:rPr>
            </w:pPr>
          </w:p>
        </w:tc>
        <w:tc>
          <w:tcPr>
            <w:tcW w:w="1701" w:type="dxa"/>
          </w:tcPr>
          <w:p w14:paraId="0D82CF85" w14:textId="7C0DA5EB" w:rsidR="003466D5" w:rsidRPr="005E6074" w:rsidRDefault="003466D5" w:rsidP="005E6074">
            <w:pPr>
              <w:spacing w:line="240" w:lineRule="auto"/>
              <w:jc w:val="center"/>
              <w:rPr>
                <w:sz w:val="20"/>
                <w:szCs w:val="20"/>
              </w:rPr>
            </w:pPr>
            <w:r w:rsidRPr="005E6074">
              <w:rPr>
                <w:sz w:val="20"/>
                <w:szCs w:val="20"/>
              </w:rPr>
              <w:t>Netherland</w:t>
            </w:r>
          </w:p>
        </w:tc>
        <w:tc>
          <w:tcPr>
            <w:tcW w:w="1134" w:type="dxa"/>
          </w:tcPr>
          <w:p w14:paraId="6E5FCA00" w14:textId="77777777" w:rsidR="003466D5" w:rsidRPr="005E6074" w:rsidRDefault="003466D5" w:rsidP="005E6074">
            <w:pPr>
              <w:spacing w:line="240" w:lineRule="auto"/>
              <w:jc w:val="center"/>
              <w:rPr>
                <w:sz w:val="20"/>
                <w:szCs w:val="20"/>
              </w:rPr>
            </w:pPr>
            <w:r w:rsidRPr="005E6074">
              <w:rPr>
                <w:sz w:val="20"/>
                <w:szCs w:val="20"/>
              </w:rPr>
              <w:t>8839.61</w:t>
            </w:r>
          </w:p>
        </w:tc>
        <w:tc>
          <w:tcPr>
            <w:tcW w:w="1134" w:type="dxa"/>
          </w:tcPr>
          <w:p w14:paraId="6BD5540A" w14:textId="0BD621A2" w:rsidR="003466D5" w:rsidRPr="005E6074" w:rsidRDefault="003466D5" w:rsidP="005E6074">
            <w:pPr>
              <w:spacing w:line="240" w:lineRule="auto"/>
              <w:jc w:val="center"/>
              <w:rPr>
                <w:sz w:val="20"/>
                <w:szCs w:val="20"/>
              </w:rPr>
            </w:pPr>
            <w:r w:rsidRPr="005E6074">
              <w:rPr>
                <w:sz w:val="20"/>
                <w:szCs w:val="20"/>
              </w:rPr>
              <w:t>0</w:t>
            </w:r>
            <w:r w:rsidR="00953103" w:rsidRPr="005E6074">
              <w:rPr>
                <w:sz w:val="20"/>
                <w:szCs w:val="20"/>
              </w:rPr>
              <w:t>.00</w:t>
            </w:r>
          </w:p>
        </w:tc>
        <w:tc>
          <w:tcPr>
            <w:tcW w:w="1134" w:type="dxa"/>
          </w:tcPr>
          <w:p w14:paraId="7205EF27" w14:textId="77777777" w:rsidR="003466D5" w:rsidRPr="005E6074" w:rsidRDefault="003466D5" w:rsidP="005E6074">
            <w:pPr>
              <w:spacing w:line="240" w:lineRule="auto"/>
              <w:jc w:val="center"/>
              <w:rPr>
                <w:sz w:val="20"/>
                <w:szCs w:val="20"/>
              </w:rPr>
            </w:pPr>
            <w:r w:rsidRPr="005E6074">
              <w:rPr>
                <w:sz w:val="20"/>
                <w:szCs w:val="20"/>
              </w:rPr>
              <w:t>8839.61</w:t>
            </w:r>
          </w:p>
        </w:tc>
        <w:tc>
          <w:tcPr>
            <w:tcW w:w="1134" w:type="dxa"/>
          </w:tcPr>
          <w:p w14:paraId="68B49E2E" w14:textId="77777777" w:rsidR="003466D5" w:rsidRPr="005E6074" w:rsidRDefault="003466D5" w:rsidP="005E6074">
            <w:pPr>
              <w:spacing w:line="240" w:lineRule="auto"/>
              <w:jc w:val="center"/>
              <w:rPr>
                <w:sz w:val="20"/>
                <w:szCs w:val="20"/>
              </w:rPr>
            </w:pPr>
            <w:r w:rsidRPr="005E6074">
              <w:rPr>
                <w:sz w:val="20"/>
                <w:szCs w:val="20"/>
              </w:rPr>
              <w:t>8839.61</w:t>
            </w:r>
          </w:p>
        </w:tc>
      </w:tr>
      <w:tr w:rsidR="003466D5" w:rsidRPr="005E6074" w14:paraId="06D53C80" w14:textId="77777777" w:rsidTr="005E6074">
        <w:tc>
          <w:tcPr>
            <w:tcW w:w="1558" w:type="dxa"/>
            <w:vMerge/>
          </w:tcPr>
          <w:p w14:paraId="54AF5094" w14:textId="77777777" w:rsidR="003466D5" w:rsidRPr="005E6074" w:rsidRDefault="003466D5" w:rsidP="005E6074">
            <w:pPr>
              <w:spacing w:line="240" w:lineRule="auto"/>
              <w:jc w:val="both"/>
              <w:rPr>
                <w:sz w:val="20"/>
                <w:szCs w:val="20"/>
              </w:rPr>
            </w:pPr>
          </w:p>
        </w:tc>
        <w:tc>
          <w:tcPr>
            <w:tcW w:w="1275" w:type="dxa"/>
            <w:vMerge/>
          </w:tcPr>
          <w:p w14:paraId="64B312CF" w14:textId="77777777" w:rsidR="003466D5" w:rsidRPr="005E6074" w:rsidRDefault="003466D5" w:rsidP="005E6074">
            <w:pPr>
              <w:spacing w:line="240" w:lineRule="auto"/>
              <w:jc w:val="center"/>
              <w:rPr>
                <w:sz w:val="20"/>
                <w:szCs w:val="20"/>
              </w:rPr>
            </w:pPr>
          </w:p>
        </w:tc>
        <w:tc>
          <w:tcPr>
            <w:tcW w:w="1701" w:type="dxa"/>
          </w:tcPr>
          <w:p w14:paraId="44E56F42" w14:textId="350B472C" w:rsidR="003466D5" w:rsidRPr="005E6074" w:rsidRDefault="003466D5" w:rsidP="005E6074">
            <w:pPr>
              <w:spacing w:line="240" w:lineRule="auto"/>
              <w:jc w:val="center"/>
              <w:rPr>
                <w:sz w:val="20"/>
                <w:szCs w:val="20"/>
              </w:rPr>
            </w:pPr>
            <w:r w:rsidRPr="005E6074">
              <w:rPr>
                <w:sz w:val="20"/>
                <w:szCs w:val="20"/>
              </w:rPr>
              <w:t>Pakistan</w:t>
            </w:r>
          </w:p>
        </w:tc>
        <w:tc>
          <w:tcPr>
            <w:tcW w:w="1134" w:type="dxa"/>
          </w:tcPr>
          <w:p w14:paraId="30EA0B92" w14:textId="77777777" w:rsidR="003466D5" w:rsidRPr="005E6074" w:rsidRDefault="003466D5" w:rsidP="005E6074">
            <w:pPr>
              <w:spacing w:line="240" w:lineRule="auto"/>
              <w:jc w:val="center"/>
              <w:rPr>
                <w:sz w:val="20"/>
                <w:szCs w:val="20"/>
              </w:rPr>
            </w:pPr>
            <w:r w:rsidRPr="005E6074">
              <w:rPr>
                <w:sz w:val="20"/>
                <w:szCs w:val="20"/>
              </w:rPr>
              <w:t>4513.94</w:t>
            </w:r>
          </w:p>
        </w:tc>
        <w:tc>
          <w:tcPr>
            <w:tcW w:w="1134" w:type="dxa"/>
          </w:tcPr>
          <w:p w14:paraId="1DCABCA7" w14:textId="465765E1" w:rsidR="003466D5" w:rsidRPr="005E6074" w:rsidRDefault="003466D5" w:rsidP="005E6074">
            <w:pPr>
              <w:spacing w:line="240" w:lineRule="auto"/>
              <w:jc w:val="center"/>
              <w:rPr>
                <w:sz w:val="20"/>
                <w:szCs w:val="20"/>
              </w:rPr>
            </w:pPr>
            <w:r w:rsidRPr="005E6074">
              <w:rPr>
                <w:sz w:val="20"/>
                <w:szCs w:val="20"/>
              </w:rPr>
              <w:t>0</w:t>
            </w:r>
            <w:r w:rsidR="00953103" w:rsidRPr="005E6074">
              <w:rPr>
                <w:sz w:val="20"/>
                <w:szCs w:val="20"/>
              </w:rPr>
              <w:t>.00</w:t>
            </w:r>
          </w:p>
        </w:tc>
        <w:tc>
          <w:tcPr>
            <w:tcW w:w="1134" w:type="dxa"/>
          </w:tcPr>
          <w:p w14:paraId="05B419A1" w14:textId="77777777" w:rsidR="003466D5" w:rsidRPr="005E6074" w:rsidRDefault="003466D5" w:rsidP="005E6074">
            <w:pPr>
              <w:spacing w:line="240" w:lineRule="auto"/>
              <w:jc w:val="center"/>
              <w:rPr>
                <w:sz w:val="20"/>
                <w:szCs w:val="20"/>
              </w:rPr>
            </w:pPr>
            <w:r w:rsidRPr="005E6074">
              <w:rPr>
                <w:sz w:val="20"/>
                <w:szCs w:val="20"/>
              </w:rPr>
              <w:t>4513.94</w:t>
            </w:r>
          </w:p>
        </w:tc>
        <w:tc>
          <w:tcPr>
            <w:tcW w:w="1134" w:type="dxa"/>
          </w:tcPr>
          <w:p w14:paraId="6947E97C" w14:textId="77777777" w:rsidR="003466D5" w:rsidRPr="005E6074" w:rsidRDefault="003466D5" w:rsidP="005E6074">
            <w:pPr>
              <w:spacing w:line="240" w:lineRule="auto"/>
              <w:jc w:val="center"/>
              <w:rPr>
                <w:sz w:val="20"/>
                <w:szCs w:val="20"/>
              </w:rPr>
            </w:pPr>
            <w:r w:rsidRPr="005E6074">
              <w:rPr>
                <w:sz w:val="20"/>
                <w:szCs w:val="20"/>
              </w:rPr>
              <w:t>4513.94</w:t>
            </w:r>
          </w:p>
        </w:tc>
      </w:tr>
      <w:tr w:rsidR="003466D5" w:rsidRPr="005E6074" w14:paraId="01B9A4D1" w14:textId="77777777" w:rsidTr="005E6074">
        <w:tc>
          <w:tcPr>
            <w:tcW w:w="1558" w:type="dxa"/>
            <w:vMerge/>
          </w:tcPr>
          <w:p w14:paraId="3D7EB70B" w14:textId="77777777" w:rsidR="003466D5" w:rsidRPr="005E6074" w:rsidRDefault="003466D5" w:rsidP="005E6074">
            <w:pPr>
              <w:spacing w:line="240" w:lineRule="auto"/>
              <w:jc w:val="both"/>
              <w:rPr>
                <w:sz w:val="20"/>
                <w:szCs w:val="20"/>
              </w:rPr>
            </w:pPr>
          </w:p>
        </w:tc>
        <w:tc>
          <w:tcPr>
            <w:tcW w:w="1275" w:type="dxa"/>
            <w:vMerge/>
          </w:tcPr>
          <w:p w14:paraId="4140F1D8" w14:textId="77777777" w:rsidR="003466D5" w:rsidRPr="005E6074" w:rsidRDefault="003466D5" w:rsidP="005E6074">
            <w:pPr>
              <w:spacing w:line="240" w:lineRule="auto"/>
              <w:jc w:val="center"/>
              <w:rPr>
                <w:sz w:val="20"/>
                <w:szCs w:val="20"/>
              </w:rPr>
            </w:pPr>
          </w:p>
        </w:tc>
        <w:tc>
          <w:tcPr>
            <w:tcW w:w="1701" w:type="dxa"/>
          </w:tcPr>
          <w:p w14:paraId="738AC4EE" w14:textId="163E9D09" w:rsidR="003466D5" w:rsidRPr="005E6074" w:rsidRDefault="008C371B" w:rsidP="005E6074">
            <w:pPr>
              <w:spacing w:line="240" w:lineRule="auto"/>
              <w:jc w:val="center"/>
              <w:rPr>
                <w:sz w:val="20"/>
                <w:szCs w:val="20"/>
              </w:rPr>
            </w:pPr>
            <w:r w:rsidRPr="005E6074">
              <w:rPr>
                <w:sz w:val="20"/>
                <w:szCs w:val="20"/>
              </w:rPr>
              <w:t>US</w:t>
            </w:r>
          </w:p>
        </w:tc>
        <w:tc>
          <w:tcPr>
            <w:tcW w:w="1134" w:type="dxa"/>
          </w:tcPr>
          <w:p w14:paraId="2DB1DA05" w14:textId="77777777" w:rsidR="003466D5" w:rsidRPr="005E6074" w:rsidRDefault="003466D5" w:rsidP="005E6074">
            <w:pPr>
              <w:spacing w:line="240" w:lineRule="auto"/>
              <w:jc w:val="center"/>
              <w:rPr>
                <w:sz w:val="20"/>
                <w:szCs w:val="20"/>
              </w:rPr>
            </w:pPr>
            <w:r w:rsidRPr="005E6074">
              <w:rPr>
                <w:sz w:val="20"/>
                <w:szCs w:val="20"/>
              </w:rPr>
              <w:t>15337.93</w:t>
            </w:r>
          </w:p>
        </w:tc>
        <w:tc>
          <w:tcPr>
            <w:tcW w:w="1134" w:type="dxa"/>
          </w:tcPr>
          <w:p w14:paraId="1B05B986" w14:textId="23986642" w:rsidR="003466D5" w:rsidRPr="005E6074" w:rsidRDefault="003466D5" w:rsidP="005E6074">
            <w:pPr>
              <w:spacing w:line="240" w:lineRule="auto"/>
              <w:jc w:val="center"/>
              <w:rPr>
                <w:sz w:val="20"/>
                <w:szCs w:val="20"/>
              </w:rPr>
            </w:pPr>
            <w:r w:rsidRPr="005E6074">
              <w:rPr>
                <w:sz w:val="20"/>
                <w:szCs w:val="20"/>
              </w:rPr>
              <w:t>0</w:t>
            </w:r>
            <w:r w:rsidR="00953103" w:rsidRPr="005E6074">
              <w:rPr>
                <w:sz w:val="20"/>
                <w:szCs w:val="20"/>
              </w:rPr>
              <w:t>.00</w:t>
            </w:r>
          </w:p>
        </w:tc>
        <w:tc>
          <w:tcPr>
            <w:tcW w:w="1134" w:type="dxa"/>
          </w:tcPr>
          <w:p w14:paraId="45AB1D00" w14:textId="77777777" w:rsidR="003466D5" w:rsidRPr="005E6074" w:rsidRDefault="003466D5" w:rsidP="005E6074">
            <w:pPr>
              <w:spacing w:line="240" w:lineRule="auto"/>
              <w:jc w:val="center"/>
              <w:rPr>
                <w:sz w:val="20"/>
                <w:szCs w:val="20"/>
              </w:rPr>
            </w:pPr>
            <w:r w:rsidRPr="005E6074">
              <w:rPr>
                <w:sz w:val="20"/>
                <w:szCs w:val="20"/>
              </w:rPr>
              <w:t>15337.93</w:t>
            </w:r>
          </w:p>
        </w:tc>
        <w:tc>
          <w:tcPr>
            <w:tcW w:w="1134" w:type="dxa"/>
          </w:tcPr>
          <w:p w14:paraId="5084623D" w14:textId="77777777" w:rsidR="003466D5" w:rsidRPr="005E6074" w:rsidRDefault="003466D5" w:rsidP="005E6074">
            <w:pPr>
              <w:spacing w:line="240" w:lineRule="auto"/>
              <w:jc w:val="center"/>
              <w:rPr>
                <w:sz w:val="20"/>
                <w:szCs w:val="20"/>
              </w:rPr>
            </w:pPr>
            <w:r w:rsidRPr="005E6074">
              <w:rPr>
                <w:sz w:val="20"/>
                <w:szCs w:val="20"/>
              </w:rPr>
              <w:t>15337.93</w:t>
            </w:r>
          </w:p>
        </w:tc>
      </w:tr>
      <w:tr w:rsidR="00EA2973" w:rsidRPr="005E6074" w14:paraId="0CB31822" w14:textId="77777777" w:rsidTr="005E6074">
        <w:tc>
          <w:tcPr>
            <w:tcW w:w="1558" w:type="dxa"/>
          </w:tcPr>
          <w:p w14:paraId="49F4938F" w14:textId="498F2ED1" w:rsidR="00EA2973" w:rsidRPr="005E6074" w:rsidRDefault="00EA2973" w:rsidP="005E6074">
            <w:pPr>
              <w:spacing w:line="240" w:lineRule="auto"/>
              <w:jc w:val="both"/>
              <w:rPr>
                <w:sz w:val="20"/>
                <w:szCs w:val="20"/>
              </w:rPr>
            </w:pPr>
            <w:r w:rsidRPr="005E6074">
              <w:rPr>
                <w:sz w:val="20"/>
                <w:szCs w:val="20"/>
              </w:rPr>
              <w:t>Tarif</w:t>
            </w:r>
            <w:r w:rsidR="007C745A" w:rsidRPr="005E6074">
              <w:rPr>
                <w:sz w:val="20"/>
                <w:szCs w:val="20"/>
              </w:rPr>
              <w:t>f</w:t>
            </w:r>
          </w:p>
        </w:tc>
        <w:tc>
          <w:tcPr>
            <w:tcW w:w="1275" w:type="dxa"/>
          </w:tcPr>
          <w:p w14:paraId="46CDA02E" w14:textId="77777777" w:rsidR="00EA2973" w:rsidRPr="005E6074" w:rsidRDefault="00EA2973" w:rsidP="005E6074">
            <w:pPr>
              <w:spacing w:line="240" w:lineRule="auto"/>
              <w:jc w:val="center"/>
              <w:rPr>
                <w:sz w:val="20"/>
                <w:szCs w:val="20"/>
              </w:rPr>
            </w:pPr>
            <w:r w:rsidRPr="005E6074">
              <w:rPr>
                <w:sz w:val="20"/>
                <w:szCs w:val="20"/>
              </w:rPr>
              <w:t>%</w:t>
            </w:r>
          </w:p>
        </w:tc>
        <w:tc>
          <w:tcPr>
            <w:tcW w:w="1701" w:type="dxa"/>
          </w:tcPr>
          <w:p w14:paraId="5986DD46" w14:textId="77777777" w:rsidR="00EA2973" w:rsidRPr="005E6074" w:rsidRDefault="00EA2973" w:rsidP="005E6074">
            <w:pPr>
              <w:spacing w:line="240" w:lineRule="auto"/>
              <w:jc w:val="center"/>
              <w:rPr>
                <w:sz w:val="20"/>
                <w:szCs w:val="20"/>
              </w:rPr>
            </w:pPr>
            <w:r w:rsidRPr="005E6074">
              <w:rPr>
                <w:sz w:val="20"/>
                <w:szCs w:val="20"/>
              </w:rPr>
              <w:t>Global</w:t>
            </w:r>
          </w:p>
        </w:tc>
        <w:tc>
          <w:tcPr>
            <w:tcW w:w="1134" w:type="dxa"/>
          </w:tcPr>
          <w:p w14:paraId="25E3BB18" w14:textId="2CB240B8" w:rsidR="00EA2973" w:rsidRPr="005E6074" w:rsidRDefault="00EA2973" w:rsidP="005E6074">
            <w:pPr>
              <w:spacing w:line="240" w:lineRule="auto"/>
              <w:jc w:val="center"/>
              <w:rPr>
                <w:sz w:val="20"/>
                <w:szCs w:val="20"/>
              </w:rPr>
            </w:pPr>
            <w:r w:rsidRPr="005E6074">
              <w:rPr>
                <w:sz w:val="20"/>
                <w:szCs w:val="20"/>
              </w:rPr>
              <w:t>19.55</w:t>
            </w:r>
          </w:p>
        </w:tc>
        <w:tc>
          <w:tcPr>
            <w:tcW w:w="1134" w:type="dxa"/>
          </w:tcPr>
          <w:p w14:paraId="2C8D5A71" w14:textId="4D69A663" w:rsidR="00EA2973" w:rsidRPr="005E6074" w:rsidRDefault="00EA2973" w:rsidP="005E6074">
            <w:pPr>
              <w:spacing w:line="240" w:lineRule="auto"/>
              <w:jc w:val="center"/>
              <w:rPr>
                <w:sz w:val="20"/>
                <w:szCs w:val="20"/>
              </w:rPr>
            </w:pPr>
            <w:r w:rsidRPr="005E6074">
              <w:rPr>
                <w:sz w:val="20"/>
                <w:szCs w:val="20"/>
              </w:rPr>
              <w:t>13.49</w:t>
            </w:r>
          </w:p>
        </w:tc>
        <w:tc>
          <w:tcPr>
            <w:tcW w:w="1134" w:type="dxa"/>
          </w:tcPr>
          <w:p w14:paraId="45D368E8" w14:textId="6921121B" w:rsidR="00EA2973" w:rsidRPr="005E6074" w:rsidRDefault="00EA2973" w:rsidP="005E6074">
            <w:pPr>
              <w:spacing w:line="240" w:lineRule="auto"/>
              <w:jc w:val="center"/>
              <w:rPr>
                <w:sz w:val="20"/>
                <w:szCs w:val="20"/>
              </w:rPr>
            </w:pPr>
            <w:r w:rsidRPr="005E6074">
              <w:rPr>
                <w:sz w:val="20"/>
                <w:szCs w:val="20"/>
              </w:rPr>
              <w:t>0</w:t>
            </w:r>
            <w:r w:rsidR="00953103" w:rsidRPr="005E6074">
              <w:rPr>
                <w:sz w:val="20"/>
                <w:szCs w:val="20"/>
              </w:rPr>
              <w:t>.00</w:t>
            </w:r>
          </w:p>
        </w:tc>
        <w:tc>
          <w:tcPr>
            <w:tcW w:w="1134" w:type="dxa"/>
          </w:tcPr>
          <w:p w14:paraId="5A6C6D89" w14:textId="48B97945" w:rsidR="00EA2973" w:rsidRPr="005E6074" w:rsidRDefault="00EA2973" w:rsidP="005E6074">
            <w:pPr>
              <w:spacing w:line="240" w:lineRule="auto"/>
              <w:jc w:val="center"/>
              <w:rPr>
                <w:sz w:val="20"/>
                <w:szCs w:val="20"/>
              </w:rPr>
            </w:pPr>
            <w:r w:rsidRPr="005E6074">
              <w:rPr>
                <w:sz w:val="20"/>
                <w:szCs w:val="20"/>
              </w:rPr>
              <w:t>30</w:t>
            </w:r>
            <w:r w:rsidR="00953103" w:rsidRPr="005E6074">
              <w:rPr>
                <w:sz w:val="20"/>
                <w:szCs w:val="20"/>
              </w:rPr>
              <w:t>.00</w:t>
            </w:r>
          </w:p>
        </w:tc>
      </w:tr>
      <w:tr w:rsidR="00EA2973" w:rsidRPr="005E6074" w14:paraId="71468CBF" w14:textId="77777777" w:rsidTr="005E6074">
        <w:tc>
          <w:tcPr>
            <w:tcW w:w="1558" w:type="dxa"/>
            <w:vMerge w:val="restart"/>
          </w:tcPr>
          <w:p w14:paraId="4DB19164" w14:textId="09BA292B" w:rsidR="00EA2973" w:rsidRPr="005E6074" w:rsidRDefault="007C745A" w:rsidP="005E6074">
            <w:pPr>
              <w:spacing w:line="240" w:lineRule="auto"/>
              <w:jc w:val="both"/>
              <w:rPr>
                <w:sz w:val="20"/>
                <w:szCs w:val="20"/>
              </w:rPr>
            </w:pPr>
            <w:r w:rsidRPr="005E6074">
              <w:rPr>
                <w:sz w:val="20"/>
                <w:szCs w:val="20"/>
              </w:rPr>
              <w:t>Exchange rate</w:t>
            </w:r>
          </w:p>
        </w:tc>
        <w:tc>
          <w:tcPr>
            <w:tcW w:w="1275" w:type="dxa"/>
          </w:tcPr>
          <w:p w14:paraId="30237648" w14:textId="77777777" w:rsidR="00EA2973" w:rsidRPr="005E6074" w:rsidRDefault="00EA2973" w:rsidP="005E6074">
            <w:pPr>
              <w:spacing w:line="240" w:lineRule="auto"/>
              <w:jc w:val="center"/>
              <w:rPr>
                <w:sz w:val="20"/>
                <w:szCs w:val="20"/>
              </w:rPr>
            </w:pPr>
            <w:r w:rsidRPr="005E6074">
              <w:rPr>
                <w:sz w:val="20"/>
                <w:szCs w:val="20"/>
              </w:rPr>
              <w:t>MYR/CNY</w:t>
            </w:r>
          </w:p>
        </w:tc>
        <w:tc>
          <w:tcPr>
            <w:tcW w:w="1701" w:type="dxa"/>
          </w:tcPr>
          <w:p w14:paraId="5B7D7089" w14:textId="77777777" w:rsidR="00EA2973" w:rsidRPr="005E6074" w:rsidRDefault="00EA2973" w:rsidP="005E6074">
            <w:pPr>
              <w:spacing w:line="240" w:lineRule="auto"/>
              <w:jc w:val="center"/>
              <w:rPr>
                <w:sz w:val="20"/>
                <w:szCs w:val="20"/>
              </w:rPr>
            </w:pPr>
            <w:r w:rsidRPr="005E6074">
              <w:rPr>
                <w:sz w:val="20"/>
                <w:szCs w:val="20"/>
              </w:rPr>
              <w:t>China</w:t>
            </w:r>
          </w:p>
        </w:tc>
        <w:tc>
          <w:tcPr>
            <w:tcW w:w="1134" w:type="dxa"/>
          </w:tcPr>
          <w:p w14:paraId="76532370" w14:textId="4F65AF3D" w:rsidR="00EA2973" w:rsidRPr="005E6074" w:rsidRDefault="00CE27D6" w:rsidP="005E6074">
            <w:pPr>
              <w:spacing w:line="240" w:lineRule="auto"/>
              <w:jc w:val="center"/>
              <w:rPr>
                <w:sz w:val="20"/>
                <w:szCs w:val="20"/>
              </w:rPr>
            </w:pPr>
            <w:r w:rsidRPr="005E6074">
              <w:rPr>
                <w:sz w:val="20"/>
                <w:szCs w:val="20"/>
              </w:rPr>
              <w:t>0.52</w:t>
            </w:r>
          </w:p>
        </w:tc>
        <w:tc>
          <w:tcPr>
            <w:tcW w:w="1134" w:type="dxa"/>
          </w:tcPr>
          <w:p w14:paraId="6E838090" w14:textId="58B7BAD2" w:rsidR="00EA2973" w:rsidRPr="005E6074" w:rsidRDefault="00CE27D6" w:rsidP="005E6074">
            <w:pPr>
              <w:spacing w:line="240" w:lineRule="auto"/>
              <w:jc w:val="center"/>
              <w:rPr>
                <w:sz w:val="20"/>
                <w:szCs w:val="20"/>
              </w:rPr>
            </w:pPr>
            <w:r w:rsidRPr="005E6074">
              <w:rPr>
                <w:sz w:val="20"/>
                <w:szCs w:val="20"/>
              </w:rPr>
              <w:t>0.07</w:t>
            </w:r>
          </w:p>
        </w:tc>
        <w:tc>
          <w:tcPr>
            <w:tcW w:w="1134" w:type="dxa"/>
          </w:tcPr>
          <w:p w14:paraId="45E7FE56" w14:textId="62E37D56" w:rsidR="00EA2973" w:rsidRPr="005E6074" w:rsidRDefault="00CE27D6" w:rsidP="005E6074">
            <w:pPr>
              <w:spacing w:line="240" w:lineRule="auto"/>
              <w:jc w:val="center"/>
              <w:rPr>
                <w:sz w:val="20"/>
                <w:szCs w:val="20"/>
              </w:rPr>
            </w:pPr>
            <w:r w:rsidRPr="005E6074">
              <w:rPr>
                <w:sz w:val="20"/>
                <w:szCs w:val="20"/>
              </w:rPr>
              <w:t>0.45</w:t>
            </w:r>
          </w:p>
        </w:tc>
        <w:tc>
          <w:tcPr>
            <w:tcW w:w="1134" w:type="dxa"/>
          </w:tcPr>
          <w:p w14:paraId="701503FA" w14:textId="60EA301A" w:rsidR="00EA2973" w:rsidRPr="005E6074" w:rsidRDefault="00CE27D6" w:rsidP="005E6074">
            <w:pPr>
              <w:spacing w:line="240" w:lineRule="auto"/>
              <w:jc w:val="center"/>
              <w:rPr>
                <w:sz w:val="20"/>
                <w:szCs w:val="20"/>
              </w:rPr>
            </w:pPr>
            <w:r w:rsidRPr="005E6074">
              <w:rPr>
                <w:sz w:val="20"/>
                <w:szCs w:val="20"/>
              </w:rPr>
              <w:t>0.66</w:t>
            </w:r>
          </w:p>
        </w:tc>
      </w:tr>
      <w:tr w:rsidR="00EA2973" w:rsidRPr="005E6074" w14:paraId="405DFDA3" w14:textId="77777777" w:rsidTr="005E6074">
        <w:tc>
          <w:tcPr>
            <w:tcW w:w="1558" w:type="dxa"/>
            <w:vMerge/>
          </w:tcPr>
          <w:p w14:paraId="3A927033" w14:textId="77777777" w:rsidR="00EA2973" w:rsidRPr="005E6074" w:rsidRDefault="00EA2973" w:rsidP="005E6074">
            <w:pPr>
              <w:spacing w:line="240" w:lineRule="auto"/>
              <w:jc w:val="center"/>
              <w:rPr>
                <w:sz w:val="20"/>
                <w:szCs w:val="20"/>
              </w:rPr>
            </w:pPr>
          </w:p>
        </w:tc>
        <w:tc>
          <w:tcPr>
            <w:tcW w:w="1275" w:type="dxa"/>
          </w:tcPr>
          <w:p w14:paraId="1EE73543" w14:textId="77777777" w:rsidR="00EA2973" w:rsidRPr="005E6074" w:rsidRDefault="00EA2973" w:rsidP="005E6074">
            <w:pPr>
              <w:spacing w:line="240" w:lineRule="auto"/>
              <w:jc w:val="center"/>
              <w:rPr>
                <w:sz w:val="20"/>
                <w:szCs w:val="20"/>
              </w:rPr>
            </w:pPr>
            <w:r w:rsidRPr="005E6074">
              <w:rPr>
                <w:sz w:val="20"/>
                <w:szCs w:val="20"/>
              </w:rPr>
              <w:t>MYR /INR</w:t>
            </w:r>
          </w:p>
        </w:tc>
        <w:tc>
          <w:tcPr>
            <w:tcW w:w="1701" w:type="dxa"/>
          </w:tcPr>
          <w:p w14:paraId="26F311ED" w14:textId="77777777" w:rsidR="00EA2973" w:rsidRPr="005E6074" w:rsidRDefault="00EA2973" w:rsidP="005E6074">
            <w:pPr>
              <w:spacing w:line="240" w:lineRule="auto"/>
              <w:jc w:val="center"/>
              <w:rPr>
                <w:sz w:val="20"/>
                <w:szCs w:val="20"/>
              </w:rPr>
            </w:pPr>
            <w:r w:rsidRPr="005E6074">
              <w:rPr>
                <w:sz w:val="20"/>
                <w:szCs w:val="20"/>
              </w:rPr>
              <w:t>India</w:t>
            </w:r>
          </w:p>
        </w:tc>
        <w:tc>
          <w:tcPr>
            <w:tcW w:w="1134" w:type="dxa"/>
          </w:tcPr>
          <w:p w14:paraId="5603689E" w14:textId="7165879E" w:rsidR="00EA2973" w:rsidRPr="005E6074" w:rsidRDefault="00CE27D6" w:rsidP="005E6074">
            <w:pPr>
              <w:spacing w:line="240" w:lineRule="auto"/>
              <w:jc w:val="center"/>
              <w:rPr>
                <w:sz w:val="20"/>
                <w:szCs w:val="20"/>
              </w:rPr>
            </w:pPr>
            <w:r w:rsidRPr="005E6074">
              <w:rPr>
                <w:sz w:val="20"/>
                <w:szCs w:val="20"/>
              </w:rPr>
              <w:t>15.39</w:t>
            </w:r>
          </w:p>
        </w:tc>
        <w:tc>
          <w:tcPr>
            <w:tcW w:w="1134" w:type="dxa"/>
          </w:tcPr>
          <w:p w14:paraId="5BD16617" w14:textId="7B433232" w:rsidR="00EA2973" w:rsidRPr="005E6074" w:rsidRDefault="00CE27D6" w:rsidP="005E6074">
            <w:pPr>
              <w:spacing w:line="240" w:lineRule="auto"/>
              <w:jc w:val="center"/>
              <w:rPr>
                <w:sz w:val="20"/>
                <w:szCs w:val="20"/>
              </w:rPr>
            </w:pPr>
            <w:r w:rsidRPr="005E6074">
              <w:rPr>
                <w:sz w:val="20"/>
                <w:szCs w:val="20"/>
              </w:rPr>
              <w:t>3.21</w:t>
            </w:r>
          </w:p>
        </w:tc>
        <w:tc>
          <w:tcPr>
            <w:tcW w:w="1134" w:type="dxa"/>
          </w:tcPr>
          <w:p w14:paraId="0B466164" w14:textId="3BD61E84" w:rsidR="00EA2973" w:rsidRPr="005E6074" w:rsidRDefault="00CE27D6" w:rsidP="005E6074">
            <w:pPr>
              <w:spacing w:line="240" w:lineRule="auto"/>
              <w:jc w:val="center"/>
              <w:rPr>
                <w:sz w:val="20"/>
                <w:szCs w:val="20"/>
              </w:rPr>
            </w:pPr>
            <w:r w:rsidRPr="005E6074">
              <w:rPr>
                <w:sz w:val="20"/>
                <w:szCs w:val="20"/>
              </w:rPr>
              <w:t>10.87</w:t>
            </w:r>
          </w:p>
        </w:tc>
        <w:tc>
          <w:tcPr>
            <w:tcW w:w="1134" w:type="dxa"/>
          </w:tcPr>
          <w:p w14:paraId="2612F56C" w14:textId="44A50E78" w:rsidR="00EA2973" w:rsidRPr="005E6074" w:rsidRDefault="00CE27D6" w:rsidP="005E6074">
            <w:pPr>
              <w:spacing w:line="240" w:lineRule="auto"/>
              <w:jc w:val="center"/>
              <w:rPr>
                <w:sz w:val="20"/>
                <w:szCs w:val="20"/>
              </w:rPr>
            </w:pPr>
            <w:r w:rsidRPr="005E6074">
              <w:rPr>
                <w:sz w:val="20"/>
                <w:szCs w:val="20"/>
              </w:rPr>
              <w:t>20.54</w:t>
            </w:r>
          </w:p>
        </w:tc>
      </w:tr>
      <w:tr w:rsidR="003466D5" w:rsidRPr="005E6074" w14:paraId="0B7362EB" w14:textId="77777777" w:rsidTr="005E6074">
        <w:tc>
          <w:tcPr>
            <w:tcW w:w="1558" w:type="dxa"/>
            <w:vMerge/>
          </w:tcPr>
          <w:p w14:paraId="70D8220A" w14:textId="77777777" w:rsidR="003466D5" w:rsidRPr="005E6074" w:rsidRDefault="003466D5" w:rsidP="005E6074">
            <w:pPr>
              <w:spacing w:line="240" w:lineRule="auto"/>
              <w:jc w:val="center"/>
              <w:rPr>
                <w:sz w:val="20"/>
                <w:szCs w:val="20"/>
              </w:rPr>
            </w:pPr>
          </w:p>
        </w:tc>
        <w:tc>
          <w:tcPr>
            <w:tcW w:w="1275" w:type="dxa"/>
          </w:tcPr>
          <w:p w14:paraId="2E9ED2F1" w14:textId="77777777" w:rsidR="003466D5" w:rsidRPr="005E6074" w:rsidRDefault="003466D5" w:rsidP="005E6074">
            <w:pPr>
              <w:spacing w:line="240" w:lineRule="auto"/>
              <w:jc w:val="center"/>
              <w:rPr>
                <w:sz w:val="20"/>
                <w:szCs w:val="20"/>
              </w:rPr>
            </w:pPr>
            <w:r w:rsidRPr="005E6074">
              <w:rPr>
                <w:sz w:val="20"/>
                <w:szCs w:val="20"/>
              </w:rPr>
              <w:t>MYR/ANG</w:t>
            </w:r>
          </w:p>
        </w:tc>
        <w:tc>
          <w:tcPr>
            <w:tcW w:w="1701" w:type="dxa"/>
          </w:tcPr>
          <w:p w14:paraId="1E0F4464" w14:textId="5F874C85" w:rsidR="003466D5" w:rsidRPr="005E6074" w:rsidRDefault="003466D5" w:rsidP="005E6074">
            <w:pPr>
              <w:spacing w:line="240" w:lineRule="auto"/>
              <w:jc w:val="center"/>
              <w:rPr>
                <w:sz w:val="20"/>
                <w:szCs w:val="20"/>
              </w:rPr>
            </w:pPr>
            <w:r w:rsidRPr="005E6074">
              <w:rPr>
                <w:sz w:val="20"/>
                <w:szCs w:val="20"/>
              </w:rPr>
              <w:t>Netherland</w:t>
            </w:r>
          </w:p>
        </w:tc>
        <w:tc>
          <w:tcPr>
            <w:tcW w:w="1134" w:type="dxa"/>
          </w:tcPr>
          <w:p w14:paraId="4ABF65D4" w14:textId="6C6E6B34" w:rsidR="003466D5" w:rsidRPr="005E6074" w:rsidRDefault="00CE27D6" w:rsidP="005E6074">
            <w:pPr>
              <w:spacing w:line="240" w:lineRule="auto"/>
              <w:jc w:val="center"/>
              <w:rPr>
                <w:sz w:val="20"/>
                <w:szCs w:val="20"/>
              </w:rPr>
            </w:pPr>
            <w:r w:rsidRPr="005E6074">
              <w:rPr>
                <w:sz w:val="20"/>
                <w:szCs w:val="20"/>
              </w:rPr>
              <w:t>4.48</w:t>
            </w:r>
          </w:p>
        </w:tc>
        <w:tc>
          <w:tcPr>
            <w:tcW w:w="1134" w:type="dxa"/>
          </w:tcPr>
          <w:p w14:paraId="2BB24404" w14:textId="50F4C10B" w:rsidR="003466D5" w:rsidRPr="005E6074" w:rsidRDefault="00CE27D6" w:rsidP="005E6074">
            <w:pPr>
              <w:spacing w:line="240" w:lineRule="auto"/>
              <w:jc w:val="center"/>
              <w:rPr>
                <w:sz w:val="20"/>
                <w:szCs w:val="20"/>
              </w:rPr>
            </w:pPr>
            <w:r w:rsidRPr="005E6074">
              <w:rPr>
                <w:sz w:val="20"/>
                <w:szCs w:val="20"/>
              </w:rPr>
              <w:t>0.47</w:t>
            </w:r>
          </w:p>
        </w:tc>
        <w:tc>
          <w:tcPr>
            <w:tcW w:w="1134" w:type="dxa"/>
          </w:tcPr>
          <w:p w14:paraId="70E82AA9" w14:textId="0135B7C2" w:rsidR="003466D5" w:rsidRPr="005E6074" w:rsidRDefault="00CE27D6" w:rsidP="005E6074">
            <w:pPr>
              <w:spacing w:line="240" w:lineRule="auto"/>
              <w:jc w:val="center"/>
              <w:rPr>
                <w:sz w:val="20"/>
                <w:szCs w:val="20"/>
              </w:rPr>
            </w:pPr>
            <w:r w:rsidRPr="005E6074">
              <w:rPr>
                <w:sz w:val="20"/>
                <w:szCs w:val="20"/>
              </w:rPr>
              <w:t>3.37</w:t>
            </w:r>
          </w:p>
        </w:tc>
        <w:tc>
          <w:tcPr>
            <w:tcW w:w="1134" w:type="dxa"/>
          </w:tcPr>
          <w:p w14:paraId="15B9941A" w14:textId="77777777" w:rsidR="003466D5" w:rsidRPr="005E6074" w:rsidRDefault="003466D5" w:rsidP="005E6074">
            <w:pPr>
              <w:spacing w:line="240" w:lineRule="auto"/>
              <w:jc w:val="center"/>
              <w:rPr>
                <w:sz w:val="20"/>
                <w:szCs w:val="20"/>
              </w:rPr>
            </w:pPr>
            <w:r w:rsidRPr="005E6074">
              <w:rPr>
                <w:sz w:val="20"/>
                <w:szCs w:val="20"/>
              </w:rPr>
              <w:t>5.17294</w:t>
            </w:r>
          </w:p>
        </w:tc>
      </w:tr>
      <w:tr w:rsidR="003466D5" w:rsidRPr="005E6074" w14:paraId="771324AB" w14:textId="77777777" w:rsidTr="005E6074">
        <w:tc>
          <w:tcPr>
            <w:tcW w:w="1558" w:type="dxa"/>
            <w:vMerge/>
          </w:tcPr>
          <w:p w14:paraId="64A6910F" w14:textId="77777777" w:rsidR="003466D5" w:rsidRPr="005E6074" w:rsidRDefault="003466D5" w:rsidP="005E6074">
            <w:pPr>
              <w:spacing w:line="240" w:lineRule="auto"/>
              <w:jc w:val="center"/>
              <w:rPr>
                <w:sz w:val="20"/>
                <w:szCs w:val="20"/>
              </w:rPr>
            </w:pPr>
          </w:p>
        </w:tc>
        <w:tc>
          <w:tcPr>
            <w:tcW w:w="1275" w:type="dxa"/>
          </w:tcPr>
          <w:p w14:paraId="6517D56C" w14:textId="77777777" w:rsidR="003466D5" w:rsidRPr="005E6074" w:rsidRDefault="003466D5" w:rsidP="005E6074">
            <w:pPr>
              <w:spacing w:line="240" w:lineRule="auto"/>
              <w:jc w:val="center"/>
              <w:rPr>
                <w:sz w:val="20"/>
                <w:szCs w:val="20"/>
              </w:rPr>
            </w:pPr>
            <w:r w:rsidRPr="005E6074">
              <w:rPr>
                <w:sz w:val="20"/>
                <w:szCs w:val="20"/>
              </w:rPr>
              <w:t>MYR/PKPR</w:t>
            </w:r>
          </w:p>
        </w:tc>
        <w:tc>
          <w:tcPr>
            <w:tcW w:w="1701" w:type="dxa"/>
          </w:tcPr>
          <w:p w14:paraId="5E637C6E" w14:textId="6CD6DAA1" w:rsidR="003466D5" w:rsidRPr="005E6074" w:rsidRDefault="003466D5" w:rsidP="005E6074">
            <w:pPr>
              <w:spacing w:line="240" w:lineRule="auto"/>
              <w:jc w:val="center"/>
              <w:rPr>
                <w:sz w:val="20"/>
                <w:szCs w:val="20"/>
              </w:rPr>
            </w:pPr>
            <w:r w:rsidRPr="005E6074">
              <w:rPr>
                <w:sz w:val="20"/>
                <w:szCs w:val="20"/>
              </w:rPr>
              <w:t>Pakistan</w:t>
            </w:r>
          </w:p>
        </w:tc>
        <w:tc>
          <w:tcPr>
            <w:tcW w:w="1134" w:type="dxa"/>
          </w:tcPr>
          <w:p w14:paraId="29A96CE4" w14:textId="75B046CD" w:rsidR="003466D5" w:rsidRPr="005E6074" w:rsidRDefault="00953103" w:rsidP="005E6074">
            <w:pPr>
              <w:spacing w:line="240" w:lineRule="auto"/>
              <w:jc w:val="center"/>
              <w:rPr>
                <w:sz w:val="20"/>
                <w:szCs w:val="20"/>
              </w:rPr>
            </w:pPr>
            <w:r w:rsidRPr="005E6074">
              <w:rPr>
                <w:sz w:val="20"/>
                <w:szCs w:val="20"/>
              </w:rPr>
              <w:t>35.02</w:t>
            </w:r>
          </w:p>
        </w:tc>
        <w:tc>
          <w:tcPr>
            <w:tcW w:w="1134" w:type="dxa"/>
          </w:tcPr>
          <w:p w14:paraId="63C33401" w14:textId="6034DDFD" w:rsidR="003466D5" w:rsidRPr="005E6074" w:rsidRDefault="00953103" w:rsidP="005E6074">
            <w:pPr>
              <w:spacing w:line="240" w:lineRule="auto"/>
              <w:jc w:val="center"/>
              <w:rPr>
                <w:sz w:val="20"/>
                <w:szCs w:val="20"/>
              </w:rPr>
            </w:pPr>
            <w:r w:rsidRPr="005E6074">
              <w:rPr>
                <w:sz w:val="20"/>
                <w:szCs w:val="20"/>
              </w:rPr>
              <w:t>11.12</w:t>
            </w:r>
          </w:p>
        </w:tc>
        <w:tc>
          <w:tcPr>
            <w:tcW w:w="1134" w:type="dxa"/>
          </w:tcPr>
          <w:p w14:paraId="52AEE7A6" w14:textId="14D6B88D" w:rsidR="003466D5" w:rsidRPr="005E6074" w:rsidRDefault="00953103" w:rsidP="005E6074">
            <w:pPr>
              <w:spacing w:line="240" w:lineRule="auto"/>
              <w:jc w:val="center"/>
              <w:rPr>
                <w:sz w:val="20"/>
                <w:szCs w:val="20"/>
              </w:rPr>
            </w:pPr>
            <w:r w:rsidRPr="005E6074">
              <w:rPr>
                <w:sz w:val="20"/>
                <w:szCs w:val="20"/>
              </w:rPr>
              <w:t>17.70</w:t>
            </w:r>
          </w:p>
        </w:tc>
        <w:tc>
          <w:tcPr>
            <w:tcW w:w="1134" w:type="dxa"/>
          </w:tcPr>
          <w:p w14:paraId="1AF9AA9E" w14:textId="76977C11" w:rsidR="003466D5" w:rsidRPr="005E6074" w:rsidRDefault="00953103" w:rsidP="005E6074">
            <w:pPr>
              <w:spacing w:line="240" w:lineRule="auto"/>
              <w:jc w:val="center"/>
              <w:rPr>
                <w:sz w:val="20"/>
                <w:szCs w:val="20"/>
              </w:rPr>
            </w:pPr>
            <w:r w:rsidRPr="005E6074">
              <w:rPr>
                <w:sz w:val="20"/>
                <w:szCs w:val="20"/>
              </w:rPr>
              <w:t>58.84</w:t>
            </w:r>
          </w:p>
        </w:tc>
      </w:tr>
      <w:tr w:rsidR="003466D5" w:rsidRPr="005E6074" w14:paraId="753FBEC1" w14:textId="77777777" w:rsidTr="005E6074">
        <w:tc>
          <w:tcPr>
            <w:tcW w:w="1558" w:type="dxa"/>
            <w:vMerge/>
            <w:tcBorders>
              <w:bottom w:val="single" w:sz="4" w:space="0" w:color="auto"/>
            </w:tcBorders>
          </w:tcPr>
          <w:p w14:paraId="3472B9F2" w14:textId="77777777" w:rsidR="003466D5" w:rsidRPr="005E6074" w:rsidRDefault="003466D5" w:rsidP="005E6074">
            <w:pPr>
              <w:spacing w:line="240" w:lineRule="auto"/>
              <w:jc w:val="center"/>
              <w:rPr>
                <w:sz w:val="20"/>
                <w:szCs w:val="20"/>
              </w:rPr>
            </w:pPr>
          </w:p>
        </w:tc>
        <w:tc>
          <w:tcPr>
            <w:tcW w:w="1275" w:type="dxa"/>
            <w:tcBorders>
              <w:bottom w:val="single" w:sz="4" w:space="0" w:color="auto"/>
            </w:tcBorders>
          </w:tcPr>
          <w:p w14:paraId="30543C47" w14:textId="77777777" w:rsidR="003466D5" w:rsidRPr="005E6074" w:rsidRDefault="003466D5" w:rsidP="005E6074">
            <w:pPr>
              <w:spacing w:line="240" w:lineRule="auto"/>
              <w:jc w:val="center"/>
              <w:rPr>
                <w:sz w:val="20"/>
                <w:szCs w:val="20"/>
              </w:rPr>
            </w:pPr>
            <w:r w:rsidRPr="005E6074">
              <w:rPr>
                <w:sz w:val="20"/>
                <w:szCs w:val="20"/>
              </w:rPr>
              <w:t>MYR/USD</w:t>
            </w:r>
          </w:p>
        </w:tc>
        <w:tc>
          <w:tcPr>
            <w:tcW w:w="1701" w:type="dxa"/>
            <w:tcBorders>
              <w:bottom w:val="single" w:sz="4" w:space="0" w:color="auto"/>
            </w:tcBorders>
          </w:tcPr>
          <w:p w14:paraId="2A992E96" w14:textId="5C42EDD9" w:rsidR="003466D5" w:rsidRPr="005E6074" w:rsidRDefault="008C371B" w:rsidP="005E6074">
            <w:pPr>
              <w:spacing w:line="240" w:lineRule="auto"/>
              <w:jc w:val="center"/>
              <w:rPr>
                <w:sz w:val="20"/>
                <w:szCs w:val="20"/>
              </w:rPr>
            </w:pPr>
            <w:r w:rsidRPr="005E6074">
              <w:rPr>
                <w:sz w:val="20"/>
                <w:szCs w:val="20"/>
              </w:rPr>
              <w:t>US</w:t>
            </w:r>
          </w:p>
        </w:tc>
        <w:tc>
          <w:tcPr>
            <w:tcW w:w="1134" w:type="dxa"/>
            <w:tcBorders>
              <w:bottom w:val="single" w:sz="4" w:space="0" w:color="auto"/>
            </w:tcBorders>
          </w:tcPr>
          <w:p w14:paraId="519CEC36" w14:textId="3768EA8F" w:rsidR="003466D5" w:rsidRPr="005E6074" w:rsidRDefault="00953103" w:rsidP="005E6074">
            <w:pPr>
              <w:spacing w:line="240" w:lineRule="auto"/>
              <w:jc w:val="center"/>
              <w:rPr>
                <w:sz w:val="20"/>
                <w:szCs w:val="20"/>
              </w:rPr>
            </w:pPr>
            <w:r w:rsidRPr="005E6074">
              <w:rPr>
                <w:sz w:val="20"/>
                <w:szCs w:val="20"/>
              </w:rPr>
              <w:t>3.71</w:t>
            </w:r>
          </w:p>
        </w:tc>
        <w:tc>
          <w:tcPr>
            <w:tcW w:w="1134" w:type="dxa"/>
            <w:tcBorders>
              <w:bottom w:val="single" w:sz="4" w:space="0" w:color="auto"/>
            </w:tcBorders>
          </w:tcPr>
          <w:p w14:paraId="0C1EA48B" w14:textId="2B1E8B71" w:rsidR="003466D5" w:rsidRPr="005E6074" w:rsidRDefault="00953103" w:rsidP="005E6074">
            <w:pPr>
              <w:spacing w:line="240" w:lineRule="auto"/>
              <w:jc w:val="center"/>
              <w:rPr>
                <w:sz w:val="20"/>
                <w:szCs w:val="20"/>
              </w:rPr>
            </w:pPr>
            <w:r w:rsidRPr="005E6074">
              <w:rPr>
                <w:sz w:val="20"/>
                <w:szCs w:val="20"/>
              </w:rPr>
              <w:t>0.41</w:t>
            </w:r>
          </w:p>
        </w:tc>
        <w:tc>
          <w:tcPr>
            <w:tcW w:w="1134" w:type="dxa"/>
            <w:tcBorders>
              <w:bottom w:val="single" w:sz="4" w:space="0" w:color="auto"/>
            </w:tcBorders>
          </w:tcPr>
          <w:p w14:paraId="0E9B2292" w14:textId="526B61C7" w:rsidR="003466D5" w:rsidRPr="005E6074" w:rsidRDefault="00953103" w:rsidP="005E6074">
            <w:pPr>
              <w:spacing w:line="240" w:lineRule="auto"/>
              <w:jc w:val="center"/>
              <w:rPr>
                <w:sz w:val="20"/>
                <w:szCs w:val="20"/>
              </w:rPr>
            </w:pPr>
            <w:r w:rsidRPr="005E6074">
              <w:rPr>
                <w:sz w:val="20"/>
                <w:szCs w:val="20"/>
              </w:rPr>
              <w:t>3.06</w:t>
            </w:r>
          </w:p>
        </w:tc>
        <w:tc>
          <w:tcPr>
            <w:tcW w:w="1134" w:type="dxa"/>
            <w:tcBorders>
              <w:bottom w:val="single" w:sz="4" w:space="0" w:color="auto"/>
            </w:tcBorders>
          </w:tcPr>
          <w:p w14:paraId="7089E5BF" w14:textId="747433FD" w:rsidR="003466D5" w:rsidRPr="005E6074" w:rsidRDefault="00953103" w:rsidP="005E6074">
            <w:pPr>
              <w:spacing w:line="240" w:lineRule="auto"/>
              <w:jc w:val="center"/>
              <w:rPr>
                <w:sz w:val="20"/>
                <w:szCs w:val="20"/>
              </w:rPr>
            </w:pPr>
            <w:r w:rsidRPr="005E6074">
              <w:rPr>
                <w:sz w:val="20"/>
                <w:szCs w:val="20"/>
              </w:rPr>
              <w:t>4.49</w:t>
            </w:r>
          </w:p>
        </w:tc>
      </w:tr>
    </w:tbl>
    <w:p w14:paraId="2E6A7954" w14:textId="77777777" w:rsidR="00EA2973" w:rsidRDefault="00EA2973" w:rsidP="00AC7D6B">
      <w:pPr>
        <w:pStyle w:val="BodyText"/>
        <w:spacing w:line="240" w:lineRule="auto"/>
      </w:pPr>
    </w:p>
    <w:p w14:paraId="662FC25E" w14:textId="06E7E731" w:rsidR="007C745A" w:rsidRDefault="007C745A" w:rsidP="00AC7D6B">
      <w:pPr>
        <w:pStyle w:val="BodyText"/>
        <w:spacing w:line="240" w:lineRule="auto"/>
        <w:ind w:firstLine="720"/>
        <w:jc w:val="both"/>
      </w:pPr>
      <w:r w:rsidRPr="007C745A">
        <w:t xml:space="preserve">Table 2 shows the factors that affect Malaysian palm oil </w:t>
      </w:r>
      <w:r w:rsidR="00031A21">
        <w:t>export</w:t>
      </w:r>
      <w:r w:rsidRPr="007C745A">
        <w:t xml:space="preserve"> </w:t>
      </w:r>
      <w:r w:rsidR="00995A09">
        <w:t xml:space="preserve">efficiency </w:t>
      </w:r>
      <w:r w:rsidRPr="007C745A">
        <w:t>using the GSFM model. The validity test of the model shows that the Wald chi-square value is 131.95, the Log-likelihood is -69.404279, and the P-value is 0.0000. Those values ​​show that the model fits the existing data. Whereas the value of gamma</w:t>
      </w:r>
      <w:r w:rsidR="004535A4">
        <w:t xml:space="preserve"> (γ ) </w:t>
      </w:r>
      <w:r w:rsidRPr="007C745A">
        <w:t>is 0.203, the value of mu</w:t>
      </w:r>
      <w:r w:rsidR="004535A4">
        <w:t xml:space="preserve"> (μ) </w:t>
      </w:r>
      <w:r w:rsidR="00031A21">
        <w:t xml:space="preserve">is not significant at </w:t>
      </w:r>
      <w:r w:rsidRPr="007C745A">
        <w:t>1%, which confirms that there is no inefficiency variable.</w:t>
      </w:r>
      <w:r w:rsidR="004535A4">
        <w:t xml:space="preserve"> </w:t>
      </w:r>
      <w:r>
        <w:t>The</w:t>
      </w:r>
      <w:r w:rsidR="004535A4">
        <w:t xml:space="preserve"> eta (η) </w:t>
      </w:r>
      <w:r w:rsidRPr="007C745A">
        <w:t>value is statistically significant at th</w:t>
      </w:r>
      <w:r w:rsidR="00031A21">
        <w:t xml:space="preserve">e </w:t>
      </w:r>
      <w:r w:rsidRPr="007C745A">
        <w:t>1% level and has a positive coefficient. It explains the increase in export efficiency throughout the study.</w:t>
      </w:r>
    </w:p>
    <w:p w14:paraId="335A6456" w14:textId="77777777" w:rsidR="001052EF" w:rsidRDefault="001052EF" w:rsidP="001052EF">
      <w:pPr>
        <w:pStyle w:val="BodyText"/>
        <w:spacing w:line="240" w:lineRule="auto"/>
        <w:ind w:firstLine="720"/>
        <w:jc w:val="both"/>
      </w:pPr>
      <w:r>
        <w:t>The findings show that palm oil export efficiency is positively determined by the demand of trading partners (importer's GDP). A 1% increase in the income of importing countries leads to a 0.098% increase in palm oil export. The positive relationship between the GDP of importing countries and Malaysian palm oil export is in line with Atif et al. (2017). They claimed that the higher the demand, the higher the amount of merchandise exported. However, the study could not support Atif et al. (2017) and Abdullahi et al. (2021), which show the importance of supply factors. Malaysian GDP (supply capacity) was found to have no significant impact on palm oil export. It shows that the Malaysian palm oil industry is always relevant to continuously meet the global demand for palm oil without being affected by the domestic economy.</w:t>
      </w:r>
    </w:p>
    <w:p w14:paraId="2DC7F4D6" w14:textId="77777777" w:rsidR="001052EF" w:rsidRDefault="001052EF" w:rsidP="001052EF">
      <w:pPr>
        <w:pStyle w:val="BodyText"/>
        <w:spacing w:line="240" w:lineRule="auto"/>
        <w:ind w:firstLine="720"/>
        <w:jc w:val="both"/>
      </w:pPr>
      <w:r>
        <w:t>Distance shows a negative relationship with palm oil export efficiency. A 1% increase in the distance reduces palm oil export by 1.234%. This finding is in line with the hypothesis of the gravity model, which is that Malaysian palm oil export is inversely related to the distance between trading partners. It is also consistent with the findings of previous studies (Abdullahi et al., 2021; Atif et al., 2017), which show that the greater the distance between countries, the lower the export due to increased transport costs proportional to the distance (per km).</w:t>
      </w:r>
    </w:p>
    <w:p w14:paraId="6B08750E" w14:textId="77777777" w:rsidR="001052EF" w:rsidRDefault="001052EF" w:rsidP="001052EF">
      <w:pPr>
        <w:pStyle w:val="BodyText"/>
        <w:spacing w:line="240" w:lineRule="auto"/>
        <w:jc w:val="both"/>
      </w:pPr>
      <w:r>
        <w:t xml:space="preserve">           The exchange rate has a positive effect on palm oil export efficiency. The positive coefficient value should be read with caution as this study uses currency exchange terms from the Malaysian Ringgit to the importing country's currency. It shows that a 1% increase in the foreign exchange rate causes a 0.122% increase in palm oil export revenue. In other words, when the Ringgit is relatively weak, it causes export costs to become cheaper, which leads to an increase in palm oil export. It proves that Malaysian palm oil export demand is elastic, and the Ringgit's depreciation positively affects palm oil export results. This finding is in line with Abdullahi et al. (2021), Atif et al. (2017), and Kea et al. (2019).           </w:t>
      </w:r>
    </w:p>
    <w:p w14:paraId="432B2C84" w14:textId="3D5ADC91" w:rsidR="0053472C" w:rsidRDefault="001052EF" w:rsidP="001052EF">
      <w:pPr>
        <w:pStyle w:val="BodyText"/>
        <w:spacing w:line="240" w:lineRule="auto"/>
        <w:ind w:firstLine="720"/>
        <w:jc w:val="both"/>
      </w:pPr>
      <w:r>
        <w:t xml:space="preserve">Soybean oil prices, CPO prices, Indonesian export, and tariff do not affect Malaysian </w:t>
      </w:r>
      <w:r>
        <w:lastRenderedPageBreak/>
        <w:t>palm oil export efficiency. Fluctuations in alternative vegetable oil prices, such as soy, have not affected the global demand for Malaysian palm oil. This finding can be attributed to the advantages of palm oil compared to soybean oil, such as lower cost and stability at high temperatures (Zamri et al., 2018). Likewise, competition from the world's leading palm oil exporter (Indonesian CPO export) does not affect Malaysian palm oil demand. Perhaps regional trade agreements and good trade relations between Malaysia and its trading partners have supported the country's palm oil export growth. The uncertainty of CPO prices also has no implications for palm export, considering that Malaysia is the world's second-largest producer of palm oil (MPOC, 2022). This finding is also in line with the findings that prove that import tariff trade restrictions that cause an increase in CPO export prices have no impact on global palm oil demand.</w:t>
      </w:r>
    </w:p>
    <w:p w14:paraId="61CC89BB" w14:textId="77777777" w:rsidR="001052EF" w:rsidRDefault="001052EF" w:rsidP="001052EF">
      <w:pPr>
        <w:pStyle w:val="BodyText"/>
        <w:spacing w:line="240" w:lineRule="auto"/>
        <w:jc w:val="both"/>
      </w:pPr>
    </w:p>
    <w:p w14:paraId="2D385CED" w14:textId="162DECDE" w:rsidR="00B0127E" w:rsidRPr="00BA6868" w:rsidRDefault="00AC7D6B" w:rsidP="00BA6868">
      <w:pPr>
        <w:pStyle w:val="BodyText"/>
        <w:spacing w:line="240" w:lineRule="auto"/>
        <w:jc w:val="center"/>
        <w:rPr>
          <w:bCs/>
          <w:color w:val="000000" w:themeColor="text1"/>
          <w:sz w:val="20"/>
          <w:szCs w:val="20"/>
        </w:rPr>
      </w:pPr>
      <w:r w:rsidRPr="00BA6868">
        <w:rPr>
          <w:b/>
          <w:color w:val="000000" w:themeColor="text1"/>
          <w:sz w:val="20"/>
          <w:szCs w:val="20"/>
        </w:rPr>
        <w:t>Table</w:t>
      </w:r>
      <w:r w:rsidR="001A6AFC" w:rsidRPr="00BA6868">
        <w:rPr>
          <w:b/>
          <w:color w:val="000000" w:themeColor="text1"/>
          <w:sz w:val="20"/>
          <w:szCs w:val="20"/>
        </w:rPr>
        <w:t xml:space="preserve"> 2</w:t>
      </w:r>
      <w:r w:rsidR="00413D34" w:rsidRPr="00BA6868">
        <w:rPr>
          <w:b/>
          <w:color w:val="000000" w:themeColor="text1"/>
          <w:sz w:val="20"/>
          <w:szCs w:val="20"/>
        </w:rPr>
        <w:t>.</w:t>
      </w:r>
      <w:r w:rsidR="001A6AFC" w:rsidRPr="00BA6868">
        <w:rPr>
          <w:b/>
          <w:color w:val="000000" w:themeColor="text1"/>
          <w:sz w:val="20"/>
          <w:szCs w:val="20"/>
        </w:rPr>
        <w:t xml:space="preserve"> </w:t>
      </w:r>
      <w:r w:rsidR="005F587A" w:rsidRPr="00BA6868">
        <w:rPr>
          <w:bCs/>
          <w:color w:val="000000" w:themeColor="text1"/>
          <w:sz w:val="20"/>
          <w:szCs w:val="20"/>
        </w:rPr>
        <w:t>GSFM</w:t>
      </w:r>
      <w:r w:rsidR="003466D5" w:rsidRPr="00BA6868">
        <w:rPr>
          <w:bCs/>
          <w:color w:val="000000" w:themeColor="text1"/>
          <w:sz w:val="20"/>
          <w:szCs w:val="20"/>
        </w:rPr>
        <w:t xml:space="preserve"> </w:t>
      </w:r>
      <w:r w:rsidR="005F587A" w:rsidRPr="00BA6868">
        <w:rPr>
          <w:bCs/>
          <w:color w:val="000000" w:themeColor="text1"/>
          <w:sz w:val="20"/>
          <w:szCs w:val="20"/>
        </w:rPr>
        <w:t>estimation for M</w:t>
      </w:r>
      <w:r w:rsidR="003466D5" w:rsidRPr="00BA6868">
        <w:rPr>
          <w:bCs/>
          <w:color w:val="000000" w:themeColor="text1"/>
          <w:sz w:val="20"/>
          <w:szCs w:val="20"/>
        </w:rPr>
        <w:t>alaysia</w:t>
      </w:r>
      <w:r w:rsidR="005F587A" w:rsidRPr="00BA6868">
        <w:rPr>
          <w:bCs/>
          <w:color w:val="000000" w:themeColor="text1"/>
          <w:sz w:val="20"/>
          <w:szCs w:val="20"/>
        </w:rPr>
        <w:t>n</w:t>
      </w:r>
      <w:r w:rsidR="003466D5" w:rsidRPr="00BA6868">
        <w:rPr>
          <w:bCs/>
          <w:color w:val="000000" w:themeColor="text1"/>
          <w:sz w:val="20"/>
          <w:szCs w:val="20"/>
        </w:rPr>
        <w:t xml:space="preserve"> palm oil </w:t>
      </w:r>
      <w:r w:rsidR="00031A21" w:rsidRPr="00BA6868">
        <w:rPr>
          <w:bCs/>
          <w:color w:val="000000" w:themeColor="text1"/>
          <w:sz w:val="20"/>
          <w:szCs w:val="20"/>
        </w:rPr>
        <w:t>export</w:t>
      </w:r>
    </w:p>
    <w:p w14:paraId="5E891930" w14:textId="77777777" w:rsidR="000A12C9" w:rsidRPr="00BA6868" w:rsidRDefault="000A12C9" w:rsidP="00BA6868">
      <w:pPr>
        <w:pStyle w:val="BodyText"/>
        <w:spacing w:line="240" w:lineRule="auto"/>
        <w:jc w:val="center"/>
        <w:rPr>
          <w:bCs/>
          <w:color w:val="000000" w:themeColor="text1"/>
          <w:sz w:val="20"/>
          <w:szCs w:val="20"/>
        </w:rPr>
      </w:pPr>
    </w:p>
    <w:tbl>
      <w:tblPr>
        <w:tblStyle w:val="TableGrid"/>
        <w:tblW w:w="9075"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5"/>
        <w:gridCol w:w="1162"/>
        <w:gridCol w:w="1163"/>
        <w:gridCol w:w="1163"/>
        <w:gridCol w:w="1053"/>
        <w:gridCol w:w="1019"/>
        <w:gridCol w:w="1390"/>
      </w:tblGrid>
      <w:tr w:rsidR="00890A0E" w:rsidRPr="00BA6868" w14:paraId="79246852" w14:textId="77777777" w:rsidTr="0020114B">
        <w:tc>
          <w:tcPr>
            <w:tcW w:w="2125" w:type="dxa"/>
            <w:tcBorders>
              <w:top w:val="single" w:sz="4" w:space="0" w:color="auto"/>
              <w:bottom w:val="single" w:sz="4" w:space="0" w:color="auto"/>
            </w:tcBorders>
            <w:shd w:val="clear" w:color="auto" w:fill="8EAADB" w:themeFill="accent5" w:themeFillTint="99"/>
          </w:tcPr>
          <w:p w14:paraId="04A72970" w14:textId="7AE4BB3D" w:rsidR="00A13ADB" w:rsidRPr="00BA6868" w:rsidRDefault="00470EC4" w:rsidP="00BA6868">
            <w:pPr>
              <w:spacing w:line="240" w:lineRule="auto"/>
              <w:jc w:val="center"/>
              <w:rPr>
                <w:b/>
                <w:sz w:val="20"/>
                <w:szCs w:val="20"/>
              </w:rPr>
            </w:pPr>
            <w:r w:rsidRPr="00BA6868">
              <w:rPr>
                <w:b/>
                <w:sz w:val="20"/>
                <w:szCs w:val="20"/>
              </w:rPr>
              <w:t>Variable</w:t>
            </w:r>
          </w:p>
        </w:tc>
        <w:tc>
          <w:tcPr>
            <w:tcW w:w="1162" w:type="dxa"/>
            <w:tcBorders>
              <w:top w:val="single" w:sz="4" w:space="0" w:color="auto"/>
              <w:bottom w:val="single" w:sz="4" w:space="0" w:color="auto"/>
            </w:tcBorders>
            <w:shd w:val="clear" w:color="auto" w:fill="8EAADB" w:themeFill="accent5" w:themeFillTint="99"/>
          </w:tcPr>
          <w:p w14:paraId="1BED515B" w14:textId="56E9EEA5" w:rsidR="00A13ADB" w:rsidRPr="00BA6868" w:rsidRDefault="00470EC4" w:rsidP="00BA6868">
            <w:pPr>
              <w:spacing w:line="240" w:lineRule="auto"/>
              <w:jc w:val="center"/>
              <w:rPr>
                <w:b/>
                <w:color w:val="000000" w:themeColor="text1"/>
                <w:sz w:val="20"/>
                <w:szCs w:val="20"/>
              </w:rPr>
            </w:pPr>
            <w:r w:rsidRPr="00BA6868">
              <w:rPr>
                <w:b/>
                <w:color w:val="000000" w:themeColor="text1"/>
                <w:sz w:val="20"/>
                <w:szCs w:val="20"/>
              </w:rPr>
              <w:t>Coefficient</w:t>
            </w:r>
          </w:p>
        </w:tc>
        <w:tc>
          <w:tcPr>
            <w:tcW w:w="1163" w:type="dxa"/>
            <w:tcBorders>
              <w:top w:val="single" w:sz="4" w:space="0" w:color="auto"/>
              <w:bottom w:val="single" w:sz="4" w:space="0" w:color="auto"/>
            </w:tcBorders>
            <w:shd w:val="clear" w:color="auto" w:fill="8EAADB" w:themeFill="accent5" w:themeFillTint="99"/>
          </w:tcPr>
          <w:p w14:paraId="7A56E0B6" w14:textId="04E0DCF2" w:rsidR="00A13ADB" w:rsidRPr="00BA6868" w:rsidRDefault="00470EC4" w:rsidP="00BA6868">
            <w:pPr>
              <w:spacing w:line="240" w:lineRule="auto"/>
              <w:jc w:val="center"/>
              <w:rPr>
                <w:b/>
                <w:color w:val="000000" w:themeColor="text1"/>
                <w:sz w:val="20"/>
                <w:szCs w:val="20"/>
              </w:rPr>
            </w:pPr>
            <w:r w:rsidRPr="00BA6868">
              <w:rPr>
                <w:b/>
                <w:color w:val="000000" w:themeColor="text1"/>
                <w:sz w:val="20"/>
                <w:szCs w:val="20"/>
              </w:rPr>
              <w:t>Standard error</w:t>
            </w:r>
          </w:p>
        </w:tc>
        <w:tc>
          <w:tcPr>
            <w:tcW w:w="1163" w:type="dxa"/>
            <w:tcBorders>
              <w:top w:val="single" w:sz="4" w:space="0" w:color="auto"/>
              <w:bottom w:val="single" w:sz="4" w:space="0" w:color="auto"/>
            </w:tcBorders>
            <w:shd w:val="clear" w:color="auto" w:fill="8EAADB" w:themeFill="accent5" w:themeFillTint="99"/>
          </w:tcPr>
          <w:p w14:paraId="71F7A00F" w14:textId="57B831F3" w:rsidR="00A13ADB" w:rsidRPr="00BA6868" w:rsidRDefault="007D3F4B" w:rsidP="00BA6868">
            <w:pPr>
              <w:spacing w:line="240" w:lineRule="auto"/>
              <w:jc w:val="center"/>
              <w:rPr>
                <w:b/>
                <w:color w:val="000000" w:themeColor="text1"/>
                <w:sz w:val="20"/>
                <w:szCs w:val="20"/>
              </w:rPr>
            </w:pPr>
            <w:r w:rsidRPr="00BA6868">
              <w:rPr>
                <w:b/>
                <w:color w:val="000000" w:themeColor="text1"/>
                <w:sz w:val="20"/>
                <w:szCs w:val="20"/>
              </w:rPr>
              <w:t>Z</w:t>
            </w:r>
            <w:r w:rsidR="00470EC4" w:rsidRPr="00BA6868">
              <w:rPr>
                <w:b/>
                <w:color w:val="000000" w:themeColor="text1"/>
                <w:sz w:val="20"/>
                <w:szCs w:val="20"/>
              </w:rPr>
              <w:t>-</w:t>
            </w:r>
            <w:r w:rsidR="005F587A" w:rsidRPr="00BA6868">
              <w:rPr>
                <w:b/>
                <w:color w:val="000000" w:themeColor="text1"/>
                <w:sz w:val="20"/>
                <w:szCs w:val="20"/>
              </w:rPr>
              <w:t>value</w:t>
            </w:r>
          </w:p>
        </w:tc>
        <w:tc>
          <w:tcPr>
            <w:tcW w:w="1053" w:type="dxa"/>
            <w:tcBorders>
              <w:top w:val="single" w:sz="4" w:space="0" w:color="auto"/>
              <w:bottom w:val="single" w:sz="4" w:space="0" w:color="auto"/>
            </w:tcBorders>
            <w:shd w:val="clear" w:color="auto" w:fill="8EAADB" w:themeFill="accent5" w:themeFillTint="99"/>
          </w:tcPr>
          <w:p w14:paraId="43C4644C" w14:textId="6813C525" w:rsidR="00A13ADB" w:rsidRPr="00BA6868" w:rsidRDefault="00470EC4" w:rsidP="00BA6868">
            <w:pPr>
              <w:spacing w:line="240" w:lineRule="auto"/>
              <w:jc w:val="center"/>
              <w:rPr>
                <w:b/>
                <w:color w:val="000000" w:themeColor="text1"/>
                <w:sz w:val="20"/>
                <w:szCs w:val="20"/>
              </w:rPr>
            </w:pPr>
            <w:r w:rsidRPr="00BA6868">
              <w:rPr>
                <w:b/>
                <w:color w:val="000000" w:themeColor="text1"/>
                <w:sz w:val="20"/>
                <w:szCs w:val="20"/>
              </w:rPr>
              <w:t>P-value</w:t>
            </w:r>
          </w:p>
        </w:tc>
        <w:tc>
          <w:tcPr>
            <w:tcW w:w="2409" w:type="dxa"/>
            <w:gridSpan w:val="2"/>
            <w:tcBorders>
              <w:top w:val="single" w:sz="4" w:space="0" w:color="auto"/>
              <w:bottom w:val="single" w:sz="4" w:space="0" w:color="auto"/>
            </w:tcBorders>
            <w:shd w:val="clear" w:color="auto" w:fill="8EAADB" w:themeFill="accent5" w:themeFillTint="99"/>
          </w:tcPr>
          <w:p w14:paraId="5B4B7716" w14:textId="061F22D5" w:rsidR="00A13ADB" w:rsidRPr="00BA6868" w:rsidRDefault="00A13ADB" w:rsidP="00BA6868">
            <w:pPr>
              <w:spacing w:line="240" w:lineRule="auto"/>
              <w:jc w:val="center"/>
              <w:rPr>
                <w:b/>
                <w:color w:val="000000" w:themeColor="text1"/>
                <w:sz w:val="20"/>
                <w:szCs w:val="20"/>
              </w:rPr>
            </w:pPr>
            <w:r w:rsidRPr="00BA6868">
              <w:rPr>
                <w:b/>
                <w:color w:val="000000" w:themeColor="text1"/>
                <w:sz w:val="20"/>
                <w:szCs w:val="20"/>
              </w:rPr>
              <w:t xml:space="preserve">[95% </w:t>
            </w:r>
            <w:r w:rsidR="00470EC4" w:rsidRPr="00BA6868">
              <w:rPr>
                <w:b/>
                <w:color w:val="000000" w:themeColor="text1"/>
                <w:sz w:val="20"/>
                <w:szCs w:val="20"/>
              </w:rPr>
              <w:t>confidence level</w:t>
            </w:r>
            <w:r w:rsidRPr="00BA6868">
              <w:rPr>
                <w:b/>
                <w:color w:val="000000" w:themeColor="text1"/>
                <w:sz w:val="20"/>
                <w:szCs w:val="20"/>
              </w:rPr>
              <w:t>]</w:t>
            </w:r>
          </w:p>
        </w:tc>
      </w:tr>
      <w:tr w:rsidR="00A13ADB" w:rsidRPr="00BA6868" w14:paraId="3F228658" w14:textId="77777777" w:rsidTr="00282C9D">
        <w:tc>
          <w:tcPr>
            <w:tcW w:w="2125" w:type="dxa"/>
            <w:tcBorders>
              <w:top w:val="single" w:sz="4" w:space="0" w:color="auto"/>
            </w:tcBorders>
            <w:vAlign w:val="center"/>
          </w:tcPr>
          <w:p w14:paraId="04C3101F" w14:textId="3734ECE4" w:rsidR="00A13ADB" w:rsidRPr="00BA6868" w:rsidRDefault="00470EC4" w:rsidP="00BA6868">
            <w:pPr>
              <w:spacing w:line="240" w:lineRule="auto"/>
              <w:rPr>
                <w:sz w:val="20"/>
                <w:szCs w:val="20"/>
              </w:rPr>
            </w:pPr>
            <w:r w:rsidRPr="00BA6868">
              <w:rPr>
                <w:sz w:val="20"/>
                <w:szCs w:val="20"/>
              </w:rPr>
              <w:t>GDP</w:t>
            </w:r>
            <w:r w:rsidR="007D3F4B" w:rsidRPr="00BA6868">
              <w:rPr>
                <w:sz w:val="20"/>
                <w:szCs w:val="20"/>
              </w:rPr>
              <w:t xml:space="preserve"> </w:t>
            </w:r>
            <w:r w:rsidR="00A13ADB" w:rsidRPr="00BA6868">
              <w:rPr>
                <w:sz w:val="20"/>
                <w:szCs w:val="20"/>
              </w:rPr>
              <w:t>Malaysia</w:t>
            </w:r>
          </w:p>
        </w:tc>
        <w:tc>
          <w:tcPr>
            <w:tcW w:w="1162" w:type="dxa"/>
            <w:tcBorders>
              <w:top w:val="single" w:sz="4" w:space="0" w:color="auto"/>
            </w:tcBorders>
            <w:shd w:val="clear" w:color="auto" w:fill="auto"/>
            <w:vAlign w:val="center"/>
          </w:tcPr>
          <w:p w14:paraId="4A4E3254" w14:textId="77777777" w:rsidR="00A13ADB" w:rsidRPr="00BA6868" w:rsidRDefault="00A13ADB" w:rsidP="00BA6868">
            <w:pPr>
              <w:spacing w:line="240" w:lineRule="auto"/>
              <w:jc w:val="center"/>
              <w:rPr>
                <w:sz w:val="20"/>
                <w:szCs w:val="20"/>
              </w:rPr>
            </w:pPr>
            <w:r w:rsidRPr="00BA6868">
              <w:rPr>
                <w:color w:val="000000"/>
                <w:sz w:val="20"/>
                <w:szCs w:val="20"/>
              </w:rPr>
              <w:t>0.603</w:t>
            </w:r>
          </w:p>
        </w:tc>
        <w:tc>
          <w:tcPr>
            <w:tcW w:w="1163" w:type="dxa"/>
            <w:tcBorders>
              <w:top w:val="single" w:sz="4" w:space="0" w:color="auto"/>
            </w:tcBorders>
            <w:shd w:val="clear" w:color="auto" w:fill="auto"/>
            <w:vAlign w:val="center"/>
          </w:tcPr>
          <w:p w14:paraId="34ED9BC7" w14:textId="77777777" w:rsidR="00A13ADB" w:rsidRPr="00BA6868" w:rsidRDefault="00A13ADB" w:rsidP="00BA6868">
            <w:pPr>
              <w:spacing w:line="240" w:lineRule="auto"/>
              <w:jc w:val="center"/>
              <w:rPr>
                <w:sz w:val="20"/>
                <w:szCs w:val="20"/>
              </w:rPr>
            </w:pPr>
            <w:r w:rsidRPr="00BA6868">
              <w:rPr>
                <w:color w:val="000000"/>
                <w:sz w:val="20"/>
                <w:szCs w:val="20"/>
              </w:rPr>
              <w:t>0.693</w:t>
            </w:r>
          </w:p>
        </w:tc>
        <w:tc>
          <w:tcPr>
            <w:tcW w:w="1163" w:type="dxa"/>
            <w:tcBorders>
              <w:top w:val="single" w:sz="4" w:space="0" w:color="auto"/>
            </w:tcBorders>
            <w:shd w:val="clear" w:color="auto" w:fill="auto"/>
            <w:vAlign w:val="center"/>
          </w:tcPr>
          <w:p w14:paraId="1A7E0447" w14:textId="77777777" w:rsidR="00A13ADB" w:rsidRPr="00BA6868" w:rsidRDefault="00A13ADB" w:rsidP="00BA6868">
            <w:pPr>
              <w:spacing w:line="240" w:lineRule="auto"/>
              <w:jc w:val="center"/>
              <w:rPr>
                <w:sz w:val="20"/>
                <w:szCs w:val="20"/>
              </w:rPr>
            </w:pPr>
            <w:r w:rsidRPr="00BA6868">
              <w:rPr>
                <w:color w:val="000000"/>
                <w:sz w:val="20"/>
                <w:szCs w:val="20"/>
              </w:rPr>
              <w:t>0.87</w:t>
            </w:r>
          </w:p>
        </w:tc>
        <w:tc>
          <w:tcPr>
            <w:tcW w:w="1053" w:type="dxa"/>
            <w:tcBorders>
              <w:top w:val="single" w:sz="4" w:space="0" w:color="auto"/>
            </w:tcBorders>
            <w:shd w:val="clear" w:color="auto" w:fill="auto"/>
            <w:vAlign w:val="center"/>
          </w:tcPr>
          <w:p w14:paraId="6F76C93E" w14:textId="77777777" w:rsidR="00A13ADB" w:rsidRPr="00BA6868" w:rsidRDefault="00A13ADB" w:rsidP="00BA6868">
            <w:pPr>
              <w:spacing w:line="240" w:lineRule="auto"/>
              <w:jc w:val="center"/>
              <w:rPr>
                <w:sz w:val="20"/>
                <w:szCs w:val="20"/>
              </w:rPr>
            </w:pPr>
            <w:r w:rsidRPr="00BA6868">
              <w:rPr>
                <w:color w:val="000000"/>
                <w:sz w:val="20"/>
                <w:szCs w:val="20"/>
              </w:rPr>
              <w:t>0.384</w:t>
            </w:r>
          </w:p>
        </w:tc>
        <w:tc>
          <w:tcPr>
            <w:tcW w:w="1019" w:type="dxa"/>
            <w:tcBorders>
              <w:top w:val="single" w:sz="4" w:space="0" w:color="auto"/>
            </w:tcBorders>
            <w:shd w:val="clear" w:color="auto" w:fill="auto"/>
            <w:vAlign w:val="center"/>
          </w:tcPr>
          <w:p w14:paraId="3B134B3B" w14:textId="77777777" w:rsidR="00A13ADB" w:rsidRPr="00BA6868" w:rsidRDefault="00A13ADB" w:rsidP="00BA6868">
            <w:pPr>
              <w:spacing w:line="240" w:lineRule="auto"/>
              <w:jc w:val="center"/>
              <w:rPr>
                <w:sz w:val="20"/>
                <w:szCs w:val="20"/>
              </w:rPr>
            </w:pPr>
            <w:r w:rsidRPr="00BA6868">
              <w:rPr>
                <w:color w:val="000000"/>
                <w:sz w:val="20"/>
                <w:szCs w:val="20"/>
              </w:rPr>
              <w:t>-0.755</w:t>
            </w:r>
          </w:p>
        </w:tc>
        <w:tc>
          <w:tcPr>
            <w:tcW w:w="1390" w:type="dxa"/>
            <w:tcBorders>
              <w:top w:val="single" w:sz="4" w:space="0" w:color="auto"/>
            </w:tcBorders>
            <w:shd w:val="clear" w:color="auto" w:fill="auto"/>
            <w:vAlign w:val="center"/>
          </w:tcPr>
          <w:p w14:paraId="6E39EC13" w14:textId="77777777" w:rsidR="00A13ADB" w:rsidRPr="00BA6868" w:rsidRDefault="00A13ADB" w:rsidP="00BA6868">
            <w:pPr>
              <w:spacing w:line="240" w:lineRule="auto"/>
              <w:jc w:val="center"/>
              <w:rPr>
                <w:sz w:val="20"/>
                <w:szCs w:val="20"/>
              </w:rPr>
            </w:pPr>
            <w:r w:rsidRPr="00BA6868">
              <w:rPr>
                <w:color w:val="000000"/>
                <w:sz w:val="20"/>
                <w:szCs w:val="20"/>
              </w:rPr>
              <w:t>1.961</w:t>
            </w:r>
          </w:p>
        </w:tc>
      </w:tr>
      <w:tr w:rsidR="00A13ADB" w:rsidRPr="00BA6868" w14:paraId="429ED614" w14:textId="77777777" w:rsidTr="00282C9D">
        <w:tc>
          <w:tcPr>
            <w:tcW w:w="2125" w:type="dxa"/>
            <w:vAlign w:val="center"/>
          </w:tcPr>
          <w:p w14:paraId="2A88B81C" w14:textId="6067D6CE" w:rsidR="00A13ADB" w:rsidRPr="00BA6868" w:rsidRDefault="00470EC4" w:rsidP="00BA6868">
            <w:pPr>
              <w:spacing w:line="240" w:lineRule="auto"/>
              <w:rPr>
                <w:sz w:val="20"/>
                <w:szCs w:val="20"/>
              </w:rPr>
            </w:pPr>
            <w:r w:rsidRPr="00BA6868">
              <w:rPr>
                <w:sz w:val="20"/>
                <w:szCs w:val="20"/>
              </w:rPr>
              <w:t>GDP</w:t>
            </w:r>
            <w:r w:rsidR="007D3F4B" w:rsidRPr="00BA6868">
              <w:rPr>
                <w:sz w:val="20"/>
                <w:szCs w:val="20"/>
              </w:rPr>
              <w:t xml:space="preserve"> import</w:t>
            </w:r>
            <w:r w:rsidRPr="00BA6868">
              <w:rPr>
                <w:sz w:val="20"/>
                <w:szCs w:val="20"/>
              </w:rPr>
              <w:t>er</w:t>
            </w:r>
          </w:p>
        </w:tc>
        <w:tc>
          <w:tcPr>
            <w:tcW w:w="1162" w:type="dxa"/>
            <w:shd w:val="clear" w:color="auto" w:fill="auto"/>
            <w:vAlign w:val="center"/>
          </w:tcPr>
          <w:p w14:paraId="5A0BD15A" w14:textId="389AE965" w:rsidR="00A13ADB" w:rsidRPr="00BA6868" w:rsidRDefault="00A13ADB" w:rsidP="00BA6868">
            <w:pPr>
              <w:spacing w:line="240" w:lineRule="auto"/>
              <w:jc w:val="center"/>
              <w:rPr>
                <w:sz w:val="20"/>
                <w:szCs w:val="20"/>
              </w:rPr>
            </w:pPr>
            <w:r w:rsidRPr="00BA6868">
              <w:rPr>
                <w:color w:val="000000"/>
                <w:sz w:val="20"/>
                <w:szCs w:val="20"/>
              </w:rPr>
              <w:t>0.098</w:t>
            </w:r>
            <w:r w:rsidR="005F587A" w:rsidRPr="00BA6868">
              <w:rPr>
                <w:color w:val="000000"/>
                <w:sz w:val="20"/>
                <w:szCs w:val="20"/>
              </w:rPr>
              <w:t>**</w:t>
            </w:r>
          </w:p>
        </w:tc>
        <w:tc>
          <w:tcPr>
            <w:tcW w:w="1163" w:type="dxa"/>
            <w:shd w:val="clear" w:color="auto" w:fill="auto"/>
            <w:vAlign w:val="center"/>
          </w:tcPr>
          <w:p w14:paraId="126B58F8" w14:textId="77777777" w:rsidR="00A13ADB" w:rsidRPr="00BA6868" w:rsidRDefault="00A13ADB" w:rsidP="00BA6868">
            <w:pPr>
              <w:spacing w:line="240" w:lineRule="auto"/>
              <w:jc w:val="center"/>
              <w:rPr>
                <w:sz w:val="20"/>
                <w:szCs w:val="20"/>
              </w:rPr>
            </w:pPr>
            <w:r w:rsidRPr="00BA6868">
              <w:rPr>
                <w:color w:val="000000"/>
                <w:sz w:val="20"/>
                <w:szCs w:val="20"/>
              </w:rPr>
              <w:t>0.040</w:t>
            </w:r>
          </w:p>
        </w:tc>
        <w:tc>
          <w:tcPr>
            <w:tcW w:w="1163" w:type="dxa"/>
            <w:shd w:val="clear" w:color="auto" w:fill="auto"/>
            <w:vAlign w:val="center"/>
          </w:tcPr>
          <w:p w14:paraId="3B40CB74" w14:textId="77777777" w:rsidR="00A13ADB" w:rsidRPr="00BA6868" w:rsidRDefault="00A13ADB" w:rsidP="00BA6868">
            <w:pPr>
              <w:spacing w:line="240" w:lineRule="auto"/>
              <w:jc w:val="center"/>
              <w:rPr>
                <w:sz w:val="20"/>
                <w:szCs w:val="20"/>
              </w:rPr>
            </w:pPr>
            <w:r w:rsidRPr="00BA6868">
              <w:rPr>
                <w:color w:val="000000"/>
                <w:sz w:val="20"/>
                <w:szCs w:val="20"/>
              </w:rPr>
              <w:t>2.44</w:t>
            </w:r>
          </w:p>
        </w:tc>
        <w:tc>
          <w:tcPr>
            <w:tcW w:w="1053" w:type="dxa"/>
            <w:shd w:val="clear" w:color="auto" w:fill="auto"/>
            <w:vAlign w:val="center"/>
          </w:tcPr>
          <w:p w14:paraId="3FCA052C" w14:textId="77777777" w:rsidR="00A13ADB" w:rsidRPr="00BA6868" w:rsidRDefault="00A13ADB" w:rsidP="00BA6868">
            <w:pPr>
              <w:spacing w:line="240" w:lineRule="auto"/>
              <w:jc w:val="center"/>
              <w:rPr>
                <w:sz w:val="20"/>
                <w:szCs w:val="20"/>
              </w:rPr>
            </w:pPr>
            <w:r w:rsidRPr="00BA6868">
              <w:rPr>
                <w:color w:val="000000"/>
                <w:sz w:val="20"/>
                <w:szCs w:val="20"/>
              </w:rPr>
              <w:t>0.015</w:t>
            </w:r>
          </w:p>
        </w:tc>
        <w:tc>
          <w:tcPr>
            <w:tcW w:w="1019" w:type="dxa"/>
            <w:shd w:val="clear" w:color="auto" w:fill="auto"/>
            <w:vAlign w:val="center"/>
          </w:tcPr>
          <w:p w14:paraId="44352F44" w14:textId="77777777" w:rsidR="00A13ADB" w:rsidRPr="00BA6868" w:rsidRDefault="00A13ADB" w:rsidP="00BA6868">
            <w:pPr>
              <w:spacing w:line="240" w:lineRule="auto"/>
              <w:jc w:val="center"/>
              <w:rPr>
                <w:sz w:val="20"/>
                <w:szCs w:val="20"/>
              </w:rPr>
            </w:pPr>
            <w:r w:rsidRPr="00BA6868">
              <w:rPr>
                <w:color w:val="000000"/>
                <w:sz w:val="20"/>
                <w:szCs w:val="20"/>
              </w:rPr>
              <w:t>0.019</w:t>
            </w:r>
          </w:p>
        </w:tc>
        <w:tc>
          <w:tcPr>
            <w:tcW w:w="1390" w:type="dxa"/>
            <w:shd w:val="clear" w:color="auto" w:fill="auto"/>
            <w:vAlign w:val="center"/>
          </w:tcPr>
          <w:p w14:paraId="47632C14" w14:textId="77777777" w:rsidR="00A13ADB" w:rsidRPr="00BA6868" w:rsidRDefault="00A13ADB" w:rsidP="00BA6868">
            <w:pPr>
              <w:spacing w:line="240" w:lineRule="auto"/>
              <w:jc w:val="center"/>
              <w:rPr>
                <w:sz w:val="20"/>
                <w:szCs w:val="20"/>
              </w:rPr>
            </w:pPr>
            <w:r w:rsidRPr="00BA6868">
              <w:rPr>
                <w:color w:val="000000"/>
                <w:sz w:val="20"/>
                <w:szCs w:val="20"/>
              </w:rPr>
              <w:t>0.177</w:t>
            </w:r>
          </w:p>
        </w:tc>
      </w:tr>
      <w:tr w:rsidR="0063191A" w:rsidRPr="00BA6868" w14:paraId="5E1EA7AA" w14:textId="77777777" w:rsidTr="00282C9D">
        <w:tc>
          <w:tcPr>
            <w:tcW w:w="2125" w:type="dxa"/>
            <w:vAlign w:val="center"/>
          </w:tcPr>
          <w:p w14:paraId="62879CCC" w14:textId="7C95973D" w:rsidR="0063191A" w:rsidRPr="00BA6868" w:rsidRDefault="004341DC" w:rsidP="00BA6868">
            <w:pPr>
              <w:spacing w:line="240" w:lineRule="auto"/>
              <w:rPr>
                <w:sz w:val="20"/>
                <w:szCs w:val="20"/>
              </w:rPr>
            </w:pPr>
            <w:r w:rsidRPr="00BA6868">
              <w:rPr>
                <w:sz w:val="20"/>
                <w:szCs w:val="20"/>
              </w:rPr>
              <w:t>D</w:t>
            </w:r>
            <w:r w:rsidR="00470EC4" w:rsidRPr="00BA6868">
              <w:rPr>
                <w:sz w:val="20"/>
                <w:szCs w:val="20"/>
              </w:rPr>
              <w:t>istance</w:t>
            </w:r>
          </w:p>
        </w:tc>
        <w:tc>
          <w:tcPr>
            <w:tcW w:w="1162" w:type="dxa"/>
            <w:shd w:val="clear" w:color="auto" w:fill="auto"/>
            <w:vAlign w:val="center"/>
          </w:tcPr>
          <w:p w14:paraId="07972EA8" w14:textId="5A3997C1" w:rsidR="0063191A" w:rsidRPr="00BA6868" w:rsidRDefault="0063191A" w:rsidP="00BA6868">
            <w:pPr>
              <w:spacing w:line="240" w:lineRule="auto"/>
              <w:jc w:val="center"/>
              <w:rPr>
                <w:sz w:val="20"/>
                <w:szCs w:val="20"/>
              </w:rPr>
            </w:pPr>
            <w:r w:rsidRPr="00BA6868">
              <w:rPr>
                <w:color w:val="000000"/>
                <w:sz w:val="20"/>
                <w:szCs w:val="20"/>
              </w:rPr>
              <w:t>-1.234</w:t>
            </w:r>
            <w:r w:rsidR="005F587A" w:rsidRPr="00BA6868">
              <w:rPr>
                <w:color w:val="000000"/>
                <w:sz w:val="20"/>
                <w:szCs w:val="20"/>
              </w:rPr>
              <w:t>***</w:t>
            </w:r>
          </w:p>
        </w:tc>
        <w:tc>
          <w:tcPr>
            <w:tcW w:w="1163" w:type="dxa"/>
            <w:shd w:val="clear" w:color="auto" w:fill="auto"/>
            <w:vAlign w:val="center"/>
          </w:tcPr>
          <w:p w14:paraId="4DE58FC3" w14:textId="77777777" w:rsidR="0063191A" w:rsidRPr="00BA6868" w:rsidRDefault="0063191A" w:rsidP="00BA6868">
            <w:pPr>
              <w:spacing w:line="240" w:lineRule="auto"/>
              <w:jc w:val="center"/>
              <w:rPr>
                <w:sz w:val="20"/>
                <w:szCs w:val="20"/>
              </w:rPr>
            </w:pPr>
            <w:r w:rsidRPr="00BA6868">
              <w:rPr>
                <w:color w:val="000000"/>
                <w:sz w:val="20"/>
                <w:szCs w:val="20"/>
              </w:rPr>
              <w:t>0.283</w:t>
            </w:r>
          </w:p>
        </w:tc>
        <w:tc>
          <w:tcPr>
            <w:tcW w:w="1163" w:type="dxa"/>
            <w:shd w:val="clear" w:color="auto" w:fill="auto"/>
            <w:vAlign w:val="center"/>
          </w:tcPr>
          <w:p w14:paraId="7AC91689" w14:textId="77777777" w:rsidR="0063191A" w:rsidRPr="00BA6868" w:rsidRDefault="0063191A" w:rsidP="00BA6868">
            <w:pPr>
              <w:spacing w:line="240" w:lineRule="auto"/>
              <w:jc w:val="center"/>
              <w:rPr>
                <w:sz w:val="20"/>
                <w:szCs w:val="20"/>
              </w:rPr>
            </w:pPr>
            <w:r w:rsidRPr="00BA6868">
              <w:rPr>
                <w:color w:val="000000"/>
                <w:sz w:val="20"/>
                <w:szCs w:val="20"/>
              </w:rPr>
              <w:t>-4.36</w:t>
            </w:r>
          </w:p>
        </w:tc>
        <w:tc>
          <w:tcPr>
            <w:tcW w:w="1053" w:type="dxa"/>
            <w:shd w:val="clear" w:color="auto" w:fill="auto"/>
            <w:vAlign w:val="center"/>
          </w:tcPr>
          <w:p w14:paraId="0F7278CA" w14:textId="77777777" w:rsidR="0063191A" w:rsidRPr="00BA6868" w:rsidRDefault="0063191A" w:rsidP="00BA6868">
            <w:pPr>
              <w:spacing w:line="240" w:lineRule="auto"/>
              <w:jc w:val="center"/>
              <w:rPr>
                <w:sz w:val="20"/>
                <w:szCs w:val="20"/>
              </w:rPr>
            </w:pPr>
            <w:r w:rsidRPr="00BA6868">
              <w:rPr>
                <w:color w:val="000000"/>
                <w:sz w:val="20"/>
                <w:szCs w:val="20"/>
              </w:rPr>
              <w:t>0.000</w:t>
            </w:r>
          </w:p>
        </w:tc>
        <w:tc>
          <w:tcPr>
            <w:tcW w:w="1019" w:type="dxa"/>
            <w:shd w:val="clear" w:color="auto" w:fill="auto"/>
            <w:vAlign w:val="center"/>
          </w:tcPr>
          <w:p w14:paraId="359089F7" w14:textId="77777777" w:rsidR="0063191A" w:rsidRPr="00BA6868" w:rsidRDefault="0063191A" w:rsidP="00BA6868">
            <w:pPr>
              <w:spacing w:line="240" w:lineRule="auto"/>
              <w:jc w:val="center"/>
              <w:rPr>
                <w:sz w:val="20"/>
                <w:szCs w:val="20"/>
              </w:rPr>
            </w:pPr>
            <w:r w:rsidRPr="00BA6868">
              <w:rPr>
                <w:color w:val="000000"/>
                <w:sz w:val="20"/>
                <w:szCs w:val="20"/>
              </w:rPr>
              <w:t>-1.788</w:t>
            </w:r>
          </w:p>
        </w:tc>
        <w:tc>
          <w:tcPr>
            <w:tcW w:w="1390" w:type="dxa"/>
            <w:shd w:val="clear" w:color="auto" w:fill="auto"/>
            <w:vAlign w:val="center"/>
          </w:tcPr>
          <w:p w14:paraId="0509A57F" w14:textId="77777777" w:rsidR="0063191A" w:rsidRPr="00BA6868" w:rsidRDefault="0063191A" w:rsidP="00BA6868">
            <w:pPr>
              <w:spacing w:line="240" w:lineRule="auto"/>
              <w:jc w:val="center"/>
              <w:rPr>
                <w:sz w:val="20"/>
                <w:szCs w:val="20"/>
              </w:rPr>
            </w:pPr>
            <w:r w:rsidRPr="00BA6868">
              <w:rPr>
                <w:color w:val="000000"/>
                <w:sz w:val="20"/>
                <w:szCs w:val="20"/>
              </w:rPr>
              <w:t>-0.679</w:t>
            </w:r>
          </w:p>
        </w:tc>
      </w:tr>
      <w:tr w:rsidR="0063191A" w:rsidRPr="00BA6868" w14:paraId="41E7DCB5" w14:textId="77777777" w:rsidTr="00282C9D">
        <w:tc>
          <w:tcPr>
            <w:tcW w:w="2125" w:type="dxa"/>
            <w:vAlign w:val="center"/>
          </w:tcPr>
          <w:p w14:paraId="59131D3E" w14:textId="53039D76" w:rsidR="0063191A" w:rsidRPr="00BA6868" w:rsidRDefault="004341DC" w:rsidP="00BA6868">
            <w:pPr>
              <w:spacing w:line="240" w:lineRule="auto"/>
              <w:rPr>
                <w:sz w:val="20"/>
                <w:szCs w:val="20"/>
              </w:rPr>
            </w:pPr>
            <w:r w:rsidRPr="00BA6868">
              <w:rPr>
                <w:sz w:val="20"/>
                <w:szCs w:val="20"/>
              </w:rPr>
              <w:t>S</w:t>
            </w:r>
            <w:r w:rsidR="00470EC4" w:rsidRPr="00BA6868">
              <w:rPr>
                <w:sz w:val="20"/>
                <w:szCs w:val="20"/>
              </w:rPr>
              <w:t>oy</w:t>
            </w:r>
            <w:r w:rsidRPr="00BA6868">
              <w:rPr>
                <w:sz w:val="20"/>
                <w:szCs w:val="20"/>
              </w:rPr>
              <w:t>bean oil</w:t>
            </w:r>
            <w:r w:rsidR="00470EC4" w:rsidRPr="00BA6868">
              <w:rPr>
                <w:sz w:val="20"/>
                <w:szCs w:val="20"/>
              </w:rPr>
              <w:t xml:space="preserve"> price</w:t>
            </w:r>
          </w:p>
        </w:tc>
        <w:tc>
          <w:tcPr>
            <w:tcW w:w="1162" w:type="dxa"/>
            <w:shd w:val="clear" w:color="auto" w:fill="auto"/>
            <w:vAlign w:val="center"/>
          </w:tcPr>
          <w:p w14:paraId="4D55B05C" w14:textId="77777777" w:rsidR="0063191A" w:rsidRPr="00BA6868" w:rsidRDefault="0063191A" w:rsidP="00BA6868">
            <w:pPr>
              <w:spacing w:line="240" w:lineRule="auto"/>
              <w:jc w:val="center"/>
              <w:rPr>
                <w:sz w:val="20"/>
                <w:szCs w:val="20"/>
              </w:rPr>
            </w:pPr>
            <w:r w:rsidRPr="00BA6868">
              <w:rPr>
                <w:color w:val="000000"/>
                <w:sz w:val="20"/>
                <w:szCs w:val="20"/>
              </w:rPr>
              <w:t>0.867</w:t>
            </w:r>
          </w:p>
        </w:tc>
        <w:tc>
          <w:tcPr>
            <w:tcW w:w="1163" w:type="dxa"/>
            <w:shd w:val="clear" w:color="auto" w:fill="auto"/>
            <w:vAlign w:val="center"/>
          </w:tcPr>
          <w:p w14:paraId="6B5B9548" w14:textId="77777777" w:rsidR="0063191A" w:rsidRPr="00BA6868" w:rsidRDefault="0063191A" w:rsidP="00BA6868">
            <w:pPr>
              <w:spacing w:line="240" w:lineRule="auto"/>
              <w:jc w:val="center"/>
              <w:rPr>
                <w:sz w:val="20"/>
                <w:szCs w:val="20"/>
              </w:rPr>
            </w:pPr>
            <w:r w:rsidRPr="00BA6868">
              <w:rPr>
                <w:color w:val="000000"/>
                <w:sz w:val="20"/>
                <w:szCs w:val="20"/>
              </w:rPr>
              <w:t>0.655</w:t>
            </w:r>
          </w:p>
        </w:tc>
        <w:tc>
          <w:tcPr>
            <w:tcW w:w="1163" w:type="dxa"/>
            <w:shd w:val="clear" w:color="auto" w:fill="auto"/>
            <w:vAlign w:val="center"/>
          </w:tcPr>
          <w:p w14:paraId="337ADF85" w14:textId="77777777" w:rsidR="0063191A" w:rsidRPr="00BA6868" w:rsidRDefault="0063191A" w:rsidP="00BA6868">
            <w:pPr>
              <w:spacing w:line="240" w:lineRule="auto"/>
              <w:jc w:val="center"/>
              <w:rPr>
                <w:sz w:val="20"/>
                <w:szCs w:val="20"/>
              </w:rPr>
            </w:pPr>
            <w:r w:rsidRPr="00BA6868">
              <w:rPr>
                <w:color w:val="000000"/>
                <w:sz w:val="20"/>
                <w:szCs w:val="20"/>
              </w:rPr>
              <w:t>1.32</w:t>
            </w:r>
          </w:p>
        </w:tc>
        <w:tc>
          <w:tcPr>
            <w:tcW w:w="1053" w:type="dxa"/>
            <w:shd w:val="clear" w:color="auto" w:fill="auto"/>
            <w:vAlign w:val="center"/>
          </w:tcPr>
          <w:p w14:paraId="0BDDCE9B" w14:textId="77777777" w:rsidR="0063191A" w:rsidRPr="00BA6868" w:rsidRDefault="0063191A" w:rsidP="00BA6868">
            <w:pPr>
              <w:spacing w:line="240" w:lineRule="auto"/>
              <w:jc w:val="center"/>
              <w:rPr>
                <w:sz w:val="20"/>
                <w:szCs w:val="20"/>
              </w:rPr>
            </w:pPr>
            <w:r w:rsidRPr="00BA6868">
              <w:rPr>
                <w:color w:val="000000"/>
                <w:sz w:val="20"/>
                <w:szCs w:val="20"/>
              </w:rPr>
              <w:t>0.186</w:t>
            </w:r>
          </w:p>
        </w:tc>
        <w:tc>
          <w:tcPr>
            <w:tcW w:w="1019" w:type="dxa"/>
            <w:shd w:val="clear" w:color="auto" w:fill="auto"/>
            <w:vAlign w:val="center"/>
          </w:tcPr>
          <w:p w14:paraId="574BC941" w14:textId="77777777" w:rsidR="0063191A" w:rsidRPr="00BA6868" w:rsidRDefault="0063191A" w:rsidP="00BA6868">
            <w:pPr>
              <w:spacing w:line="240" w:lineRule="auto"/>
              <w:jc w:val="center"/>
              <w:rPr>
                <w:sz w:val="20"/>
                <w:szCs w:val="20"/>
              </w:rPr>
            </w:pPr>
            <w:r w:rsidRPr="00BA6868">
              <w:rPr>
                <w:color w:val="000000"/>
                <w:sz w:val="20"/>
                <w:szCs w:val="20"/>
              </w:rPr>
              <w:t>-0.417</w:t>
            </w:r>
          </w:p>
        </w:tc>
        <w:tc>
          <w:tcPr>
            <w:tcW w:w="1390" w:type="dxa"/>
            <w:shd w:val="clear" w:color="auto" w:fill="auto"/>
            <w:vAlign w:val="center"/>
          </w:tcPr>
          <w:p w14:paraId="11749E41" w14:textId="77777777" w:rsidR="0063191A" w:rsidRPr="00BA6868" w:rsidRDefault="0063191A" w:rsidP="00BA6868">
            <w:pPr>
              <w:spacing w:line="240" w:lineRule="auto"/>
              <w:jc w:val="center"/>
              <w:rPr>
                <w:sz w:val="20"/>
                <w:szCs w:val="20"/>
              </w:rPr>
            </w:pPr>
            <w:r w:rsidRPr="00BA6868">
              <w:rPr>
                <w:color w:val="000000"/>
                <w:sz w:val="20"/>
                <w:szCs w:val="20"/>
              </w:rPr>
              <w:t>2.151</w:t>
            </w:r>
          </w:p>
        </w:tc>
      </w:tr>
      <w:tr w:rsidR="0063191A" w:rsidRPr="00BA6868" w14:paraId="382B9C19" w14:textId="77777777" w:rsidTr="00282C9D">
        <w:tc>
          <w:tcPr>
            <w:tcW w:w="2125" w:type="dxa"/>
            <w:vAlign w:val="center"/>
          </w:tcPr>
          <w:p w14:paraId="770AF553" w14:textId="755A72D1" w:rsidR="0063191A" w:rsidRPr="00BA6868" w:rsidRDefault="0063191A" w:rsidP="00BA6868">
            <w:pPr>
              <w:spacing w:line="240" w:lineRule="auto"/>
              <w:rPr>
                <w:sz w:val="20"/>
                <w:szCs w:val="20"/>
              </w:rPr>
            </w:pPr>
            <w:r w:rsidRPr="00BA6868">
              <w:rPr>
                <w:sz w:val="20"/>
                <w:szCs w:val="20"/>
              </w:rPr>
              <w:t>Indonesia</w:t>
            </w:r>
            <w:r w:rsidR="00470EC4" w:rsidRPr="00BA6868">
              <w:rPr>
                <w:sz w:val="20"/>
                <w:szCs w:val="20"/>
              </w:rPr>
              <w:t xml:space="preserve"> export</w:t>
            </w:r>
          </w:p>
        </w:tc>
        <w:tc>
          <w:tcPr>
            <w:tcW w:w="1162" w:type="dxa"/>
            <w:shd w:val="clear" w:color="auto" w:fill="auto"/>
            <w:vAlign w:val="center"/>
          </w:tcPr>
          <w:p w14:paraId="7A726EBB" w14:textId="77777777" w:rsidR="0063191A" w:rsidRPr="00BA6868" w:rsidRDefault="0063191A" w:rsidP="00BA6868">
            <w:pPr>
              <w:spacing w:line="240" w:lineRule="auto"/>
              <w:jc w:val="center"/>
              <w:rPr>
                <w:sz w:val="20"/>
                <w:szCs w:val="20"/>
              </w:rPr>
            </w:pPr>
            <w:r w:rsidRPr="00BA6868">
              <w:rPr>
                <w:color w:val="000000"/>
                <w:sz w:val="20"/>
                <w:szCs w:val="20"/>
              </w:rPr>
              <w:t>-0.577</w:t>
            </w:r>
          </w:p>
        </w:tc>
        <w:tc>
          <w:tcPr>
            <w:tcW w:w="1163" w:type="dxa"/>
            <w:shd w:val="clear" w:color="auto" w:fill="auto"/>
            <w:vAlign w:val="center"/>
          </w:tcPr>
          <w:p w14:paraId="130EE643" w14:textId="77777777" w:rsidR="0063191A" w:rsidRPr="00BA6868" w:rsidRDefault="0063191A" w:rsidP="00BA6868">
            <w:pPr>
              <w:spacing w:line="240" w:lineRule="auto"/>
              <w:jc w:val="center"/>
              <w:rPr>
                <w:sz w:val="20"/>
                <w:szCs w:val="20"/>
              </w:rPr>
            </w:pPr>
            <w:r w:rsidRPr="00BA6868">
              <w:rPr>
                <w:color w:val="000000"/>
                <w:sz w:val="20"/>
                <w:szCs w:val="20"/>
              </w:rPr>
              <w:t>0.410</w:t>
            </w:r>
          </w:p>
        </w:tc>
        <w:tc>
          <w:tcPr>
            <w:tcW w:w="1163" w:type="dxa"/>
            <w:shd w:val="clear" w:color="auto" w:fill="auto"/>
            <w:vAlign w:val="center"/>
          </w:tcPr>
          <w:p w14:paraId="3DA4423A" w14:textId="77777777" w:rsidR="0063191A" w:rsidRPr="00BA6868" w:rsidRDefault="0063191A" w:rsidP="00BA6868">
            <w:pPr>
              <w:spacing w:line="240" w:lineRule="auto"/>
              <w:jc w:val="center"/>
              <w:rPr>
                <w:sz w:val="20"/>
                <w:szCs w:val="20"/>
              </w:rPr>
            </w:pPr>
            <w:r w:rsidRPr="00BA6868">
              <w:rPr>
                <w:color w:val="000000"/>
                <w:sz w:val="20"/>
                <w:szCs w:val="20"/>
              </w:rPr>
              <w:t>-1.41</w:t>
            </w:r>
          </w:p>
        </w:tc>
        <w:tc>
          <w:tcPr>
            <w:tcW w:w="1053" w:type="dxa"/>
            <w:shd w:val="clear" w:color="auto" w:fill="auto"/>
            <w:vAlign w:val="center"/>
          </w:tcPr>
          <w:p w14:paraId="618D7326" w14:textId="77777777" w:rsidR="0063191A" w:rsidRPr="00BA6868" w:rsidRDefault="0063191A" w:rsidP="00BA6868">
            <w:pPr>
              <w:spacing w:line="240" w:lineRule="auto"/>
              <w:jc w:val="center"/>
              <w:rPr>
                <w:sz w:val="20"/>
                <w:szCs w:val="20"/>
              </w:rPr>
            </w:pPr>
            <w:r w:rsidRPr="00BA6868">
              <w:rPr>
                <w:color w:val="000000"/>
                <w:sz w:val="20"/>
                <w:szCs w:val="20"/>
              </w:rPr>
              <w:t>0.160</w:t>
            </w:r>
          </w:p>
        </w:tc>
        <w:tc>
          <w:tcPr>
            <w:tcW w:w="1019" w:type="dxa"/>
            <w:shd w:val="clear" w:color="auto" w:fill="auto"/>
            <w:vAlign w:val="center"/>
          </w:tcPr>
          <w:p w14:paraId="0A876EF8" w14:textId="77777777" w:rsidR="0063191A" w:rsidRPr="00BA6868" w:rsidRDefault="0063191A" w:rsidP="00BA6868">
            <w:pPr>
              <w:spacing w:line="240" w:lineRule="auto"/>
              <w:jc w:val="center"/>
              <w:rPr>
                <w:sz w:val="20"/>
                <w:szCs w:val="20"/>
              </w:rPr>
            </w:pPr>
            <w:r w:rsidRPr="00BA6868">
              <w:rPr>
                <w:color w:val="000000"/>
                <w:sz w:val="20"/>
                <w:szCs w:val="20"/>
              </w:rPr>
              <w:t>-1.380</w:t>
            </w:r>
          </w:p>
        </w:tc>
        <w:tc>
          <w:tcPr>
            <w:tcW w:w="1390" w:type="dxa"/>
            <w:shd w:val="clear" w:color="auto" w:fill="auto"/>
            <w:vAlign w:val="center"/>
          </w:tcPr>
          <w:p w14:paraId="08B8E4BB" w14:textId="77777777" w:rsidR="0063191A" w:rsidRPr="00BA6868" w:rsidRDefault="0063191A" w:rsidP="00BA6868">
            <w:pPr>
              <w:spacing w:line="240" w:lineRule="auto"/>
              <w:jc w:val="center"/>
              <w:rPr>
                <w:sz w:val="20"/>
                <w:szCs w:val="20"/>
              </w:rPr>
            </w:pPr>
            <w:r w:rsidRPr="00BA6868">
              <w:rPr>
                <w:color w:val="000000"/>
                <w:sz w:val="20"/>
                <w:szCs w:val="20"/>
              </w:rPr>
              <w:t>0.227</w:t>
            </w:r>
          </w:p>
        </w:tc>
      </w:tr>
      <w:tr w:rsidR="0063191A" w:rsidRPr="00BA6868" w14:paraId="50CC3E8E" w14:textId="77777777" w:rsidTr="00282C9D">
        <w:tc>
          <w:tcPr>
            <w:tcW w:w="2125" w:type="dxa"/>
            <w:vAlign w:val="center"/>
          </w:tcPr>
          <w:p w14:paraId="7C102D77" w14:textId="49093E7F" w:rsidR="0063191A" w:rsidRPr="00BA6868" w:rsidRDefault="0063191A" w:rsidP="00BA6868">
            <w:pPr>
              <w:spacing w:line="240" w:lineRule="auto"/>
              <w:rPr>
                <w:sz w:val="20"/>
                <w:szCs w:val="20"/>
              </w:rPr>
            </w:pPr>
            <w:r w:rsidRPr="00BA6868">
              <w:rPr>
                <w:sz w:val="20"/>
                <w:szCs w:val="20"/>
              </w:rPr>
              <w:t>CPO</w:t>
            </w:r>
          </w:p>
        </w:tc>
        <w:tc>
          <w:tcPr>
            <w:tcW w:w="1162" w:type="dxa"/>
            <w:shd w:val="clear" w:color="auto" w:fill="auto"/>
            <w:vAlign w:val="center"/>
          </w:tcPr>
          <w:p w14:paraId="13AD2BE3" w14:textId="77777777" w:rsidR="0063191A" w:rsidRPr="00BA6868" w:rsidRDefault="0063191A" w:rsidP="00BA6868">
            <w:pPr>
              <w:spacing w:line="240" w:lineRule="auto"/>
              <w:jc w:val="center"/>
              <w:rPr>
                <w:sz w:val="20"/>
                <w:szCs w:val="20"/>
              </w:rPr>
            </w:pPr>
            <w:r w:rsidRPr="00BA6868">
              <w:rPr>
                <w:color w:val="000000"/>
                <w:sz w:val="20"/>
                <w:szCs w:val="20"/>
              </w:rPr>
              <w:t>0.413</w:t>
            </w:r>
          </w:p>
        </w:tc>
        <w:tc>
          <w:tcPr>
            <w:tcW w:w="1163" w:type="dxa"/>
            <w:shd w:val="clear" w:color="auto" w:fill="auto"/>
            <w:vAlign w:val="center"/>
          </w:tcPr>
          <w:p w14:paraId="75796E77" w14:textId="77777777" w:rsidR="0063191A" w:rsidRPr="00BA6868" w:rsidRDefault="0063191A" w:rsidP="00BA6868">
            <w:pPr>
              <w:spacing w:line="240" w:lineRule="auto"/>
              <w:jc w:val="center"/>
              <w:rPr>
                <w:sz w:val="20"/>
                <w:szCs w:val="20"/>
              </w:rPr>
            </w:pPr>
            <w:r w:rsidRPr="00BA6868">
              <w:rPr>
                <w:color w:val="000000"/>
                <w:sz w:val="20"/>
                <w:szCs w:val="20"/>
              </w:rPr>
              <w:t>0.638</w:t>
            </w:r>
          </w:p>
        </w:tc>
        <w:tc>
          <w:tcPr>
            <w:tcW w:w="1163" w:type="dxa"/>
            <w:shd w:val="clear" w:color="auto" w:fill="auto"/>
            <w:vAlign w:val="center"/>
          </w:tcPr>
          <w:p w14:paraId="4E8FC49D" w14:textId="77777777" w:rsidR="0063191A" w:rsidRPr="00BA6868" w:rsidRDefault="0063191A" w:rsidP="00BA6868">
            <w:pPr>
              <w:spacing w:line="240" w:lineRule="auto"/>
              <w:jc w:val="center"/>
              <w:rPr>
                <w:sz w:val="20"/>
                <w:szCs w:val="20"/>
              </w:rPr>
            </w:pPr>
            <w:r w:rsidRPr="00BA6868">
              <w:rPr>
                <w:color w:val="000000"/>
                <w:sz w:val="20"/>
                <w:szCs w:val="20"/>
              </w:rPr>
              <w:t>0.65</w:t>
            </w:r>
          </w:p>
        </w:tc>
        <w:tc>
          <w:tcPr>
            <w:tcW w:w="1053" w:type="dxa"/>
            <w:shd w:val="clear" w:color="auto" w:fill="auto"/>
            <w:vAlign w:val="center"/>
          </w:tcPr>
          <w:p w14:paraId="7C769EC3" w14:textId="77777777" w:rsidR="0063191A" w:rsidRPr="00BA6868" w:rsidRDefault="0063191A" w:rsidP="00BA6868">
            <w:pPr>
              <w:spacing w:line="240" w:lineRule="auto"/>
              <w:jc w:val="center"/>
              <w:rPr>
                <w:sz w:val="20"/>
                <w:szCs w:val="20"/>
              </w:rPr>
            </w:pPr>
            <w:r w:rsidRPr="00BA6868">
              <w:rPr>
                <w:color w:val="000000"/>
                <w:sz w:val="20"/>
                <w:szCs w:val="20"/>
              </w:rPr>
              <w:t>0.517</w:t>
            </w:r>
          </w:p>
        </w:tc>
        <w:tc>
          <w:tcPr>
            <w:tcW w:w="1019" w:type="dxa"/>
            <w:shd w:val="clear" w:color="auto" w:fill="auto"/>
            <w:vAlign w:val="center"/>
          </w:tcPr>
          <w:p w14:paraId="6DB595F9" w14:textId="77777777" w:rsidR="0063191A" w:rsidRPr="00BA6868" w:rsidRDefault="0063191A" w:rsidP="00BA6868">
            <w:pPr>
              <w:spacing w:line="240" w:lineRule="auto"/>
              <w:jc w:val="center"/>
              <w:rPr>
                <w:sz w:val="20"/>
                <w:szCs w:val="20"/>
              </w:rPr>
            </w:pPr>
            <w:r w:rsidRPr="00BA6868">
              <w:rPr>
                <w:color w:val="000000"/>
                <w:sz w:val="20"/>
                <w:szCs w:val="20"/>
              </w:rPr>
              <w:t>-0.837</w:t>
            </w:r>
          </w:p>
        </w:tc>
        <w:tc>
          <w:tcPr>
            <w:tcW w:w="1390" w:type="dxa"/>
            <w:shd w:val="clear" w:color="auto" w:fill="auto"/>
            <w:vAlign w:val="center"/>
          </w:tcPr>
          <w:p w14:paraId="6A476A77" w14:textId="77777777" w:rsidR="0063191A" w:rsidRPr="00BA6868" w:rsidRDefault="0063191A" w:rsidP="00BA6868">
            <w:pPr>
              <w:spacing w:line="240" w:lineRule="auto"/>
              <w:jc w:val="center"/>
              <w:rPr>
                <w:sz w:val="20"/>
                <w:szCs w:val="20"/>
              </w:rPr>
            </w:pPr>
            <w:r w:rsidRPr="00BA6868">
              <w:rPr>
                <w:color w:val="000000"/>
                <w:sz w:val="20"/>
                <w:szCs w:val="20"/>
              </w:rPr>
              <w:t>1.664</w:t>
            </w:r>
          </w:p>
        </w:tc>
      </w:tr>
      <w:tr w:rsidR="0063191A" w:rsidRPr="00BA6868" w14:paraId="66734439" w14:textId="77777777" w:rsidTr="00282C9D">
        <w:tc>
          <w:tcPr>
            <w:tcW w:w="2125" w:type="dxa"/>
            <w:vAlign w:val="center"/>
          </w:tcPr>
          <w:p w14:paraId="4688B9EF" w14:textId="23336993" w:rsidR="0063191A" w:rsidRPr="00BA6868" w:rsidRDefault="004341DC" w:rsidP="00BA6868">
            <w:pPr>
              <w:spacing w:line="240" w:lineRule="auto"/>
              <w:rPr>
                <w:sz w:val="20"/>
                <w:szCs w:val="20"/>
              </w:rPr>
            </w:pPr>
            <w:r w:rsidRPr="00BA6868">
              <w:rPr>
                <w:sz w:val="20"/>
                <w:szCs w:val="20"/>
              </w:rPr>
              <w:t>T</w:t>
            </w:r>
            <w:r w:rsidR="0063191A" w:rsidRPr="00BA6868">
              <w:rPr>
                <w:sz w:val="20"/>
                <w:szCs w:val="20"/>
              </w:rPr>
              <w:t>arif</w:t>
            </w:r>
            <w:r w:rsidR="00470EC4" w:rsidRPr="00BA6868">
              <w:rPr>
                <w:sz w:val="20"/>
                <w:szCs w:val="20"/>
              </w:rPr>
              <w:t>f</w:t>
            </w:r>
          </w:p>
        </w:tc>
        <w:tc>
          <w:tcPr>
            <w:tcW w:w="1162" w:type="dxa"/>
            <w:shd w:val="clear" w:color="auto" w:fill="auto"/>
            <w:vAlign w:val="center"/>
          </w:tcPr>
          <w:p w14:paraId="0651D254" w14:textId="77777777" w:rsidR="0063191A" w:rsidRPr="00BA6868" w:rsidRDefault="0063191A" w:rsidP="00BA6868">
            <w:pPr>
              <w:spacing w:line="240" w:lineRule="auto"/>
              <w:jc w:val="center"/>
              <w:rPr>
                <w:sz w:val="20"/>
                <w:szCs w:val="20"/>
              </w:rPr>
            </w:pPr>
            <w:r w:rsidRPr="00BA6868">
              <w:rPr>
                <w:color w:val="000000"/>
                <w:sz w:val="20"/>
                <w:szCs w:val="20"/>
              </w:rPr>
              <w:t>0.034</w:t>
            </w:r>
          </w:p>
        </w:tc>
        <w:tc>
          <w:tcPr>
            <w:tcW w:w="1163" w:type="dxa"/>
            <w:shd w:val="clear" w:color="auto" w:fill="auto"/>
            <w:vAlign w:val="center"/>
          </w:tcPr>
          <w:p w14:paraId="0BFEA574" w14:textId="77777777" w:rsidR="0063191A" w:rsidRPr="00BA6868" w:rsidRDefault="0063191A" w:rsidP="00BA6868">
            <w:pPr>
              <w:spacing w:line="240" w:lineRule="auto"/>
              <w:jc w:val="center"/>
              <w:rPr>
                <w:sz w:val="20"/>
                <w:szCs w:val="20"/>
              </w:rPr>
            </w:pPr>
            <w:r w:rsidRPr="00BA6868">
              <w:rPr>
                <w:color w:val="000000"/>
                <w:sz w:val="20"/>
                <w:szCs w:val="20"/>
              </w:rPr>
              <w:t>0.084</w:t>
            </w:r>
          </w:p>
        </w:tc>
        <w:tc>
          <w:tcPr>
            <w:tcW w:w="1163" w:type="dxa"/>
            <w:shd w:val="clear" w:color="auto" w:fill="auto"/>
            <w:vAlign w:val="center"/>
          </w:tcPr>
          <w:p w14:paraId="431E0AD0" w14:textId="77777777" w:rsidR="0063191A" w:rsidRPr="00BA6868" w:rsidRDefault="0063191A" w:rsidP="00BA6868">
            <w:pPr>
              <w:spacing w:line="240" w:lineRule="auto"/>
              <w:jc w:val="center"/>
              <w:rPr>
                <w:sz w:val="20"/>
                <w:szCs w:val="20"/>
              </w:rPr>
            </w:pPr>
            <w:r w:rsidRPr="00BA6868">
              <w:rPr>
                <w:color w:val="000000"/>
                <w:sz w:val="20"/>
                <w:szCs w:val="20"/>
              </w:rPr>
              <w:t>0.41</w:t>
            </w:r>
          </w:p>
        </w:tc>
        <w:tc>
          <w:tcPr>
            <w:tcW w:w="1053" w:type="dxa"/>
            <w:shd w:val="clear" w:color="auto" w:fill="auto"/>
            <w:vAlign w:val="center"/>
          </w:tcPr>
          <w:p w14:paraId="7291A5D3" w14:textId="77777777" w:rsidR="0063191A" w:rsidRPr="00BA6868" w:rsidRDefault="0063191A" w:rsidP="00BA6868">
            <w:pPr>
              <w:spacing w:line="240" w:lineRule="auto"/>
              <w:jc w:val="center"/>
              <w:rPr>
                <w:sz w:val="20"/>
                <w:szCs w:val="20"/>
              </w:rPr>
            </w:pPr>
            <w:r w:rsidRPr="00BA6868">
              <w:rPr>
                <w:color w:val="000000"/>
                <w:sz w:val="20"/>
                <w:szCs w:val="20"/>
              </w:rPr>
              <w:t>0.685</w:t>
            </w:r>
          </w:p>
        </w:tc>
        <w:tc>
          <w:tcPr>
            <w:tcW w:w="1019" w:type="dxa"/>
            <w:shd w:val="clear" w:color="auto" w:fill="auto"/>
            <w:vAlign w:val="center"/>
          </w:tcPr>
          <w:p w14:paraId="58938ECE" w14:textId="77777777" w:rsidR="0063191A" w:rsidRPr="00BA6868" w:rsidRDefault="0063191A" w:rsidP="00BA6868">
            <w:pPr>
              <w:spacing w:line="240" w:lineRule="auto"/>
              <w:jc w:val="center"/>
              <w:rPr>
                <w:sz w:val="20"/>
                <w:szCs w:val="20"/>
              </w:rPr>
            </w:pPr>
            <w:r w:rsidRPr="00BA6868">
              <w:rPr>
                <w:color w:val="000000"/>
                <w:sz w:val="20"/>
                <w:szCs w:val="20"/>
              </w:rPr>
              <w:t>-0.131</w:t>
            </w:r>
          </w:p>
        </w:tc>
        <w:tc>
          <w:tcPr>
            <w:tcW w:w="1390" w:type="dxa"/>
            <w:shd w:val="clear" w:color="auto" w:fill="auto"/>
            <w:vAlign w:val="center"/>
          </w:tcPr>
          <w:p w14:paraId="2FDA581E" w14:textId="77777777" w:rsidR="0063191A" w:rsidRPr="00BA6868" w:rsidRDefault="0063191A" w:rsidP="00BA6868">
            <w:pPr>
              <w:spacing w:line="240" w:lineRule="auto"/>
              <w:jc w:val="center"/>
              <w:rPr>
                <w:sz w:val="20"/>
                <w:szCs w:val="20"/>
              </w:rPr>
            </w:pPr>
            <w:r w:rsidRPr="00BA6868">
              <w:rPr>
                <w:color w:val="000000"/>
                <w:sz w:val="20"/>
                <w:szCs w:val="20"/>
              </w:rPr>
              <w:t>0.199</w:t>
            </w:r>
          </w:p>
        </w:tc>
      </w:tr>
      <w:tr w:rsidR="0063191A" w:rsidRPr="00BA6868" w14:paraId="4997A0DD" w14:textId="77777777" w:rsidTr="00282C9D">
        <w:tc>
          <w:tcPr>
            <w:tcW w:w="2125" w:type="dxa"/>
            <w:vAlign w:val="center"/>
          </w:tcPr>
          <w:p w14:paraId="6F0D29ED" w14:textId="11FEF63A" w:rsidR="0063191A" w:rsidRPr="00BA6868" w:rsidRDefault="004341DC" w:rsidP="00BA6868">
            <w:pPr>
              <w:spacing w:line="240" w:lineRule="auto"/>
              <w:rPr>
                <w:sz w:val="20"/>
                <w:szCs w:val="20"/>
              </w:rPr>
            </w:pPr>
            <w:r w:rsidRPr="00BA6868">
              <w:rPr>
                <w:sz w:val="20"/>
                <w:szCs w:val="20"/>
              </w:rPr>
              <w:t>E</w:t>
            </w:r>
            <w:r w:rsidR="00470EC4" w:rsidRPr="00BA6868">
              <w:rPr>
                <w:sz w:val="20"/>
                <w:szCs w:val="20"/>
              </w:rPr>
              <w:t>xchange rate</w:t>
            </w:r>
          </w:p>
        </w:tc>
        <w:tc>
          <w:tcPr>
            <w:tcW w:w="1162" w:type="dxa"/>
            <w:shd w:val="clear" w:color="auto" w:fill="auto"/>
            <w:vAlign w:val="center"/>
          </w:tcPr>
          <w:p w14:paraId="670E6687" w14:textId="6E7F9B2E" w:rsidR="0063191A" w:rsidRPr="00BA6868" w:rsidRDefault="0063191A" w:rsidP="00BA6868">
            <w:pPr>
              <w:spacing w:line="240" w:lineRule="auto"/>
              <w:jc w:val="center"/>
              <w:rPr>
                <w:sz w:val="20"/>
                <w:szCs w:val="20"/>
              </w:rPr>
            </w:pPr>
            <w:r w:rsidRPr="00BA6868">
              <w:rPr>
                <w:color w:val="000000"/>
                <w:sz w:val="20"/>
                <w:szCs w:val="20"/>
              </w:rPr>
              <w:t>0.122</w:t>
            </w:r>
            <w:r w:rsidR="005F587A" w:rsidRPr="00BA6868">
              <w:rPr>
                <w:color w:val="000000"/>
                <w:sz w:val="20"/>
                <w:szCs w:val="20"/>
              </w:rPr>
              <w:t>*</w:t>
            </w:r>
          </w:p>
        </w:tc>
        <w:tc>
          <w:tcPr>
            <w:tcW w:w="1163" w:type="dxa"/>
            <w:shd w:val="clear" w:color="auto" w:fill="auto"/>
            <w:vAlign w:val="center"/>
          </w:tcPr>
          <w:p w14:paraId="2E802595" w14:textId="77777777" w:rsidR="0063191A" w:rsidRPr="00BA6868" w:rsidRDefault="0063191A" w:rsidP="00BA6868">
            <w:pPr>
              <w:spacing w:line="240" w:lineRule="auto"/>
              <w:jc w:val="center"/>
              <w:rPr>
                <w:sz w:val="20"/>
                <w:szCs w:val="20"/>
              </w:rPr>
            </w:pPr>
            <w:r w:rsidRPr="00BA6868">
              <w:rPr>
                <w:color w:val="000000"/>
                <w:sz w:val="20"/>
                <w:szCs w:val="20"/>
              </w:rPr>
              <w:t>0.066</w:t>
            </w:r>
          </w:p>
        </w:tc>
        <w:tc>
          <w:tcPr>
            <w:tcW w:w="1163" w:type="dxa"/>
            <w:shd w:val="clear" w:color="auto" w:fill="auto"/>
            <w:vAlign w:val="center"/>
          </w:tcPr>
          <w:p w14:paraId="052E851F" w14:textId="77777777" w:rsidR="0063191A" w:rsidRPr="00BA6868" w:rsidRDefault="0063191A" w:rsidP="00BA6868">
            <w:pPr>
              <w:spacing w:line="240" w:lineRule="auto"/>
              <w:jc w:val="center"/>
              <w:rPr>
                <w:sz w:val="20"/>
                <w:szCs w:val="20"/>
              </w:rPr>
            </w:pPr>
            <w:r w:rsidRPr="00BA6868">
              <w:rPr>
                <w:color w:val="000000"/>
                <w:sz w:val="20"/>
                <w:szCs w:val="20"/>
              </w:rPr>
              <w:t>1.85</w:t>
            </w:r>
          </w:p>
        </w:tc>
        <w:tc>
          <w:tcPr>
            <w:tcW w:w="1053" w:type="dxa"/>
            <w:shd w:val="clear" w:color="auto" w:fill="auto"/>
            <w:vAlign w:val="center"/>
          </w:tcPr>
          <w:p w14:paraId="64B5AE62" w14:textId="77777777" w:rsidR="0063191A" w:rsidRPr="00BA6868" w:rsidRDefault="0063191A" w:rsidP="00BA6868">
            <w:pPr>
              <w:spacing w:line="240" w:lineRule="auto"/>
              <w:jc w:val="center"/>
              <w:rPr>
                <w:sz w:val="20"/>
                <w:szCs w:val="20"/>
              </w:rPr>
            </w:pPr>
            <w:r w:rsidRPr="00BA6868">
              <w:rPr>
                <w:color w:val="000000"/>
                <w:sz w:val="20"/>
                <w:szCs w:val="20"/>
              </w:rPr>
              <w:t>0.064</w:t>
            </w:r>
          </w:p>
        </w:tc>
        <w:tc>
          <w:tcPr>
            <w:tcW w:w="1019" w:type="dxa"/>
            <w:shd w:val="clear" w:color="auto" w:fill="auto"/>
            <w:vAlign w:val="center"/>
          </w:tcPr>
          <w:p w14:paraId="28EFC151" w14:textId="77777777" w:rsidR="0063191A" w:rsidRPr="00BA6868" w:rsidRDefault="0063191A" w:rsidP="00BA6868">
            <w:pPr>
              <w:spacing w:line="240" w:lineRule="auto"/>
              <w:jc w:val="center"/>
              <w:rPr>
                <w:sz w:val="20"/>
                <w:szCs w:val="20"/>
              </w:rPr>
            </w:pPr>
            <w:r w:rsidRPr="00BA6868">
              <w:rPr>
                <w:color w:val="000000"/>
                <w:sz w:val="20"/>
                <w:szCs w:val="20"/>
              </w:rPr>
              <w:t>-0.007</w:t>
            </w:r>
          </w:p>
        </w:tc>
        <w:tc>
          <w:tcPr>
            <w:tcW w:w="1390" w:type="dxa"/>
            <w:shd w:val="clear" w:color="auto" w:fill="auto"/>
            <w:vAlign w:val="center"/>
          </w:tcPr>
          <w:p w14:paraId="10D8007E" w14:textId="77777777" w:rsidR="0063191A" w:rsidRPr="00BA6868" w:rsidRDefault="0063191A" w:rsidP="00BA6868">
            <w:pPr>
              <w:spacing w:line="240" w:lineRule="auto"/>
              <w:jc w:val="center"/>
              <w:rPr>
                <w:sz w:val="20"/>
                <w:szCs w:val="20"/>
              </w:rPr>
            </w:pPr>
            <w:r w:rsidRPr="00BA6868">
              <w:rPr>
                <w:color w:val="000000"/>
                <w:sz w:val="20"/>
                <w:szCs w:val="20"/>
              </w:rPr>
              <w:t>0.251</w:t>
            </w:r>
          </w:p>
        </w:tc>
      </w:tr>
      <w:tr w:rsidR="0063191A" w:rsidRPr="00BA6868" w14:paraId="6E132E3A" w14:textId="77777777" w:rsidTr="00282C9D">
        <w:tc>
          <w:tcPr>
            <w:tcW w:w="2125" w:type="dxa"/>
            <w:tcBorders>
              <w:bottom w:val="single" w:sz="4" w:space="0" w:color="auto"/>
            </w:tcBorders>
            <w:vAlign w:val="center"/>
          </w:tcPr>
          <w:p w14:paraId="590315E0" w14:textId="056CA7F5" w:rsidR="0063191A" w:rsidRPr="00BA6868" w:rsidRDefault="004341DC" w:rsidP="00BA6868">
            <w:pPr>
              <w:spacing w:line="240" w:lineRule="auto"/>
              <w:rPr>
                <w:sz w:val="20"/>
                <w:szCs w:val="20"/>
              </w:rPr>
            </w:pPr>
            <w:r w:rsidRPr="00BA6868">
              <w:rPr>
                <w:sz w:val="20"/>
                <w:szCs w:val="20"/>
              </w:rPr>
              <w:t>C</w:t>
            </w:r>
            <w:r w:rsidR="00470EC4" w:rsidRPr="00BA6868">
              <w:rPr>
                <w:sz w:val="20"/>
                <w:szCs w:val="20"/>
              </w:rPr>
              <w:t>onstant</w:t>
            </w:r>
          </w:p>
        </w:tc>
        <w:tc>
          <w:tcPr>
            <w:tcW w:w="1162" w:type="dxa"/>
            <w:tcBorders>
              <w:bottom w:val="single" w:sz="4" w:space="0" w:color="auto"/>
            </w:tcBorders>
            <w:shd w:val="clear" w:color="auto" w:fill="auto"/>
            <w:vAlign w:val="center"/>
          </w:tcPr>
          <w:p w14:paraId="666B192D" w14:textId="77777777" w:rsidR="0063191A" w:rsidRPr="00BA6868" w:rsidRDefault="0063191A" w:rsidP="00BA6868">
            <w:pPr>
              <w:spacing w:line="240" w:lineRule="auto"/>
              <w:jc w:val="center"/>
              <w:rPr>
                <w:sz w:val="20"/>
                <w:szCs w:val="20"/>
              </w:rPr>
            </w:pPr>
            <w:r w:rsidRPr="00BA6868">
              <w:rPr>
                <w:color w:val="000000"/>
                <w:sz w:val="20"/>
                <w:szCs w:val="20"/>
              </w:rPr>
              <w:t>6.730</w:t>
            </w:r>
          </w:p>
        </w:tc>
        <w:tc>
          <w:tcPr>
            <w:tcW w:w="1163" w:type="dxa"/>
            <w:tcBorders>
              <w:bottom w:val="single" w:sz="4" w:space="0" w:color="auto"/>
            </w:tcBorders>
            <w:shd w:val="clear" w:color="auto" w:fill="auto"/>
            <w:vAlign w:val="center"/>
          </w:tcPr>
          <w:p w14:paraId="35B1B548" w14:textId="77777777" w:rsidR="0063191A" w:rsidRPr="00BA6868" w:rsidRDefault="0063191A" w:rsidP="00BA6868">
            <w:pPr>
              <w:spacing w:line="240" w:lineRule="auto"/>
              <w:jc w:val="center"/>
              <w:rPr>
                <w:sz w:val="20"/>
                <w:szCs w:val="20"/>
              </w:rPr>
            </w:pPr>
            <w:r w:rsidRPr="00BA6868">
              <w:rPr>
                <w:color w:val="000000"/>
                <w:sz w:val="20"/>
                <w:szCs w:val="20"/>
              </w:rPr>
              <w:t>11.089</w:t>
            </w:r>
          </w:p>
        </w:tc>
        <w:tc>
          <w:tcPr>
            <w:tcW w:w="1163" w:type="dxa"/>
            <w:tcBorders>
              <w:bottom w:val="single" w:sz="4" w:space="0" w:color="auto"/>
            </w:tcBorders>
            <w:shd w:val="clear" w:color="auto" w:fill="auto"/>
            <w:vAlign w:val="center"/>
          </w:tcPr>
          <w:p w14:paraId="7D844E24" w14:textId="77777777" w:rsidR="0063191A" w:rsidRPr="00BA6868" w:rsidRDefault="0063191A" w:rsidP="00BA6868">
            <w:pPr>
              <w:spacing w:line="240" w:lineRule="auto"/>
              <w:jc w:val="center"/>
              <w:rPr>
                <w:sz w:val="20"/>
                <w:szCs w:val="20"/>
              </w:rPr>
            </w:pPr>
            <w:r w:rsidRPr="00BA6868">
              <w:rPr>
                <w:color w:val="000000"/>
                <w:sz w:val="20"/>
                <w:szCs w:val="20"/>
              </w:rPr>
              <w:t>0.61</w:t>
            </w:r>
          </w:p>
        </w:tc>
        <w:tc>
          <w:tcPr>
            <w:tcW w:w="1053" w:type="dxa"/>
            <w:tcBorders>
              <w:bottom w:val="single" w:sz="4" w:space="0" w:color="auto"/>
            </w:tcBorders>
            <w:shd w:val="clear" w:color="auto" w:fill="auto"/>
            <w:vAlign w:val="center"/>
          </w:tcPr>
          <w:p w14:paraId="57B6A3C0" w14:textId="77777777" w:rsidR="0063191A" w:rsidRPr="00BA6868" w:rsidRDefault="0063191A" w:rsidP="00BA6868">
            <w:pPr>
              <w:spacing w:line="240" w:lineRule="auto"/>
              <w:jc w:val="center"/>
              <w:rPr>
                <w:sz w:val="20"/>
                <w:szCs w:val="20"/>
              </w:rPr>
            </w:pPr>
            <w:r w:rsidRPr="00BA6868">
              <w:rPr>
                <w:color w:val="000000"/>
                <w:sz w:val="20"/>
                <w:szCs w:val="20"/>
              </w:rPr>
              <w:t>0.544</w:t>
            </w:r>
          </w:p>
        </w:tc>
        <w:tc>
          <w:tcPr>
            <w:tcW w:w="1019" w:type="dxa"/>
            <w:tcBorders>
              <w:bottom w:val="single" w:sz="4" w:space="0" w:color="auto"/>
            </w:tcBorders>
            <w:shd w:val="clear" w:color="auto" w:fill="auto"/>
            <w:vAlign w:val="center"/>
          </w:tcPr>
          <w:p w14:paraId="14B4F384" w14:textId="77777777" w:rsidR="0063191A" w:rsidRPr="00BA6868" w:rsidRDefault="0063191A" w:rsidP="00BA6868">
            <w:pPr>
              <w:spacing w:line="240" w:lineRule="auto"/>
              <w:jc w:val="center"/>
              <w:rPr>
                <w:sz w:val="20"/>
                <w:szCs w:val="20"/>
              </w:rPr>
            </w:pPr>
            <w:r w:rsidRPr="00BA6868">
              <w:rPr>
                <w:color w:val="000000"/>
                <w:sz w:val="20"/>
                <w:szCs w:val="20"/>
              </w:rPr>
              <w:t>-15.005</w:t>
            </w:r>
          </w:p>
        </w:tc>
        <w:tc>
          <w:tcPr>
            <w:tcW w:w="1390" w:type="dxa"/>
            <w:tcBorders>
              <w:bottom w:val="single" w:sz="4" w:space="0" w:color="auto"/>
            </w:tcBorders>
            <w:shd w:val="clear" w:color="auto" w:fill="auto"/>
            <w:vAlign w:val="center"/>
          </w:tcPr>
          <w:p w14:paraId="7CEEBE9B" w14:textId="77777777" w:rsidR="0063191A" w:rsidRPr="00BA6868" w:rsidRDefault="0063191A" w:rsidP="00BA6868">
            <w:pPr>
              <w:spacing w:line="240" w:lineRule="auto"/>
              <w:jc w:val="center"/>
              <w:rPr>
                <w:sz w:val="20"/>
                <w:szCs w:val="20"/>
              </w:rPr>
            </w:pPr>
            <w:r w:rsidRPr="00BA6868">
              <w:rPr>
                <w:color w:val="000000"/>
                <w:sz w:val="20"/>
                <w:szCs w:val="20"/>
              </w:rPr>
              <w:t>28.464</w:t>
            </w:r>
          </w:p>
        </w:tc>
      </w:tr>
      <w:tr w:rsidR="0063191A" w:rsidRPr="00BA6868" w14:paraId="705E5C50" w14:textId="77777777" w:rsidTr="00282C9D">
        <w:tc>
          <w:tcPr>
            <w:tcW w:w="2125" w:type="dxa"/>
            <w:vAlign w:val="center"/>
          </w:tcPr>
          <w:p w14:paraId="514BA57B" w14:textId="77777777" w:rsidR="0063191A" w:rsidRPr="00BA6868" w:rsidRDefault="0063191A" w:rsidP="00BA6868">
            <w:pPr>
              <w:spacing w:line="240" w:lineRule="auto"/>
              <w:rPr>
                <w:sz w:val="20"/>
                <w:szCs w:val="20"/>
              </w:rPr>
            </w:pPr>
            <w:r w:rsidRPr="00BA6868">
              <w:rPr>
                <w:sz w:val="20"/>
                <w:szCs w:val="20"/>
              </w:rPr>
              <w:t>mu</w:t>
            </w:r>
          </w:p>
        </w:tc>
        <w:tc>
          <w:tcPr>
            <w:tcW w:w="1162" w:type="dxa"/>
            <w:shd w:val="clear" w:color="auto" w:fill="auto"/>
            <w:vAlign w:val="center"/>
          </w:tcPr>
          <w:p w14:paraId="5E1834BA" w14:textId="77777777" w:rsidR="0063191A" w:rsidRPr="00BA6868" w:rsidRDefault="0063191A" w:rsidP="00BA6868">
            <w:pPr>
              <w:spacing w:line="240" w:lineRule="auto"/>
              <w:jc w:val="center"/>
              <w:rPr>
                <w:sz w:val="20"/>
                <w:szCs w:val="20"/>
              </w:rPr>
            </w:pPr>
            <w:r w:rsidRPr="00BA6868">
              <w:rPr>
                <w:color w:val="000000"/>
                <w:sz w:val="20"/>
                <w:szCs w:val="20"/>
              </w:rPr>
              <w:t>-3.893</w:t>
            </w:r>
          </w:p>
        </w:tc>
        <w:tc>
          <w:tcPr>
            <w:tcW w:w="1163" w:type="dxa"/>
            <w:shd w:val="clear" w:color="auto" w:fill="auto"/>
            <w:vAlign w:val="center"/>
          </w:tcPr>
          <w:p w14:paraId="61ABA3A0" w14:textId="77777777" w:rsidR="0063191A" w:rsidRPr="00BA6868" w:rsidRDefault="0063191A" w:rsidP="00BA6868">
            <w:pPr>
              <w:spacing w:line="240" w:lineRule="auto"/>
              <w:jc w:val="center"/>
              <w:rPr>
                <w:sz w:val="20"/>
                <w:szCs w:val="20"/>
              </w:rPr>
            </w:pPr>
            <w:r w:rsidRPr="00BA6868">
              <w:rPr>
                <w:color w:val="000000"/>
                <w:sz w:val="20"/>
                <w:szCs w:val="20"/>
              </w:rPr>
              <w:t>21.511</w:t>
            </w:r>
          </w:p>
        </w:tc>
        <w:tc>
          <w:tcPr>
            <w:tcW w:w="1163" w:type="dxa"/>
            <w:shd w:val="clear" w:color="auto" w:fill="auto"/>
            <w:vAlign w:val="center"/>
          </w:tcPr>
          <w:p w14:paraId="10B12C16" w14:textId="77777777" w:rsidR="0063191A" w:rsidRPr="00BA6868" w:rsidRDefault="0063191A" w:rsidP="00BA6868">
            <w:pPr>
              <w:spacing w:line="240" w:lineRule="auto"/>
              <w:jc w:val="center"/>
              <w:rPr>
                <w:sz w:val="20"/>
                <w:szCs w:val="20"/>
              </w:rPr>
            </w:pPr>
            <w:r w:rsidRPr="00BA6868">
              <w:rPr>
                <w:color w:val="000000"/>
                <w:sz w:val="20"/>
                <w:szCs w:val="20"/>
              </w:rPr>
              <w:t>-0.18</w:t>
            </w:r>
          </w:p>
        </w:tc>
        <w:tc>
          <w:tcPr>
            <w:tcW w:w="1053" w:type="dxa"/>
            <w:shd w:val="clear" w:color="auto" w:fill="auto"/>
            <w:vAlign w:val="center"/>
          </w:tcPr>
          <w:p w14:paraId="77F4FE3D" w14:textId="77777777" w:rsidR="0063191A" w:rsidRPr="00BA6868" w:rsidRDefault="0063191A" w:rsidP="00BA6868">
            <w:pPr>
              <w:spacing w:line="240" w:lineRule="auto"/>
              <w:jc w:val="center"/>
              <w:rPr>
                <w:sz w:val="20"/>
                <w:szCs w:val="20"/>
              </w:rPr>
            </w:pPr>
            <w:r w:rsidRPr="00BA6868">
              <w:rPr>
                <w:color w:val="000000"/>
                <w:sz w:val="20"/>
                <w:szCs w:val="20"/>
              </w:rPr>
              <w:t>0.856</w:t>
            </w:r>
          </w:p>
        </w:tc>
        <w:tc>
          <w:tcPr>
            <w:tcW w:w="1019" w:type="dxa"/>
            <w:shd w:val="clear" w:color="auto" w:fill="auto"/>
            <w:vAlign w:val="center"/>
          </w:tcPr>
          <w:p w14:paraId="0CCA577C" w14:textId="77777777" w:rsidR="0063191A" w:rsidRPr="00BA6868" w:rsidRDefault="0063191A" w:rsidP="00BA6868">
            <w:pPr>
              <w:spacing w:line="240" w:lineRule="auto"/>
              <w:jc w:val="center"/>
              <w:rPr>
                <w:sz w:val="20"/>
                <w:szCs w:val="20"/>
              </w:rPr>
            </w:pPr>
            <w:r w:rsidRPr="00BA6868">
              <w:rPr>
                <w:color w:val="000000"/>
                <w:sz w:val="20"/>
                <w:szCs w:val="20"/>
              </w:rPr>
              <w:t>-46.054</w:t>
            </w:r>
          </w:p>
        </w:tc>
        <w:tc>
          <w:tcPr>
            <w:tcW w:w="1390" w:type="dxa"/>
            <w:shd w:val="clear" w:color="auto" w:fill="auto"/>
            <w:vAlign w:val="center"/>
          </w:tcPr>
          <w:p w14:paraId="498AE41F" w14:textId="77777777" w:rsidR="0063191A" w:rsidRPr="00BA6868" w:rsidRDefault="0063191A" w:rsidP="00BA6868">
            <w:pPr>
              <w:spacing w:line="240" w:lineRule="auto"/>
              <w:jc w:val="center"/>
              <w:rPr>
                <w:sz w:val="20"/>
                <w:szCs w:val="20"/>
              </w:rPr>
            </w:pPr>
            <w:r w:rsidRPr="00BA6868">
              <w:rPr>
                <w:color w:val="000000"/>
                <w:sz w:val="20"/>
                <w:szCs w:val="20"/>
              </w:rPr>
              <w:t>38.268</w:t>
            </w:r>
          </w:p>
        </w:tc>
      </w:tr>
      <w:tr w:rsidR="0063191A" w:rsidRPr="00BA6868" w14:paraId="31A823B6" w14:textId="77777777" w:rsidTr="00282C9D">
        <w:tc>
          <w:tcPr>
            <w:tcW w:w="2125" w:type="dxa"/>
            <w:vAlign w:val="center"/>
          </w:tcPr>
          <w:p w14:paraId="6F086E35" w14:textId="77777777" w:rsidR="0063191A" w:rsidRPr="00BA6868" w:rsidRDefault="0063191A" w:rsidP="00BA6868">
            <w:pPr>
              <w:spacing w:line="240" w:lineRule="auto"/>
              <w:rPr>
                <w:sz w:val="20"/>
                <w:szCs w:val="20"/>
              </w:rPr>
            </w:pPr>
            <w:r w:rsidRPr="00BA6868">
              <w:rPr>
                <w:sz w:val="20"/>
                <w:szCs w:val="20"/>
              </w:rPr>
              <w:t>eta</w:t>
            </w:r>
          </w:p>
        </w:tc>
        <w:tc>
          <w:tcPr>
            <w:tcW w:w="1162" w:type="dxa"/>
            <w:shd w:val="clear" w:color="auto" w:fill="auto"/>
            <w:vAlign w:val="center"/>
          </w:tcPr>
          <w:p w14:paraId="3178DEEA" w14:textId="6F236B31" w:rsidR="0063191A" w:rsidRPr="00BA6868" w:rsidRDefault="0063191A" w:rsidP="00BA6868">
            <w:pPr>
              <w:spacing w:line="240" w:lineRule="auto"/>
              <w:jc w:val="center"/>
              <w:rPr>
                <w:sz w:val="20"/>
                <w:szCs w:val="20"/>
              </w:rPr>
            </w:pPr>
            <w:r w:rsidRPr="00BA6868">
              <w:rPr>
                <w:color w:val="000000"/>
                <w:sz w:val="20"/>
                <w:szCs w:val="20"/>
              </w:rPr>
              <w:t>0.191</w:t>
            </w:r>
          </w:p>
        </w:tc>
        <w:tc>
          <w:tcPr>
            <w:tcW w:w="1163" w:type="dxa"/>
            <w:shd w:val="clear" w:color="auto" w:fill="auto"/>
            <w:vAlign w:val="center"/>
          </w:tcPr>
          <w:p w14:paraId="050C93FF" w14:textId="77777777" w:rsidR="0063191A" w:rsidRPr="00BA6868" w:rsidRDefault="0063191A" w:rsidP="00BA6868">
            <w:pPr>
              <w:spacing w:line="240" w:lineRule="auto"/>
              <w:jc w:val="center"/>
              <w:rPr>
                <w:sz w:val="20"/>
                <w:szCs w:val="20"/>
              </w:rPr>
            </w:pPr>
            <w:r w:rsidRPr="00BA6868">
              <w:rPr>
                <w:color w:val="000000"/>
                <w:sz w:val="20"/>
                <w:szCs w:val="20"/>
              </w:rPr>
              <w:t>0.104</w:t>
            </w:r>
          </w:p>
        </w:tc>
        <w:tc>
          <w:tcPr>
            <w:tcW w:w="1163" w:type="dxa"/>
            <w:shd w:val="clear" w:color="auto" w:fill="auto"/>
            <w:vAlign w:val="center"/>
          </w:tcPr>
          <w:p w14:paraId="4E966112" w14:textId="77777777" w:rsidR="0063191A" w:rsidRPr="00BA6868" w:rsidRDefault="0063191A" w:rsidP="00BA6868">
            <w:pPr>
              <w:spacing w:line="240" w:lineRule="auto"/>
              <w:jc w:val="center"/>
              <w:rPr>
                <w:sz w:val="20"/>
                <w:szCs w:val="20"/>
              </w:rPr>
            </w:pPr>
            <w:r w:rsidRPr="00BA6868">
              <w:rPr>
                <w:color w:val="000000"/>
                <w:sz w:val="20"/>
                <w:szCs w:val="20"/>
              </w:rPr>
              <w:t>1.84</w:t>
            </w:r>
          </w:p>
        </w:tc>
        <w:tc>
          <w:tcPr>
            <w:tcW w:w="1053" w:type="dxa"/>
            <w:shd w:val="clear" w:color="auto" w:fill="auto"/>
            <w:vAlign w:val="center"/>
          </w:tcPr>
          <w:p w14:paraId="7A16DBA8" w14:textId="77777777" w:rsidR="0063191A" w:rsidRPr="00BA6868" w:rsidRDefault="0063191A" w:rsidP="00BA6868">
            <w:pPr>
              <w:spacing w:line="240" w:lineRule="auto"/>
              <w:jc w:val="center"/>
              <w:rPr>
                <w:sz w:val="20"/>
                <w:szCs w:val="20"/>
              </w:rPr>
            </w:pPr>
            <w:r w:rsidRPr="00BA6868">
              <w:rPr>
                <w:color w:val="000000"/>
                <w:sz w:val="20"/>
                <w:szCs w:val="20"/>
              </w:rPr>
              <w:t>0.066</w:t>
            </w:r>
          </w:p>
        </w:tc>
        <w:tc>
          <w:tcPr>
            <w:tcW w:w="1019" w:type="dxa"/>
            <w:shd w:val="clear" w:color="auto" w:fill="auto"/>
            <w:vAlign w:val="center"/>
          </w:tcPr>
          <w:p w14:paraId="59F5C05A" w14:textId="77777777" w:rsidR="0063191A" w:rsidRPr="00BA6868" w:rsidRDefault="0063191A" w:rsidP="00BA6868">
            <w:pPr>
              <w:spacing w:line="240" w:lineRule="auto"/>
              <w:jc w:val="center"/>
              <w:rPr>
                <w:sz w:val="20"/>
                <w:szCs w:val="20"/>
              </w:rPr>
            </w:pPr>
            <w:r w:rsidRPr="00BA6868">
              <w:rPr>
                <w:color w:val="000000"/>
                <w:sz w:val="20"/>
                <w:szCs w:val="20"/>
              </w:rPr>
              <w:t>-0.013</w:t>
            </w:r>
          </w:p>
        </w:tc>
        <w:tc>
          <w:tcPr>
            <w:tcW w:w="1390" w:type="dxa"/>
            <w:shd w:val="clear" w:color="auto" w:fill="auto"/>
            <w:vAlign w:val="center"/>
          </w:tcPr>
          <w:p w14:paraId="43E13481" w14:textId="77777777" w:rsidR="0063191A" w:rsidRPr="00BA6868" w:rsidRDefault="0063191A" w:rsidP="00BA6868">
            <w:pPr>
              <w:spacing w:line="240" w:lineRule="auto"/>
              <w:jc w:val="center"/>
              <w:rPr>
                <w:sz w:val="20"/>
                <w:szCs w:val="20"/>
              </w:rPr>
            </w:pPr>
            <w:r w:rsidRPr="00BA6868">
              <w:rPr>
                <w:color w:val="000000"/>
                <w:sz w:val="20"/>
                <w:szCs w:val="20"/>
              </w:rPr>
              <w:t>0.394</w:t>
            </w:r>
          </w:p>
        </w:tc>
      </w:tr>
      <w:tr w:rsidR="0063191A" w:rsidRPr="00BA6868" w14:paraId="5F7A2BBC" w14:textId="77777777" w:rsidTr="00282C9D">
        <w:tc>
          <w:tcPr>
            <w:tcW w:w="2125" w:type="dxa"/>
            <w:vAlign w:val="center"/>
          </w:tcPr>
          <w:p w14:paraId="1A6ED7B5" w14:textId="0DF805CA" w:rsidR="0063191A" w:rsidRPr="00BA6868" w:rsidRDefault="00031A21" w:rsidP="00BA6868">
            <w:pPr>
              <w:spacing w:line="240" w:lineRule="auto"/>
              <w:rPr>
                <w:sz w:val="20"/>
                <w:szCs w:val="20"/>
              </w:rPr>
            </w:pPr>
            <w:r w:rsidRPr="00BA6868">
              <w:rPr>
                <w:sz w:val="20"/>
                <w:szCs w:val="20"/>
              </w:rPr>
              <w:t>ln</w:t>
            </w:r>
            <w:r w:rsidR="0063191A" w:rsidRPr="00BA6868">
              <w:rPr>
                <w:sz w:val="20"/>
                <w:szCs w:val="20"/>
              </w:rPr>
              <w:t>sigma2</w:t>
            </w:r>
          </w:p>
        </w:tc>
        <w:tc>
          <w:tcPr>
            <w:tcW w:w="1162" w:type="dxa"/>
            <w:shd w:val="clear" w:color="auto" w:fill="auto"/>
            <w:vAlign w:val="center"/>
          </w:tcPr>
          <w:p w14:paraId="29560562" w14:textId="77777777" w:rsidR="0063191A" w:rsidRPr="00BA6868" w:rsidRDefault="0063191A" w:rsidP="00BA6868">
            <w:pPr>
              <w:spacing w:line="240" w:lineRule="auto"/>
              <w:jc w:val="center"/>
              <w:rPr>
                <w:sz w:val="20"/>
                <w:szCs w:val="20"/>
              </w:rPr>
            </w:pPr>
            <w:r w:rsidRPr="00BA6868">
              <w:rPr>
                <w:color w:val="000000"/>
                <w:sz w:val="20"/>
                <w:szCs w:val="20"/>
              </w:rPr>
              <w:t>-1.372</w:t>
            </w:r>
          </w:p>
        </w:tc>
        <w:tc>
          <w:tcPr>
            <w:tcW w:w="1163" w:type="dxa"/>
            <w:shd w:val="clear" w:color="auto" w:fill="auto"/>
            <w:vAlign w:val="center"/>
          </w:tcPr>
          <w:p w14:paraId="64195724" w14:textId="77777777" w:rsidR="0063191A" w:rsidRPr="00BA6868" w:rsidRDefault="0063191A" w:rsidP="00BA6868">
            <w:pPr>
              <w:spacing w:line="240" w:lineRule="auto"/>
              <w:jc w:val="center"/>
              <w:rPr>
                <w:sz w:val="20"/>
                <w:szCs w:val="20"/>
              </w:rPr>
            </w:pPr>
            <w:r w:rsidRPr="00BA6868">
              <w:rPr>
                <w:color w:val="000000"/>
                <w:sz w:val="20"/>
                <w:szCs w:val="20"/>
              </w:rPr>
              <w:t>1.193</w:t>
            </w:r>
          </w:p>
        </w:tc>
        <w:tc>
          <w:tcPr>
            <w:tcW w:w="1163" w:type="dxa"/>
            <w:shd w:val="clear" w:color="auto" w:fill="auto"/>
            <w:vAlign w:val="center"/>
          </w:tcPr>
          <w:p w14:paraId="3B30F86A" w14:textId="77777777" w:rsidR="0063191A" w:rsidRPr="00BA6868" w:rsidRDefault="0063191A" w:rsidP="00BA6868">
            <w:pPr>
              <w:spacing w:line="240" w:lineRule="auto"/>
              <w:jc w:val="center"/>
              <w:rPr>
                <w:sz w:val="20"/>
                <w:szCs w:val="20"/>
              </w:rPr>
            </w:pPr>
            <w:r w:rsidRPr="00BA6868">
              <w:rPr>
                <w:color w:val="000000"/>
                <w:sz w:val="20"/>
                <w:szCs w:val="20"/>
              </w:rPr>
              <w:t>-1.15</w:t>
            </w:r>
          </w:p>
        </w:tc>
        <w:tc>
          <w:tcPr>
            <w:tcW w:w="1053" w:type="dxa"/>
            <w:shd w:val="clear" w:color="auto" w:fill="auto"/>
            <w:vAlign w:val="center"/>
          </w:tcPr>
          <w:p w14:paraId="60B6C968" w14:textId="77777777" w:rsidR="0063191A" w:rsidRPr="00BA6868" w:rsidRDefault="0063191A" w:rsidP="00BA6868">
            <w:pPr>
              <w:spacing w:line="240" w:lineRule="auto"/>
              <w:jc w:val="center"/>
              <w:rPr>
                <w:sz w:val="20"/>
                <w:szCs w:val="20"/>
              </w:rPr>
            </w:pPr>
            <w:r w:rsidRPr="00BA6868">
              <w:rPr>
                <w:color w:val="000000"/>
                <w:sz w:val="20"/>
                <w:szCs w:val="20"/>
              </w:rPr>
              <w:t>0.250</w:t>
            </w:r>
          </w:p>
        </w:tc>
        <w:tc>
          <w:tcPr>
            <w:tcW w:w="1019" w:type="dxa"/>
            <w:shd w:val="clear" w:color="auto" w:fill="auto"/>
            <w:vAlign w:val="center"/>
          </w:tcPr>
          <w:p w14:paraId="5F597EE2" w14:textId="77777777" w:rsidR="0063191A" w:rsidRPr="00BA6868" w:rsidRDefault="0063191A" w:rsidP="00BA6868">
            <w:pPr>
              <w:spacing w:line="240" w:lineRule="auto"/>
              <w:jc w:val="center"/>
              <w:rPr>
                <w:sz w:val="20"/>
                <w:szCs w:val="20"/>
              </w:rPr>
            </w:pPr>
            <w:r w:rsidRPr="00BA6868">
              <w:rPr>
                <w:color w:val="000000"/>
                <w:sz w:val="20"/>
                <w:szCs w:val="20"/>
              </w:rPr>
              <w:t>-3.710</w:t>
            </w:r>
          </w:p>
        </w:tc>
        <w:tc>
          <w:tcPr>
            <w:tcW w:w="1390" w:type="dxa"/>
            <w:shd w:val="clear" w:color="auto" w:fill="auto"/>
            <w:vAlign w:val="center"/>
          </w:tcPr>
          <w:p w14:paraId="076597B8" w14:textId="77777777" w:rsidR="0063191A" w:rsidRPr="00BA6868" w:rsidRDefault="0063191A" w:rsidP="00BA6868">
            <w:pPr>
              <w:spacing w:line="240" w:lineRule="auto"/>
              <w:jc w:val="center"/>
              <w:rPr>
                <w:sz w:val="20"/>
                <w:szCs w:val="20"/>
              </w:rPr>
            </w:pPr>
            <w:r w:rsidRPr="00BA6868">
              <w:rPr>
                <w:color w:val="000000"/>
                <w:sz w:val="20"/>
                <w:szCs w:val="20"/>
              </w:rPr>
              <w:t>0.965</w:t>
            </w:r>
          </w:p>
        </w:tc>
      </w:tr>
      <w:tr w:rsidR="0063191A" w:rsidRPr="00BA6868" w14:paraId="43E9AEE5" w14:textId="77777777" w:rsidTr="00282C9D">
        <w:tc>
          <w:tcPr>
            <w:tcW w:w="2125" w:type="dxa"/>
            <w:vAlign w:val="center"/>
          </w:tcPr>
          <w:p w14:paraId="6CECA67B" w14:textId="77777777" w:rsidR="0063191A" w:rsidRPr="00BA6868" w:rsidRDefault="0063191A" w:rsidP="00BA6868">
            <w:pPr>
              <w:spacing w:line="240" w:lineRule="auto"/>
              <w:rPr>
                <w:sz w:val="20"/>
                <w:szCs w:val="20"/>
              </w:rPr>
            </w:pPr>
            <w:r w:rsidRPr="00BA6868">
              <w:rPr>
                <w:sz w:val="20"/>
                <w:szCs w:val="20"/>
              </w:rPr>
              <w:t>ilgtgamma</w:t>
            </w:r>
          </w:p>
        </w:tc>
        <w:tc>
          <w:tcPr>
            <w:tcW w:w="1162" w:type="dxa"/>
            <w:shd w:val="clear" w:color="auto" w:fill="auto"/>
            <w:vAlign w:val="center"/>
          </w:tcPr>
          <w:p w14:paraId="4DBBBF0F" w14:textId="77777777" w:rsidR="0063191A" w:rsidRPr="00BA6868" w:rsidRDefault="0063191A" w:rsidP="00BA6868">
            <w:pPr>
              <w:spacing w:line="240" w:lineRule="auto"/>
              <w:jc w:val="center"/>
              <w:rPr>
                <w:sz w:val="20"/>
                <w:szCs w:val="20"/>
              </w:rPr>
            </w:pPr>
            <w:r w:rsidRPr="00BA6868">
              <w:rPr>
                <w:color w:val="000000"/>
                <w:sz w:val="20"/>
                <w:szCs w:val="20"/>
              </w:rPr>
              <w:t>-1.366</w:t>
            </w:r>
          </w:p>
        </w:tc>
        <w:tc>
          <w:tcPr>
            <w:tcW w:w="1163" w:type="dxa"/>
            <w:shd w:val="clear" w:color="auto" w:fill="auto"/>
            <w:vAlign w:val="center"/>
          </w:tcPr>
          <w:p w14:paraId="369D7E63" w14:textId="77777777" w:rsidR="0063191A" w:rsidRPr="00BA6868" w:rsidRDefault="0063191A" w:rsidP="00BA6868">
            <w:pPr>
              <w:spacing w:line="240" w:lineRule="auto"/>
              <w:jc w:val="center"/>
              <w:rPr>
                <w:sz w:val="20"/>
                <w:szCs w:val="20"/>
              </w:rPr>
            </w:pPr>
            <w:r w:rsidRPr="00BA6868">
              <w:rPr>
                <w:color w:val="000000"/>
                <w:sz w:val="20"/>
                <w:szCs w:val="20"/>
              </w:rPr>
              <w:t>5.860</w:t>
            </w:r>
          </w:p>
        </w:tc>
        <w:tc>
          <w:tcPr>
            <w:tcW w:w="1163" w:type="dxa"/>
            <w:shd w:val="clear" w:color="auto" w:fill="auto"/>
            <w:vAlign w:val="center"/>
          </w:tcPr>
          <w:p w14:paraId="530670EF" w14:textId="77777777" w:rsidR="0063191A" w:rsidRPr="00BA6868" w:rsidRDefault="0063191A" w:rsidP="00BA6868">
            <w:pPr>
              <w:spacing w:line="240" w:lineRule="auto"/>
              <w:jc w:val="center"/>
              <w:rPr>
                <w:sz w:val="20"/>
                <w:szCs w:val="20"/>
              </w:rPr>
            </w:pPr>
            <w:r w:rsidRPr="00BA6868">
              <w:rPr>
                <w:color w:val="000000"/>
                <w:sz w:val="20"/>
                <w:szCs w:val="20"/>
              </w:rPr>
              <w:t>-0.23</w:t>
            </w:r>
          </w:p>
        </w:tc>
        <w:tc>
          <w:tcPr>
            <w:tcW w:w="1053" w:type="dxa"/>
            <w:shd w:val="clear" w:color="auto" w:fill="auto"/>
            <w:vAlign w:val="center"/>
          </w:tcPr>
          <w:p w14:paraId="392759EA" w14:textId="77777777" w:rsidR="0063191A" w:rsidRPr="00BA6868" w:rsidRDefault="0063191A" w:rsidP="00BA6868">
            <w:pPr>
              <w:spacing w:line="240" w:lineRule="auto"/>
              <w:jc w:val="center"/>
              <w:rPr>
                <w:sz w:val="20"/>
                <w:szCs w:val="20"/>
              </w:rPr>
            </w:pPr>
            <w:r w:rsidRPr="00BA6868">
              <w:rPr>
                <w:color w:val="000000"/>
                <w:sz w:val="20"/>
                <w:szCs w:val="20"/>
              </w:rPr>
              <w:t>0.816</w:t>
            </w:r>
          </w:p>
        </w:tc>
        <w:tc>
          <w:tcPr>
            <w:tcW w:w="1019" w:type="dxa"/>
            <w:shd w:val="clear" w:color="auto" w:fill="auto"/>
            <w:vAlign w:val="center"/>
          </w:tcPr>
          <w:p w14:paraId="35B13EB9" w14:textId="77777777" w:rsidR="0063191A" w:rsidRPr="00BA6868" w:rsidRDefault="0063191A" w:rsidP="00BA6868">
            <w:pPr>
              <w:spacing w:line="240" w:lineRule="auto"/>
              <w:jc w:val="center"/>
              <w:rPr>
                <w:sz w:val="20"/>
                <w:szCs w:val="20"/>
              </w:rPr>
            </w:pPr>
            <w:r w:rsidRPr="00BA6868">
              <w:rPr>
                <w:color w:val="000000"/>
                <w:sz w:val="20"/>
                <w:szCs w:val="20"/>
              </w:rPr>
              <w:t>-12.853</w:t>
            </w:r>
          </w:p>
        </w:tc>
        <w:tc>
          <w:tcPr>
            <w:tcW w:w="1390" w:type="dxa"/>
            <w:shd w:val="clear" w:color="auto" w:fill="auto"/>
            <w:vAlign w:val="center"/>
          </w:tcPr>
          <w:p w14:paraId="6BC01B71" w14:textId="77777777" w:rsidR="0063191A" w:rsidRPr="00BA6868" w:rsidRDefault="0063191A" w:rsidP="00BA6868">
            <w:pPr>
              <w:spacing w:line="240" w:lineRule="auto"/>
              <w:jc w:val="center"/>
              <w:rPr>
                <w:sz w:val="20"/>
                <w:szCs w:val="20"/>
              </w:rPr>
            </w:pPr>
            <w:r w:rsidRPr="00BA6868">
              <w:rPr>
                <w:color w:val="000000"/>
                <w:sz w:val="20"/>
                <w:szCs w:val="20"/>
              </w:rPr>
              <w:t>10.120</w:t>
            </w:r>
          </w:p>
        </w:tc>
      </w:tr>
      <w:tr w:rsidR="0063191A" w:rsidRPr="00BA6868" w14:paraId="3C1CC821" w14:textId="77777777" w:rsidTr="00282C9D">
        <w:tc>
          <w:tcPr>
            <w:tcW w:w="2125" w:type="dxa"/>
            <w:vAlign w:val="center"/>
          </w:tcPr>
          <w:p w14:paraId="66A26102" w14:textId="77777777" w:rsidR="0063191A" w:rsidRPr="00BA6868" w:rsidRDefault="0063191A" w:rsidP="00BA6868">
            <w:pPr>
              <w:spacing w:line="240" w:lineRule="auto"/>
              <w:rPr>
                <w:sz w:val="20"/>
                <w:szCs w:val="20"/>
              </w:rPr>
            </w:pPr>
            <w:r w:rsidRPr="00BA6868">
              <w:rPr>
                <w:sz w:val="20"/>
                <w:szCs w:val="20"/>
              </w:rPr>
              <w:t>sigma2</w:t>
            </w:r>
          </w:p>
        </w:tc>
        <w:tc>
          <w:tcPr>
            <w:tcW w:w="1162" w:type="dxa"/>
            <w:shd w:val="clear" w:color="auto" w:fill="auto"/>
            <w:vAlign w:val="center"/>
          </w:tcPr>
          <w:p w14:paraId="7E7072C6" w14:textId="77777777" w:rsidR="0063191A" w:rsidRPr="00BA6868" w:rsidRDefault="0063191A" w:rsidP="00BA6868">
            <w:pPr>
              <w:spacing w:line="240" w:lineRule="auto"/>
              <w:jc w:val="center"/>
              <w:rPr>
                <w:sz w:val="20"/>
                <w:szCs w:val="20"/>
              </w:rPr>
            </w:pPr>
            <w:r w:rsidRPr="00BA6868">
              <w:rPr>
                <w:color w:val="000000"/>
                <w:sz w:val="20"/>
                <w:szCs w:val="20"/>
              </w:rPr>
              <w:t>0.254</w:t>
            </w:r>
          </w:p>
        </w:tc>
        <w:tc>
          <w:tcPr>
            <w:tcW w:w="1163" w:type="dxa"/>
            <w:shd w:val="clear" w:color="auto" w:fill="auto"/>
            <w:vAlign w:val="center"/>
          </w:tcPr>
          <w:p w14:paraId="3AF00918" w14:textId="77777777" w:rsidR="0063191A" w:rsidRPr="00BA6868" w:rsidRDefault="0063191A" w:rsidP="00BA6868">
            <w:pPr>
              <w:spacing w:line="240" w:lineRule="auto"/>
              <w:jc w:val="center"/>
              <w:rPr>
                <w:sz w:val="20"/>
                <w:szCs w:val="20"/>
              </w:rPr>
            </w:pPr>
            <w:r w:rsidRPr="00BA6868">
              <w:rPr>
                <w:color w:val="000000"/>
                <w:sz w:val="20"/>
                <w:szCs w:val="20"/>
              </w:rPr>
              <w:t>0.302</w:t>
            </w:r>
          </w:p>
        </w:tc>
        <w:tc>
          <w:tcPr>
            <w:tcW w:w="1163" w:type="dxa"/>
            <w:shd w:val="clear" w:color="auto" w:fill="auto"/>
            <w:vAlign w:val="center"/>
          </w:tcPr>
          <w:p w14:paraId="2599BE9A" w14:textId="77777777" w:rsidR="0063191A" w:rsidRPr="00BA6868" w:rsidRDefault="0063191A" w:rsidP="00BA6868">
            <w:pPr>
              <w:spacing w:line="240" w:lineRule="auto"/>
              <w:jc w:val="center"/>
              <w:rPr>
                <w:sz w:val="20"/>
                <w:szCs w:val="20"/>
              </w:rPr>
            </w:pPr>
          </w:p>
        </w:tc>
        <w:tc>
          <w:tcPr>
            <w:tcW w:w="1053" w:type="dxa"/>
            <w:shd w:val="clear" w:color="auto" w:fill="auto"/>
            <w:vAlign w:val="center"/>
          </w:tcPr>
          <w:p w14:paraId="1631EE78" w14:textId="77777777" w:rsidR="0063191A" w:rsidRPr="00BA6868" w:rsidRDefault="0063191A" w:rsidP="00BA6868">
            <w:pPr>
              <w:spacing w:line="240" w:lineRule="auto"/>
              <w:jc w:val="center"/>
              <w:rPr>
                <w:sz w:val="20"/>
                <w:szCs w:val="20"/>
              </w:rPr>
            </w:pPr>
          </w:p>
        </w:tc>
        <w:tc>
          <w:tcPr>
            <w:tcW w:w="1019" w:type="dxa"/>
            <w:shd w:val="clear" w:color="auto" w:fill="auto"/>
            <w:vAlign w:val="center"/>
          </w:tcPr>
          <w:p w14:paraId="149620E0" w14:textId="77777777" w:rsidR="0063191A" w:rsidRPr="00BA6868" w:rsidRDefault="0063191A" w:rsidP="00BA6868">
            <w:pPr>
              <w:spacing w:line="240" w:lineRule="auto"/>
              <w:jc w:val="center"/>
              <w:rPr>
                <w:sz w:val="20"/>
                <w:szCs w:val="20"/>
              </w:rPr>
            </w:pPr>
            <w:r w:rsidRPr="00BA6868">
              <w:rPr>
                <w:color w:val="000000"/>
                <w:sz w:val="20"/>
                <w:szCs w:val="20"/>
              </w:rPr>
              <w:t>0.024</w:t>
            </w:r>
          </w:p>
        </w:tc>
        <w:tc>
          <w:tcPr>
            <w:tcW w:w="1390" w:type="dxa"/>
            <w:shd w:val="clear" w:color="auto" w:fill="auto"/>
            <w:vAlign w:val="center"/>
          </w:tcPr>
          <w:p w14:paraId="5E77FC74" w14:textId="77777777" w:rsidR="0063191A" w:rsidRPr="00BA6868" w:rsidRDefault="0063191A" w:rsidP="00BA6868">
            <w:pPr>
              <w:spacing w:line="240" w:lineRule="auto"/>
              <w:jc w:val="center"/>
              <w:rPr>
                <w:sz w:val="20"/>
                <w:szCs w:val="20"/>
              </w:rPr>
            </w:pPr>
            <w:r w:rsidRPr="00BA6868">
              <w:rPr>
                <w:color w:val="000000"/>
                <w:sz w:val="20"/>
                <w:szCs w:val="20"/>
              </w:rPr>
              <w:t>2.626</w:t>
            </w:r>
          </w:p>
        </w:tc>
      </w:tr>
      <w:tr w:rsidR="0063191A" w:rsidRPr="00BA6868" w14:paraId="20DD1CE1" w14:textId="77777777" w:rsidTr="00282C9D">
        <w:tc>
          <w:tcPr>
            <w:tcW w:w="2125" w:type="dxa"/>
            <w:vAlign w:val="center"/>
          </w:tcPr>
          <w:p w14:paraId="37367999" w14:textId="77777777" w:rsidR="0063191A" w:rsidRPr="00BA6868" w:rsidRDefault="0063191A" w:rsidP="00BA6868">
            <w:pPr>
              <w:spacing w:line="240" w:lineRule="auto"/>
              <w:rPr>
                <w:sz w:val="20"/>
                <w:szCs w:val="20"/>
              </w:rPr>
            </w:pPr>
            <w:r w:rsidRPr="00BA6868">
              <w:rPr>
                <w:sz w:val="20"/>
                <w:szCs w:val="20"/>
              </w:rPr>
              <w:t>gamma</w:t>
            </w:r>
          </w:p>
        </w:tc>
        <w:tc>
          <w:tcPr>
            <w:tcW w:w="1162" w:type="dxa"/>
            <w:shd w:val="clear" w:color="auto" w:fill="auto"/>
            <w:vAlign w:val="center"/>
          </w:tcPr>
          <w:p w14:paraId="3FE3B3BB" w14:textId="77777777" w:rsidR="0063191A" w:rsidRPr="00BA6868" w:rsidRDefault="0063191A" w:rsidP="00BA6868">
            <w:pPr>
              <w:spacing w:line="240" w:lineRule="auto"/>
              <w:jc w:val="center"/>
              <w:rPr>
                <w:sz w:val="20"/>
                <w:szCs w:val="20"/>
              </w:rPr>
            </w:pPr>
            <w:r w:rsidRPr="00BA6868">
              <w:rPr>
                <w:color w:val="000000"/>
                <w:sz w:val="20"/>
                <w:szCs w:val="20"/>
              </w:rPr>
              <w:t>0.203</w:t>
            </w:r>
          </w:p>
        </w:tc>
        <w:tc>
          <w:tcPr>
            <w:tcW w:w="1163" w:type="dxa"/>
            <w:shd w:val="clear" w:color="auto" w:fill="auto"/>
            <w:vAlign w:val="center"/>
          </w:tcPr>
          <w:p w14:paraId="1D72DBE9" w14:textId="77777777" w:rsidR="0063191A" w:rsidRPr="00BA6868" w:rsidRDefault="0063191A" w:rsidP="00BA6868">
            <w:pPr>
              <w:spacing w:line="240" w:lineRule="auto"/>
              <w:jc w:val="center"/>
              <w:rPr>
                <w:sz w:val="20"/>
                <w:szCs w:val="20"/>
              </w:rPr>
            </w:pPr>
            <w:r w:rsidRPr="00BA6868">
              <w:rPr>
                <w:color w:val="000000"/>
                <w:sz w:val="20"/>
                <w:szCs w:val="20"/>
              </w:rPr>
              <w:t>0.949</w:t>
            </w:r>
          </w:p>
        </w:tc>
        <w:tc>
          <w:tcPr>
            <w:tcW w:w="1163" w:type="dxa"/>
            <w:shd w:val="clear" w:color="auto" w:fill="auto"/>
            <w:vAlign w:val="center"/>
          </w:tcPr>
          <w:p w14:paraId="5A6B3E5A" w14:textId="77777777" w:rsidR="0063191A" w:rsidRPr="00BA6868" w:rsidRDefault="0063191A" w:rsidP="00BA6868">
            <w:pPr>
              <w:spacing w:line="240" w:lineRule="auto"/>
              <w:jc w:val="center"/>
              <w:rPr>
                <w:sz w:val="20"/>
                <w:szCs w:val="20"/>
              </w:rPr>
            </w:pPr>
          </w:p>
        </w:tc>
        <w:tc>
          <w:tcPr>
            <w:tcW w:w="1053" w:type="dxa"/>
            <w:shd w:val="clear" w:color="auto" w:fill="auto"/>
            <w:vAlign w:val="center"/>
          </w:tcPr>
          <w:p w14:paraId="5F43F230" w14:textId="77777777" w:rsidR="0063191A" w:rsidRPr="00BA6868" w:rsidRDefault="0063191A" w:rsidP="00BA6868">
            <w:pPr>
              <w:spacing w:line="240" w:lineRule="auto"/>
              <w:jc w:val="center"/>
              <w:rPr>
                <w:sz w:val="20"/>
                <w:szCs w:val="20"/>
              </w:rPr>
            </w:pPr>
          </w:p>
        </w:tc>
        <w:tc>
          <w:tcPr>
            <w:tcW w:w="1019" w:type="dxa"/>
            <w:shd w:val="clear" w:color="auto" w:fill="auto"/>
            <w:vAlign w:val="center"/>
          </w:tcPr>
          <w:p w14:paraId="4CAF0011" w14:textId="77777777" w:rsidR="0063191A" w:rsidRPr="00BA6868" w:rsidRDefault="0063191A" w:rsidP="00BA6868">
            <w:pPr>
              <w:spacing w:line="240" w:lineRule="auto"/>
              <w:jc w:val="center"/>
              <w:rPr>
                <w:sz w:val="20"/>
                <w:szCs w:val="20"/>
              </w:rPr>
            </w:pPr>
            <w:r w:rsidRPr="00BA6868">
              <w:rPr>
                <w:color w:val="000000"/>
                <w:sz w:val="20"/>
                <w:szCs w:val="20"/>
              </w:rPr>
              <w:t>0.000</w:t>
            </w:r>
          </w:p>
        </w:tc>
        <w:tc>
          <w:tcPr>
            <w:tcW w:w="1390" w:type="dxa"/>
            <w:shd w:val="clear" w:color="auto" w:fill="auto"/>
            <w:vAlign w:val="center"/>
          </w:tcPr>
          <w:p w14:paraId="70A263D7" w14:textId="77777777" w:rsidR="0063191A" w:rsidRPr="00BA6868" w:rsidRDefault="0063191A" w:rsidP="00BA6868">
            <w:pPr>
              <w:spacing w:line="240" w:lineRule="auto"/>
              <w:jc w:val="center"/>
              <w:rPr>
                <w:sz w:val="20"/>
                <w:szCs w:val="20"/>
              </w:rPr>
            </w:pPr>
            <w:r w:rsidRPr="00BA6868">
              <w:rPr>
                <w:color w:val="000000"/>
                <w:sz w:val="20"/>
                <w:szCs w:val="20"/>
              </w:rPr>
              <w:t>1.000</w:t>
            </w:r>
          </w:p>
        </w:tc>
      </w:tr>
      <w:tr w:rsidR="0063191A" w:rsidRPr="00BA6868" w14:paraId="1E5207C4" w14:textId="77777777" w:rsidTr="00282C9D">
        <w:tc>
          <w:tcPr>
            <w:tcW w:w="2125" w:type="dxa"/>
            <w:vAlign w:val="center"/>
          </w:tcPr>
          <w:p w14:paraId="5DA99B42" w14:textId="77777777" w:rsidR="0063191A" w:rsidRPr="00BA6868" w:rsidRDefault="0063191A" w:rsidP="00BA6868">
            <w:pPr>
              <w:spacing w:line="240" w:lineRule="auto"/>
              <w:rPr>
                <w:sz w:val="20"/>
                <w:szCs w:val="20"/>
              </w:rPr>
            </w:pPr>
            <w:r w:rsidRPr="00BA6868">
              <w:rPr>
                <w:sz w:val="20"/>
                <w:szCs w:val="20"/>
              </w:rPr>
              <w:t>sigma_u2</w:t>
            </w:r>
          </w:p>
        </w:tc>
        <w:tc>
          <w:tcPr>
            <w:tcW w:w="1162" w:type="dxa"/>
            <w:shd w:val="clear" w:color="auto" w:fill="auto"/>
            <w:vAlign w:val="center"/>
          </w:tcPr>
          <w:p w14:paraId="4EB623AB" w14:textId="77777777" w:rsidR="0063191A" w:rsidRPr="00BA6868" w:rsidRDefault="0063191A" w:rsidP="00BA6868">
            <w:pPr>
              <w:spacing w:line="240" w:lineRule="auto"/>
              <w:jc w:val="center"/>
              <w:rPr>
                <w:sz w:val="20"/>
                <w:szCs w:val="20"/>
              </w:rPr>
            </w:pPr>
            <w:r w:rsidRPr="00BA6868">
              <w:rPr>
                <w:color w:val="000000"/>
                <w:sz w:val="20"/>
                <w:szCs w:val="20"/>
              </w:rPr>
              <w:t>0.052</w:t>
            </w:r>
          </w:p>
        </w:tc>
        <w:tc>
          <w:tcPr>
            <w:tcW w:w="1163" w:type="dxa"/>
            <w:shd w:val="clear" w:color="auto" w:fill="auto"/>
            <w:vAlign w:val="center"/>
          </w:tcPr>
          <w:p w14:paraId="3C833827" w14:textId="77777777" w:rsidR="0063191A" w:rsidRPr="00BA6868" w:rsidRDefault="0063191A" w:rsidP="00BA6868">
            <w:pPr>
              <w:spacing w:line="240" w:lineRule="auto"/>
              <w:jc w:val="center"/>
              <w:rPr>
                <w:sz w:val="20"/>
                <w:szCs w:val="20"/>
              </w:rPr>
            </w:pPr>
            <w:r w:rsidRPr="00BA6868">
              <w:rPr>
                <w:color w:val="000000"/>
                <w:sz w:val="20"/>
                <w:szCs w:val="20"/>
              </w:rPr>
              <w:t>0.302</w:t>
            </w:r>
          </w:p>
        </w:tc>
        <w:tc>
          <w:tcPr>
            <w:tcW w:w="1163" w:type="dxa"/>
            <w:shd w:val="clear" w:color="auto" w:fill="auto"/>
            <w:vAlign w:val="center"/>
          </w:tcPr>
          <w:p w14:paraId="110E12A0" w14:textId="77777777" w:rsidR="0063191A" w:rsidRPr="00BA6868" w:rsidRDefault="0063191A" w:rsidP="00BA6868">
            <w:pPr>
              <w:spacing w:line="240" w:lineRule="auto"/>
              <w:jc w:val="center"/>
              <w:rPr>
                <w:sz w:val="20"/>
                <w:szCs w:val="20"/>
              </w:rPr>
            </w:pPr>
          </w:p>
        </w:tc>
        <w:tc>
          <w:tcPr>
            <w:tcW w:w="1053" w:type="dxa"/>
            <w:shd w:val="clear" w:color="auto" w:fill="auto"/>
            <w:vAlign w:val="center"/>
          </w:tcPr>
          <w:p w14:paraId="63ED5186" w14:textId="77777777" w:rsidR="0063191A" w:rsidRPr="00BA6868" w:rsidRDefault="0063191A" w:rsidP="00BA6868">
            <w:pPr>
              <w:spacing w:line="240" w:lineRule="auto"/>
              <w:jc w:val="center"/>
              <w:rPr>
                <w:sz w:val="20"/>
                <w:szCs w:val="20"/>
              </w:rPr>
            </w:pPr>
          </w:p>
        </w:tc>
        <w:tc>
          <w:tcPr>
            <w:tcW w:w="1019" w:type="dxa"/>
            <w:shd w:val="clear" w:color="auto" w:fill="auto"/>
            <w:vAlign w:val="center"/>
          </w:tcPr>
          <w:p w14:paraId="225D73DF" w14:textId="77777777" w:rsidR="0063191A" w:rsidRPr="00BA6868" w:rsidRDefault="0063191A" w:rsidP="00BA6868">
            <w:pPr>
              <w:spacing w:line="240" w:lineRule="auto"/>
              <w:jc w:val="center"/>
              <w:rPr>
                <w:sz w:val="20"/>
                <w:szCs w:val="20"/>
              </w:rPr>
            </w:pPr>
            <w:r w:rsidRPr="00BA6868">
              <w:rPr>
                <w:color w:val="000000"/>
                <w:sz w:val="20"/>
                <w:szCs w:val="20"/>
              </w:rPr>
              <w:t>-0.540</w:t>
            </w:r>
          </w:p>
        </w:tc>
        <w:tc>
          <w:tcPr>
            <w:tcW w:w="1390" w:type="dxa"/>
            <w:shd w:val="clear" w:color="auto" w:fill="auto"/>
            <w:vAlign w:val="center"/>
          </w:tcPr>
          <w:p w14:paraId="763304F4" w14:textId="77777777" w:rsidR="0063191A" w:rsidRPr="00BA6868" w:rsidRDefault="0063191A" w:rsidP="00BA6868">
            <w:pPr>
              <w:spacing w:line="240" w:lineRule="auto"/>
              <w:jc w:val="center"/>
              <w:rPr>
                <w:sz w:val="20"/>
                <w:szCs w:val="20"/>
              </w:rPr>
            </w:pPr>
            <w:r w:rsidRPr="00BA6868">
              <w:rPr>
                <w:color w:val="000000"/>
                <w:sz w:val="20"/>
                <w:szCs w:val="20"/>
              </w:rPr>
              <w:t>0.643</w:t>
            </w:r>
          </w:p>
        </w:tc>
      </w:tr>
      <w:tr w:rsidR="0063191A" w:rsidRPr="00BA6868" w14:paraId="57146C3A" w14:textId="77777777" w:rsidTr="00282C9D">
        <w:tc>
          <w:tcPr>
            <w:tcW w:w="2125" w:type="dxa"/>
            <w:vAlign w:val="center"/>
          </w:tcPr>
          <w:p w14:paraId="4C00BF3F" w14:textId="77777777" w:rsidR="0063191A" w:rsidRPr="00BA6868" w:rsidRDefault="0063191A" w:rsidP="00BA6868">
            <w:pPr>
              <w:spacing w:line="240" w:lineRule="auto"/>
              <w:rPr>
                <w:sz w:val="20"/>
                <w:szCs w:val="20"/>
              </w:rPr>
            </w:pPr>
            <w:r w:rsidRPr="00BA6868">
              <w:rPr>
                <w:sz w:val="20"/>
                <w:szCs w:val="20"/>
              </w:rPr>
              <w:t>sigma_v2</w:t>
            </w:r>
          </w:p>
        </w:tc>
        <w:tc>
          <w:tcPr>
            <w:tcW w:w="1162" w:type="dxa"/>
            <w:shd w:val="clear" w:color="auto" w:fill="auto"/>
            <w:vAlign w:val="center"/>
          </w:tcPr>
          <w:p w14:paraId="53B5B3F2" w14:textId="77777777" w:rsidR="0063191A" w:rsidRPr="00BA6868" w:rsidRDefault="0063191A" w:rsidP="00BA6868">
            <w:pPr>
              <w:spacing w:line="240" w:lineRule="auto"/>
              <w:jc w:val="center"/>
              <w:rPr>
                <w:sz w:val="20"/>
                <w:szCs w:val="20"/>
              </w:rPr>
            </w:pPr>
            <w:r w:rsidRPr="00BA6868">
              <w:rPr>
                <w:color w:val="000000"/>
                <w:sz w:val="20"/>
                <w:szCs w:val="20"/>
              </w:rPr>
              <w:t>0.202</w:t>
            </w:r>
          </w:p>
        </w:tc>
        <w:tc>
          <w:tcPr>
            <w:tcW w:w="1163" w:type="dxa"/>
            <w:shd w:val="clear" w:color="auto" w:fill="auto"/>
            <w:vAlign w:val="center"/>
          </w:tcPr>
          <w:p w14:paraId="7CC51F81" w14:textId="77777777" w:rsidR="0063191A" w:rsidRPr="00BA6868" w:rsidRDefault="0063191A" w:rsidP="00BA6868">
            <w:pPr>
              <w:spacing w:line="240" w:lineRule="auto"/>
              <w:jc w:val="center"/>
              <w:rPr>
                <w:sz w:val="20"/>
                <w:szCs w:val="20"/>
              </w:rPr>
            </w:pPr>
            <w:r w:rsidRPr="00BA6868">
              <w:rPr>
                <w:color w:val="000000"/>
                <w:sz w:val="20"/>
                <w:szCs w:val="20"/>
              </w:rPr>
              <w:t>0.028</w:t>
            </w:r>
          </w:p>
        </w:tc>
        <w:tc>
          <w:tcPr>
            <w:tcW w:w="1163" w:type="dxa"/>
            <w:shd w:val="clear" w:color="auto" w:fill="auto"/>
            <w:vAlign w:val="center"/>
          </w:tcPr>
          <w:p w14:paraId="31569AD7" w14:textId="77777777" w:rsidR="0063191A" w:rsidRPr="00BA6868" w:rsidRDefault="0063191A" w:rsidP="00BA6868">
            <w:pPr>
              <w:spacing w:line="240" w:lineRule="auto"/>
              <w:jc w:val="center"/>
              <w:rPr>
                <w:sz w:val="20"/>
                <w:szCs w:val="20"/>
              </w:rPr>
            </w:pPr>
          </w:p>
        </w:tc>
        <w:tc>
          <w:tcPr>
            <w:tcW w:w="1053" w:type="dxa"/>
            <w:shd w:val="clear" w:color="auto" w:fill="auto"/>
            <w:vAlign w:val="center"/>
          </w:tcPr>
          <w:p w14:paraId="627EF110" w14:textId="77777777" w:rsidR="0063191A" w:rsidRPr="00BA6868" w:rsidRDefault="0063191A" w:rsidP="00BA6868">
            <w:pPr>
              <w:spacing w:line="240" w:lineRule="auto"/>
              <w:jc w:val="center"/>
              <w:rPr>
                <w:sz w:val="20"/>
                <w:szCs w:val="20"/>
              </w:rPr>
            </w:pPr>
          </w:p>
        </w:tc>
        <w:tc>
          <w:tcPr>
            <w:tcW w:w="1019" w:type="dxa"/>
            <w:shd w:val="clear" w:color="auto" w:fill="auto"/>
            <w:vAlign w:val="center"/>
          </w:tcPr>
          <w:p w14:paraId="3AF2CD2D" w14:textId="77777777" w:rsidR="0063191A" w:rsidRPr="00BA6868" w:rsidRDefault="0063191A" w:rsidP="00BA6868">
            <w:pPr>
              <w:spacing w:line="240" w:lineRule="auto"/>
              <w:jc w:val="center"/>
              <w:rPr>
                <w:sz w:val="20"/>
                <w:szCs w:val="20"/>
              </w:rPr>
            </w:pPr>
            <w:r w:rsidRPr="00BA6868">
              <w:rPr>
                <w:color w:val="000000"/>
                <w:sz w:val="20"/>
                <w:szCs w:val="20"/>
              </w:rPr>
              <w:t>0.146</w:t>
            </w:r>
          </w:p>
        </w:tc>
        <w:tc>
          <w:tcPr>
            <w:tcW w:w="1390" w:type="dxa"/>
            <w:shd w:val="clear" w:color="auto" w:fill="auto"/>
            <w:vAlign w:val="center"/>
          </w:tcPr>
          <w:p w14:paraId="0FB61370" w14:textId="77777777" w:rsidR="0063191A" w:rsidRPr="00BA6868" w:rsidRDefault="0063191A" w:rsidP="00BA6868">
            <w:pPr>
              <w:spacing w:line="240" w:lineRule="auto"/>
              <w:jc w:val="center"/>
              <w:rPr>
                <w:sz w:val="20"/>
                <w:szCs w:val="20"/>
              </w:rPr>
            </w:pPr>
            <w:r w:rsidRPr="00BA6868">
              <w:rPr>
                <w:color w:val="000000"/>
                <w:sz w:val="20"/>
                <w:szCs w:val="20"/>
              </w:rPr>
              <w:t>0.258</w:t>
            </w:r>
          </w:p>
        </w:tc>
      </w:tr>
      <w:tr w:rsidR="0063191A" w:rsidRPr="00BA6868" w14:paraId="2EEA98B8" w14:textId="77777777" w:rsidTr="00282C9D">
        <w:tc>
          <w:tcPr>
            <w:tcW w:w="2125" w:type="dxa"/>
            <w:vAlign w:val="center"/>
          </w:tcPr>
          <w:p w14:paraId="4071A5E9" w14:textId="0F91C0EE" w:rsidR="0063191A" w:rsidRPr="00BA6868" w:rsidRDefault="0063191A" w:rsidP="00BA6868">
            <w:pPr>
              <w:spacing w:line="240" w:lineRule="auto"/>
              <w:rPr>
                <w:sz w:val="20"/>
                <w:szCs w:val="20"/>
              </w:rPr>
            </w:pPr>
            <w:r w:rsidRPr="00BA6868">
              <w:rPr>
                <w:sz w:val="20"/>
                <w:szCs w:val="20"/>
              </w:rPr>
              <w:t>Wald chi</w:t>
            </w:r>
            <w:r w:rsidR="00470EC4" w:rsidRPr="00BA6868">
              <w:rPr>
                <w:sz w:val="20"/>
                <w:szCs w:val="20"/>
              </w:rPr>
              <w:t>-</w:t>
            </w:r>
            <w:r w:rsidRPr="00BA6868">
              <w:rPr>
                <w:sz w:val="20"/>
                <w:szCs w:val="20"/>
              </w:rPr>
              <w:t>square</w:t>
            </w:r>
          </w:p>
        </w:tc>
        <w:tc>
          <w:tcPr>
            <w:tcW w:w="6950" w:type="dxa"/>
            <w:gridSpan w:val="6"/>
            <w:shd w:val="clear" w:color="auto" w:fill="auto"/>
            <w:vAlign w:val="center"/>
          </w:tcPr>
          <w:p w14:paraId="62F6BE2C" w14:textId="77777777" w:rsidR="0063191A" w:rsidRPr="00BA6868" w:rsidRDefault="0063191A" w:rsidP="00BA6868">
            <w:pPr>
              <w:spacing w:line="240" w:lineRule="auto"/>
              <w:jc w:val="center"/>
              <w:rPr>
                <w:color w:val="000000"/>
                <w:sz w:val="20"/>
                <w:szCs w:val="20"/>
              </w:rPr>
            </w:pPr>
            <w:r w:rsidRPr="00BA6868">
              <w:rPr>
                <w:sz w:val="20"/>
                <w:szCs w:val="20"/>
              </w:rPr>
              <w:t>131.95</w:t>
            </w:r>
          </w:p>
        </w:tc>
      </w:tr>
      <w:tr w:rsidR="0063191A" w:rsidRPr="00BA6868" w14:paraId="3D24F3BC" w14:textId="77777777" w:rsidTr="00282C9D">
        <w:tc>
          <w:tcPr>
            <w:tcW w:w="2125" w:type="dxa"/>
            <w:vAlign w:val="center"/>
          </w:tcPr>
          <w:p w14:paraId="78F1928C" w14:textId="0A464330" w:rsidR="0063191A" w:rsidRPr="00BA6868" w:rsidRDefault="00470EC4" w:rsidP="00BA6868">
            <w:pPr>
              <w:spacing w:line="240" w:lineRule="auto"/>
              <w:rPr>
                <w:sz w:val="20"/>
                <w:szCs w:val="20"/>
              </w:rPr>
            </w:pPr>
            <w:r w:rsidRPr="00BA6868">
              <w:rPr>
                <w:sz w:val="20"/>
                <w:szCs w:val="20"/>
              </w:rPr>
              <w:t>Log-likelihood</w:t>
            </w:r>
            <w:r w:rsidR="0063191A" w:rsidRPr="00BA6868">
              <w:rPr>
                <w:sz w:val="20"/>
                <w:szCs w:val="20"/>
              </w:rPr>
              <w:t xml:space="preserve">  </w:t>
            </w:r>
          </w:p>
        </w:tc>
        <w:tc>
          <w:tcPr>
            <w:tcW w:w="6950" w:type="dxa"/>
            <w:gridSpan w:val="6"/>
            <w:shd w:val="clear" w:color="auto" w:fill="auto"/>
            <w:vAlign w:val="center"/>
          </w:tcPr>
          <w:p w14:paraId="668FFE8A" w14:textId="77777777" w:rsidR="0063191A" w:rsidRPr="00BA6868" w:rsidRDefault="0063191A" w:rsidP="00BA6868">
            <w:pPr>
              <w:spacing w:line="240" w:lineRule="auto"/>
              <w:jc w:val="center"/>
              <w:rPr>
                <w:color w:val="000000"/>
                <w:sz w:val="20"/>
                <w:szCs w:val="20"/>
              </w:rPr>
            </w:pPr>
            <w:r w:rsidRPr="00BA6868">
              <w:rPr>
                <w:sz w:val="20"/>
                <w:szCs w:val="20"/>
              </w:rPr>
              <w:t xml:space="preserve">-69.404279                    </w:t>
            </w:r>
          </w:p>
        </w:tc>
      </w:tr>
      <w:tr w:rsidR="0063191A" w:rsidRPr="00BA6868" w14:paraId="3748AFA9" w14:textId="77777777" w:rsidTr="00282C9D">
        <w:tc>
          <w:tcPr>
            <w:tcW w:w="2125" w:type="dxa"/>
            <w:tcBorders>
              <w:bottom w:val="single" w:sz="4" w:space="0" w:color="auto"/>
            </w:tcBorders>
            <w:vAlign w:val="center"/>
          </w:tcPr>
          <w:p w14:paraId="4DA759F3" w14:textId="33C3CBEE" w:rsidR="0063191A" w:rsidRPr="00BA6868" w:rsidRDefault="00470EC4" w:rsidP="00BA6868">
            <w:pPr>
              <w:spacing w:line="240" w:lineRule="auto"/>
              <w:rPr>
                <w:sz w:val="20"/>
                <w:szCs w:val="20"/>
              </w:rPr>
            </w:pPr>
            <w:r w:rsidRPr="00BA6868">
              <w:rPr>
                <w:sz w:val="20"/>
                <w:szCs w:val="20"/>
              </w:rPr>
              <w:t>P-value</w:t>
            </w:r>
          </w:p>
        </w:tc>
        <w:tc>
          <w:tcPr>
            <w:tcW w:w="6950" w:type="dxa"/>
            <w:gridSpan w:val="6"/>
            <w:tcBorders>
              <w:bottom w:val="single" w:sz="4" w:space="0" w:color="auto"/>
            </w:tcBorders>
            <w:shd w:val="clear" w:color="auto" w:fill="auto"/>
            <w:vAlign w:val="center"/>
          </w:tcPr>
          <w:p w14:paraId="28329346" w14:textId="77777777" w:rsidR="0063191A" w:rsidRPr="00BA6868" w:rsidRDefault="0063191A" w:rsidP="00BA6868">
            <w:pPr>
              <w:spacing w:line="240" w:lineRule="auto"/>
              <w:jc w:val="center"/>
              <w:rPr>
                <w:color w:val="000000"/>
                <w:sz w:val="20"/>
                <w:szCs w:val="20"/>
              </w:rPr>
            </w:pPr>
            <w:r w:rsidRPr="00BA6868">
              <w:rPr>
                <w:sz w:val="20"/>
                <w:szCs w:val="20"/>
              </w:rPr>
              <w:t>0.0000</w:t>
            </w:r>
          </w:p>
        </w:tc>
      </w:tr>
    </w:tbl>
    <w:p w14:paraId="7A87A7F4" w14:textId="1792EA19" w:rsidR="00A13ADB" w:rsidRPr="00031A21" w:rsidRDefault="00031A21" w:rsidP="00BA6868">
      <w:pPr>
        <w:spacing w:line="240" w:lineRule="auto"/>
        <w:rPr>
          <w:sz w:val="20"/>
          <w:szCs w:val="20"/>
        </w:rPr>
      </w:pPr>
      <w:r w:rsidRPr="00BA6868">
        <w:rPr>
          <w:sz w:val="20"/>
          <w:szCs w:val="20"/>
        </w:rPr>
        <w:t>Notes: ***, ** refers to significance level at 1% and 5%, respectively</w:t>
      </w:r>
    </w:p>
    <w:p w14:paraId="31C55057" w14:textId="77777777" w:rsidR="00031A21" w:rsidRDefault="00031A21" w:rsidP="00AC7D6B">
      <w:pPr>
        <w:spacing w:line="240" w:lineRule="auto"/>
        <w:ind w:firstLine="720"/>
        <w:jc w:val="both"/>
        <w:rPr>
          <w:szCs w:val="24"/>
        </w:rPr>
      </w:pPr>
    </w:p>
    <w:p w14:paraId="5D4F3DF6" w14:textId="360E016F" w:rsidR="00470EC4" w:rsidRDefault="001052EF" w:rsidP="001052EF">
      <w:pPr>
        <w:spacing w:line="240" w:lineRule="auto"/>
        <w:ind w:firstLine="720"/>
        <w:jc w:val="both"/>
        <w:rPr>
          <w:szCs w:val="24"/>
        </w:rPr>
      </w:pPr>
      <w:r w:rsidRPr="001052EF">
        <w:rPr>
          <w:szCs w:val="24"/>
        </w:rPr>
        <w:t>Table 3 shows the estimated technical efficiency (TE) of palm oil export for Malaysian main trading partners obtained from the GSFM model. TE scores were divided annually for trend comparison. Estimated TE scores prove that no country shows 100% technical efficiency. Malaysian palm oil export has more than 95% potential with its five main trading partners. On average, China has the highest TE, followed by Pakistan, the Netherlands, India, and the US. It shows that the country's palm oil industry has the potential to continue increasing export to those countries. The most notable example is palm oil export to the US, which has increased yearly export growth. The US has a significant trade potential for Malaysian palm oil export, which is 95.8% in 2020. Likewise, the TE of export to all major importing countries also shows improvement over time, and inefficiency in most countries is less than 1% to 5 % in 2020.</w:t>
      </w:r>
    </w:p>
    <w:p w14:paraId="5259D57E" w14:textId="77777777" w:rsidR="001052EF" w:rsidRPr="001052EF" w:rsidRDefault="001052EF" w:rsidP="001052EF">
      <w:pPr>
        <w:spacing w:line="240" w:lineRule="auto"/>
        <w:ind w:firstLine="720"/>
        <w:jc w:val="both"/>
        <w:rPr>
          <w:szCs w:val="24"/>
        </w:rPr>
      </w:pPr>
    </w:p>
    <w:p w14:paraId="5DE71AD1" w14:textId="2F7D10A6" w:rsidR="001A6AFC" w:rsidRDefault="00AC7D6B" w:rsidP="00AC7D6B">
      <w:pPr>
        <w:pStyle w:val="BodyText"/>
        <w:spacing w:line="240" w:lineRule="auto"/>
        <w:jc w:val="center"/>
        <w:rPr>
          <w:b/>
          <w:sz w:val="20"/>
          <w:szCs w:val="20"/>
        </w:rPr>
      </w:pPr>
      <w:r w:rsidRPr="00AC7D6B">
        <w:rPr>
          <w:b/>
          <w:sz w:val="20"/>
          <w:szCs w:val="20"/>
        </w:rPr>
        <w:t>Table</w:t>
      </w:r>
      <w:r w:rsidR="00413D34" w:rsidRPr="00AC7D6B">
        <w:rPr>
          <w:b/>
          <w:sz w:val="20"/>
          <w:szCs w:val="20"/>
        </w:rPr>
        <w:t xml:space="preserve"> </w:t>
      </w:r>
      <w:r w:rsidR="001A6AFC" w:rsidRPr="00AC7D6B">
        <w:rPr>
          <w:b/>
          <w:sz w:val="20"/>
          <w:szCs w:val="20"/>
        </w:rPr>
        <w:t>3</w:t>
      </w:r>
      <w:r w:rsidR="00413D34" w:rsidRPr="00AC7D6B">
        <w:rPr>
          <w:b/>
          <w:sz w:val="20"/>
          <w:szCs w:val="20"/>
        </w:rPr>
        <w:t>.</w:t>
      </w:r>
      <w:r w:rsidR="001A6AFC" w:rsidRPr="00AC7D6B">
        <w:rPr>
          <w:b/>
          <w:sz w:val="20"/>
          <w:szCs w:val="20"/>
        </w:rPr>
        <w:t xml:space="preserve"> </w:t>
      </w:r>
      <w:r w:rsidR="00470EC4" w:rsidRPr="000A12C9">
        <w:rPr>
          <w:bCs/>
          <w:sz w:val="20"/>
          <w:szCs w:val="20"/>
        </w:rPr>
        <w:t>Technical efficiency</w:t>
      </w:r>
      <w:r w:rsidRPr="000A12C9">
        <w:rPr>
          <w:bCs/>
          <w:sz w:val="20"/>
          <w:szCs w:val="20"/>
        </w:rPr>
        <w:t xml:space="preserve"> (</w:t>
      </w:r>
      <w:r w:rsidR="004341DC" w:rsidRPr="000A12C9">
        <w:rPr>
          <w:bCs/>
          <w:sz w:val="20"/>
          <w:szCs w:val="20"/>
        </w:rPr>
        <w:t>TE</w:t>
      </w:r>
      <w:r w:rsidRPr="000A12C9">
        <w:rPr>
          <w:bCs/>
          <w:sz w:val="20"/>
          <w:szCs w:val="20"/>
        </w:rPr>
        <w:t>)</w:t>
      </w:r>
      <w:r w:rsidR="00470EC4" w:rsidRPr="000A12C9">
        <w:rPr>
          <w:bCs/>
          <w:sz w:val="20"/>
          <w:szCs w:val="20"/>
        </w:rPr>
        <w:t xml:space="preserve"> score </w:t>
      </w:r>
      <w:r w:rsidRPr="000A12C9">
        <w:rPr>
          <w:bCs/>
          <w:sz w:val="20"/>
          <w:szCs w:val="20"/>
        </w:rPr>
        <w:t xml:space="preserve">of </w:t>
      </w:r>
      <w:r w:rsidR="005F587A" w:rsidRPr="000A12C9">
        <w:rPr>
          <w:bCs/>
          <w:sz w:val="20"/>
          <w:szCs w:val="20"/>
        </w:rPr>
        <w:t>Malaysian</w:t>
      </w:r>
      <w:r w:rsidR="00B631FC" w:rsidRPr="000A12C9">
        <w:rPr>
          <w:bCs/>
          <w:sz w:val="20"/>
          <w:szCs w:val="20"/>
        </w:rPr>
        <w:t xml:space="preserve"> </w:t>
      </w:r>
      <w:r w:rsidR="00AD4866" w:rsidRPr="000A12C9">
        <w:rPr>
          <w:bCs/>
          <w:sz w:val="20"/>
          <w:szCs w:val="20"/>
        </w:rPr>
        <w:t>palm oil export to importing countries</w:t>
      </w:r>
    </w:p>
    <w:p w14:paraId="07372623" w14:textId="77777777" w:rsidR="000A12C9" w:rsidRPr="000A12C9" w:rsidRDefault="000A12C9" w:rsidP="00AC7D6B">
      <w:pPr>
        <w:pStyle w:val="BodyText"/>
        <w:spacing w:line="240" w:lineRule="auto"/>
        <w:jc w:val="center"/>
        <w:rPr>
          <w:bCs/>
          <w:sz w:val="20"/>
          <w:szCs w:val="20"/>
        </w:rPr>
      </w:pPr>
    </w:p>
    <w:tbl>
      <w:tblPr>
        <w:tblW w:w="8075" w:type="dxa"/>
        <w:jc w:val="center"/>
        <w:tblLook w:val="04A0" w:firstRow="1" w:lastRow="0" w:firstColumn="1" w:lastColumn="0" w:noHBand="0" w:noVBand="1"/>
      </w:tblPr>
      <w:tblGrid>
        <w:gridCol w:w="1560"/>
        <w:gridCol w:w="1129"/>
        <w:gridCol w:w="1134"/>
        <w:gridCol w:w="1417"/>
        <w:gridCol w:w="1276"/>
        <w:gridCol w:w="1559"/>
      </w:tblGrid>
      <w:tr w:rsidR="00A13ADB" w:rsidRPr="001E4AC5" w14:paraId="15273D0E" w14:textId="77777777" w:rsidTr="00843C29">
        <w:trPr>
          <w:trHeight w:val="159"/>
          <w:jc w:val="center"/>
        </w:trPr>
        <w:tc>
          <w:tcPr>
            <w:tcW w:w="1560" w:type="dxa"/>
            <w:tcBorders>
              <w:top w:val="single" w:sz="4" w:space="0" w:color="auto"/>
              <w:bottom w:val="single" w:sz="4" w:space="0" w:color="auto"/>
            </w:tcBorders>
            <w:shd w:val="clear" w:color="auto" w:fill="8EAADB" w:themeFill="accent5" w:themeFillTint="99"/>
            <w:noWrap/>
            <w:hideMark/>
          </w:tcPr>
          <w:p w14:paraId="05FCA3EA" w14:textId="44A0D9CF" w:rsidR="00A13ADB" w:rsidRPr="001E4AC5" w:rsidRDefault="00AC7D6B" w:rsidP="001E4AC5">
            <w:pPr>
              <w:spacing w:line="240" w:lineRule="auto"/>
              <w:jc w:val="center"/>
              <w:rPr>
                <w:b/>
                <w:color w:val="000000"/>
                <w:sz w:val="20"/>
                <w:szCs w:val="20"/>
              </w:rPr>
            </w:pPr>
            <w:r w:rsidRPr="001E4AC5">
              <w:rPr>
                <w:b/>
                <w:color w:val="000000"/>
                <w:sz w:val="20"/>
                <w:szCs w:val="20"/>
              </w:rPr>
              <w:t>Year/ Country</w:t>
            </w:r>
          </w:p>
        </w:tc>
        <w:tc>
          <w:tcPr>
            <w:tcW w:w="1129" w:type="dxa"/>
            <w:tcBorders>
              <w:top w:val="single" w:sz="4" w:space="0" w:color="auto"/>
              <w:bottom w:val="single" w:sz="4" w:space="0" w:color="auto"/>
            </w:tcBorders>
            <w:shd w:val="clear" w:color="auto" w:fill="8EAADB" w:themeFill="accent5" w:themeFillTint="99"/>
            <w:noWrap/>
            <w:hideMark/>
          </w:tcPr>
          <w:p w14:paraId="4828EF45" w14:textId="77777777" w:rsidR="00A13ADB" w:rsidRPr="001E4AC5" w:rsidRDefault="00A13ADB" w:rsidP="001E4AC5">
            <w:pPr>
              <w:spacing w:line="240" w:lineRule="auto"/>
              <w:jc w:val="center"/>
              <w:rPr>
                <w:b/>
                <w:color w:val="000000"/>
                <w:sz w:val="20"/>
                <w:szCs w:val="20"/>
              </w:rPr>
            </w:pPr>
            <w:r w:rsidRPr="001E4AC5">
              <w:rPr>
                <w:b/>
                <w:color w:val="000000"/>
                <w:sz w:val="20"/>
                <w:szCs w:val="20"/>
              </w:rPr>
              <w:t>China</w:t>
            </w:r>
          </w:p>
        </w:tc>
        <w:tc>
          <w:tcPr>
            <w:tcW w:w="1134" w:type="dxa"/>
            <w:tcBorders>
              <w:top w:val="single" w:sz="4" w:space="0" w:color="auto"/>
              <w:bottom w:val="single" w:sz="4" w:space="0" w:color="auto"/>
            </w:tcBorders>
            <w:shd w:val="clear" w:color="auto" w:fill="8EAADB" w:themeFill="accent5" w:themeFillTint="99"/>
            <w:noWrap/>
            <w:hideMark/>
          </w:tcPr>
          <w:p w14:paraId="65700ACC" w14:textId="77777777" w:rsidR="00A13ADB" w:rsidRPr="001E4AC5" w:rsidRDefault="00A13ADB" w:rsidP="001E4AC5">
            <w:pPr>
              <w:spacing w:line="240" w:lineRule="auto"/>
              <w:jc w:val="center"/>
              <w:rPr>
                <w:b/>
                <w:color w:val="000000"/>
                <w:sz w:val="20"/>
                <w:szCs w:val="20"/>
              </w:rPr>
            </w:pPr>
            <w:r w:rsidRPr="001E4AC5">
              <w:rPr>
                <w:b/>
                <w:color w:val="000000"/>
                <w:sz w:val="20"/>
                <w:szCs w:val="20"/>
              </w:rPr>
              <w:t>India</w:t>
            </w:r>
          </w:p>
        </w:tc>
        <w:tc>
          <w:tcPr>
            <w:tcW w:w="1417" w:type="dxa"/>
            <w:tcBorders>
              <w:top w:val="single" w:sz="4" w:space="0" w:color="auto"/>
              <w:bottom w:val="single" w:sz="4" w:space="0" w:color="auto"/>
            </w:tcBorders>
            <w:shd w:val="clear" w:color="auto" w:fill="8EAADB" w:themeFill="accent5" w:themeFillTint="99"/>
            <w:noWrap/>
            <w:hideMark/>
          </w:tcPr>
          <w:p w14:paraId="165B210F" w14:textId="6BE7FB62" w:rsidR="00A13ADB" w:rsidRPr="001E4AC5" w:rsidRDefault="00AD4866" w:rsidP="001E4AC5">
            <w:pPr>
              <w:spacing w:line="240" w:lineRule="auto"/>
              <w:jc w:val="center"/>
              <w:rPr>
                <w:b/>
                <w:color w:val="000000"/>
                <w:sz w:val="20"/>
                <w:szCs w:val="20"/>
              </w:rPr>
            </w:pPr>
            <w:r w:rsidRPr="001E4AC5">
              <w:rPr>
                <w:b/>
                <w:color w:val="000000"/>
                <w:sz w:val="20"/>
                <w:szCs w:val="20"/>
              </w:rPr>
              <w:t>Netherland</w:t>
            </w:r>
          </w:p>
        </w:tc>
        <w:tc>
          <w:tcPr>
            <w:tcW w:w="1276" w:type="dxa"/>
            <w:tcBorders>
              <w:top w:val="single" w:sz="4" w:space="0" w:color="auto"/>
              <w:bottom w:val="single" w:sz="4" w:space="0" w:color="auto"/>
            </w:tcBorders>
            <w:shd w:val="clear" w:color="auto" w:fill="8EAADB" w:themeFill="accent5" w:themeFillTint="99"/>
            <w:noWrap/>
            <w:hideMark/>
          </w:tcPr>
          <w:p w14:paraId="410FF3F9" w14:textId="77777777" w:rsidR="00A13ADB" w:rsidRPr="001E4AC5" w:rsidRDefault="00A13ADB" w:rsidP="001E4AC5">
            <w:pPr>
              <w:spacing w:line="240" w:lineRule="auto"/>
              <w:jc w:val="center"/>
              <w:rPr>
                <w:b/>
                <w:color w:val="000000"/>
                <w:sz w:val="20"/>
                <w:szCs w:val="20"/>
              </w:rPr>
            </w:pPr>
            <w:r w:rsidRPr="001E4AC5">
              <w:rPr>
                <w:b/>
                <w:color w:val="000000"/>
                <w:sz w:val="20"/>
                <w:szCs w:val="20"/>
              </w:rPr>
              <w:t>Pakistan</w:t>
            </w:r>
          </w:p>
        </w:tc>
        <w:tc>
          <w:tcPr>
            <w:tcW w:w="1559" w:type="dxa"/>
            <w:tcBorders>
              <w:top w:val="single" w:sz="4" w:space="0" w:color="auto"/>
              <w:bottom w:val="single" w:sz="4" w:space="0" w:color="auto"/>
            </w:tcBorders>
            <w:shd w:val="clear" w:color="auto" w:fill="8EAADB" w:themeFill="accent5" w:themeFillTint="99"/>
            <w:noWrap/>
            <w:hideMark/>
          </w:tcPr>
          <w:p w14:paraId="1C0F61CA" w14:textId="13B1885E" w:rsidR="00A13ADB" w:rsidRPr="001E4AC5" w:rsidRDefault="00AD4866" w:rsidP="001E4AC5">
            <w:pPr>
              <w:spacing w:line="240" w:lineRule="auto"/>
              <w:jc w:val="center"/>
              <w:rPr>
                <w:b/>
                <w:color w:val="000000"/>
                <w:sz w:val="20"/>
                <w:szCs w:val="20"/>
              </w:rPr>
            </w:pPr>
            <w:r w:rsidRPr="001E4AC5">
              <w:rPr>
                <w:b/>
                <w:color w:val="000000"/>
                <w:sz w:val="20"/>
                <w:szCs w:val="20"/>
              </w:rPr>
              <w:t>U</w:t>
            </w:r>
            <w:r w:rsidR="008C371B" w:rsidRPr="001E4AC5">
              <w:rPr>
                <w:b/>
                <w:color w:val="000000"/>
                <w:sz w:val="20"/>
                <w:szCs w:val="20"/>
              </w:rPr>
              <w:t>S</w:t>
            </w:r>
          </w:p>
        </w:tc>
      </w:tr>
      <w:tr w:rsidR="006903FC" w:rsidRPr="001E4AC5" w14:paraId="7FAD14CF" w14:textId="77777777" w:rsidTr="00843C29">
        <w:trPr>
          <w:trHeight w:val="70"/>
          <w:jc w:val="center"/>
        </w:trPr>
        <w:tc>
          <w:tcPr>
            <w:tcW w:w="1560" w:type="dxa"/>
            <w:tcBorders>
              <w:top w:val="single" w:sz="4" w:space="0" w:color="auto"/>
            </w:tcBorders>
            <w:shd w:val="clear" w:color="auto" w:fill="auto"/>
            <w:noWrap/>
            <w:vAlign w:val="center"/>
            <w:hideMark/>
          </w:tcPr>
          <w:p w14:paraId="1D5DFE2E" w14:textId="77777777" w:rsidR="006903FC" w:rsidRPr="001E4AC5" w:rsidRDefault="006903FC" w:rsidP="001E4AC5">
            <w:pPr>
              <w:spacing w:line="240" w:lineRule="auto"/>
              <w:jc w:val="center"/>
              <w:rPr>
                <w:color w:val="000000"/>
                <w:sz w:val="20"/>
                <w:szCs w:val="20"/>
              </w:rPr>
            </w:pPr>
            <w:r w:rsidRPr="001E4AC5">
              <w:rPr>
                <w:color w:val="000000"/>
                <w:sz w:val="20"/>
                <w:szCs w:val="20"/>
              </w:rPr>
              <w:t>2000</w:t>
            </w:r>
          </w:p>
        </w:tc>
        <w:tc>
          <w:tcPr>
            <w:tcW w:w="1129" w:type="dxa"/>
            <w:tcBorders>
              <w:top w:val="single" w:sz="4" w:space="0" w:color="auto"/>
            </w:tcBorders>
            <w:shd w:val="clear" w:color="auto" w:fill="auto"/>
            <w:noWrap/>
            <w:vAlign w:val="center"/>
            <w:hideMark/>
          </w:tcPr>
          <w:p w14:paraId="39ECF81D" w14:textId="2300F53D" w:rsidR="006903FC" w:rsidRPr="001E4AC5" w:rsidRDefault="006903FC" w:rsidP="001E4AC5">
            <w:pPr>
              <w:spacing w:line="240" w:lineRule="auto"/>
              <w:jc w:val="center"/>
              <w:rPr>
                <w:color w:val="000000"/>
                <w:sz w:val="20"/>
                <w:szCs w:val="20"/>
              </w:rPr>
            </w:pPr>
            <w:r w:rsidRPr="001E4AC5">
              <w:rPr>
                <w:color w:val="000000"/>
                <w:sz w:val="20"/>
                <w:szCs w:val="20"/>
                <w:lang w:val="ms-MY"/>
              </w:rPr>
              <w:t>0.859</w:t>
            </w:r>
          </w:p>
        </w:tc>
        <w:tc>
          <w:tcPr>
            <w:tcW w:w="1134" w:type="dxa"/>
            <w:tcBorders>
              <w:top w:val="single" w:sz="4" w:space="0" w:color="auto"/>
            </w:tcBorders>
            <w:shd w:val="clear" w:color="auto" w:fill="auto"/>
            <w:noWrap/>
            <w:vAlign w:val="center"/>
            <w:hideMark/>
          </w:tcPr>
          <w:p w14:paraId="52F73C5D" w14:textId="2BF31323" w:rsidR="006903FC" w:rsidRPr="001E4AC5" w:rsidRDefault="006903FC" w:rsidP="001E4AC5">
            <w:pPr>
              <w:spacing w:line="240" w:lineRule="auto"/>
              <w:jc w:val="center"/>
              <w:rPr>
                <w:color w:val="000000"/>
                <w:sz w:val="20"/>
                <w:szCs w:val="20"/>
              </w:rPr>
            </w:pPr>
            <w:r w:rsidRPr="001E4AC5">
              <w:rPr>
                <w:color w:val="000000"/>
                <w:sz w:val="20"/>
                <w:szCs w:val="20"/>
                <w:lang w:val="ms-MY"/>
              </w:rPr>
              <w:t>0.733</w:t>
            </w:r>
          </w:p>
        </w:tc>
        <w:tc>
          <w:tcPr>
            <w:tcW w:w="1417" w:type="dxa"/>
            <w:tcBorders>
              <w:top w:val="single" w:sz="4" w:space="0" w:color="auto"/>
            </w:tcBorders>
            <w:shd w:val="clear" w:color="auto" w:fill="auto"/>
            <w:noWrap/>
            <w:vAlign w:val="center"/>
            <w:hideMark/>
          </w:tcPr>
          <w:p w14:paraId="71D38EBA" w14:textId="436DC489" w:rsidR="006903FC" w:rsidRPr="001E4AC5" w:rsidRDefault="006903FC" w:rsidP="001E4AC5">
            <w:pPr>
              <w:spacing w:line="240" w:lineRule="auto"/>
              <w:jc w:val="center"/>
              <w:rPr>
                <w:color w:val="000000"/>
                <w:sz w:val="20"/>
                <w:szCs w:val="20"/>
              </w:rPr>
            </w:pPr>
            <w:r w:rsidRPr="001E4AC5">
              <w:rPr>
                <w:color w:val="000000"/>
                <w:sz w:val="20"/>
                <w:szCs w:val="20"/>
                <w:lang w:val="ms-MY"/>
              </w:rPr>
              <w:t>0.773</w:t>
            </w:r>
          </w:p>
        </w:tc>
        <w:tc>
          <w:tcPr>
            <w:tcW w:w="1276" w:type="dxa"/>
            <w:tcBorders>
              <w:top w:val="single" w:sz="4" w:space="0" w:color="auto"/>
            </w:tcBorders>
            <w:shd w:val="clear" w:color="auto" w:fill="auto"/>
            <w:noWrap/>
            <w:vAlign w:val="center"/>
            <w:hideMark/>
          </w:tcPr>
          <w:p w14:paraId="5C1778B2" w14:textId="20C41C66" w:rsidR="006903FC" w:rsidRPr="001E4AC5" w:rsidRDefault="006903FC" w:rsidP="001E4AC5">
            <w:pPr>
              <w:spacing w:line="240" w:lineRule="auto"/>
              <w:jc w:val="center"/>
              <w:rPr>
                <w:color w:val="000000"/>
                <w:sz w:val="20"/>
                <w:szCs w:val="20"/>
              </w:rPr>
            </w:pPr>
            <w:r w:rsidRPr="001E4AC5">
              <w:rPr>
                <w:color w:val="000000"/>
                <w:sz w:val="20"/>
                <w:szCs w:val="20"/>
                <w:lang w:val="ms-MY"/>
              </w:rPr>
              <w:t>0.792</w:t>
            </w:r>
          </w:p>
        </w:tc>
        <w:tc>
          <w:tcPr>
            <w:tcW w:w="1559" w:type="dxa"/>
            <w:tcBorders>
              <w:top w:val="single" w:sz="4" w:space="0" w:color="auto"/>
            </w:tcBorders>
            <w:shd w:val="clear" w:color="auto" w:fill="auto"/>
            <w:noWrap/>
            <w:vAlign w:val="center"/>
            <w:hideMark/>
          </w:tcPr>
          <w:p w14:paraId="0B7E19B6" w14:textId="05451975" w:rsidR="006903FC" w:rsidRPr="001E4AC5" w:rsidRDefault="006903FC" w:rsidP="001E4AC5">
            <w:pPr>
              <w:spacing w:line="240" w:lineRule="auto"/>
              <w:jc w:val="center"/>
              <w:rPr>
                <w:color w:val="000000"/>
                <w:sz w:val="20"/>
                <w:szCs w:val="20"/>
              </w:rPr>
            </w:pPr>
            <w:r w:rsidRPr="001E4AC5">
              <w:rPr>
                <w:color w:val="000000"/>
                <w:sz w:val="20"/>
                <w:szCs w:val="20"/>
                <w:lang w:val="ms-MY"/>
              </w:rPr>
              <w:t>0.147</w:t>
            </w:r>
          </w:p>
        </w:tc>
      </w:tr>
      <w:tr w:rsidR="006903FC" w:rsidRPr="001E4AC5" w14:paraId="7D245B23" w14:textId="77777777" w:rsidTr="00843C29">
        <w:trPr>
          <w:trHeight w:val="70"/>
          <w:jc w:val="center"/>
        </w:trPr>
        <w:tc>
          <w:tcPr>
            <w:tcW w:w="1560" w:type="dxa"/>
            <w:shd w:val="clear" w:color="auto" w:fill="auto"/>
            <w:noWrap/>
            <w:vAlign w:val="center"/>
            <w:hideMark/>
          </w:tcPr>
          <w:p w14:paraId="2E044428" w14:textId="77777777" w:rsidR="006903FC" w:rsidRPr="001E4AC5" w:rsidRDefault="006903FC" w:rsidP="001E4AC5">
            <w:pPr>
              <w:spacing w:line="240" w:lineRule="auto"/>
              <w:jc w:val="center"/>
              <w:rPr>
                <w:color w:val="000000"/>
                <w:sz w:val="20"/>
                <w:szCs w:val="20"/>
              </w:rPr>
            </w:pPr>
            <w:r w:rsidRPr="001E4AC5">
              <w:rPr>
                <w:color w:val="000000"/>
                <w:sz w:val="20"/>
                <w:szCs w:val="20"/>
              </w:rPr>
              <w:t>2001</w:t>
            </w:r>
          </w:p>
        </w:tc>
        <w:tc>
          <w:tcPr>
            <w:tcW w:w="1129" w:type="dxa"/>
            <w:shd w:val="clear" w:color="auto" w:fill="auto"/>
            <w:noWrap/>
            <w:vAlign w:val="center"/>
            <w:hideMark/>
          </w:tcPr>
          <w:p w14:paraId="74B78F37" w14:textId="3FFBBAFA" w:rsidR="006903FC" w:rsidRPr="001E4AC5" w:rsidRDefault="006903FC" w:rsidP="001E4AC5">
            <w:pPr>
              <w:spacing w:line="240" w:lineRule="auto"/>
              <w:jc w:val="center"/>
              <w:rPr>
                <w:color w:val="000000"/>
                <w:sz w:val="20"/>
                <w:szCs w:val="20"/>
              </w:rPr>
            </w:pPr>
            <w:r w:rsidRPr="001E4AC5">
              <w:rPr>
                <w:color w:val="000000"/>
                <w:sz w:val="20"/>
                <w:szCs w:val="20"/>
                <w:lang w:val="ms-MY"/>
              </w:rPr>
              <w:t>0.881</w:t>
            </w:r>
          </w:p>
        </w:tc>
        <w:tc>
          <w:tcPr>
            <w:tcW w:w="1134" w:type="dxa"/>
            <w:shd w:val="clear" w:color="auto" w:fill="auto"/>
            <w:noWrap/>
            <w:vAlign w:val="center"/>
            <w:hideMark/>
          </w:tcPr>
          <w:p w14:paraId="40FE2545" w14:textId="4DEB4E96" w:rsidR="006903FC" w:rsidRPr="001E4AC5" w:rsidRDefault="006903FC" w:rsidP="001E4AC5">
            <w:pPr>
              <w:spacing w:line="240" w:lineRule="auto"/>
              <w:jc w:val="center"/>
              <w:rPr>
                <w:color w:val="000000"/>
                <w:sz w:val="20"/>
                <w:szCs w:val="20"/>
              </w:rPr>
            </w:pPr>
            <w:r w:rsidRPr="001E4AC5">
              <w:rPr>
                <w:color w:val="000000"/>
                <w:sz w:val="20"/>
                <w:szCs w:val="20"/>
                <w:lang w:val="ms-MY"/>
              </w:rPr>
              <w:t>0.771</w:t>
            </w:r>
          </w:p>
        </w:tc>
        <w:tc>
          <w:tcPr>
            <w:tcW w:w="1417" w:type="dxa"/>
            <w:shd w:val="clear" w:color="auto" w:fill="auto"/>
            <w:noWrap/>
            <w:vAlign w:val="center"/>
            <w:hideMark/>
          </w:tcPr>
          <w:p w14:paraId="70E89E4E" w14:textId="4D0B1892" w:rsidR="006903FC" w:rsidRPr="001E4AC5" w:rsidRDefault="006903FC" w:rsidP="001E4AC5">
            <w:pPr>
              <w:spacing w:line="240" w:lineRule="auto"/>
              <w:jc w:val="center"/>
              <w:rPr>
                <w:color w:val="000000"/>
                <w:sz w:val="20"/>
                <w:szCs w:val="20"/>
              </w:rPr>
            </w:pPr>
            <w:r w:rsidRPr="001E4AC5">
              <w:rPr>
                <w:color w:val="000000"/>
                <w:sz w:val="20"/>
                <w:szCs w:val="20"/>
                <w:lang w:val="ms-MY"/>
              </w:rPr>
              <w:t>0.807</w:t>
            </w:r>
          </w:p>
        </w:tc>
        <w:tc>
          <w:tcPr>
            <w:tcW w:w="1276" w:type="dxa"/>
            <w:shd w:val="clear" w:color="auto" w:fill="auto"/>
            <w:noWrap/>
            <w:vAlign w:val="center"/>
            <w:hideMark/>
          </w:tcPr>
          <w:p w14:paraId="270E192A" w14:textId="32D08AB1" w:rsidR="006903FC" w:rsidRPr="001E4AC5" w:rsidRDefault="006903FC" w:rsidP="001E4AC5">
            <w:pPr>
              <w:spacing w:line="240" w:lineRule="auto"/>
              <w:jc w:val="center"/>
              <w:rPr>
                <w:color w:val="000000"/>
                <w:sz w:val="20"/>
                <w:szCs w:val="20"/>
              </w:rPr>
            </w:pPr>
            <w:r w:rsidRPr="001E4AC5">
              <w:rPr>
                <w:color w:val="000000"/>
                <w:sz w:val="20"/>
                <w:szCs w:val="20"/>
                <w:lang w:val="ms-MY"/>
              </w:rPr>
              <w:t>0.823</w:t>
            </w:r>
          </w:p>
        </w:tc>
        <w:tc>
          <w:tcPr>
            <w:tcW w:w="1559" w:type="dxa"/>
            <w:shd w:val="clear" w:color="auto" w:fill="auto"/>
            <w:noWrap/>
            <w:vAlign w:val="center"/>
            <w:hideMark/>
          </w:tcPr>
          <w:p w14:paraId="62E8196D" w14:textId="1E5BDD80" w:rsidR="006903FC" w:rsidRPr="001E4AC5" w:rsidRDefault="006903FC" w:rsidP="001E4AC5">
            <w:pPr>
              <w:spacing w:line="240" w:lineRule="auto"/>
              <w:jc w:val="center"/>
              <w:rPr>
                <w:color w:val="000000"/>
                <w:sz w:val="20"/>
                <w:szCs w:val="20"/>
              </w:rPr>
            </w:pPr>
            <w:r w:rsidRPr="001E4AC5">
              <w:rPr>
                <w:color w:val="000000"/>
                <w:sz w:val="20"/>
                <w:szCs w:val="20"/>
                <w:lang w:val="ms-MY"/>
              </w:rPr>
              <w:t>0.204</w:t>
            </w:r>
          </w:p>
        </w:tc>
      </w:tr>
      <w:tr w:rsidR="006903FC" w:rsidRPr="001E4AC5" w14:paraId="1DA00084" w14:textId="77777777" w:rsidTr="00843C29">
        <w:trPr>
          <w:trHeight w:val="70"/>
          <w:jc w:val="center"/>
        </w:trPr>
        <w:tc>
          <w:tcPr>
            <w:tcW w:w="1560" w:type="dxa"/>
            <w:shd w:val="clear" w:color="auto" w:fill="auto"/>
            <w:noWrap/>
            <w:vAlign w:val="center"/>
            <w:hideMark/>
          </w:tcPr>
          <w:p w14:paraId="76C9472C" w14:textId="77777777" w:rsidR="006903FC" w:rsidRPr="001E4AC5" w:rsidRDefault="006903FC" w:rsidP="001E4AC5">
            <w:pPr>
              <w:spacing w:line="240" w:lineRule="auto"/>
              <w:jc w:val="center"/>
              <w:rPr>
                <w:color w:val="000000"/>
                <w:sz w:val="20"/>
                <w:szCs w:val="20"/>
              </w:rPr>
            </w:pPr>
            <w:r w:rsidRPr="001E4AC5">
              <w:rPr>
                <w:color w:val="000000"/>
                <w:sz w:val="20"/>
                <w:szCs w:val="20"/>
              </w:rPr>
              <w:t>2002</w:t>
            </w:r>
          </w:p>
        </w:tc>
        <w:tc>
          <w:tcPr>
            <w:tcW w:w="1129" w:type="dxa"/>
            <w:shd w:val="clear" w:color="auto" w:fill="auto"/>
            <w:noWrap/>
            <w:vAlign w:val="center"/>
            <w:hideMark/>
          </w:tcPr>
          <w:p w14:paraId="22BC4DC2" w14:textId="3D5C8026" w:rsidR="006903FC" w:rsidRPr="001E4AC5" w:rsidRDefault="006903FC" w:rsidP="001E4AC5">
            <w:pPr>
              <w:spacing w:line="240" w:lineRule="auto"/>
              <w:jc w:val="center"/>
              <w:rPr>
                <w:color w:val="000000"/>
                <w:sz w:val="20"/>
                <w:szCs w:val="20"/>
              </w:rPr>
            </w:pPr>
            <w:r w:rsidRPr="001E4AC5">
              <w:rPr>
                <w:color w:val="000000"/>
                <w:sz w:val="20"/>
                <w:szCs w:val="20"/>
                <w:lang w:val="ms-MY"/>
              </w:rPr>
              <w:t>0.900</w:t>
            </w:r>
          </w:p>
        </w:tc>
        <w:tc>
          <w:tcPr>
            <w:tcW w:w="1134" w:type="dxa"/>
            <w:shd w:val="clear" w:color="auto" w:fill="auto"/>
            <w:noWrap/>
            <w:vAlign w:val="center"/>
            <w:hideMark/>
          </w:tcPr>
          <w:p w14:paraId="2CFFDF2C" w14:textId="262972B5" w:rsidR="006903FC" w:rsidRPr="001E4AC5" w:rsidRDefault="006903FC" w:rsidP="001E4AC5">
            <w:pPr>
              <w:spacing w:line="240" w:lineRule="auto"/>
              <w:jc w:val="center"/>
              <w:rPr>
                <w:color w:val="000000"/>
                <w:sz w:val="20"/>
                <w:szCs w:val="20"/>
              </w:rPr>
            </w:pPr>
            <w:r w:rsidRPr="001E4AC5">
              <w:rPr>
                <w:color w:val="000000"/>
                <w:sz w:val="20"/>
                <w:szCs w:val="20"/>
                <w:lang w:val="ms-MY"/>
              </w:rPr>
              <w:t>0.805</w:t>
            </w:r>
          </w:p>
        </w:tc>
        <w:tc>
          <w:tcPr>
            <w:tcW w:w="1417" w:type="dxa"/>
            <w:shd w:val="clear" w:color="auto" w:fill="auto"/>
            <w:noWrap/>
            <w:vAlign w:val="center"/>
            <w:hideMark/>
          </w:tcPr>
          <w:p w14:paraId="6F2170B3" w14:textId="013D3EF8" w:rsidR="006903FC" w:rsidRPr="001E4AC5" w:rsidRDefault="006903FC" w:rsidP="001E4AC5">
            <w:pPr>
              <w:spacing w:line="240" w:lineRule="auto"/>
              <w:jc w:val="center"/>
              <w:rPr>
                <w:color w:val="000000"/>
                <w:sz w:val="20"/>
                <w:szCs w:val="20"/>
              </w:rPr>
            </w:pPr>
            <w:r w:rsidRPr="001E4AC5">
              <w:rPr>
                <w:color w:val="000000"/>
                <w:sz w:val="20"/>
                <w:szCs w:val="20"/>
                <w:lang w:val="ms-MY"/>
              </w:rPr>
              <w:t>0.836</w:t>
            </w:r>
          </w:p>
        </w:tc>
        <w:tc>
          <w:tcPr>
            <w:tcW w:w="1276" w:type="dxa"/>
            <w:shd w:val="clear" w:color="auto" w:fill="auto"/>
            <w:noWrap/>
            <w:vAlign w:val="center"/>
            <w:hideMark/>
          </w:tcPr>
          <w:p w14:paraId="70ED7B6F" w14:textId="556DE3C3" w:rsidR="006903FC" w:rsidRPr="001E4AC5" w:rsidRDefault="006903FC" w:rsidP="001E4AC5">
            <w:pPr>
              <w:spacing w:line="240" w:lineRule="auto"/>
              <w:jc w:val="center"/>
              <w:rPr>
                <w:color w:val="000000"/>
                <w:sz w:val="20"/>
                <w:szCs w:val="20"/>
              </w:rPr>
            </w:pPr>
            <w:r w:rsidRPr="001E4AC5">
              <w:rPr>
                <w:color w:val="000000"/>
                <w:sz w:val="20"/>
                <w:szCs w:val="20"/>
                <w:lang w:val="ms-MY"/>
              </w:rPr>
              <w:t>0.850</w:t>
            </w:r>
          </w:p>
        </w:tc>
        <w:tc>
          <w:tcPr>
            <w:tcW w:w="1559" w:type="dxa"/>
            <w:shd w:val="clear" w:color="auto" w:fill="auto"/>
            <w:noWrap/>
            <w:vAlign w:val="center"/>
            <w:hideMark/>
          </w:tcPr>
          <w:p w14:paraId="61A54DA1" w14:textId="4AF7E2F7" w:rsidR="006903FC" w:rsidRPr="001E4AC5" w:rsidRDefault="006903FC" w:rsidP="001E4AC5">
            <w:pPr>
              <w:spacing w:line="240" w:lineRule="auto"/>
              <w:jc w:val="center"/>
              <w:rPr>
                <w:color w:val="000000"/>
                <w:sz w:val="20"/>
                <w:szCs w:val="20"/>
              </w:rPr>
            </w:pPr>
            <w:r w:rsidRPr="001E4AC5">
              <w:rPr>
                <w:color w:val="000000"/>
                <w:sz w:val="20"/>
                <w:szCs w:val="20"/>
                <w:lang w:val="ms-MY"/>
              </w:rPr>
              <w:t>0.268</w:t>
            </w:r>
          </w:p>
        </w:tc>
      </w:tr>
      <w:tr w:rsidR="006903FC" w:rsidRPr="001E4AC5" w14:paraId="5CECF1C3" w14:textId="77777777" w:rsidTr="00843C29">
        <w:trPr>
          <w:trHeight w:val="70"/>
          <w:jc w:val="center"/>
        </w:trPr>
        <w:tc>
          <w:tcPr>
            <w:tcW w:w="1560" w:type="dxa"/>
            <w:shd w:val="clear" w:color="auto" w:fill="auto"/>
            <w:noWrap/>
            <w:vAlign w:val="center"/>
            <w:hideMark/>
          </w:tcPr>
          <w:p w14:paraId="1E40986E" w14:textId="77777777" w:rsidR="006903FC" w:rsidRPr="001E4AC5" w:rsidRDefault="006903FC" w:rsidP="001E4AC5">
            <w:pPr>
              <w:spacing w:line="240" w:lineRule="auto"/>
              <w:jc w:val="center"/>
              <w:rPr>
                <w:color w:val="000000"/>
                <w:sz w:val="20"/>
                <w:szCs w:val="20"/>
              </w:rPr>
            </w:pPr>
            <w:r w:rsidRPr="001E4AC5">
              <w:rPr>
                <w:color w:val="000000"/>
                <w:sz w:val="20"/>
                <w:szCs w:val="20"/>
              </w:rPr>
              <w:lastRenderedPageBreak/>
              <w:t>2003</w:t>
            </w:r>
          </w:p>
        </w:tc>
        <w:tc>
          <w:tcPr>
            <w:tcW w:w="1129" w:type="dxa"/>
            <w:shd w:val="clear" w:color="auto" w:fill="auto"/>
            <w:noWrap/>
            <w:vAlign w:val="center"/>
            <w:hideMark/>
          </w:tcPr>
          <w:p w14:paraId="2F246A96" w14:textId="5F9F6CAD" w:rsidR="006903FC" w:rsidRPr="001E4AC5" w:rsidRDefault="006903FC" w:rsidP="001E4AC5">
            <w:pPr>
              <w:spacing w:line="240" w:lineRule="auto"/>
              <w:jc w:val="center"/>
              <w:rPr>
                <w:color w:val="000000"/>
                <w:sz w:val="20"/>
                <w:szCs w:val="20"/>
              </w:rPr>
            </w:pPr>
            <w:r w:rsidRPr="001E4AC5">
              <w:rPr>
                <w:color w:val="000000"/>
                <w:sz w:val="20"/>
                <w:szCs w:val="20"/>
                <w:lang w:val="ms-MY"/>
              </w:rPr>
              <w:t>0.916</w:t>
            </w:r>
          </w:p>
        </w:tc>
        <w:tc>
          <w:tcPr>
            <w:tcW w:w="1134" w:type="dxa"/>
            <w:shd w:val="clear" w:color="auto" w:fill="auto"/>
            <w:noWrap/>
            <w:vAlign w:val="center"/>
            <w:hideMark/>
          </w:tcPr>
          <w:p w14:paraId="2319BFEE" w14:textId="1546A314" w:rsidR="006903FC" w:rsidRPr="001E4AC5" w:rsidRDefault="006903FC" w:rsidP="001E4AC5">
            <w:pPr>
              <w:spacing w:line="240" w:lineRule="auto"/>
              <w:jc w:val="center"/>
              <w:rPr>
                <w:color w:val="000000"/>
                <w:sz w:val="20"/>
                <w:szCs w:val="20"/>
              </w:rPr>
            </w:pPr>
            <w:r w:rsidRPr="001E4AC5">
              <w:rPr>
                <w:color w:val="000000"/>
                <w:sz w:val="20"/>
                <w:szCs w:val="20"/>
                <w:lang w:val="ms-MY"/>
              </w:rPr>
              <w:t>0.835</w:t>
            </w:r>
          </w:p>
        </w:tc>
        <w:tc>
          <w:tcPr>
            <w:tcW w:w="1417" w:type="dxa"/>
            <w:shd w:val="clear" w:color="auto" w:fill="auto"/>
            <w:noWrap/>
            <w:vAlign w:val="center"/>
            <w:hideMark/>
          </w:tcPr>
          <w:p w14:paraId="2DE4D338" w14:textId="3B808D6C" w:rsidR="006903FC" w:rsidRPr="001E4AC5" w:rsidRDefault="006903FC" w:rsidP="001E4AC5">
            <w:pPr>
              <w:spacing w:line="240" w:lineRule="auto"/>
              <w:jc w:val="center"/>
              <w:rPr>
                <w:color w:val="000000"/>
                <w:sz w:val="20"/>
                <w:szCs w:val="20"/>
              </w:rPr>
            </w:pPr>
            <w:r w:rsidRPr="001E4AC5">
              <w:rPr>
                <w:color w:val="000000"/>
                <w:sz w:val="20"/>
                <w:szCs w:val="20"/>
                <w:lang w:val="ms-MY"/>
              </w:rPr>
              <w:t>0.862</w:t>
            </w:r>
          </w:p>
        </w:tc>
        <w:tc>
          <w:tcPr>
            <w:tcW w:w="1276" w:type="dxa"/>
            <w:shd w:val="clear" w:color="auto" w:fill="auto"/>
            <w:noWrap/>
            <w:vAlign w:val="center"/>
            <w:hideMark/>
          </w:tcPr>
          <w:p w14:paraId="3E87E94E" w14:textId="18EAEE34" w:rsidR="006903FC" w:rsidRPr="001E4AC5" w:rsidRDefault="006903FC" w:rsidP="001E4AC5">
            <w:pPr>
              <w:spacing w:line="240" w:lineRule="auto"/>
              <w:jc w:val="center"/>
              <w:rPr>
                <w:color w:val="000000"/>
                <w:sz w:val="20"/>
                <w:szCs w:val="20"/>
              </w:rPr>
            </w:pPr>
            <w:r w:rsidRPr="001E4AC5">
              <w:rPr>
                <w:color w:val="000000"/>
                <w:sz w:val="20"/>
                <w:szCs w:val="20"/>
                <w:lang w:val="ms-MY"/>
              </w:rPr>
              <w:t>0.873</w:t>
            </w:r>
          </w:p>
        </w:tc>
        <w:tc>
          <w:tcPr>
            <w:tcW w:w="1559" w:type="dxa"/>
            <w:shd w:val="clear" w:color="auto" w:fill="auto"/>
            <w:noWrap/>
            <w:vAlign w:val="center"/>
            <w:hideMark/>
          </w:tcPr>
          <w:p w14:paraId="7F0E26A1" w14:textId="12BE910E" w:rsidR="006903FC" w:rsidRPr="001E4AC5" w:rsidRDefault="006903FC" w:rsidP="001E4AC5">
            <w:pPr>
              <w:spacing w:line="240" w:lineRule="auto"/>
              <w:jc w:val="center"/>
              <w:rPr>
                <w:color w:val="000000"/>
                <w:sz w:val="20"/>
                <w:szCs w:val="20"/>
              </w:rPr>
            </w:pPr>
            <w:r w:rsidRPr="001E4AC5">
              <w:rPr>
                <w:color w:val="000000"/>
                <w:sz w:val="20"/>
                <w:szCs w:val="20"/>
                <w:lang w:val="ms-MY"/>
              </w:rPr>
              <w:t>0.336</w:t>
            </w:r>
          </w:p>
        </w:tc>
      </w:tr>
      <w:tr w:rsidR="006903FC" w:rsidRPr="001E4AC5" w14:paraId="515762FA" w14:textId="77777777" w:rsidTr="00843C29">
        <w:trPr>
          <w:trHeight w:val="70"/>
          <w:jc w:val="center"/>
        </w:trPr>
        <w:tc>
          <w:tcPr>
            <w:tcW w:w="1560" w:type="dxa"/>
            <w:shd w:val="clear" w:color="auto" w:fill="auto"/>
            <w:noWrap/>
            <w:vAlign w:val="center"/>
            <w:hideMark/>
          </w:tcPr>
          <w:p w14:paraId="0903A8AD" w14:textId="77777777" w:rsidR="006903FC" w:rsidRPr="001E4AC5" w:rsidRDefault="006903FC" w:rsidP="001E4AC5">
            <w:pPr>
              <w:spacing w:line="240" w:lineRule="auto"/>
              <w:jc w:val="center"/>
              <w:rPr>
                <w:color w:val="000000"/>
                <w:sz w:val="20"/>
                <w:szCs w:val="20"/>
              </w:rPr>
            </w:pPr>
            <w:r w:rsidRPr="001E4AC5">
              <w:rPr>
                <w:color w:val="000000"/>
                <w:sz w:val="20"/>
                <w:szCs w:val="20"/>
              </w:rPr>
              <w:t>2004</w:t>
            </w:r>
          </w:p>
        </w:tc>
        <w:tc>
          <w:tcPr>
            <w:tcW w:w="1129" w:type="dxa"/>
            <w:shd w:val="clear" w:color="auto" w:fill="auto"/>
            <w:noWrap/>
            <w:vAlign w:val="center"/>
            <w:hideMark/>
          </w:tcPr>
          <w:p w14:paraId="6C6A985C" w14:textId="380A4B69" w:rsidR="006903FC" w:rsidRPr="001E4AC5" w:rsidRDefault="006903FC" w:rsidP="001E4AC5">
            <w:pPr>
              <w:spacing w:line="240" w:lineRule="auto"/>
              <w:jc w:val="center"/>
              <w:rPr>
                <w:color w:val="000000"/>
                <w:sz w:val="20"/>
                <w:szCs w:val="20"/>
              </w:rPr>
            </w:pPr>
            <w:r w:rsidRPr="001E4AC5">
              <w:rPr>
                <w:color w:val="000000"/>
                <w:sz w:val="20"/>
                <w:szCs w:val="20"/>
                <w:lang w:val="ms-MY"/>
              </w:rPr>
              <w:t>0.930</w:t>
            </w:r>
          </w:p>
        </w:tc>
        <w:tc>
          <w:tcPr>
            <w:tcW w:w="1134" w:type="dxa"/>
            <w:shd w:val="clear" w:color="auto" w:fill="auto"/>
            <w:noWrap/>
            <w:vAlign w:val="center"/>
            <w:hideMark/>
          </w:tcPr>
          <w:p w14:paraId="5064055F" w14:textId="3F0751A9" w:rsidR="006903FC" w:rsidRPr="001E4AC5" w:rsidRDefault="006903FC" w:rsidP="001E4AC5">
            <w:pPr>
              <w:spacing w:line="240" w:lineRule="auto"/>
              <w:jc w:val="center"/>
              <w:rPr>
                <w:color w:val="000000"/>
                <w:sz w:val="20"/>
                <w:szCs w:val="20"/>
              </w:rPr>
            </w:pPr>
            <w:r w:rsidRPr="001E4AC5">
              <w:rPr>
                <w:color w:val="000000"/>
                <w:sz w:val="20"/>
                <w:szCs w:val="20"/>
                <w:lang w:val="ms-MY"/>
              </w:rPr>
              <w:t>0.861</w:t>
            </w:r>
          </w:p>
        </w:tc>
        <w:tc>
          <w:tcPr>
            <w:tcW w:w="1417" w:type="dxa"/>
            <w:shd w:val="clear" w:color="auto" w:fill="auto"/>
            <w:noWrap/>
            <w:vAlign w:val="center"/>
            <w:hideMark/>
          </w:tcPr>
          <w:p w14:paraId="282EE268" w14:textId="76DCEE11" w:rsidR="006903FC" w:rsidRPr="001E4AC5" w:rsidRDefault="006903FC" w:rsidP="001E4AC5">
            <w:pPr>
              <w:spacing w:line="240" w:lineRule="auto"/>
              <w:jc w:val="center"/>
              <w:rPr>
                <w:color w:val="000000"/>
                <w:sz w:val="20"/>
                <w:szCs w:val="20"/>
              </w:rPr>
            </w:pPr>
            <w:r w:rsidRPr="001E4AC5">
              <w:rPr>
                <w:color w:val="000000"/>
                <w:sz w:val="20"/>
                <w:szCs w:val="20"/>
                <w:lang w:val="ms-MY"/>
              </w:rPr>
              <w:t>0.883</w:t>
            </w:r>
          </w:p>
        </w:tc>
        <w:tc>
          <w:tcPr>
            <w:tcW w:w="1276" w:type="dxa"/>
            <w:shd w:val="clear" w:color="auto" w:fill="auto"/>
            <w:noWrap/>
            <w:vAlign w:val="center"/>
            <w:hideMark/>
          </w:tcPr>
          <w:p w14:paraId="29B081E8" w14:textId="3EFE1D43" w:rsidR="006903FC" w:rsidRPr="001E4AC5" w:rsidRDefault="006903FC" w:rsidP="001E4AC5">
            <w:pPr>
              <w:spacing w:line="240" w:lineRule="auto"/>
              <w:jc w:val="center"/>
              <w:rPr>
                <w:color w:val="000000"/>
                <w:sz w:val="20"/>
                <w:szCs w:val="20"/>
              </w:rPr>
            </w:pPr>
            <w:r w:rsidRPr="001E4AC5">
              <w:rPr>
                <w:color w:val="000000"/>
                <w:sz w:val="20"/>
                <w:szCs w:val="20"/>
                <w:lang w:val="ms-MY"/>
              </w:rPr>
              <w:t>0.894</w:t>
            </w:r>
          </w:p>
        </w:tc>
        <w:tc>
          <w:tcPr>
            <w:tcW w:w="1559" w:type="dxa"/>
            <w:shd w:val="clear" w:color="auto" w:fill="auto"/>
            <w:noWrap/>
            <w:vAlign w:val="center"/>
            <w:hideMark/>
          </w:tcPr>
          <w:p w14:paraId="737457C0" w14:textId="0C6C6C69" w:rsidR="006903FC" w:rsidRPr="001E4AC5" w:rsidRDefault="006903FC" w:rsidP="001E4AC5">
            <w:pPr>
              <w:spacing w:line="240" w:lineRule="auto"/>
              <w:jc w:val="center"/>
              <w:rPr>
                <w:color w:val="000000"/>
                <w:sz w:val="20"/>
                <w:szCs w:val="20"/>
              </w:rPr>
            </w:pPr>
            <w:r w:rsidRPr="001E4AC5">
              <w:rPr>
                <w:color w:val="000000"/>
                <w:sz w:val="20"/>
                <w:szCs w:val="20"/>
                <w:lang w:val="ms-MY"/>
              </w:rPr>
              <w:t>0.406</w:t>
            </w:r>
          </w:p>
        </w:tc>
      </w:tr>
      <w:tr w:rsidR="006903FC" w:rsidRPr="001E4AC5" w14:paraId="6F237ADB" w14:textId="77777777" w:rsidTr="00843C29">
        <w:trPr>
          <w:trHeight w:val="83"/>
          <w:jc w:val="center"/>
        </w:trPr>
        <w:tc>
          <w:tcPr>
            <w:tcW w:w="1560" w:type="dxa"/>
            <w:shd w:val="clear" w:color="auto" w:fill="auto"/>
            <w:noWrap/>
            <w:vAlign w:val="center"/>
            <w:hideMark/>
          </w:tcPr>
          <w:p w14:paraId="207CDEF9" w14:textId="77777777" w:rsidR="006903FC" w:rsidRPr="001E4AC5" w:rsidRDefault="006903FC" w:rsidP="001E4AC5">
            <w:pPr>
              <w:spacing w:line="240" w:lineRule="auto"/>
              <w:jc w:val="center"/>
              <w:rPr>
                <w:color w:val="000000"/>
                <w:sz w:val="20"/>
                <w:szCs w:val="20"/>
              </w:rPr>
            </w:pPr>
            <w:r w:rsidRPr="001E4AC5">
              <w:rPr>
                <w:color w:val="000000"/>
                <w:sz w:val="20"/>
                <w:szCs w:val="20"/>
              </w:rPr>
              <w:t>2005</w:t>
            </w:r>
          </w:p>
        </w:tc>
        <w:tc>
          <w:tcPr>
            <w:tcW w:w="1129" w:type="dxa"/>
            <w:shd w:val="clear" w:color="auto" w:fill="auto"/>
            <w:noWrap/>
            <w:vAlign w:val="center"/>
            <w:hideMark/>
          </w:tcPr>
          <w:p w14:paraId="7182BB3D" w14:textId="10C9822A" w:rsidR="006903FC" w:rsidRPr="001E4AC5" w:rsidRDefault="006903FC" w:rsidP="001E4AC5">
            <w:pPr>
              <w:spacing w:line="240" w:lineRule="auto"/>
              <w:jc w:val="center"/>
              <w:rPr>
                <w:color w:val="000000"/>
                <w:sz w:val="20"/>
                <w:szCs w:val="20"/>
              </w:rPr>
            </w:pPr>
            <w:r w:rsidRPr="001E4AC5">
              <w:rPr>
                <w:color w:val="000000"/>
                <w:sz w:val="20"/>
                <w:szCs w:val="20"/>
                <w:lang w:val="ms-MY"/>
              </w:rPr>
              <w:t>0.941</w:t>
            </w:r>
          </w:p>
        </w:tc>
        <w:tc>
          <w:tcPr>
            <w:tcW w:w="1134" w:type="dxa"/>
            <w:shd w:val="clear" w:color="auto" w:fill="auto"/>
            <w:noWrap/>
            <w:vAlign w:val="center"/>
            <w:hideMark/>
          </w:tcPr>
          <w:p w14:paraId="3F56099F" w14:textId="36F3D371" w:rsidR="006903FC" w:rsidRPr="001E4AC5" w:rsidRDefault="006903FC" w:rsidP="001E4AC5">
            <w:pPr>
              <w:spacing w:line="240" w:lineRule="auto"/>
              <w:jc w:val="center"/>
              <w:rPr>
                <w:color w:val="000000"/>
                <w:sz w:val="20"/>
                <w:szCs w:val="20"/>
              </w:rPr>
            </w:pPr>
            <w:r w:rsidRPr="001E4AC5">
              <w:rPr>
                <w:color w:val="000000"/>
                <w:sz w:val="20"/>
                <w:szCs w:val="20"/>
                <w:lang w:val="ms-MY"/>
              </w:rPr>
              <w:t>0.883</w:t>
            </w:r>
          </w:p>
        </w:tc>
        <w:tc>
          <w:tcPr>
            <w:tcW w:w="1417" w:type="dxa"/>
            <w:shd w:val="clear" w:color="auto" w:fill="auto"/>
            <w:noWrap/>
            <w:vAlign w:val="center"/>
            <w:hideMark/>
          </w:tcPr>
          <w:p w14:paraId="62BBF958" w14:textId="71EBDD68" w:rsidR="006903FC" w:rsidRPr="001E4AC5" w:rsidRDefault="006903FC" w:rsidP="001E4AC5">
            <w:pPr>
              <w:spacing w:line="240" w:lineRule="auto"/>
              <w:jc w:val="center"/>
              <w:rPr>
                <w:color w:val="000000"/>
                <w:sz w:val="20"/>
                <w:szCs w:val="20"/>
              </w:rPr>
            </w:pPr>
            <w:r w:rsidRPr="001E4AC5">
              <w:rPr>
                <w:color w:val="000000"/>
                <w:sz w:val="20"/>
                <w:szCs w:val="20"/>
                <w:lang w:val="ms-MY"/>
              </w:rPr>
              <w:t>0.902</w:t>
            </w:r>
          </w:p>
        </w:tc>
        <w:tc>
          <w:tcPr>
            <w:tcW w:w="1276" w:type="dxa"/>
            <w:shd w:val="clear" w:color="auto" w:fill="auto"/>
            <w:noWrap/>
            <w:vAlign w:val="center"/>
            <w:hideMark/>
          </w:tcPr>
          <w:p w14:paraId="605983FA" w14:textId="2AC15339" w:rsidR="006903FC" w:rsidRPr="001E4AC5" w:rsidRDefault="006903FC" w:rsidP="001E4AC5">
            <w:pPr>
              <w:spacing w:line="240" w:lineRule="auto"/>
              <w:jc w:val="center"/>
              <w:rPr>
                <w:color w:val="000000"/>
                <w:sz w:val="20"/>
                <w:szCs w:val="20"/>
              </w:rPr>
            </w:pPr>
            <w:r w:rsidRPr="001E4AC5">
              <w:rPr>
                <w:color w:val="000000"/>
                <w:sz w:val="20"/>
                <w:szCs w:val="20"/>
                <w:lang w:val="ms-MY"/>
              </w:rPr>
              <w:t>0.911</w:t>
            </w:r>
          </w:p>
        </w:tc>
        <w:tc>
          <w:tcPr>
            <w:tcW w:w="1559" w:type="dxa"/>
            <w:shd w:val="clear" w:color="auto" w:fill="auto"/>
            <w:noWrap/>
            <w:vAlign w:val="center"/>
            <w:hideMark/>
          </w:tcPr>
          <w:p w14:paraId="6528F3F2" w14:textId="556C1294" w:rsidR="006903FC" w:rsidRPr="001E4AC5" w:rsidRDefault="006903FC" w:rsidP="001E4AC5">
            <w:pPr>
              <w:spacing w:line="240" w:lineRule="auto"/>
              <w:jc w:val="center"/>
              <w:rPr>
                <w:color w:val="000000"/>
                <w:sz w:val="20"/>
                <w:szCs w:val="20"/>
              </w:rPr>
            </w:pPr>
            <w:r w:rsidRPr="001E4AC5">
              <w:rPr>
                <w:color w:val="000000"/>
                <w:sz w:val="20"/>
                <w:szCs w:val="20"/>
                <w:lang w:val="ms-MY"/>
              </w:rPr>
              <w:t>0.474</w:t>
            </w:r>
          </w:p>
        </w:tc>
      </w:tr>
      <w:tr w:rsidR="006903FC" w:rsidRPr="001E4AC5" w14:paraId="74E58775" w14:textId="77777777" w:rsidTr="00843C29">
        <w:trPr>
          <w:trHeight w:val="70"/>
          <w:jc w:val="center"/>
        </w:trPr>
        <w:tc>
          <w:tcPr>
            <w:tcW w:w="1560" w:type="dxa"/>
            <w:shd w:val="clear" w:color="auto" w:fill="auto"/>
            <w:noWrap/>
            <w:vAlign w:val="center"/>
            <w:hideMark/>
          </w:tcPr>
          <w:p w14:paraId="3F2D0BA2" w14:textId="77777777" w:rsidR="006903FC" w:rsidRPr="001E4AC5" w:rsidRDefault="006903FC" w:rsidP="001E4AC5">
            <w:pPr>
              <w:spacing w:line="240" w:lineRule="auto"/>
              <w:jc w:val="center"/>
              <w:rPr>
                <w:color w:val="000000"/>
                <w:sz w:val="20"/>
                <w:szCs w:val="20"/>
              </w:rPr>
            </w:pPr>
            <w:r w:rsidRPr="001E4AC5">
              <w:rPr>
                <w:color w:val="000000"/>
                <w:sz w:val="20"/>
                <w:szCs w:val="20"/>
              </w:rPr>
              <w:t>2006</w:t>
            </w:r>
          </w:p>
        </w:tc>
        <w:tc>
          <w:tcPr>
            <w:tcW w:w="1129" w:type="dxa"/>
            <w:shd w:val="clear" w:color="auto" w:fill="auto"/>
            <w:noWrap/>
            <w:vAlign w:val="center"/>
            <w:hideMark/>
          </w:tcPr>
          <w:p w14:paraId="3E242B3B" w14:textId="747E884B" w:rsidR="006903FC" w:rsidRPr="001E4AC5" w:rsidRDefault="006903FC" w:rsidP="001E4AC5">
            <w:pPr>
              <w:spacing w:line="240" w:lineRule="auto"/>
              <w:jc w:val="center"/>
              <w:rPr>
                <w:color w:val="000000"/>
                <w:sz w:val="20"/>
                <w:szCs w:val="20"/>
              </w:rPr>
            </w:pPr>
            <w:r w:rsidRPr="001E4AC5">
              <w:rPr>
                <w:color w:val="000000"/>
                <w:sz w:val="20"/>
                <w:szCs w:val="20"/>
                <w:lang w:val="ms-MY"/>
              </w:rPr>
              <w:t>0.951</w:t>
            </w:r>
          </w:p>
        </w:tc>
        <w:tc>
          <w:tcPr>
            <w:tcW w:w="1134" w:type="dxa"/>
            <w:shd w:val="clear" w:color="auto" w:fill="auto"/>
            <w:noWrap/>
            <w:vAlign w:val="center"/>
            <w:hideMark/>
          </w:tcPr>
          <w:p w14:paraId="0C9B470F" w14:textId="667B95EF" w:rsidR="006903FC" w:rsidRPr="001E4AC5" w:rsidRDefault="006903FC" w:rsidP="001E4AC5">
            <w:pPr>
              <w:spacing w:line="240" w:lineRule="auto"/>
              <w:jc w:val="center"/>
              <w:rPr>
                <w:color w:val="000000"/>
                <w:sz w:val="20"/>
                <w:szCs w:val="20"/>
              </w:rPr>
            </w:pPr>
            <w:r w:rsidRPr="001E4AC5">
              <w:rPr>
                <w:color w:val="000000"/>
                <w:sz w:val="20"/>
                <w:szCs w:val="20"/>
                <w:lang w:val="ms-MY"/>
              </w:rPr>
              <w:t>0.902</w:t>
            </w:r>
          </w:p>
        </w:tc>
        <w:tc>
          <w:tcPr>
            <w:tcW w:w="1417" w:type="dxa"/>
            <w:shd w:val="clear" w:color="auto" w:fill="auto"/>
            <w:noWrap/>
            <w:vAlign w:val="center"/>
            <w:hideMark/>
          </w:tcPr>
          <w:p w14:paraId="3C01CF02" w14:textId="14FC2037" w:rsidR="006903FC" w:rsidRPr="001E4AC5" w:rsidRDefault="006903FC" w:rsidP="001E4AC5">
            <w:pPr>
              <w:spacing w:line="240" w:lineRule="auto"/>
              <w:jc w:val="center"/>
              <w:rPr>
                <w:color w:val="000000"/>
                <w:sz w:val="20"/>
                <w:szCs w:val="20"/>
              </w:rPr>
            </w:pPr>
            <w:r w:rsidRPr="001E4AC5">
              <w:rPr>
                <w:color w:val="000000"/>
                <w:sz w:val="20"/>
                <w:szCs w:val="20"/>
                <w:lang w:val="ms-MY"/>
              </w:rPr>
              <w:t>0.918</w:t>
            </w:r>
          </w:p>
        </w:tc>
        <w:tc>
          <w:tcPr>
            <w:tcW w:w="1276" w:type="dxa"/>
            <w:shd w:val="clear" w:color="auto" w:fill="auto"/>
            <w:noWrap/>
            <w:vAlign w:val="center"/>
            <w:hideMark/>
          </w:tcPr>
          <w:p w14:paraId="2C6F6149" w14:textId="0DF7C5F1" w:rsidR="006903FC" w:rsidRPr="001E4AC5" w:rsidRDefault="006903FC" w:rsidP="001E4AC5">
            <w:pPr>
              <w:spacing w:line="240" w:lineRule="auto"/>
              <w:jc w:val="center"/>
              <w:rPr>
                <w:color w:val="000000"/>
                <w:sz w:val="20"/>
                <w:szCs w:val="20"/>
              </w:rPr>
            </w:pPr>
            <w:r w:rsidRPr="001E4AC5">
              <w:rPr>
                <w:color w:val="000000"/>
                <w:sz w:val="20"/>
                <w:szCs w:val="20"/>
                <w:lang w:val="ms-MY"/>
              </w:rPr>
              <w:t>0.925</w:t>
            </w:r>
          </w:p>
        </w:tc>
        <w:tc>
          <w:tcPr>
            <w:tcW w:w="1559" w:type="dxa"/>
            <w:shd w:val="clear" w:color="auto" w:fill="auto"/>
            <w:noWrap/>
            <w:vAlign w:val="center"/>
            <w:hideMark/>
          </w:tcPr>
          <w:p w14:paraId="47F3F407" w14:textId="1BFAFF00" w:rsidR="006903FC" w:rsidRPr="001E4AC5" w:rsidRDefault="006903FC" w:rsidP="001E4AC5">
            <w:pPr>
              <w:spacing w:line="240" w:lineRule="auto"/>
              <w:jc w:val="center"/>
              <w:rPr>
                <w:color w:val="000000"/>
                <w:sz w:val="20"/>
                <w:szCs w:val="20"/>
              </w:rPr>
            </w:pPr>
            <w:r w:rsidRPr="001E4AC5">
              <w:rPr>
                <w:color w:val="000000"/>
                <w:sz w:val="20"/>
                <w:szCs w:val="20"/>
                <w:lang w:val="ms-MY"/>
              </w:rPr>
              <w:t>0.539</w:t>
            </w:r>
          </w:p>
        </w:tc>
      </w:tr>
      <w:tr w:rsidR="006903FC" w:rsidRPr="001E4AC5" w14:paraId="091450C2" w14:textId="77777777" w:rsidTr="00843C29">
        <w:trPr>
          <w:trHeight w:val="70"/>
          <w:jc w:val="center"/>
        </w:trPr>
        <w:tc>
          <w:tcPr>
            <w:tcW w:w="1560" w:type="dxa"/>
            <w:shd w:val="clear" w:color="auto" w:fill="auto"/>
            <w:noWrap/>
            <w:vAlign w:val="center"/>
            <w:hideMark/>
          </w:tcPr>
          <w:p w14:paraId="248A8852" w14:textId="77777777" w:rsidR="006903FC" w:rsidRPr="001E4AC5" w:rsidRDefault="006903FC" w:rsidP="001E4AC5">
            <w:pPr>
              <w:spacing w:line="240" w:lineRule="auto"/>
              <w:jc w:val="center"/>
              <w:rPr>
                <w:color w:val="000000"/>
                <w:sz w:val="20"/>
                <w:szCs w:val="20"/>
              </w:rPr>
            </w:pPr>
            <w:r w:rsidRPr="001E4AC5">
              <w:rPr>
                <w:color w:val="000000"/>
                <w:sz w:val="20"/>
                <w:szCs w:val="20"/>
              </w:rPr>
              <w:t>2007</w:t>
            </w:r>
          </w:p>
        </w:tc>
        <w:tc>
          <w:tcPr>
            <w:tcW w:w="1129" w:type="dxa"/>
            <w:shd w:val="clear" w:color="auto" w:fill="auto"/>
            <w:noWrap/>
            <w:vAlign w:val="center"/>
            <w:hideMark/>
          </w:tcPr>
          <w:p w14:paraId="719C6C28" w14:textId="58E29525" w:rsidR="006903FC" w:rsidRPr="001E4AC5" w:rsidRDefault="006903FC" w:rsidP="001E4AC5">
            <w:pPr>
              <w:spacing w:line="240" w:lineRule="auto"/>
              <w:jc w:val="center"/>
              <w:rPr>
                <w:color w:val="000000"/>
                <w:sz w:val="20"/>
                <w:szCs w:val="20"/>
              </w:rPr>
            </w:pPr>
            <w:r w:rsidRPr="001E4AC5">
              <w:rPr>
                <w:color w:val="000000"/>
                <w:sz w:val="20"/>
                <w:szCs w:val="20"/>
                <w:lang w:val="ms-MY"/>
              </w:rPr>
              <w:t>0.959</w:t>
            </w:r>
          </w:p>
        </w:tc>
        <w:tc>
          <w:tcPr>
            <w:tcW w:w="1134" w:type="dxa"/>
            <w:shd w:val="clear" w:color="auto" w:fill="auto"/>
            <w:noWrap/>
            <w:vAlign w:val="center"/>
            <w:hideMark/>
          </w:tcPr>
          <w:p w14:paraId="18EE277B" w14:textId="6C442071" w:rsidR="006903FC" w:rsidRPr="001E4AC5" w:rsidRDefault="006903FC" w:rsidP="001E4AC5">
            <w:pPr>
              <w:spacing w:line="240" w:lineRule="auto"/>
              <w:jc w:val="center"/>
              <w:rPr>
                <w:color w:val="000000"/>
                <w:sz w:val="20"/>
                <w:szCs w:val="20"/>
              </w:rPr>
            </w:pPr>
            <w:r w:rsidRPr="001E4AC5">
              <w:rPr>
                <w:color w:val="000000"/>
                <w:sz w:val="20"/>
                <w:szCs w:val="20"/>
                <w:lang w:val="ms-MY"/>
              </w:rPr>
              <w:t>0.918</w:t>
            </w:r>
          </w:p>
        </w:tc>
        <w:tc>
          <w:tcPr>
            <w:tcW w:w="1417" w:type="dxa"/>
            <w:shd w:val="clear" w:color="auto" w:fill="auto"/>
            <w:noWrap/>
            <w:vAlign w:val="center"/>
            <w:hideMark/>
          </w:tcPr>
          <w:p w14:paraId="036D515C" w14:textId="11545BF8" w:rsidR="006903FC" w:rsidRPr="001E4AC5" w:rsidRDefault="006903FC" w:rsidP="001E4AC5">
            <w:pPr>
              <w:spacing w:line="240" w:lineRule="auto"/>
              <w:jc w:val="center"/>
              <w:rPr>
                <w:color w:val="000000"/>
                <w:sz w:val="20"/>
                <w:szCs w:val="20"/>
              </w:rPr>
            </w:pPr>
            <w:r w:rsidRPr="001E4AC5">
              <w:rPr>
                <w:color w:val="000000"/>
                <w:sz w:val="20"/>
                <w:szCs w:val="20"/>
                <w:lang w:val="ms-MY"/>
              </w:rPr>
              <w:t>0.932</w:t>
            </w:r>
          </w:p>
        </w:tc>
        <w:tc>
          <w:tcPr>
            <w:tcW w:w="1276" w:type="dxa"/>
            <w:shd w:val="clear" w:color="auto" w:fill="auto"/>
            <w:noWrap/>
            <w:vAlign w:val="center"/>
            <w:hideMark/>
          </w:tcPr>
          <w:p w14:paraId="13D6E854" w14:textId="2CFF319D" w:rsidR="006903FC" w:rsidRPr="001E4AC5" w:rsidRDefault="006903FC" w:rsidP="001E4AC5">
            <w:pPr>
              <w:spacing w:line="240" w:lineRule="auto"/>
              <w:jc w:val="center"/>
              <w:rPr>
                <w:color w:val="000000"/>
                <w:sz w:val="20"/>
                <w:szCs w:val="20"/>
              </w:rPr>
            </w:pPr>
            <w:r w:rsidRPr="001E4AC5">
              <w:rPr>
                <w:color w:val="000000"/>
                <w:sz w:val="20"/>
                <w:szCs w:val="20"/>
                <w:lang w:val="ms-MY"/>
              </w:rPr>
              <w:t>0.938</w:t>
            </w:r>
          </w:p>
        </w:tc>
        <w:tc>
          <w:tcPr>
            <w:tcW w:w="1559" w:type="dxa"/>
            <w:shd w:val="clear" w:color="auto" w:fill="auto"/>
            <w:noWrap/>
            <w:vAlign w:val="center"/>
            <w:hideMark/>
          </w:tcPr>
          <w:p w14:paraId="369B90F1" w14:textId="272747F2" w:rsidR="006903FC" w:rsidRPr="001E4AC5" w:rsidRDefault="006903FC" w:rsidP="001E4AC5">
            <w:pPr>
              <w:spacing w:line="240" w:lineRule="auto"/>
              <w:jc w:val="center"/>
              <w:rPr>
                <w:color w:val="000000"/>
                <w:sz w:val="20"/>
                <w:szCs w:val="20"/>
              </w:rPr>
            </w:pPr>
            <w:r w:rsidRPr="001E4AC5">
              <w:rPr>
                <w:color w:val="000000"/>
                <w:sz w:val="20"/>
                <w:szCs w:val="20"/>
                <w:lang w:val="ms-MY"/>
              </w:rPr>
              <w:t>0.600</w:t>
            </w:r>
          </w:p>
        </w:tc>
      </w:tr>
      <w:tr w:rsidR="006903FC" w:rsidRPr="001E4AC5" w14:paraId="36209CB3" w14:textId="77777777" w:rsidTr="00843C29">
        <w:trPr>
          <w:trHeight w:val="70"/>
          <w:jc w:val="center"/>
        </w:trPr>
        <w:tc>
          <w:tcPr>
            <w:tcW w:w="1560" w:type="dxa"/>
            <w:shd w:val="clear" w:color="auto" w:fill="auto"/>
            <w:noWrap/>
            <w:vAlign w:val="center"/>
            <w:hideMark/>
          </w:tcPr>
          <w:p w14:paraId="6B6AE8D5" w14:textId="77777777" w:rsidR="006903FC" w:rsidRPr="001E4AC5" w:rsidRDefault="006903FC" w:rsidP="001E4AC5">
            <w:pPr>
              <w:spacing w:line="240" w:lineRule="auto"/>
              <w:jc w:val="center"/>
              <w:rPr>
                <w:color w:val="000000"/>
                <w:sz w:val="20"/>
                <w:szCs w:val="20"/>
              </w:rPr>
            </w:pPr>
            <w:r w:rsidRPr="001E4AC5">
              <w:rPr>
                <w:color w:val="000000"/>
                <w:sz w:val="20"/>
                <w:szCs w:val="20"/>
              </w:rPr>
              <w:t>2008</w:t>
            </w:r>
          </w:p>
        </w:tc>
        <w:tc>
          <w:tcPr>
            <w:tcW w:w="1129" w:type="dxa"/>
            <w:shd w:val="clear" w:color="auto" w:fill="auto"/>
            <w:noWrap/>
            <w:vAlign w:val="center"/>
            <w:hideMark/>
          </w:tcPr>
          <w:p w14:paraId="7F7322B8" w14:textId="7BD34E51" w:rsidR="006903FC" w:rsidRPr="001E4AC5" w:rsidRDefault="006903FC" w:rsidP="001E4AC5">
            <w:pPr>
              <w:spacing w:line="240" w:lineRule="auto"/>
              <w:jc w:val="center"/>
              <w:rPr>
                <w:color w:val="000000"/>
                <w:sz w:val="20"/>
                <w:szCs w:val="20"/>
              </w:rPr>
            </w:pPr>
            <w:r w:rsidRPr="001E4AC5">
              <w:rPr>
                <w:color w:val="000000"/>
                <w:sz w:val="20"/>
                <w:szCs w:val="20"/>
                <w:lang w:val="ms-MY"/>
              </w:rPr>
              <w:t>0.966</w:t>
            </w:r>
          </w:p>
        </w:tc>
        <w:tc>
          <w:tcPr>
            <w:tcW w:w="1134" w:type="dxa"/>
            <w:shd w:val="clear" w:color="auto" w:fill="auto"/>
            <w:noWrap/>
            <w:vAlign w:val="center"/>
            <w:hideMark/>
          </w:tcPr>
          <w:p w14:paraId="7F07EA0C" w14:textId="1A69E211" w:rsidR="006903FC" w:rsidRPr="001E4AC5" w:rsidRDefault="006903FC" w:rsidP="001E4AC5">
            <w:pPr>
              <w:spacing w:line="240" w:lineRule="auto"/>
              <w:jc w:val="center"/>
              <w:rPr>
                <w:color w:val="000000"/>
                <w:sz w:val="20"/>
                <w:szCs w:val="20"/>
              </w:rPr>
            </w:pPr>
            <w:r w:rsidRPr="001E4AC5">
              <w:rPr>
                <w:color w:val="000000"/>
                <w:sz w:val="20"/>
                <w:szCs w:val="20"/>
                <w:lang w:val="ms-MY"/>
              </w:rPr>
              <w:t>0.931</w:t>
            </w:r>
          </w:p>
        </w:tc>
        <w:tc>
          <w:tcPr>
            <w:tcW w:w="1417" w:type="dxa"/>
            <w:shd w:val="clear" w:color="auto" w:fill="auto"/>
            <w:noWrap/>
            <w:vAlign w:val="center"/>
            <w:hideMark/>
          </w:tcPr>
          <w:p w14:paraId="6DAABC47" w14:textId="394E359E" w:rsidR="006903FC" w:rsidRPr="001E4AC5" w:rsidRDefault="006903FC" w:rsidP="001E4AC5">
            <w:pPr>
              <w:spacing w:line="240" w:lineRule="auto"/>
              <w:jc w:val="center"/>
              <w:rPr>
                <w:color w:val="000000"/>
                <w:sz w:val="20"/>
                <w:szCs w:val="20"/>
              </w:rPr>
            </w:pPr>
            <w:r w:rsidRPr="001E4AC5">
              <w:rPr>
                <w:color w:val="000000"/>
                <w:sz w:val="20"/>
                <w:szCs w:val="20"/>
                <w:lang w:val="ms-MY"/>
              </w:rPr>
              <w:t>0.943</w:t>
            </w:r>
          </w:p>
        </w:tc>
        <w:tc>
          <w:tcPr>
            <w:tcW w:w="1276" w:type="dxa"/>
            <w:shd w:val="clear" w:color="auto" w:fill="auto"/>
            <w:noWrap/>
            <w:vAlign w:val="center"/>
            <w:hideMark/>
          </w:tcPr>
          <w:p w14:paraId="4A05DB9D" w14:textId="292A26A1" w:rsidR="006903FC" w:rsidRPr="001E4AC5" w:rsidRDefault="006903FC" w:rsidP="001E4AC5">
            <w:pPr>
              <w:spacing w:line="240" w:lineRule="auto"/>
              <w:jc w:val="center"/>
              <w:rPr>
                <w:color w:val="000000"/>
                <w:sz w:val="20"/>
                <w:szCs w:val="20"/>
              </w:rPr>
            </w:pPr>
            <w:r w:rsidRPr="001E4AC5">
              <w:rPr>
                <w:color w:val="000000"/>
                <w:sz w:val="20"/>
                <w:szCs w:val="20"/>
                <w:lang w:val="ms-MY"/>
              </w:rPr>
              <w:t>0.948</w:t>
            </w:r>
          </w:p>
        </w:tc>
        <w:tc>
          <w:tcPr>
            <w:tcW w:w="1559" w:type="dxa"/>
            <w:shd w:val="clear" w:color="auto" w:fill="auto"/>
            <w:noWrap/>
            <w:vAlign w:val="center"/>
            <w:hideMark/>
          </w:tcPr>
          <w:p w14:paraId="5DC6FE8F" w14:textId="3AB97F01" w:rsidR="006903FC" w:rsidRPr="001E4AC5" w:rsidRDefault="006903FC" w:rsidP="001E4AC5">
            <w:pPr>
              <w:spacing w:line="240" w:lineRule="auto"/>
              <w:jc w:val="center"/>
              <w:rPr>
                <w:color w:val="000000"/>
                <w:sz w:val="20"/>
                <w:szCs w:val="20"/>
              </w:rPr>
            </w:pPr>
            <w:r w:rsidRPr="001E4AC5">
              <w:rPr>
                <w:color w:val="000000"/>
                <w:sz w:val="20"/>
                <w:szCs w:val="20"/>
                <w:lang w:val="ms-MY"/>
              </w:rPr>
              <w:t>0.655</w:t>
            </w:r>
          </w:p>
        </w:tc>
      </w:tr>
      <w:tr w:rsidR="006903FC" w:rsidRPr="001E4AC5" w14:paraId="6E8C90AC" w14:textId="77777777" w:rsidTr="00843C29">
        <w:trPr>
          <w:trHeight w:val="70"/>
          <w:jc w:val="center"/>
        </w:trPr>
        <w:tc>
          <w:tcPr>
            <w:tcW w:w="1560" w:type="dxa"/>
            <w:shd w:val="clear" w:color="auto" w:fill="auto"/>
            <w:noWrap/>
            <w:vAlign w:val="center"/>
            <w:hideMark/>
          </w:tcPr>
          <w:p w14:paraId="1C285652" w14:textId="77777777" w:rsidR="006903FC" w:rsidRPr="001E4AC5" w:rsidRDefault="006903FC" w:rsidP="001E4AC5">
            <w:pPr>
              <w:spacing w:line="240" w:lineRule="auto"/>
              <w:jc w:val="center"/>
              <w:rPr>
                <w:color w:val="000000"/>
                <w:sz w:val="20"/>
                <w:szCs w:val="20"/>
              </w:rPr>
            </w:pPr>
            <w:r w:rsidRPr="001E4AC5">
              <w:rPr>
                <w:color w:val="000000"/>
                <w:sz w:val="20"/>
                <w:szCs w:val="20"/>
              </w:rPr>
              <w:t>2009</w:t>
            </w:r>
          </w:p>
        </w:tc>
        <w:tc>
          <w:tcPr>
            <w:tcW w:w="1129" w:type="dxa"/>
            <w:shd w:val="clear" w:color="auto" w:fill="auto"/>
            <w:noWrap/>
            <w:vAlign w:val="center"/>
            <w:hideMark/>
          </w:tcPr>
          <w:p w14:paraId="528452B7" w14:textId="2B7D5BD7" w:rsidR="006903FC" w:rsidRPr="001E4AC5" w:rsidRDefault="006903FC" w:rsidP="001E4AC5">
            <w:pPr>
              <w:spacing w:line="240" w:lineRule="auto"/>
              <w:jc w:val="center"/>
              <w:rPr>
                <w:color w:val="000000"/>
                <w:sz w:val="20"/>
                <w:szCs w:val="20"/>
              </w:rPr>
            </w:pPr>
            <w:r w:rsidRPr="001E4AC5">
              <w:rPr>
                <w:color w:val="000000"/>
                <w:sz w:val="20"/>
                <w:szCs w:val="20"/>
                <w:lang w:val="ms-MY"/>
              </w:rPr>
              <w:t>0.972</w:t>
            </w:r>
          </w:p>
        </w:tc>
        <w:tc>
          <w:tcPr>
            <w:tcW w:w="1134" w:type="dxa"/>
            <w:shd w:val="clear" w:color="auto" w:fill="auto"/>
            <w:noWrap/>
            <w:vAlign w:val="center"/>
            <w:hideMark/>
          </w:tcPr>
          <w:p w14:paraId="396628E6" w14:textId="40EE3E61" w:rsidR="006903FC" w:rsidRPr="001E4AC5" w:rsidRDefault="006903FC" w:rsidP="001E4AC5">
            <w:pPr>
              <w:spacing w:line="240" w:lineRule="auto"/>
              <w:jc w:val="center"/>
              <w:rPr>
                <w:color w:val="000000"/>
                <w:sz w:val="20"/>
                <w:szCs w:val="20"/>
              </w:rPr>
            </w:pPr>
            <w:r w:rsidRPr="001E4AC5">
              <w:rPr>
                <w:color w:val="000000"/>
                <w:sz w:val="20"/>
                <w:szCs w:val="20"/>
                <w:lang w:val="ms-MY"/>
              </w:rPr>
              <w:t>0.943</w:t>
            </w:r>
          </w:p>
        </w:tc>
        <w:tc>
          <w:tcPr>
            <w:tcW w:w="1417" w:type="dxa"/>
            <w:shd w:val="clear" w:color="auto" w:fill="auto"/>
            <w:noWrap/>
            <w:vAlign w:val="center"/>
            <w:hideMark/>
          </w:tcPr>
          <w:p w14:paraId="1F3BC10B" w14:textId="2738B98B" w:rsidR="006903FC" w:rsidRPr="001E4AC5" w:rsidRDefault="006903FC" w:rsidP="001E4AC5">
            <w:pPr>
              <w:spacing w:line="240" w:lineRule="auto"/>
              <w:jc w:val="center"/>
              <w:rPr>
                <w:color w:val="000000"/>
                <w:sz w:val="20"/>
                <w:szCs w:val="20"/>
              </w:rPr>
            </w:pPr>
            <w:r w:rsidRPr="001E4AC5">
              <w:rPr>
                <w:color w:val="000000"/>
                <w:sz w:val="20"/>
                <w:szCs w:val="20"/>
                <w:lang w:val="ms-MY"/>
              </w:rPr>
              <w:t>0.953</w:t>
            </w:r>
          </w:p>
        </w:tc>
        <w:tc>
          <w:tcPr>
            <w:tcW w:w="1276" w:type="dxa"/>
            <w:shd w:val="clear" w:color="auto" w:fill="auto"/>
            <w:noWrap/>
            <w:vAlign w:val="center"/>
            <w:hideMark/>
          </w:tcPr>
          <w:p w14:paraId="52699365" w14:textId="273463D7" w:rsidR="006903FC" w:rsidRPr="001E4AC5" w:rsidRDefault="006903FC" w:rsidP="001E4AC5">
            <w:pPr>
              <w:spacing w:line="240" w:lineRule="auto"/>
              <w:jc w:val="center"/>
              <w:rPr>
                <w:color w:val="000000"/>
                <w:sz w:val="20"/>
                <w:szCs w:val="20"/>
              </w:rPr>
            </w:pPr>
            <w:r w:rsidRPr="001E4AC5">
              <w:rPr>
                <w:color w:val="000000"/>
                <w:sz w:val="20"/>
                <w:szCs w:val="20"/>
                <w:lang w:val="ms-MY"/>
              </w:rPr>
              <w:t>0.957</w:t>
            </w:r>
          </w:p>
        </w:tc>
        <w:tc>
          <w:tcPr>
            <w:tcW w:w="1559" w:type="dxa"/>
            <w:shd w:val="clear" w:color="auto" w:fill="auto"/>
            <w:noWrap/>
            <w:vAlign w:val="center"/>
            <w:hideMark/>
          </w:tcPr>
          <w:p w14:paraId="37485FB6" w14:textId="7C82E6C4" w:rsidR="006903FC" w:rsidRPr="001E4AC5" w:rsidRDefault="006903FC" w:rsidP="001E4AC5">
            <w:pPr>
              <w:spacing w:line="240" w:lineRule="auto"/>
              <w:jc w:val="center"/>
              <w:rPr>
                <w:color w:val="000000"/>
                <w:sz w:val="20"/>
                <w:szCs w:val="20"/>
              </w:rPr>
            </w:pPr>
            <w:r w:rsidRPr="001E4AC5">
              <w:rPr>
                <w:color w:val="000000"/>
                <w:sz w:val="20"/>
                <w:szCs w:val="20"/>
                <w:lang w:val="ms-MY"/>
              </w:rPr>
              <w:t>0.705</w:t>
            </w:r>
          </w:p>
        </w:tc>
      </w:tr>
      <w:tr w:rsidR="006903FC" w:rsidRPr="001E4AC5" w14:paraId="0F1EDB28" w14:textId="77777777" w:rsidTr="00843C29">
        <w:trPr>
          <w:trHeight w:val="70"/>
          <w:jc w:val="center"/>
        </w:trPr>
        <w:tc>
          <w:tcPr>
            <w:tcW w:w="1560" w:type="dxa"/>
            <w:shd w:val="clear" w:color="auto" w:fill="auto"/>
            <w:noWrap/>
            <w:vAlign w:val="center"/>
            <w:hideMark/>
          </w:tcPr>
          <w:p w14:paraId="2197023C" w14:textId="77777777" w:rsidR="006903FC" w:rsidRPr="001E4AC5" w:rsidRDefault="006903FC" w:rsidP="001E4AC5">
            <w:pPr>
              <w:spacing w:line="240" w:lineRule="auto"/>
              <w:jc w:val="center"/>
              <w:rPr>
                <w:color w:val="000000"/>
                <w:sz w:val="20"/>
                <w:szCs w:val="20"/>
              </w:rPr>
            </w:pPr>
            <w:r w:rsidRPr="001E4AC5">
              <w:rPr>
                <w:color w:val="000000"/>
                <w:sz w:val="20"/>
                <w:szCs w:val="20"/>
              </w:rPr>
              <w:t>2010</w:t>
            </w:r>
          </w:p>
        </w:tc>
        <w:tc>
          <w:tcPr>
            <w:tcW w:w="1129" w:type="dxa"/>
            <w:shd w:val="clear" w:color="auto" w:fill="auto"/>
            <w:noWrap/>
            <w:vAlign w:val="center"/>
            <w:hideMark/>
          </w:tcPr>
          <w:p w14:paraId="393D7311" w14:textId="41F93A15" w:rsidR="006903FC" w:rsidRPr="001E4AC5" w:rsidRDefault="006903FC" w:rsidP="001E4AC5">
            <w:pPr>
              <w:spacing w:line="240" w:lineRule="auto"/>
              <w:jc w:val="center"/>
              <w:rPr>
                <w:color w:val="000000"/>
                <w:sz w:val="20"/>
                <w:szCs w:val="20"/>
              </w:rPr>
            </w:pPr>
            <w:r w:rsidRPr="001E4AC5">
              <w:rPr>
                <w:color w:val="000000"/>
                <w:sz w:val="20"/>
                <w:szCs w:val="20"/>
                <w:lang w:val="ms-MY"/>
              </w:rPr>
              <w:t>0.977</w:t>
            </w:r>
          </w:p>
        </w:tc>
        <w:tc>
          <w:tcPr>
            <w:tcW w:w="1134" w:type="dxa"/>
            <w:shd w:val="clear" w:color="auto" w:fill="auto"/>
            <w:noWrap/>
            <w:vAlign w:val="center"/>
            <w:hideMark/>
          </w:tcPr>
          <w:p w14:paraId="057420A8" w14:textId="5F7D3A77" w:rsidR="006903FC" w:rsidRPr="001E4AC5" w:rsidRDefault="006903FC" w:rsidP="001E4AC5">
            <w:pPr>
              <w:spacing w:line="240" w:lineRule="auto"/>
              <w:jc w:val="center"/>
              <w:rPr>
                <w:color w:val="000000"/>
                <w:sz w:val="20"/>
                <w:szCs w:val="20"/>
              </w:rPr>
            </w:pPr>
            <w:r w:rsidRPr="001E4AC5">
              <w:rPr>
                <w:color w:val="000000"/>
                <w:sz w:val="20"/>
                <w:szCs w:val="20"/>
                <w:lang w:val="ms-MY"/>
              </w:rPr>
              <w:t>0.952</w:t>
            </w:r>
          </w:p>
        </w:tc>
        <w:tc>
          <w:tcPr>
            <w:tcW w:w="1417" w:type="dxa"/>
            <w:shd w:val="clear" w:color="auto" w:fill="auto"/>
            <w:noWrap/>
            <w:vAlign w:val="center"/>
            <w:hideMark/>
          </w:tcPr>
          <w:p w14:paraId="53157977" w14:textId="3A8F5075" w:rsidR="006903FC" w:rsidRPr="001E4AC5" w:rsidRDefault="006903FC" w:rsidP="001E4AC5">
            <w:pPr>
              <w:spacing w:line="240" w:lineRule="auto"/>
              <w:jc w:val="center"/>
              <w:rPr>
                <w:color w:val="000000"/>
                <w:sz w:val="20"/>
                <w:szCs w:val="20"/>
              </w:rPr>
            </w:pPr>
            <w:r w:rsidRPr="001E4AC5">
              <w:rPr>
                <w:color w:val="000000"/>
                <w:sz w:val="20"/>
                <w:szCs w:val="20"/>
                <w:lang w:val="ms-MY"/>
              </w:rPr>
              <w:t>0.961</w:t>
            </w:r>
          </w:p>
        </w:tc>
        <w:tc>
          <w:tcPr>
            <w:tcW w:w="1276" w:type="dxa"/>
            <w:shd w:val="clear" w:color="auto" w:fill="auto"/>
            <w:noWrap/>
            <w:vAlign w:val="center"/>
            <w:hideMark/>
          </w:tcPr>
          <w:p w14:paraId="79E1990D" w14:textId="6D572D64" w:rsidR="006903FC" w:rsidRPr="001E4AC5" w:rsidRDefault="006903FC" w:rsidP="001E4AC5">
            <w:pPr>
              <w:spacing w:line="240" w:lineRule="auto"/>
              <w:jc w:val="center"/>
              <w:rPr>
                <w:color w:val="000000"/>
                <w:sz w:val="20"/>
                <w:szCs w:val="20"/>
              </w:rPr>
            </w:pPr>
            <w:r w:rsidRPr="001E4AC5">
              <w:rPr>
                <w:color w:val="000000"/>
                <w:sz w:val="20"/>
                <w:szCs w:val="20"/>
                <w:lang w:val="ms-MY"/>
              </w:rPr>
              <w:t>0.964</w:t>
            </w:r>
          </w:p>
        </w:tc>
        <w:tc>
          <w:tcPr>
            <w:tcW w:w="1559" w:type="dxa"/>
            <w:shd w:val="clear" w:color="auto" w:fill="auto"/>
            <w:noWrap/>
            <w:vAlign w:val="center"/>
            <w:hideMark/>
          </w:tcPr>
          <w:p w14:paraId="5EB98B38" w14:textId="64847265" w:rsidR="006903FC" w:rsidRPr="001E4AC5" w:rsidRDefault="006903FC" w:rsidP="001E4AC5">
            <w:pPr>
              <w:spacing w:line="240" w:lineRule="auto"/>
              <w:jc w:val="center"/>
              <w:rPr>
                <w:color w:val="000000"/>
                <w:sz w:val="20"/>
                <w:szCs w:val="20"/>
              </w:rPr>
            </w:pPr>
            <w:r w:rsidRPr="001E4AC5">
              <w:rPr>
                <w:color w:val="000000"/>
                <w:sz w:val="20"/>
                <w:szCs w:val="20"/>
                <w:lang w:val="ms-MY"/>
              </w:rPr>
              <w:t>0.749</w:t>
            </w:r>
          </w:p>
        </w:tc>
      </w:tr>
      <w:tr w:rsidR="006903FC" w:rsidRPr="001E4AC5" w14:paraId="691BCE64" w14:textId="77777777" w:rsidTr="00843C29">
        <w:trPr>
          <w:trHeight w:val="70"/>
          <w:jc w:val="center"/>
        </w:trPr>
        <w:tc>
          <w:tcPr>
            <w:tcW w:w="1560" w:type="dxa"/>
            <w:shd w:val="clear" w:color="auto" w:fill="auto"/>
            <w:noWrap/>
            <w:vAlign w:val="center"/>
            <w:hideMark/>
          </w:tcPr>
          <w:p w14:paraId="2DCA5204" w14:textId="77777777" w:rsidR="006903FC" w:rsidRPr="001E4AC5" w:rsidRDefault="006903FC" w:rsidP="001E4AC5">
            <w:pPr>
              <w:spacing w:line="240" w:lineRule="auto"/>
              <w:jc w:val="center"/>
              <w:rPr>
                <w:color w:val="000000"/>
                <w:sz w:val="20"/>
                <w:szCs w:val="20"/>
              </w:rPr>
            </w:pPr>
            <w:r w:rsidRPr="001E4AC5">
              <w:rPr>
                <w:color w:val="000000"/>
                <w:sz w:val="20"/>
                <w:szCs w:val="20"/>
              </w:rPr>
              <w:t>2011</w:t>
            </w:r>
          </w:p>
        </w:tc>
        <w:tc>
          <w:tcPr>
            <w:tcW w:w="1129" w:type="dxa"/>
            <w:shd w:val="clear" w:color="auto" w:fill="auto"/>
            <w:noWrap/>
            <w:vAlign w:val="center"/>
            <w:hideMark/>
          </w:tcPr>
          <w:p w14:paraId="45B93E0B" w14:textId="614239E4" w:rsidR="006903FC" w:rsidRPr="001E4AC5" w:rsidRDefault="006903FC" w:rsidP="001E4AC5">
            <w:pPr>
              <w:spacing w:line="240" w:lineRule="auto"/>
              <w:jc w:val="center"/>
              <w:rPr>
                <w:color w:val="000000"/>
                <w:sz w:val="20"/>
                <w:szCs w:val="20"/>
              </w:rPr>
            </w:pPr>
            <w:r w:rsidRPr="001E4AC5">
              <w:rPr>
                <w:color w:val="000000"/>
                <w:sz w:val="20"/>
                <w:szCs w:val="20"/>
                <w:lang w:val="ms-MY"/>
              </w:rPr>
              <w:t>0.981</w:t>
            </w:r>
          </w:p>
        </w:tc>
        <w:tc>
          <w:tcPr>
            <w:tcW w:w="1134" w:type="dxa"/>
            <w:shd w:val="clear" w:color="auto" w:fill="auto"/>
            <w:noWrap/>
            <w:vAlign w:val="center"/>
            <w:hideMark/>
          </w:tcPr>
          <w:p w14:paraId="6E8DF69F" w14:textId="406D69B2" w:rsidR="006903FC" w:rsidRPr="001E4AC5" w:rsidRDefault="006903FC" w:rsidP="001E4AC5">
            <w:pPr>
              <w:spacing w:line="240" w:lineRule="auto"/>
              <w:jc w:val="center"/>
              <w:rPr>
                <w:color w:val="000000"/>
                <w:sz w:val="20"/>
                <w:szCs w:val="20"/>
              </w:rPr>
            </w:pPr>
            <w:r w:rsidRPr="001E4AC5">
              <w:rPr>
                <w:color w:val="000000"/>
                <w:sz w:val="20"/>
                <w:szCs w:val="20"/>
                <w:lang w:val="ms-MY"/>
              </w:rPr>
              <w:t>0.961</w:t>
            </w:r>
          </w:p>
        </w:tc>
        <w:tc>
          <w:tcPr>
            <w:tcW w:w="1417" w:type="dxa"/>
            <w:shd w:val="clear" w:color="auto" w:fill="auto"/>
            <w:noWrap/>
            <w:vAlign w:val="center"/>
            <w:hideMark/>
          </w:tcPr>
          <w:p w14:paraId="573B2EAB" w14:textId="08C0F191" w:rsidR="006903FC" w:rsidRPr="001E4AC5" w:rsidRDefault="006903FC" w:rsidP="001E4AC5">
            <w:pPr>
              <w:spacing w:line="240" w:lineRule="auto"/>
              <w:jc w:val="center"/>
              <w:rPr>
                <w:color w:val="000000"/>
                <w:sz w:val="20"/>
                <w:szCs w:val="20"/>
              </w:rPr>
            </w:pPr>
            <w:r w:rsidRPr="001E4AC5">
              <w:rPr>
                <w:color w:val="000000"/>
                <w:sz w:val="20"/>
                <w:szCs w:val="20"/>
                <w:lang w:val="ms-MY"/>
              </w:rPr>
              <w:t>0.967</w:t>
            </w:r>
          </w:p>
        </w:tc>
        <w:tc>
          <w:tcPr>
            <w:tcW w:w="1276" w:type="dxa"/>
            <w:shd w:val="clear" w:color="auto" w:fill="auto"/>
            <w:noWrap/>
            <w:vAlign w:val="center"/>
            <w:hideMark/>
          </w:tcPr>
          <w:p w14:paraId="147A282C" w14:textId="33333A43" w:rsidR="006903FC" w:rsidRPr="001E4AC5" w:rsidRDefault="006903FC" w:rsidP="001E4AC5">
            <w:pPr>
              <w:spacing w:line="240" w:lineRule="auto"/>
              <w:jc w:val="center"/>
              <w:rPr>
                <w:color w:val="000000"/>
                <w:sz w:val="20"/>
                <w:szCs w:val="20"/>
              </w:rPr>
            </w:pPr>
            <w:r w:rsidRPr="001E4AC5">
              <w:rPr>
                <w:color w:val="000000"/>
                <w:sz w:val="20"/>
                <w:szCs w:val="20"/>
                <w:lang w:val="ms-MY"/>
              </w:rPr>
              <w:t>0.970</w:t>
            </w:r>
          </w:p>
        </w:tc>
        <w:tc>
          <w:tcPr>
            <w:tcW w:w="1559" w:type="dxa"/>
            <w:shd w:val="clear" w:color="auto" w:fill="auto"/>
            <w:noWrap/>
            <w:vAlign w:val="center"/>
            <w:hideMark/>
          </w:tcPr>
          <w:p w14:paraId="2D63CF7E" w14:textId="24440901" w:rsidR="006903FC" w:rsidRPr="001E4AC5" w:rsidRDefault="006903FC" w:rsidP="001E4AC5">
            <w:pPr>
              <w:spacing w:line="240" w:lineRule="auto"/>
              <w:jc w:val="center"/>
              <w:rPr>
                <w:color w:val="000000"/>
                <w:sz w:val="20"/>
                <w:szCs w:val="20"/>
              </w:rPr>
            </w:pPr>
            <w:r w:rsidRPr="001E4AC5">
              <w:rPr>
                <w:color w:val="000000"/>
                <w:sz w:val="20"/>
                <w:szCs w:val="20"/>
                <w:lang w:val="ms-MY"/>
              </w:rPr>
              <w:t>0.788</w:t>
            </w:r>
          </w:p>
        </w:tc>
      </w:tr>
      <w:tr w:rsidR="006903FC" w:rsidRPr="001E4AC5" w14:paraId="7DA995B7" w14:textId="77777777" w:rsidTr="00843C29">
        <w:trPr>
          <w:trHeight w:val="70"/>
          <w:jc w:val="center"/>
        </w:trPr>
        <w:tc>
          <w:tcPr>
            <w:tcW w:w="1560" w:type="dxa"/>
            <w:shd w:val="clear" w:color="auto" w:fill="auto"/>
            <w:noWrap/>
            <w:vAlign w:val="center"/>
            <w:hideMark/>
          </w:tcPr>
          <w:p w14:paraId="6AC9C651" w14:textId="77777777" w:rsidR="006903FC" w:rsidRPr="001E4AC5" w:rsidRDefault="006903FC" w:rsidP="001E4AC5">
            <w:pPr>
              <w:spacing w:line="240" w:lineRule="auto"/>
              <w:jc w:val="center"/>
              <w:rPr>
                <w:color w:val="000000"/>
                <w:sz w:val="20"/>
                <w:szCs w:val="20"/>
              </w:rPr>
            </w:pPr>
            <w:r w:rsidRPr="001E4AC5">
              <w:rPr>
                <w:color w:val="000000"/>
                <w:sz w:val="20"/>
                <w:szCs w:val="20"/>
              </w:rPr>
              <w:t>2012</w:t>
            </w:r>
          </w:p>
        </w:tc>
        <w:tc>
          <w:tcPr>
            <w:tcW w:w="1129" w:type="dxa"/>
            <w:shd w:val="clear" w:color="auto" w:fill="auto"/>
            <w:noWrap/>
            <w:vAlign w:val="center"/>
            <w:hideMark/>
          </w:tcPr>
          <w:p w14:paraId="59C9F228" w14:textId="45318C58" w:rsidR="006903FC" w:rsidRPr="001E4AC5" w:rsidRDefault="006903FC" w:rsidP="001E4AC5">
            <w:pPr>
              <w:spacing w:line="240" w:lineRule="auto"/>
              <w:jc w:val="center"/>
              <w:rPr>
                <w:color w:val="000000"/>
                <w:sz w:val="20"/>
                <w:szCs w:val="20"/>
              </w:rPr>
            </w:pPr>
            <w:r w:rsidRPr="001E4AC5">
              <w:rPr>
                <w:color w:val="000000"/>
                <w:sz w:val="20"/>
                <w:szCs w:val="20"/>
                <w:lang w:val="ms-MY"/>
              </w:rPr>
              <w:t>0.984</w:t>
            </w:r>
          </w:p>
        </w:tc>
        <w:tc>
          <w:tcPr>
            <w:tcW w:w="1134" w:type="dxa"/>
            <w:shd w:val="clear" w:color="auto" w:fill="auto"/>
            <w:noWrap/>
            <w:vAlign w:val="center"/>
            <w:hideMark/>
          </w:tcPr>
          <w:p w14:paraId="335BD58E" w14:textId="2AAAA55C" w:rsidR="006903FC" w:rsidRPr="001E4AC5" w:rsidRDefault="006903FC" w:rsidP="001E4AC5">
            <w:pPr>
              <w:spacing w:line="240" w:lineRule="auto"/>
              <w:jc w:val="center"/>
              <w:rPr>
                <w:color w:val="000000"/>
                <w:sz w:val="20"/>
                <w:szCs w:val="20"/>
              </w:rPr>
            </w:pPr>
            <w:r w:rsidRPr="001E4AC5">
              <w:rPr>
                <w:color w:val="000000"/>
                <w:sz w:val="20"/>
                <w:szCs w:val="20"/>
                <w:lang w:val="ms-MY"/>
              </w:rPr>
              <w:t>0.967</w:t>
            </w:r>
          </w:p>
        </w:tc>
        <w:tc>
          <w:tcPr>
            <w:tcW w:w="1417" w:type="dxa"/>
            <w:shd w:val="clear" w:color="auto" w:fill="auto"/>
            <w:noWrap/>
            <w:vAlign w:val="center"/>
            <w:hideMark/>
          </w:tcPr>
          <w:p w14:paraId="651C6713" w14:textId="7BC60269" w:rsidR="006903FC" w:rsidRPr="001E4AC5" w:rsidRDefault="006903FC" w:rsidP="001E4AC5">
            <w:pPr>
              <w:spacing w:line="240" w:lineRule="auto"/>
              <w:jc w:val="center"/>
              <w:rPr>
                <w:color w:val="000000"/>
                <w:sz w:val="20"/>
                <w:szCs w:val="20"/>
              </w:rPr>
            </w:pPr>
            <w:r w:rsidRPr="001E4AC5">
              <w:rPr>
                <w:color w:val="000000"/>
                <w:sz w:val="20"/>
                <w:szCs w:val="20"/>
                <w:lang w:val="ms-MY"/>
              </w:rPr>
              <w:t>0.973</w:t>
            </w:r>
          </w:p>
        </w:tc>
        <w:tc>
          <w:tcPr>
            <w:tcW w:w="1276" w:type="dxa"/>
            <w:shd w:val="clear" w:color="auto" w:fill="auto"/>
            <w:noWrap/>
            <w:vAlign w:val="center"/>
            <w:hideMark/>
          </w:tcPr>
          <w:p w14:paraId="0DAB307A" w14:textId="11E0230D" w:rsidR="006903FC" w:rsidRPr="001E4AC5" w:rsidRDefault="006903FC" w:rsidP="001E4AC5">
            <w:pPr>
              <w:spacing w:line="240" w:lineRule="auto"/>
              <w:jc w:val="center"/>
              <w:rPr>
                <w:color w:val="000000"/>
                <w:sz w:val="20"/>
                <w:szCs w:val="20"/>
              </w:rPr>
            </w:pPr>
            <w:r w:rsidRPr="001E4AC5">
              <w:rPr>
                <w:color w:val="000000"/>
                <w:sz w:val="20"/>
                <w:szCs w:val="20"/>
                <w:lang w:val="ms-MY"/>
              </w:rPr>
              <w:t>0.975</w:t>
            </w:r>
          </w:p>
        </w:tc>
        <w:tc>
          <w:tcPr>
            <w:tcW w:w="1559" w:type="dxa"/>
            <w:shd w:val="clear" w:color="auto" w:fill="auto"/>
            <w:noWrap/>
            <w:vAlign w:val="center"/>
            <w:hideMark/>
          </w:tcPr>
          <w:p w14:paraId="7B6F735C" w14:textId="3D362FAE" w:rsidR="006903FC" w:rsidRPr="001E4AC5" w:rsidRDefault="006903FC" w:rsidP="001E4AC5">
            <w:pPr>
              <w:spacing w:line="240" w:lineRule="auto"/>
              <w:jc w:val="center"/>
              <w:rPr>
                <w:color w:val="000000"/>
                <w:sz w:val="20"/>
                <w:szCs w:val="20"/>
              </w:rPr>
            </w:pPr>
            <w:r w:rsidRPr="001E4AC5">
              <w:rPr>
                <w:color w:val="000000"/>
                <w:sz w:val="20"/>
                <w:szCs w:val="20"/>
                <w:lang w:val="ms-MY"/>
              </w:rPr>
              <w:t>0.821</w:t>
            </w:r>
          </w:p>
        </w:tc>
      </w:tr>
      <w:tr w:rsidR="006903FC" w:rsidRPr="001E4AC5" w14:paraId="6531302A" w14:textId="77777777" w:rsidTr="00843C29">
        <w:trPr>
          <w:trHeight w:val="70"/>
          <w:jc w:val="center"/>
        </w:trPr>
        <w:tc>
          <w:tcPr>
            <w:tcW w:w="1560" w:type="dxa"/>
            <w:shd w:val="clear" w:color="auto" w:fill="auto"/>
            <w:noWrap/>
            <w:vAlign w:val="center"/>
            <w:hideMark/>
          </w:tcPr>
          <w:p w14:paraId="6DE19313" w14:textId="77777777" w:rsidR="006903FC" w:rsidRPr="001E4AC5" w:rsidRDefault="006903FC" w:rsidP="001E4AC5">
            <w:pPr>
              <w:spacing w:line="240" w:lineRule="auto"/>
              <w:jc w:val="center"/>
              <w:rPr>
                <w:color w:val="000000"/>
                <w:sz w:val="20"/>
                <w:szCs w:val="20"/>
              </w:rPr>
            </w:pPr>
            <w:r w:rsidRPr="001E4AC5">
              <w:rPr>
                <w:color w:val="000000"/>
                <w:sz w:val="20"/>
                <w:szCs w:val="20"/>
              </w:rPr>
              <w:t>2013</w:t>
            </w:r>
          </w:p>
        </w:tc>
        <w:tc>
          <w:tcPr>
            <w:tcW w:w="1129" w:type="dxa"/>
            <w:shd w:val="clear" w:color="auto" w:fill="auto"/>
            <w:noWrap/>
            <w:vAlign w:val="center"/>
            <w:hideMark/>
          </w:tcPr>
          <w:p w14:paraId="01D43B03" w14:textId="612E7DED" w:rsidR="006903FC" w:rsidRPr="001E4AC5" w:rsidRDefault="006903FC" w:rsidP="001E4AC5">
            <w:pPr>
              <w:spacing w:line="240" w:lineRule="auto"/>
              <w:jc w:val="center"/>
              <w:rPr>
                <w:color w:val="000000"/>
                <w:sz w:val="20"/>
                <w:szCs w:val="20"/>
              </w:rPr>
            </w:pPr>
            <w:r w:rsidRPr="001E4AC5">
              <w:rPr>
                <w:color w:val="000000"/>
                <w:sz w:val="20"/>
                <w:szCs w:val="20"/>
                <w:lang w:val="ms-MY"/>
              </w:rPr>
              <w:t>0.987</w:t>
            </w:r>
          </w:p>
        </w:tc>
        <w:tc>
          <w:tcPr>
            <w:tcW w:w="1134" w:type="dxa"/>
            <w:shd w:val="clear" w:color="auto" w:fill="auto"/>
            <w:noWrap/>
            <w:vAlign w:val="center"/>
            <w:hideMark/>
          </w:tcPr>
          <w:p w14:paraId="45E8A659" w14:textId="0FE60DFF" w:rsidR="006903FC" w:rsidRPr="001E4AC5" w:rsidRDefault="006903FC" w:rsidP="001E4AC5">
            <w:pPr>
              <w:spacing w:line="240" w:lineRule="auto"/>
              <w:jc w:val="center"/>
              <w:rPr>
                <w:color w:val="000000"/>
                <w:sz w:val="20"/>
                <w:szCs w:val="20"/>
              </w:rPr>
            </w:pPr>
            <w:r w:rsidRPr="001E4AC5">
              <w:rPr>
                <w:color w:val="000000"/>
                <w:sz w:val="20"/>
                <w:szCs w:val="20"/>
                <w:lang w:val="ms-MY"/>
              </w:rPr>
              <w:t>0.973</w:t>
            </w:r>
          </w:p>
        </w:tc>
        <w:tc>
          <w:tcPr>
            <w:tcW w:w="1417" w:type="dxa"/>
            <w:shd w:val="clear" w:color="auto" w:fill="auto"/>
            <w:noWrap/>
            <w:vAlign w:val="center"/>
            <w:hideMark/>
          </w:tcPr>
          <w:p w14:paraId="09429062" w14:textId="11C49E5D" w:rsidR="006903FC" w:rsidRPr="001E4AC5" w:rsidRDefault="006903FC" w:rsidP="001E4AC5">
            <w:pPr>
              <w:spacing w:line="240" w:lineRule="auto"/>
              <w:jc w:val="center"/>
              <w:rPr>
                <w:color w:val="000000"/>
                <w:sz w:val="20"/>
                <w:szCs w:val="20"/>
              </w:rPr>
            </w:pPr>
            <w:r w:rsidRPr="001E4AC5">
              <w:rPr>
                <w:color w:val="000000"/>
                <w:sz w:val="20"/>
                <w:szCs w:val="20"/>
                <w:lang w:val="ms-MY"/>
              </w:rPr>
              <w:t>0.977</w:t>
            </w:r>
          </w:p>
        </w:tc>
        <w:tc>
          <w:tcPr>
            <w:tcW w:w="1276" w:type="dxa"/>
            <w:shd w:val="clear" w:color="auto" w:fill="auto"/>
            <w:noWrap/>
            <w:vAlign w:val="center"/>
            <w:hideMark/>
          </w:tcPr>
          <w:p w14:paraId="59A9C73B" w14:textId="6993F7A0" w:rsidR="006903FC" w:rsidRPr="001E4AC5" w:rsidRDefault="006903FC" w:rsidP="001E4AC5">
            <w:pPr>
              <w:spacing w:line="240" w:lineRule="auto"/>
              <w:jc w:val="center"/>
              <w:rPr>
                <w:color w:val="000000"/>
                <w:sz w:val="20"/>
                <w:szCs w:val="20"/>
              </w:rPr>
            </w:pPr>
            <w:r w:rsidRPr="001E4AC5">
              <w:rPr>
                <w:color w:val="000000"/>
                <w:sz w:val="20"/>
                <w:szCs w:val="20"/>
                <w:lang w:val="ms-MY"/>
              </w:rPr>
              <w:t>0.979</w:t>
            </w:r>
          </w:p>
        </w:tc>
        <w:tc>
          <w:tcPr>
            <w:tcW w:w="1559" w:type="dxa"/>
            <w:shd w:val="clear" w:color="auto" w:fill="auto"/>
            <w:noWrap/>
            <w:vAlign w:val="center"/>
            <w:hideMark/>
          </w:tcPr>
          <w:p w14:paraId="614D1526" w14:textId="5DF302CB" w:rsidR="006903FC" w:rsidRPr="001E4AC5" w:rsidRDefault="006903FC" w:rsidP="001E4AC5">
            <w:pPr>
              <w:spacing w:line="240" w:lineRule="auto"/>
              <w:jc w:val="center"/>
              <w:rPr>
                <w:color w:val="000000"/>
                <w:sz w:val="20"/>
                <w:szCs w:val="20"/>
              </w:rPr>
            </w:pPr>
            <w:r w:rsidRPr="001E4AC5">
              <w:rPr>
                <w:color w:val="000000"/>
                <w:sz w:val="20"/>
                <w:szCs w:val="20"/>
                <w:lang w:val="ms-MY"/>
              </w:rPr>
              <w:t>0.849</w:t>
            </w:r>
          </w:p>
        </w:tc>
      </w:tr>
      <w:tr w:rsidR="006903FC" w:rsidRPr="001E4AC5" w14:paraId="5B208153" w14:textId="77777777" w:rsidTr="00843C29">
        <w:trPr>
          <w:trHeight w:val="70"/>
          <w:jc w:val="center"/>
        </w:trPr>
        <w:tc>
          <w:tcPr>
            <w:tcW w:w="1560" w:type="dxa"/>
            <w:shd w:val="clear" w:color="auto" w:fill="auto"/>
            <w:noWrap/>
            <w:vAlign w:val="center"/>
            <w:hideMark/>
          </w:tcPr>
          <w:p w14:paraId="2B11A189" w14:textId="77777777" w:rsidR="006903FC" w:rsidRPr="001E4AC5" w:rsidRDefault="006903FC" w:rsidP="001E4AC5">
            <w:pPr>
              <w:spacing w:line="240" w:lineRule="auto"/>
              <w:jc w:val="center"/>
              <w:rPr>
                <w:color w:val="000000"/>
                <w:sz w:val="20"/>
                <w:szCs w:val="20"/>
              </w:rPr>
            </w:pPr>
            <w:r w:rsidRPr="001E4AC5">
              <w:rPr>
                <w:color w:val="000000"/>
                <w:sz w:val="20"/>
                <w:szCs w:val="20"/>
              </w:rPr>
              <w:t>2014</w:t>
            </w:r>
          </w:p>
        </w:tc>
        <w:tc>
          <w:tcPr>
            <w:tcW w:w="1129" w:type="dxa"/>
            <w:shd w:val="clear" w:color="auto" w:fill="auto"/>
            <w:noWrap/>
            <w:vAlign w:val="center"/>
            <w:hideMark/>
          </w:tcPr>
          <w:p w14:paraId="5E6EDC49" w14:textId="11DB5E19" w:rsidR="006903FC" w:rsidRPr="001E4AC5" w:rsidRDefault="006903FC" w:rsidP="001E4AC5">
            <w:pPr>
              <w:spacing w:line="240" w:lineRule="auto"/>
              <w:jc w:val="center"/>
              <w:rPr>
                <w:color w:val="000000"/>
                <w:sz w:val="20"/>
                <w:szCs w:val="20"/>
              </w:rPr>
            </w:pPr>
            <w:r w:rsidRPr="001E4AC5">
              <w:rPr>
                <w:color w:val="000000"/>
                <w:sz w:val="20"/>
                <w:szCs w:val="20"/>
                <w:lang w:val="ms-MY"/>
              </w:rPr>
              <w:t>0.989</w:t>
            </w:r>
          </w:p>
        </w:tc>
        <w:tc>
          <w:tcPr>
            <w:tcW w:w="1134" w:type="dxa"/>
            <w:shd w:val="clear" w:color="auto" w:fill="auto"/>
            <w:noWrap/>
            <w:vAlign w:val="center"/>
            <w:hideMark/>
          </w:tcPr>
          <w:p w14:paraId="5E05BC5A" w14:textId="7B90C44B" w:rsidR="006903FC" w:rsidRPr="001E4AC5" w:rsidRDefault="006903FC" w:rsidP="001E4AC5">
            <w:pPr>
              <w:spacing w:line="240" w:lineRule="auto"/>
              <w:jc w:val="center"/>
              <w:rPr>
                <w:color w:val="000000"/>
                <w:sz w:val="20"/>
                <w:szCs w:val="20"/>
              </w:rPr>
            </w:pPr>
            <w:r w:rsidRPr="001E4AC5">
              <w:rPr>
                <w:color w:val="000000"/>
                <w:sz w:val="20"/>
                <w:szCs w:val="20"/>
                <w:lang w:val="ms-MY"/>
              </w:rPr>
              <w:t>0.977</w:t>
            </w:r>
          </w:p>
        </w:tc>
        <w:tc>
          <w:tcPr>
            <w:tcW w:w="1417" w:type="dxa"/>
            <w:shd w:val="clear" w:color="auto" w:fill="auto"/>
            <w:noWrap/>
            <w:vAlign w:val="center"/>
            <w:hideMark/>
          </w:tcPr>
          <w:p w14:paraId="1D17AEC0" w14:textId="2A8F3A99" w:rsidR="006903FC" w:rsidRPr="001E4AC5" w:rsidRDefault="006903FC" w:rsidP="001E4AC5">
            <w:pPr>
              <w:spacing w:line="240" w:lineRule="auto"/>
              <w:jc w:val="center"/>
              <w:rPr>
                <w:color w:val="000000"/>
                <w:sz w:val="20"/>
                <w:szCs w:val="20"/>
              </w:rPr>
            </w:pPr>
            <w:r w:rsidRPr="001E4AC5">
              <w:rPr>
                <w:color w:val="000000"/>
                <w:sz w:val="20"/>
                <w:szCs w:val="20"/>
                <w:lang w:val="ms-MY"/>
              </w:rPr>
              <w:t>0.981</w:t>
            </w:r>
          </w:p>
        </w:tc>
        <w:tc>
          <w:tcPr>
            <w:tcW w:w="1276" w:type="dxa"/>
            <w:shd w:val="clear" w:color="auto" w:fill="auto"/>
            <w:noWrap/>
            <w:vAlign w:val="center"/>
            <w:hideMark/>
          </w:tcPr>
          <w:p w14:paraId="3097BE5D" w14:textId="33D8E253" w:rsidR="006903FC" w:rsidRPr="001E4AC5" w:rsidRDefault="006903FC" w:rsidP="001E4AC5">
            <w:pPr>
              <w:spacing w:line="240" w:lineRule="auto"/>
              <w:jc w:val="center"/>
              <w:rPr>
                <w:color w:val="000000"/>
                <w:sz w:val="20"/>
                <w:szCs w:val="20"/>
              </w:rPr>
            </w:pPr>
            <w:r w:rsidRPr="001E4AC5">
              <w:rPr>
                <w:color w:val="000000"/>
                <w:sz w:val="20"/>
                <w:szCs w:val="20"/>
                <w:lang w:val="ms-MY"/>
              </w:rPr>
              <w:t>0.983</w:t>
            </w:r>
          </w:p>
        </w:tc>
        <w:tc>
          <w:tcPr>
            <w:tcW w:w="1559" w:type="dxa"/>
            <w:shd w:val="clear" w:color="auto" w:fill="auto"/>
            <w:noWrap/>
            <w:vAlign w:val="center"/>
            <w:hideMark/>
          </w:tcPr>
          <w:p w14:paraId="486EBB9E" w14:textId="2256C73F" w:rsidR="006903FC" w:rsidRPr="001E4AC5" w:rsidRDefault="006903FC" w:rsidP="001E4AC5">
            <w:pPr>
              <w:spacing w:line="240" w:lineRule="auto"/>
              <w:jc w:val="center"/>
              <w:rPr>
                <w:color w:val="000000"/>
                <w:sz w:val="20"/>
                <w:szCs w:val="20"/>
              </w:rPr>
            </w:pPr>
            <w:r w:rsidRPr="001E4AC5">
              <w:rPr>
                <w:color w:val="000000"/>
                <w:sz w:val="20"/>
                <w:szCs w:val="20"/>
                <w:lang w:val="ms-MY"/>
              </w:rPr>
              <w:t>0.874</w:t>
            </w:r>
          </w:p>
        </w:tc>
      </w:tr>
      <w:tr w:rsidR="006903FC" w:rsidRPr="001E4AC5" w14:paraId="5F17A876" w14:textId="77777777" w:rsidTr="00843C29">
        <w:trPr>
          <w:trHeight w:val="70"/>
          <w:jc w:val="center"/>
        </w:trPr>
        <w:tc>
          <w:tcPr>
            <w:tcW w:w="1560" w:type="dxa"/>
            <w:shd w:val="clear" w:color="auto" w:fill="auto"/>
            <w:noWrap/>
            <w:vAlign w:val="center"/>
            <w:hideMark/>
          </w:tcPr>
          <w:p w14:paraId="090E40B2" w14:textId="77777777" w:rsidR="006903FC" w:rsidRPr="001E4AC5" w:rsidRDefault="006903FC" w:rsidP="001E4AC5">
            <w:pPr>
              <w:spacing w:line="240" w:lineRule="auto"/>
              <w:jc w:val="center"/>
              <w:rPr>
                <w:color w:val="000000"/>
                <w:sz w:val="20"/>
                <w:szCs w:val="20"/>
              </w:rPr>
            </w:pPr>
            <w:r w:rsidRPr="001E4AC5">
              <w:rPr>
                <w:color w:val="000000"/>
                <w:sz w:val="20"/>
                <w:szCs w:val="20"/>
              </w:rPr>
              <w:t>2015</w:t>
            </w:r>
          </w:p>
        </w:tc>
        <w:tc>
          <w:tcPr>
            <w:tcW w:w="1129" w:type="dxa"/>
            <w:shd w:val="clear" w:color="auto" w:fill="auto"/>
            <w:noWrap/>
            <w:vAlign w:val="center"/>
            <w:hideMark/>
          </w:tcPr>
          <w:p w14:paraId="02D4A397" w14:textId="3E1A76F9" w:rsidR="006903FC" w:rsidRPr="001E4AC5" w:rsidRDefault="006903FC" w:rsidP="001E4AC5">
            <w:pPr>
              <w:spacing w:line="240" w:lineRule="auto"/>
              <w:jc w:val="center"/>
              <w:rPr>
                <w:color w:val="000000"/>
                <w:sz w:val="20"/>
                <w:szCs w:val="20"/>
              </w:rPr>
            </w:pPr>
            <w:r w:rsidRPr="001E4AC5">
              <w:rPr>
                <w:color w:val="000000"/>
                <w:sz w:val="20"/>
                <w:szCs w:val="20"/>
                <w:lang w:val="ms-MY"/>
              </w:rPr>
              <w:t>0.991</w:t>
            </w:r>
          </w:p>
        </w:tc>
        <w:tc>
          <w:tcPr>
            <w:tcW w:w="1134" w:type="dxa"/>
            <w:shd w:val="clear" w:color="auto" w:fill="auto"/>
            <w:noWrap/>
            <w:vAlign w:val="center"/>
            <w:hideMark/>
          </w:tcPr>
          <w:p w14:paraId="329490CD" w14:textId="41923E64" w:rsidR="006903FC" w:rsidRPr="001E4AC5" w:rsidRDefault="006903FC" w:rsidP="001E4AC5">
            <w:pPr>
              <w:spacing w:line="240" w:lineRule="auto"/>
              <w:jc w:val="center"/>
              <w:rPr>
                <w:color w:val="000000"/>
                <w:sz w:val="20"/>
                <w:szCs w:val="20"/>
              </w:rPr>
            </w:pPr>
            <w:r w:rsidRPr="001E4AC5">
              <w:rPr>
                <w:color w:val="000000"/>
                <w:sz w:val="20"/>
                <w:szCs w:val="20"/>
                <w:lang w:val="ms-MY"/>
              </w:rPr>
              <w:t>0.981</w:t>
            </w:r>
          </w:p>
        </w:tc>
        <w:tc>
          <w:tcPr>
            <w:tcW w:w="1417" w:type="dxa"/>
            <w:shd w:val="clear" w:color="auto" w:fill="auto"/>
            <w:noWrap/>
            <w:vAlign w:val="center"/>
            <w:hideMark/>
          </w:tcPr>
          <w:p w14:paraId="0883E41E" w14:textId="489B912D" w:rsidR="006903FC" w:rsidRPr="001E4AC5" w:rsidRDefault="006903FC" w:rsidP="001E4AC5">
            <w:pPr>
              <w:spacing w:line="240" w:lineRule="auto"/>
              <w:jc w:val="center"/>
              <w:rPr>
                <w:color w:val="000000"/>
                <w:sz w:val="20"/>
                <w:szCs w:val="20"/>
              </w:rPr>
            </w:pPr>
            <w:r w:rsidRPr="001E4AC5">
              <w:rPr>
                <w:color w:val="000000"/>
                <w:sz w:val="20"/>
                <w:szCs w:val="20"/>
                <w:lang w:val="ms-MY"/>
              </w:rPr>
              <w:t>0.985</w:t>
            </w:r>
          </w:p>
        </w:tc>
        <w:tc>
          <w:tcPr>
            <w:tcW w:w="1276" w:type="dxa"/>
            <w:shd w:val="clear" w:color="auto" w:fill="auto"/>
            <w:noWrap/>
            <w:vAlign w:val="center"/>
            <w:hideMark/>
          </w:tcPr>
          <w:p w14:paraId="46D2FCA2" w14:textId="65B78B50" w:rsidR="006903FC" w:rsidRPr="001E4AC5" w:rsidRDefault="006903FC" w:rsidP="001E4AC5">
            <w:pPr>
              <w:spacing w:line="240" w:lineRule="auto"/>
              <w:jc w:val="center"/>
              <w:rPr>
                <w:color w:val="000000"/>
                <w:sz w:val="20"/>
                <w:szCs w:val="20"/>
              </w:rPr>
            </w:pPr>
            <w:r w:rsidRPr="001E4AC5">
              <w:rPr>
                <w:color w:val="000000"/>
                <w:sz w:val="20"/>
                <w:szCs w:val="20"/>
                <w:lang w:val="ms-MY"/>
              </w:rPr>
              <w:t>0.986</w:t>
            </w:r>
          </w:p>
        </w:tc>
        <w:tc>
          <w:tcPr>
            <w:tcW w:w="1559" w:type="dxa"/>
            <w:shd w:val="clear" w:color="auto" w:fill="auto"/>
            <w:noWrap/>
            <w:vAlign w:val="center"/>
            <w:hideMark/>
          </w:tcPr>
          <w:p w14:paraId="2732B35C" w14:textId="3AA26354" w:rsidR="006903FC" w:rsidRPr="001E4AC5" w:rsidRDefault="006903FC" w:rsidP="001E4AC5">
            <w:pPr>
              <w:spacing w:line="240" w:lineRule="auto"/>
              <w:jc w:val="center"/>
              <w:rPr>
                <w:color w:val="000000"/>
                <w:sz w:val="20"/>
                <w:szCs w:val="20"/>
              </w:rPr>
            </w:pPr>
            <w:r w:rsidRPr="001E4AC5">
              <w:rPr>
                <w:color w:val="000000"/>
                <w:sz w:val="20"/>
                <w:szCs w:val="20"/>
                <w:lang w:val="ms-MY"/>
              </w:rPr>
              <w:t>0.894</w:t>
            </w:r>
          </w:p>
        </w:tc>
      </w:tr>
      <w:tr w:rsidR="006903FC" w:rsidRPr="001E4AC5" w14:paraId="47739BBF" w14:textId="77777777" w:rsidTr="00843C29">
        <w:trPr>
          <w:trHeight w:val="70"/>
          <w:jc w:val="center"/>
        </w:trPr>
        <w:tc>
          <w:tcPr>
            <w:tcW w:w="1560" w:type="dxa"/>
            <w:shd w:val="clear" w:color="auto" w:fill="auto"/>
            <w:noWrap/>
            <w:vAlign w:val="center"/>
            <w:hideMark/>
          </w:tcPr>
          <w:p w14:paraId="29A6A11E" w14:textId="77777777" w:rsidR="006903FC" w:rsidRPr="001E4AC5" w:rsidRDefault="006903FC" w:rsidP="001E4AC5">
            <w:pPr>
              <w:spacing w:line="240" w:lineRule="auto"/>
              <w:jc w:val="center"/>
              <w:rPr>
                <w:color w:val="000000"/>
                <w:sz w:val="20"/>
                <w:szCs w:val="20"/>
              </w:rPr>
            </w:pPr>
            <w:r w:rsidRPr="001E4AC5">
              <w:rPr>
                <w:color w:val="000000"/>
                <w:sz w:val="20"/>
                <w:szCs w:val="20"/>
              </w:rPr>
              <w:t>2016</w:t>
            </w:r>
          </w:p>
        </w:tc>
        <w:tc>
          <w:tcPr>
            <w:tcW w:w="1129" w:type="dxa"/>
            <w:shd w:val="clear" w:color="auto" w:fill="auto"/>
            <w:noWrap/>
            <w:vAlign w:val="center"/>
            <w:hideMark/>
          </w:tcPr>
          <w:p w14:paraId="787FC51A" w14:textId="000E0816" w:rsidR="006903FC" w:rsidRPr="001E4AC5" w:rsidRDefault="006903FC" w:rsidP="001E4AC5">
            <w:pPr>
              <w:spacing w:line="240" w:lineRule="auto"/>
              <w:jc w:val="center"/>
              <w:rPr>
                <w:color w:val="000000"/>
                <w:sz w:val="20"/>
                <w:szCs w:val="20"/>
              </w:rPr>
            </w:pPr>
            <w:r w:rsidRPr="001E4AC5">
              <w:rPr>
                <w:color w:val="000000"/>
                <w:sz w:val="20"/>
                <w:szCs w:val="20"/>
                <w:lang w:val="ms-MY"/>
              </w:rPr>
              <w:t>0.992</w:t>
            </w:r>
          </w:p>
        </w:tc>
        <w:tc>
          <w:tcPr>
            <w:tcW w:w="1134" w:type="dxa"/>
            <w:shd w:val="clear" w:color="auto" w:fill="auto"/>
            <w:noWrap/>
            <w:vAlign w:val="center"/>
            <w:hideMark/>
          </w:tcPr>
          <w:p w14:paraId="58B9620B" w14:textId="2BDAB01D" w:rsidR="006903FC" w:rsidRPr="001E4AC5" w:rsidRDefault="006903FC" w:rsidP="001E4AC5">
            <w:pPr>
              <w:spacing w:line="240" w:lineRule="auto"/>
              <w:jc w:val="center"/>
              <w:rPr>
                <w:color w:val="000000"/>
                <w:sz w:val="20"/>
                <w:szCs w:val="20"/>
              </w:rPr>
            </w:pPr>
            <w:r w:rsidRPr="001E4AC5">
              <w:rPr>
                <w:color w:val="000000"/>
                <w:sz w:val="20"/>
                <w:szCs w:val="20"/>
                <w:lang w:val="ms-MY"/>
              </w:rPr>
              <w:t>0.985</w:t>
            </w:r>
          </w:p>
        </w:tc>
        <w:tc>
          <w:tcPr>
            <w:tcW w:w="1417" w:type="dxa"/>
            <w:shd w:val="clear" w:color="auto" w:fill="auto"/>
            <w:noWrap/>
            <w:vAlign w:val="center"/>
            <w:hideMark/>
          </w:tcPr>
          <w:p w14:paraId="5AF3138A" w14:textId="2E161962" w:rsidR="006903FC" w:rsidRPr="001E4AC5" w:rsidRDefault="006903FC" w:rsidP="001E4AC5">
            <w:pPr>
              <w:spacing w:line="240" w:lineRule="auto"/>
              <w:jc w:val="center"/>
              <w:rPr>
                <w:color w:val="000000"/>
                <w:sz w:val="20"/>
                <w:szCs w:val="20"/>
              </w:rPr>
            </w:pPr>
            <w:r w:rsidRPr="001E4AC5">
              <w:rPr>
                <w:color w:val="000000"/>
                <w:sz w:val="20"/>
                <w:szCs w:val="20"/>
                <w:lang w:val="ms-MY"/>
              </w:rPr>
              <w:t>0.987</w:t>
            </w:r>
          </w:p>
        </w:tc>
        <w:tc>
          <w:tcPr>
            <w:tcW w:w="1276" w:type="dxa"/>
            <w:shd w:val="clear" w:color="auto" w:fill="auto"/>
            <w:noWrap/>
            <w:vAlign w:val="center"/>
            <w:hideMark/>
          </w:tcPr>
          <w:p w14:paraId="3A418347" w14:textId="30013535" w:rsidR="006903FC" w:rsidRPr="001E4AC5" w:rsidRDefault="006903FC" w:rsidP="001E4AC5">
            <w:pPr>
              <w:spacing w:line="240" w:lineRule="auto"/>
              <w:jc w:val="center"/>
              <w:rPr>
                <w:color w:val="000000"/>
                <w:sz w:val="20"/>
                <w:szCs w:val="20"/>
              </w:rPr>
            </w:pPr>
            <w:r w:rsidRPr="001E4AC5">
              <w:rPr>
                <w:color w:val="000000"/>
                <w:sz w:val="20"/>
                <w:szCs w:val="20"/>
                <w:lang w:val="ms-MY"/>
              </w:rPr>
              <w:t>0.988</w:t>
            </w:r>
          </w:p>
        </w:tc>
        <w:tc>
          <w:tcPr>
            <w:tcW w:w="1559" w:type="dxa"/>
            <w:shd w:val="clear" w:color="auto" w:fill="auto"/>
            <w:noWrap/>
            <w:vAlign w:val="center"/>
            <w:hideMark/>
          </w:tcPr>
          <w:p w14:paraId="7E561514" w14:textId="27F08519" w:rsidR="006903FC" w:rsidRPr="001E4AC5" w:rsidRDefault="006903FC" w:rsidP="001E4AC5">
            <w:pPr>
              <w:spacing w:line="240" w:lineRule="auto"/>
              <w:jc w:val="center"/>
              <w:rPr>
                <w:color w:val="000000"/>
                <w:sz w:val="20"/>
                <w:szCs w:val="20"/>
              </w:rPr>
            </w:pPr>
            <w:r w:rsidRPr="001E4AC5">
              <w:rPr>
                <w:color w:val="000000"/>
                <w:sz w:val="20"/>
                <w:szCs w:val="20"/>
                <w:lang w:val="ms-MY"/>
              </w:rPr>
              <w:t>0.912</w:t>
            </w:r>
          </w:p>
        </w:tc>
      </w:tr>
      <w:tr w:rsidR="006903FC" w:rsidRPr="001E4AC5" w14:paraId="6015D118" w14:textId="77777777" w:rsidTr="00843C29">
        <w:trPr>
          <w:trHeight w:val="70"/>
          <w:jc w:val="center"/>
        </w:trPr>
        <w:tc>
          <w:tcPr>
            <w:tcW w:w="1560" w:type="dxa"/>
            <w:shd w:val="clear" w:color="auto" w:fill="auto"/>
            <w:noWrap/>
            <w:vAlign w:val="center"/>
            <w:hideMark/>
          </w:tcPr>
          <w:p w14:paraId="392AD56A" w14:textId="77777777" w:rsidR="006903FC" w:rsidRPr="001E4AC5" w:rsidRDefault="006903FC" w:rsidP="001E4AC5">
            <w:pPr>
              <w:spacing w:line="240" w:lineRule="auto"/>
              <w:jc w:val="center"/>
              <w:rPr>
                <w:color w:val="000000"/>
                <w:sz w:val="20"/>
                <w:szCs w:val="20"/>
              </w:rPr>
            </w:pPr>
            <w:r w:rsidRPr="001E4AC5">
              <w:rPr>
                <w:color w:val="000000"/>
                <w:sz w:val="20"/>
                <w:szCs w:val="20"/>
              </w:rPr>
              <w:t>2017</w:t>
            </w:r>
          </w:p>
        </w:tc>
        <w:tc>
          <w:tcPr>
            <w:tcW w:w="1129" w:type="dxa"/>
            <w:shd w:val="clear" w:color="auto" w:fill="auto"/>
            <w:noWrap/>
            <w:vAlign w:val="center"/>
            <w:hideMark/>
          </w:tcPr>
          <w:p w14:paraId="3B4A13FB" w14:textId="0F525A1A" w:rsidR="006903FC" w:rsidRPr="001E4AC5" w:rsidRDefault="006903FC" w:rsidP="001E4AC5">
            <w:pPr>
              <w:spacing w:line="240" w:lineRule="auto"/>
              <w:jc w:val="center"/>
              <w:rPr>
                <w:color w:val="000000"/>
                <w:sz w:val="20"/>
                <w:szCs w:val="20"/>
              </w:rPr>
            </w:pPr>
            <w:r w:rsidRPr="001E4AC5">
              <w:rPr>
                <w:color w:val="000000"/>
                <w:sz w:val="20"/>
                <w:szCs w:val="20"/>
                <w:lang w:val="ms-MY"/>
              </w:rPr>
              <w:t>0.994</w:t>
            </w:r>
          </w:p>
        </w:tc>
        <w:tc>
          <w:tcPr>
            <w:tcW w:w="1134" w:type="dxa"/>
            <w:shd w:val="clear" w:color="auto" w:fill="auto"/>
            <w:noWrap/>
            <w:vAlign w:val="center"/>
            <w:hideMark/>
          </w:tcPr>
          <w:p w14:paraId="23ED612C" w14:textId="5F3E6449" w:rsidR="006903FC" w:rsidRPr="001E4AC5" w:rsidRDefault="006903FC" w:rsidP="001E4AC5">
            <w:pPr>
              <w:spacing w:line="240" w:lineRule="auto"/>
              <w:jc w:val="center"/>
              <w:rPr>
                <w:color w:val="000000"/>
                <w:sz w:val="20"/>
                <w:szCs w:val="20"/>
              </w:rPr>
            </w:pPr>
            <w:r w:rsidRPr="001E4AC5">
              <w:rPr>
                <w:color w:val="000000"/>
                <w:sz w:val="20"/>
                <w:szCs w:val="20"/>
                <w:lang w:val="ms-MY"/>
              </w:rPr>
              <w:t>0.987</w:t>
            </w:r>
          </w:p>
        </w:tc>
        <w:tc>
          <w:tcPr>
            <w:tcW w:w="1417" w:type="dxa"/>
            <w:shd w:val="clear" w:color="auto" w:fill="auto"/>
            <w:noWrap/>
            <w:vAlign w:val="center"/>
            <w:hideMark/>
          </w:tcPr>
          <w:p w14:paraId="64B5986B" w14:textId="7268549A" w:rsidR="006903FC" w:rsidRPr="001E4AC5" w:rsidRDefault="006903FC" w:rsidP="001E4AC5">
            <w:pPr>
              <w:spacing w:line="240" w:lineRule="auto"/>
              <w:jc w:val="center"/>
              <w:rPr>
                <w:color w:val="000000"/>
                <w:sz w:val="20"/>
                <w:szCs w:val="20"/>
              </w:rPr>
            </w:pPr>
            <w:r w:rsidRPr="001E4AC5">
              <w:rPr>
                <w:color w:val="000000"/>
                <w:sz w:val="20"/>
                <w:szCs w:val="20"/>
                <w:lang w:val="ms-MY"/>
              </w:rPr>
              <w:t>0.989</w:t>
            </w:r>
          </w:p>
        </w:tc>
        <w:tc>
          <w:tcPr>
            <w:tcW w:w="1276" w:type="dxa"/>
            <w:shd w:val="clear" w:color="auto" w:fill="auto"/>
            <w:noWrap/>
            <w:vAlign w:val="center"/>
            <w:hideMark/>
          </w:tcPr>
          <w:p w14:paraId="25A52CFF" w14:textId="584D38F7" w:rsidR="006903FC" w:rsidRPr="001E4AC5" w:rsidRDefault="006903FC" w:rsidP="001E4AC5">
            <w:pPr>
              <w:spacing w:line="240" w:lineRule="auto"/>
              <w:jc w:val="center"/>
              <w:rPr>
                <w:color w:val="000000"/>
                <w:sz w:val="20"/>
                <w:szCs w:val="20"/>
              </w:rPr>
            </w:pPr>
            <w:r w:rsidRPr="001E4AC5">
              <w:rPr>
                <w:color w:val="000000"/>
                <w:sz w:val="20"/>
                <w:szCs w:val="20"/>
                <w:lang w:val="ms-MY"/>
              </w:rPr>
              <w:t>0.990</w:t>
            </w:r>
          </w:p>
        </w:tc>
        <w:tc>
          <w:tcPr>
            <w:tcW w:w="1559" w:type="dxa"/>
            <w:shd w:val="clear" w:color="auto" w:fill="auto"/>
            <w:noWrap/>
            <w:vAlign w:val="center"/>
            <w:hideMark/>
          </w:tcPr>
          <w:p w14:paraId="4CBBEA3C" w14:textId="0226924B" w:rsidR="006903FC" w:rsidRPr="001E4AC5" w:rsidRDefault="006903FC" w:rsidP="001E4AC5">
            <w:pPr>
              <w:spacing w:line="240" w:lineRule="auto"/>
              <w:jc w:val="center"/>
              <w:rPr>
                <w:color w:val="000000"/>
                <w:sz w:val="20"/>
                <w:szCs w:val="20"/>
              </w:rPr>
            </w:pPr>
            <w:r w:rsidRPr="001E4AC5">
              <w:rPr>
                <w:color w:val="000000"/>
                <w:sz w:val="20"/>
                <w:szCs w:val="20"/>
                <w:lang w:val="ms-MY"/>
              </w:rPr>
              <w:t>0.927</w:t>
            </w:r>
          </w:p>
        </w:tc>
      </w:tr>
      <w:tr w:rsidR="006903FC" w:rsidRPr="001E4AC5" w14:paraId="7969539D" w14:textId="77777777" w:rsidTr="00843C29">
        <w:trPr>
          <w:trHeight w:val="70"/>
          <w:jc w:val="center"/>
        </w:trPr>
        <w:tc>
          <w:tcPr>
            <w:tcW w:w="1560" w:type="dxa"/>
            <w:shd w:val="clear" w:color="auto" w:fill="auto"/>
            <w:noWrap/>
            <w:vAlign w:val="center"/>
            <w:hideMark/>
          </w:tcPr>
          <w:p w14:paraId="400362A1" w14:textId="77777777" w:rsidR="006903FC" w:rsidRPr="001E4AC5" w:rsidRDefault="006903FC" w:rsidP="001E4AC5">
            <w:pPr>
              <w:spacing w:line="240" w:lineRule="auto"/>
              <w:jc w:val="center"/>
              <w:rPr>
                <w:color w:val="000000"/>
                <w:sz w:val="20"/>
                <w:szCs w:val="20"/>
              </w:rPr>
            </w:pPr>
            <w:r w:rsidRPr="001E4AC5">
              <w:rPr>
                <w:color w:val="000000"/>
                <w:sz w:val="20"/>
                <w:szCs w:val="20"/>
              </w:rPr>
              <w:t>2018</w:t>
            </w:r>
          </w:p>
        </w:tc>
        <w:tc>
          <w:tcPr>
            <w:tcW w:w="1129" w:type="dxa"/>
            <w:shd w:val="clear" w:color="auto" w:fill="auto"/>
            <w:noWrap/>
            <w:vAlign w:val="center"/>
            <w:hideMark/>
          </w:tcPr>
          <w:p w14:paraId="5CEB9D51" w14:textId="1770C9B0" w:rsidR="006903FC" w:rsidRPr="001E4AC5" w:rsidRDefault="006903FC" w:rsidP="001E4AC5">
            <w:pPr>
              <w:spacing w:line="240" w:lineRule="auto"/>
              <w:jc w:val="center"/>
              <w:rPr>
                <w:color w:val="000000"/>
                <w:sz w:val="20"/>
                <w:szCs w:val="20"/>
              </w:rPr>
            </w:pPr>
            <w:r w:rsidRPr="001E4AC5">
              <w:rPr>
                <w:color w:val="000000"/>
                <w:sz w:val="20"/>
                <w:szCs w:val="20"/>
                <w:lang w:val="ms-MY"/>
              </w:rPr>
              <w:t>0.995</w:t>
            </w:r>
          </w:p>
        </w:tc>
        <w:tc>
          <w:tcPr>
            <w:tcW w:w="1134" w:type="dxa"/>
            <w:shd w:val="clear" w:color="auto" w:fill="auto"/>
            <w:noWrap/>
            <w:vAlign w:val="center"/>
            <w:hideMark/>
          </w:tcPr>
          <w:p w14:paraId="55FF1CAB" w14:textId="695B1D6F" w:rsidR="006903FC" w:rsidRPr="001E4AC5" w:rsidRDefault="006903FC" w:rsidP="001E4AC5">
            <w:pPr>
              <w:spacing w:line="240" w:lineRule="auto"/>
              <w:jc w:val="center"/>
              <w:rPr>
                <w:color w:val="000000"/>
                <w:sz w:val="20"/>
                <w:szCs w:val="20"/>
              </w:rPr>
            </w:pPr>
            <w:r w:rsidRPr="001E4AC5">
              <w:rPr>
                <w:color w:val="000000"/>
                <w:sz w:val="20"/>
                <w:szCs w:val="20"/>
                <w:lang w:val="ms-MY"/>
              </w:rPr>
              <w:t>0.989</w:t>
            </w:r>
          </w:p>
        </w:tc>
        <w:tc>
          <w:tcPr>
            <w:tcW w:w="1417" w:type="dxa"/>
            <w:shd w:val="clear" w:color="auto" w:fill="auto"/>
            <w:noWrap/>
            <w:vAlign w:val="center"/>
            <w:hideMark/>
          </w:tcPr>
          <w:p w14:paraId="36FBA9B5" w14:textId="79683CC8" w:rsidR="006903FC" w:rsidRPr="001E4AC5" w:rsidRDefault="006903FC" w:rsidP="001E4AC5">
            <w:pPr>
              <w:spacing w:line="240" w:lineRule="auto"/>
              <w:jc w:val="center"/>
              <w:rPr>
                <w:color w:val="000000"/>
                <w:sz w:val="20"/>
                <w:szCs w:val="20"/>
              </w:rPr>
            </w:pPr>
            <w:r w:rsidRPr="001E4AC5">
              <w:rPr>
                <w:color w:val="000000"/>
                <w:sz w:val="20"/>
                <w:szCs w:val="20"/>
                <w:lang w:val="ms-MY"/>
              </w:rPr>
              <w:t>0.991</w:t>
            </w:r>
          </w:p>
        </w:tc>
        <w:tc>
          <w:tcPr>
            <w:tcW w:w="1276" w:type="dxa"/>
            <w:shd w:val="clear" w:color="auto" w:fill="auto"/>
            <w:noWrap/>
            <w:vAlign w:val="center"/>
            <w:hideMark/>
          </w:tcPr>
          <w:p w14:paraId="6FAA5992" w14:textId="66B4328B" w:rsidR="006903FC" w:rsidRPr="001E4AC5" w:rsidRDefault="006903FC" w:rsidP="001E4AC5">
            <w:pPr>
              <w:spacing w:line="240" w:lineRule="auto"/>
              <w:jc w:val="center"/>
              <w:rPr>
                <w:color w:val="000000"/>
                <w:sz w:val="20"/>
                <w:szCs w:val="20"/>
              </w:rPr>
            </w:pPr>
            <w:r w:rsidRPr="001E4AC5">
              <w:rPr>
                <w:color w:val="000000"/>
                <w:sz w:val="20"/>
                <w:szCs w:val="20"/>
                <w:lang w:val="ms-MY"/>
              </w:rPr>
              <w:t>0.992</w:t>
            </w:r>
          </w:p>
        </w:tc>
        <w:tc>
          <w:tcPr>
            <w:tcW w:w="1559" w:type="dxa"/>
            <w:shd w:val="clear" w:color="auto" w:fill="auto"/>
            <w:noWrap/>
            <w:vAlign w:val="center"/>
            <w:hideMark/>
          </w:tcPr>
          <w:p w14:paraId="753B278D" w14:textId="75EA4F39" w:rsidR="006903FC" w:rsidRPr="001E4AC5" w:rsidRDefault="006903FC" w:rsidP="001E4AC5">
            <w:pPr>
              <w:spacing w:line="240" w:lineRule="auto"/>
              <w:jc w:val="center"/>
              <w:rPr>
                <w:color w:val="000000"/>
                <w:sz w:val="20"/>
                <w:szCs w:val="20"/>
              </w:rPr>
            </w:pPr>
            <w:r w:rsidRPr="001E4AC5">
              <w:rPr>
                <w:color w:val="000000"/>
                <w:sz w:val="20"/>
                <w:szCs w:val="20"/>
                <w:lang w:val="ms-MY"/>
              </w:rPr>
              <w:t>0.939</w:t>
            </w:r>
          </w:p>
        </w:tc>
      </w:tr>
      <w:tr w:rsidR="006903FC" w:rsidRPr="001E4AC5" w14:paraId="6304F106" w14:textId="77777777" w:rsidTr="00843C29">
        <w:trPr>
          <w:trHeight w:val="70"/>
          <w:jc w:val="center"/>
        </w:trPr>
        <w:tc>
          <w:tcPr>
            <w:tcW w:w="1560" w:type="dxa"/>
            <w:shd w:val="clear" w:color="auto" w:fill="auto"/>
            <w:noWrap/>
            <w:vAlign w:val="center"/>
            <w:hideMark/>
          </w:tcPr>
          <w:p w14:paraId="58B9B6EE" w14:textId="77777777" w:rsidR="006903FC" w:rsidRPr="001E4AC5" w:rsidRDefault="006903FC" w:rsidP="001E4AC5">
            <w:pPr>
              <w:spacing w:line="240" w:lineRule="auto"/>
              <w:jc w:val="center"/>
              <w:rPr>
                <w:color w:val="000000"/>
                <w:sz w:val="20"/>
                <w:szCs w:val="20"/>
              </w:rPr>
            </w:pPr>
            <w:r w:rsidRPr="001E4AC5">
              <w:rPr>
                <w:color w:val="000000"/>
                <w:sz w:val="20"/>
                <w:szCs w:val="20"/>
              </w:rPr>
              <w:t>2019</w:t>
            </w:r>
          </w:p>
        </w:tc>
        <w:tc>
          <w:tcPr>
            <w:tcW w:w="1129" w:type="dxa"/>
            <w:shd w:val="clear" w:color="auto" w:fill="auto"/>
            <w:noWrap/>
            <w:vAlign w:val="center"/>
            <w:hideMark/>
          </w:tcPr>
          <w:p w14:paraId="67AB9CE7" w14:textId="25571627" w:rsidR="006903FC" w:rsidRPr="001E4AC5" w:rsidRDefault="006903FC" w:rsidP="001E4AC5">
            <w:pPr>
              <w:spacing w:line="240" w:lineRule="auto"/>
              <w:jc w:val="center"/>
              <w:rPr>
                <w:color w:val="000000"/>
                <w:sz w:val="20"/>
                <w:szCs w:val="20"/>
              </w:rPr>
            </w:pPr>
            <w:r w:rsidRPr="001E4AC5">
              <w:rPr>
                <w:color w:val="000000"/>
                <w:sz w:val="20"/>
                <w:szCs w:val="20"/>
                <w:lang w:val="ms-MY"/>
              </w:rPr>
              <w:t>0.996</w:t>
            </w:r>
          </w:p>
        </w:tc>
        <w:tc>
          <w:tcPr>
            <w:tcW w:w="1134" w:type="dxa"/>
            <w:shd w:val="clear" w:color="auto" w:fill="auto"/>
            <w:noWrap/>
            <w:vAlign w:val="center"/>
            <w:hideMark/>
          </w:tcPr>
          <w:p w14:paraId="3DAF3EF5" w14:textId="3955E2C7" w:rsidR="006903FC" w:rsidRPr="001E4AC5" w:rsidRDefault="006903FC" w:rsidP="001E4AC5">
            <w:pPr>
              <w:spacing w:line="240" w:lineRule="auto"/>
              <w:jc w:val="center"/>
              <w:rPr>
                <w:color w:val="000000"/>
                <w:sz w:val="20"/>
                <w:szCs w:val="20"/>
              </w:rPr>
            </w:pPr>
            <w:r w:rsidRPr="001E4AC5">
              <w:rPr>
                <w:color w:val="000000"/>
                <w:sz w:val="20"/>
                <w:szCs w:val="20"/>
                <w:lang w:val="ms-MY"/>
              </w:rPr>
              <w:t>0.991</w:t>
            </w:r>
          </w:p>
        </w:tc>
        <w:tc>
          <w:tcPr>
            <w:tcW w:w="1417" w:type="dxa"/>
            <w:shd w:val="clear" w:color="auto" w:fill="auto"/>
            <w:noWrap/>
            <w:vAlign w:val="center"/>
            <w:hideMark/>
          </w:tcPr>
          <w:p w14:paraId="070F0C35" w14:textId="567A5985" w:rsidR="006903FC" w:rsidRPr="001E4AC5" w:rsidRDefault="006903FC" w:rsidP="001E4AC5">
            <w:pPr>
              <w:spacing w:line="240" w:lineRule="auto"/>
              <w:jc w:val="center"/>
              <w:rPr>
                <w:color w:val="000000"/>
                <w:sz w:val="20"/>
                <w:szCs w:val="20"/>
              </w:rPr>
            </w:pPr>
            <w:r w:rsidRPr="001E4AC5">
              <w:rPr>
                <w:color w:val="000000"/>
                <w:sz w:val="20"/>
                <w:szCs w:val="20"/>
                <w:lang w:val="ms-MY"/>
              </w:rPr>
              <w:t>0.993</w:t>
            </w:r>
          </w:p>
        </w:tc>
        <w:tc>
          <w:tcPr>
            <w:tcW w:w="1276" w:type="dxa"/>
            <w:shd w:val="clear" w:color="auto" w:fill="auto"/>
            <w:noWrap/>
            <w:vAlign w:val="center"/>
            <w:hideMark/>
          </w:tcPr>
          <w:p w14:paraId="67540081" w14:textId="735985BF" w:rsidR="006903FC" w:rsidRPr="001E4AC5" w:rsidRDefault="006903FC" w:rsidP="001E4AC5">
            <w:pPr>
              <w:spacing w:line="240" w:lineRule="auto"/>
              <w:jc w:val="center"/>
              <w:rPr>
                <w:color w:val="000000"/>
                <w:sz w:val="20"/>
                <w:szCs w:val="20"/>
              </w:rPr>
            </w:pPr>
            <w:r w:rsidRPr="001E4AC5">
              <w:rPr>
                <w:color w:val="000000"/>
                <w:sz w:val="20"/>
                <w:szCs w:val="20"/>
                <w:lang w:val="ms-MY"/>
              </w:rPr>
              <w:t>0.993</w:t>
            </w:r>
          </w:p>
        </w:tc>
        <w:tc>
          <w:tcPr>
            <w:tcW w:w="1559" w:type="dxa"/>
            <w:shd w:val="clear" w:color="auto" w:fill="auto"/>
            <w:noWrap/>
            <w:vAlign w:val="center"/>
            <w:hideMark/>
          </w:tcPr>
          <w:p w14:paraId="1CA437FF" w14:textId="06EFA9B8" w:rsidR="006903FC" w:rsidRPr="001E4AC5" w:rsidRDefault="006903FC" w:rsidP="001E4AC5">
            <w:pPr>
              <w:spacing w:line="240" w:lineRule="auto"/>
              <w:jc w:val="center"/>
              <w:rPr>
                <w:color w:val="000000"/>
                <w:sz w:val="20"/>
                <w:szCs w:val="20"/>
              </w:rPr>
            </w:pPr>
            <w:r w:rsidRPr="001E4AC5">
              <w:rPr>
                <w:color w:val="000000"/>
                <w:sz w:val="20"/>
                <w:szCs w:val="20"/>
                <w:lang w:val="ms-MY"/>
              </w:rPr>
              <w:t>0.949</w:t>
            </w:r>
          </w:p>
        </w:tc>
      </w:tr>
      <w:tr w:rsidR="006903FC" w:rsidRPr="001E4AC5" w14:paraId="4E4A326E" w14:textId="77777777" w:rsidTr="00843C29">
        <w:trPr>
          <w:trHeight w:val="70"/>
          <w:jc w:val="center"/>
        </w:trPr>
        <w:tc>
          <w:tcPr>
            <w:tcW w:w="1560" w:type="dxa"/>
            <w:shd w:val="clear" w:color="auto" w:fill="auto"/>
            <w:noWrap/>
            <w:vAlign w:val="center"/>
            <w:hideMark/>
          </w:tcPr>
          <w:p w14:paraId="4F9F66A5" w14:textId="77777777" w:rsidR="006903FC" w:rsidRPr="001E4AC5" w:rsidRDefault="006903FC" w:rsidP="001E4AC5">
            <w:pPr>
              <w:spacing w:line="240" w:lineRule="auto"/>
              <w:jc w:val="center"/>
              <w:rPr>
                <w:color w:val="000000"/>
                <w:sz w:val="20"/>
                <w:szCs w:val="20"/>
              </w:rPr>
            </w:pPr>
            <w:r w:rsidRPr="001E4AC5">
              <w:rPr>
                <w:color w:val="000000"/>
                <w:sz w:val="20"/>
                <w:szCs w:val="20"/>
              </w:rPr>
              <w:t>2020</w:t>
            </w:r>
          </w:p>
        </w:tc>
        <w:tc>
          <w:tcPr>
            <w:tcW w:w="1129" w:type="dxa"/>
            <w:shd w:val="clear" w:color="auto" w:fill="auto"/>
            <w:noWrap/>
            <w:vAlign w:val="center"/>
            <w:hideMark/>
          </w:tcPr>
          <w:p w14:paraId="31319E43" w14:textId="6965F91C" w:rsidR="006903FC" w:rsidRPr="001E4AC5" w:rsidRDefault="006903FC" w:rsidP="001E4AC5">
            <w:pPr>
              <w:spacing w:line="240" w:lineRule="auto"/>
              <w:jc w:val="center"/>
              <w:rPr>
                <w:color w:val="000000"/>
                <w:sz w:val="20"/>
                <w:szCs w:val="20"/>
              </w:rPr>
            </w:pPr>
            <w:r w:rsidRPr="001E4AC5">
              <w:rPr>
                <w:color w:val="000000"/>
                <w:sz w:val="20"/>
                <w:szCs w:val="20"/>
                <w:lang w:val="ms-MY"/>
              </w:rPr>
              <w:t>0.996</w:t>
            </w:r>
          </w:p>
        </w:tc>
        <w:tc>
          <w:tcPr>
            <w:tcW w:w="1134" w:type="dxa"/>
            <w:shd w:val="clear" w:color="auto" w:fill="auto"/>
            <w:noWrap/>
            <w:vAlign w:val="center"/>
            <w:hideMark/>
          </w:tcPr>
          <w:p w14:paraId="57912D68" w14:textId="4B7E6425" w:rsidR="006903FC" w:rsidRPr="001E4AC5" w:rsidRDefault="006903FC" w:rsidP="001E4AC5">
            <w:pPr>
              <w:spacing w:line="240" w:lineRule="auto"/>
              <w:jc w:val="center"/>
              <w:rPr>
                <w:color w:val="000000"/>
                <w:sz w:val="20"/>
                <w:szCs w:val="20"/>
              </w:rPr>
            </w:pPr>
            <w:r w:rsidRPr="001E4AC5">
              <w:rPr>
                <w:color w:val="000000"/>
                <w:sz w:val="20"/>
                <w:szCs w:val="20"/>
                <w:lang w:val="ms-MY"/>
              </w:rPr>
              <w:t>0.993</w:t>
            </w:r>
          </w:p>
        </w:tc>
        <w:tc>
          <w:tcPr>
            <w:tcW w:w="1417" w:type="dxa"/>
            <w:shd w:val="clear" w:color="auto" w:fill="auto"/>
            <w:noWrap/>
            <w:vAlign w:val="center"/>
            <w:hideMark/>
          </w:tcPr>
          <w:p w14:paraId="7787CA0A" w14:textId="6010D717" w:rsidR="006903FC" w:rsidRPr="001E4AC5" w:rsidRDefault="006903FC" w:rsidP="001E4AC5">
            <w:pPr>
              <w:spacing w:line="240" w:lineRule="auto"/>
              <w:jc w:val="center"/>
              <w:rPr>
                <w:color w:val="000000"/>
                <w:sz w:val="20"/>
                <w:szCs w:val="20"/>
              </w:rPr>
            </w:pPr>
            <w:r w:rsidRPr="001E4AC5">
              <w:rPr>
                <w:color w:val="000000"/>
                <w:sz w:val="20"/>
                <w:szCs w:val="20"/>
                <w:lang w:val="ms-MY"/>
              </w:rPr>
              <w:t>0.994</w:t>
            </w:r>
          </w:p>
        </w:tc>
        <w:tc>
          <w:tcPr>
            <w:tcW w:w="1276" w:type="dxa"/>
            <w:shd w:val="clear" w:color="auto" w:fill="auto"/>
            <w:noWrap/>
            <w:vAlign w:val="center"/>
            <w:hideMark/>
          </w:tcPr>
          <w:p w14:paraId="2F5EEAFA" w14:textId="23BF725C" w:rsidR="006903FC" w:rsidRPr="001E4AC5" w:rsidRDefault="006903FC" w:rsidP="001E4AC5">
            <w:pPr>
              <w:spacing w:line="240" w:lineRule="auto"/>
              <w:jc w:val="center"/>
              <w:rPr>
                <w:color w:val="000000"/>
                <w:sz w:val="20"/>
                <w:szCs w:val="20"/>
              </w:rPr>
            </w:pPr>
            <w:r w:rsidRPr="001E4AC5">
              <w:rPr>
                <w:color w:val="000000"/>
                <w:sz w:val="20"/>
                <w:szCs w:val="20"/>
                <w:lang w:val="ms-MY"/>
              </w:rPr>
              <w:t>0.995</w:t>
            </w:r>
          </w:p>
        </w:tc>
        <w:tc>
          <w:tcPr>
            <w:tcW w:w="1559" w:type="dxa"/>
            <w:shd w:val="clear" w:color="auto" w:fill="auto"/>
            <w:noWrap/>
            <w:vAlign w:val="center"/>
            <w:hideMark/>
          </w:tcPr>
          <w:p w14:paraId="676950B6" w14:textId="5ACA6A8B" w:rsidR="006903FC" w:rsidRPr="001E4AC5" w:rsidRDefault="006903FC" w:rsidP="001E4AC5">
            <w:pPr>
              <w:spacing w:line="240" w:lineRule="auto"/>
              <w:jc w:val="center"/>
              <w:rPr>
                <w:color w:val="000000"/>
                <w:sz w:val="20"/>
                <w:szCs w:val="20"/>
              </w:rPr>
            </w:pPr>
            <w:r w:rsidRPr="001E4AC5">
              <w:rPr>
                <w:color w:val="000000"/>
                <w:sz w:val="20"/>
                <w:szCs w:val="20"/>
                <w:lang w:val="ms-MY"/>
              </w:rPr>
              <w:t>0.958</w:t>
            </w:r>
          </w:p>
        </w:tc>
      </w:tr>
      <w:tr w:rsidR="006903FC" w:rsidRPr="001E4AC5" w14:paraId="0F58021E" w14:textId="77777777" w:rsidTr="00843C29">
        <w:trPr>
          <w:trHeight w:val="70"/>
          <w:jc w:val="center"/>
        </w:trPr>
        <w:tc>
          <w:tcPr>
            <w:tcW w:w="1560" w:type="dxa"/>
            <w:tcBorders>
              <w:bottom w:val="single" w:sz="4" w:space="0" w:color="auto"/>
            </w:tcBorders>
            <w:shd w:val="clear" w:color="auto" w:fill="auto"/>
            <w:noWrap/>
            <w:vAlign w:val="center"/>
          </w:tcPr>
          <w:p w14:paraId="0F7D7769" w14:textId="77777777" w:rsidR="006903FC" w:rsidRPr="001E4AC5" w:rsidRDefault="006903FC" w:rsidP="001E4AC5">
            <w:pPr>
              <w:spacing w:line="240" w:lineRule="auto"/>
              <w:jc w:val="center"/>
              <w:rPr>
                <w:color w:val="000000"/>
                <w:sz w:val="20"/>
                <w:szCs w:val="20"/>
              </w:rPr>
            </w:pPr>
            <w:r w:rsidRPr="001E4AC5">
              <w:rPr>
                <w:color w:val="000000"/>
                <w:sz w:val="20"/>
                <w:szCs w:val="20"/>
              </w:rPr>
              <w:t>Mean</w:t>
            </w:r>
          </w:p>
        </w:tc>
        <w:tc>
          <w:tcPr>
            <w:tcW w:w="1129" w:type="dxa"/>
            <w:tcBorders>
              <w:bottom w:val="single" w:sz="4" w:space="0" w:color="auto"/>
            </w:tcBorders>
            <w:shd w:val="clear" w:color="auto" w:fill="auto"/>
            <w:noWrap/>
            <w:vAlign w:val="center"/>
          </w:tcPr>
          <w:p w14:paraId="5B5ABBA1" w14:textId="46F89931" w:rsidR="006903FC" w:rsidRPr="001E4AC5" w:rsidRDefault="006903FC" w:rsidP="001E4AC5">
            <w:pPr>
              <w:spacing w:line="240" w:lineRule="auto"/>
              <w:jc w:val="center"/>
              <w:rPr>
                <w:color w:val="000000"/>
                <w:sz w:val="20"/>
                <w:szCs w:val="20"/>
              </w:rPr>
            </w:pPr>
            <w:r w:rsidRPr="001E4AC5">
              <w:rPr>
                <w:color w:val="000000"/>
                <w:sz w:val="20"/>
                <w:szCs w:val="20"/>
                <w:lang w:val="ms-MY"/>
              </w:rPr>
              <w:t>0.960</w:t>
            </w:r>
          </w:p>
        </w:tc>
        <w:tc>
          <w:tcPr>
            <w:tcW w:w="1134" w:type="dxa"/>
            <w:tcBorders>
              <w:bottom w:val="single" w:sz="4" w:space="0" w:color="auto"/>
            </w:tcBorders>
            <w:shd w:val="clear" w:color="auto" w:fill="auto"/>
            <w:noWrap/>
            <w:vAlign w:val="center"/>
          </w:tcPr>
          <w:p w14:paraId="42DCEA14" w14:textId="5AB26A11" w:rsidR="006903FC" w:rsidRPr="001E4AC5" w:rsidRDefault="006903FC" w:rsidP="001E4AC5">
            <w:pPr>
              <w:spacing w:line="240" w:lineRule="auto"/>
              <w:jc w:val="center"/>
              <w:rPr>
                <w:color w:val="000000"/>
                <w:sz w:val="20"/>
                <w:szCs w:val="20"/>
              </w:rPr>
            </w:pPr>
            <w:r w:rsidRPr="001E4AC5">
              <w:rPr>
                <w:color w:val="000000"/>
                <w:sz w:val="20"/>
                <w:szCs w:val="20"/>
                <w:lang w:val="ms-MY"/>
              </w:rPr>
              <w:t>0.921</w:t>
            </w:r>
          </w:p>
        </w:tc>
        <w:tc>
          <w:tcPr>
            <w:tcW w:w="1417" w:type="dxa"/>
            <w:tcBorders>
              <w:bottom w:val="single" w:sz="4" w:space="0" w:color="auto"/>
            </w:tcBorders>
            <w:shd w:val="clear" w:color="auto" w:fill="auto"/>
            <w:noWrap/>
            <w:vAlign w:val="center"/>
          </w:tcPr>
          <w:p w14:paraId="300CCBE5" w14:textId="3F347B33" w:rsidR="006903FC" w:rsidRPr="001E4AC5" w:rsidRDefault="006903FC" w:rsidP="001E4AC5">
            <w:pPr>
              <w:spacing w:line="240" w:lineRule="auto"/>
              <w:jc w:val="center"/>
              <w:rPr>
                <w:color w:val="000000"/>
                <w:sz w:val="20"/>
                <w:szCs w:val="20"/>
              </w:rPr>
            </w:pPr>
            <w:r w:rsidRPr="001E4AC5">
              <w:rPr>
                <w:color w:val="000000"/>
                <w:sz w:val="20"/>
                <w:szCs w:val="20"/>
                <w:lang w:val="ms-MY"/>
              </w:rPr>
              <w:t>0.934</w:t>
            </w:r>
          </w:p>
        </w:tc>
        <w:tc>
          <w:tcPr>
            <w:tcW w:w="1276" w:type="dxa"/>
            <w:tcBorders>
              <w:bottom w:val="single" w:sz="4" w:space="0" w:color="auto"/>
            </w:tcBorders>
            <w:shd w:val="clear" w:color="auto" w:fill="auto"/>
            <w:noWrap/>
            <w:vAlign w:val="center"/>
          </w:tcPr>
          <w:p w14:paraId="75F6E6BB" w14:textId="20EDD931" w:rsidR="006903FC" w:rsidRPr="001E4AC5" w:rsidRDefault="006903FC" w:rsidP="001E4AC5">
            <w:pPr>
              <w:spacing w:line="240" w:lineRule="auto"/>
              <w:jc w:val="center"/>
              <w:rPr>
                <w:color w:val="000000"/>
                <w:sz w:val="20"/>
                <w:szCs w:val="20"/>
              </w:rPr>
            </w:pPr>
            <w:r w:rsidRPr="001E4AC5">
              <w:rPr>
                <w:color w:val="000000"/>
                <w:sz w:val="20"/>
                <w:szCs w:val="20"/>
                <w:lang w:val="ms-MY"/>
              </w:rPr>
              <w:t>0.939</w:t>
            </w:r>
          </w:p>
        </w:tc>
        <w:tc>
          <w:tcPr>
            <w:tcW w:w="1559" w:type="dxa"/>
            <w:tcBorders>
              <w:bottom w:val="single" w:sz="4" w:space="0" w:color="auto"/>
            </w:tcBorders>
            <w:shd w:val="clear" w:color="auto" w:fill="auto"/>
            <w:noWrap/>
            <w:vAlign w:val="center"/>
          </w:tcPr>
          <w:p w14:paraId="1BFE8C45" w14:textId="49B30A66" w:rsidR="006903FC" w:rsidRPr="001E4AC5" w:rsidRDefault="006903FC" w:rsidP="001E4AC5">
            <w:pPr>
              <w:spacing w:line="240" w:lineRule="auto"/>
              <w:jc w:val="center"/>
              <w:rPr>
                <w:color w:val="000000"/>
                <w:sz w:val="20"/>
                <w:szCs w:val="20"/>
              </w:rPr>
            </w:pPr>
            <w:r w:rsidRPr="001E4AC5">
              <w:rPr>
                <w:color w:val="000000"/>
                <w:sz w:val="20"/>
                <w:szCs w:val="20"/>
                <w:lang w:val="ms-MY"/>
              </w:rPr>
              <w:t>0.667</w:t>
            </w:r>
          </w:p>
        </w:tc>
      </w:tr>
    </w:tbl>
    <w:p w14:paraId="3E560494" w14:textId="77777777" w:rsidR="00A13ADB" w:rsidRDefault="00A13ADB" w:rsidP="00AC7D6B">
      <w:pPr>
        <w:spacing w:line="240" w:lineRule="auto"/>
        <w:rPr>
          <w:szCs w:val="24"/>
        </w:rPr>
      </w:pPr>
    </w:p>
    <w:p w14:paraId="1E9C3212" w14:textId="77777777" w:rsidR="002F056F" w:rsidRDefault="002F056F" w:rsidP="00AC7D6B">
      <w:pPr>
        <w:spacing w:line="240" w:lineRule="auto"/>
        <w:rPr>
          <w:szCs w:val="24"/>
        </w:rPr>
      </w:pPr>
    </w:p>
    <w:p w14:paraId="059EB58E" w14:textId="0906C3ED" w:rsidR="00613DB6" w:rsidRPr="00AC7D6B" w:rsidRDefault="00AC7D6B" w:rsidP="00AC7D6B">
      <w:pPr>
        <w:pStyle w:val="BodyText"/>
        <w:spacing w:line="240" w:lineRule="auto"/>
        <w:rPr>
          <w:b/>
          <w:szCs w:val="24"/>
        </w:rPr>
      </w:pPr>
      <w:r w:rsidRPr="00AC7D6B">
        <w:rPr>
          <w:b/>
          <w:szCs w:val="24"/>
        </w:rPr>
        <w:t>Conclusion</w:t>
      </w:r>
    </w:p>
    <w:p w14:paraId="610EDA31" w14:textId="4A58CE7A" w:rsidR="003F5631" w:rsidRDefault="003F5631" w:rsidP="00AC7D6B">
      <w:pPr>
        <w:pStyle w:val="BodyText"/>
        <w:spacing w:line="240" w:lineRule="auto"/>
        <w:jc w:val="both"/>
      </w:pPr>
    </w:p>
    <w:p w14:paraId="0F540F2A" w14:textId="77777777" w:rsidR="001052EF" w:rsidRDefault="001052EF" w:rsidP="001052EF">
      <w:pPr>
        <w:pStyle w:val="BodyText"/>
        <w:spacing w:line="240" w:lineRule="auto"/>
        <w:jc w:val="both"/>
      </w:pPr>
      <w:r>
        <w:t>Malaysia aims to increase the country's palm oil export as one of the 12 National Key Economic Areas (NKEA) to support the country's economic growth. In this regard, this study determines factors that influence Malaysian palm oil export efficiency from 2000 to 2020 using the GSFM approach. This study focuses on the main trading partners of Malaysian palm oil export: China, Pakistan, India, the Netherlands and the US. The findings show that palm oil export is positively affected by the importing country's GDP and foreign exchange rate and negatively by the distance factor. In contrast, Malaysian GDP, Indonesian CPO export, soybean prices, CPO prices and tariffs were found not to affect the country's palm oil export. The GSFM technique also measures export potential by estimating technical efficiency. It shows that the technical efficiency (TE) score of palm oil export to the five main importing countries increased from 2000 to 2020, with the average TE ranging from 67% to 96%. The highest technical efficiency is in China, followed by Pakistan, the Netherlands, India, and the US. It shows that Malaysia still has the potential to increase export to leading importing countries and take advantage of its vast market. In addition, the average efficiency value shows that Malaysia had lost the potential of palm oil export by 33% to the US. However, export efficiency to the US has improved, with 95.8% in 2020, suggesting an export potential of 4.2%.</w:t>
      </w:r>
    </w:p>
    <w:p w14:paraId="26D671CF" w14:textId="77777777" w:rsidR="001052EF" w:rsidRDefault="001052EF" w:rsidP="001052EF">
      <w:pPr>
        <w:pStyle w:val="BodyText"/>
        <w:spacing w:line="240" w:lineRule="auto"/>
        <w:ind w:firstLine="720"/>
        <w:jc w:val="both"/>
      </w:pPr>
      <w:r>
        <w:t>Understanding export efficiency and influencing factors is essential to achieve full export potential. It provides an overview of the country's palm oil export performance and insights into the necessary policy reforms. For example, the national bank can project a depreciation of the Malaysian Ringgit against the currency of the country's leading palm oil importers to reduce the price of a foreign export, encourage the export of palm oil-based products and increase competitiveness. The government can also reduce the impact of existing trade restriction measures through bilateral and regional trade agreements to realize export capacity. Strategic efforts such as improving institutions, infrastructure, and other support can also improve the country's export performance. The increase in export is a positive factor for the Malaysian economy, which can reduce the trade deficit and increase the country's capital inflow.</w:t>
      </w:r>
    </w:p>
    <w:p w14:paraId="4B55FA56" w14:textId="0BD8EAD8" w:rsidR="002D109A" w:rsidRDefault="001052EF" w:rsidP="001052EF">
      <w:pPr>
        <w:pStyle w:val="BodyText"/>
        <w:spacing w:line="240" w:lineRule="auto"/>
        <w:ind w:firstLine="720"/>
        <w:jc w:val="both"/>
      </w:pPr>
      <w:r>
        <w:t xml:space="preserve">However, the scope of this study is limited in the Malaysian context. Future studies can expand the scope of the study by comparing export between Malaysia and Indonesia to obtain more comprehensive study findings, especially from the aspect of efficiency performance. A </w:t>
      </w:r>
      <w:r>
        <w:lastRenderedPageBreak/>
        <w:t>comparison of efficiency performance between the leading and second global palm oil producers can provide empirical evidence for the full exploitation of palm oil export potential.</w:t>
      </w:r>
    </w:p>
    <w:p w14:paraId="702E4A50" w14:textId="77777777" w:rsidR="002F056F" w:rsidRDefault="002F056F" w:rsidP="002F056F">
      <w:pPr>
        <w:pStyle w:val="BodyText"/>
        <w:spacing w:line="240" w:lineRule="auto"/>
        <w:jc w:val="both"/>
      </w:pPr>
    </w:p>
    <w:p w14:paraId="1ED67B63" w14:textId="664B41F5" w:rsidR="00396CFC" w:rsidRDefault="002D109A" w:rsidP="002F056F">
      <w:pPr>
        <w:pStyle w:val="BodyText"/>
        <w:spacing w:line="240" w:lineRule="auto"/>
        <w:jc w:val="both"/>
      </w:pPr>
      <w:r>
        <w:t xml:space="preserve"> </w:t>
      </w:r>
    </w:p>
    <w:p w14:paraId="5B46C68B" w14:textId="34BDD316" w:rsidR="003F5631" w:rsidRPr="00AC7D6B" w:rsidRDefault="00AC7D6B" w:rsidP="00AC7D6B">
      <w:pPr>
        <w:pStyle w:val="Heading2"/>
        <w:spacing w:line="240" w:lineRule="auto"/>
        <w:ind w:left="567" w:right="669" w:hanging="567"/>
        <w:jc w:val="left"/>
        <w:rPr>
          <w:b/>
          <w:sz w:val="24"/>
          <w:szCs w:val="24"/>
        </w:rPr>
      </w:pPr>
      <w:r w:rsidRPr="00AC7D6B">
        <w:rPr>
          <w:b/>
          <w:sz w:val="24"/>
          <w:szCs w:val="24"/>
        </w:rPr>
        <w:t>Acknowledgement</w:t>
      </w:r>
    </w:p>
    <w:p w14:paraId="453BAD6B" w14:textId="77777777" w:rsidR="003F5631" w:rsidRPr="008E38BA" w:rsidRDefault="003F5631" w:rsidP="00AC7D6B">
      <w:pPr>
        <w:pStyle w:val="BodyText"/>
        <w:spacing w:line="240" w:lineRule="auto"/>
        <w:rPr>
          <w:szCs w:val="20"/>
        </w:rPr>
      </w:pPr>
    </w:p>
    <w:p w14:paraId="1D78C36E" w14:textId="18B3EE66" w:rsidR="003F5631" w:rsidRDefault="004E3698" w:rsidP="00AC7D6B">
      <w:pPr>
        <w:pStyle w:val="BodyText"/>
        <w:spacing w:line="240" w:lineRule="auto"/>
        <w:ind w:right="116"/>
        <w:jc w:val="both"/>
      </w:pPr>
      <w:r w:rsidRPr="004E3698">
        <w:t>This research was sponsored by an Endowment Chair Grant grant</w:t>
      </w:r>
      <w:r w:rsidR="003F5631" w:rsidRPr="003F277F">
        <w:t xml:space="preserve"> MPOB-UKM </w:t>
      </w:r>
      <w:r w:rsidR="003F5631" w:rsidRPr="003F0FB9">
        <w:t>(</w:t>
      </w:r>
      <w:r w:rsidR="003F5631" w:rsidRPr="003F277F">
        <w:t>MPOB-UKM-2020-007</w:t>
      </w:r>
      <w:r w:rsidR="003F5631">
        <w:t>).</w:t>
      </w:r>
    </w:p>
    <w:p w14:paraId="1553E783" w14:textId="77ABAE2F" w:rsidR="003F5631" w:rsidRPr="008E38BA" w:rsidRDefault="003F5631" w:rsidP="00AC7D6B">
      <w:pPr>
        <w:pStyle w:val="BodyText"/>
        <w:spacing w:line="240" w:lineRule="auto"/>
        <w:rPr>
          <w:szCs w:val="24"/>
        </w:rPr>
      </w:pPr>
    </w:p>
    <w:p w14:paraId="4A16C332" w14:textId="77777777" w:rsidR="002F056F" w:rsidRPr="008E38BA" w:rsidRDefault="002F056F" w:rsidP="00AC7D6B">
      <w:pPr>
        <w:pStyle w:val="BodyText"/>
        <w:spacing w:line="240" w:lineRule="auto"/>
        <w:rPr>
          <w:szCs w:val="24"/>
        </w:rPr>
      </w:pPr>
    </w:p>
    <w:p w14:paraId="2F84A542" w14:textId="32A3C1F5" w:rsidR="00310487" w:rsidRPr="008E38BA" w:rsidRDefault="00AC7D6B" w:rsidP="00AC7D6B">
      <w:pPr>
        <w:pStyle w:val="BodyText"/>
        <w:spacing w:line="240" w:lineRule="auto"/>
        <w:rPr>
          <w:b/>
          <w:szCs w:val="24"/>
        </w:rPr>
      </w:pPr>
      <w:r w:rsidRPr="008E38BA">
        <w:rPr>
          <w:b/>
          <w:szCs w:val="24"/>
        </w:rPr>
        <w:t>References</w:t>
      </w:r>
    </w:p>
    <w:p w14:paraId="0EC4B4AA" w14:textId="77777777" w:rsidR="00310487" w:rsidRPr="008E38BA" w:rsidRDefault="00310487" w:rsidP="00AC7D6B">
      <w:pPr>
        <w:pStyle w:val="BodyText"/>
        <w:spacing w:line="240" w:lineRule="auto"/>
      </w:pPr>
    </w:p>
    <w:p w14:paraId="47EB8E2F" w14:textId="7E038279" w:rsidR="00420D58" w:rsidRPr="0099197E" w:rsidRDefault="00C95EE9" w:rsidP="00AC7D6B">
      <w:pPr>
        <w:spacing w:line="240" w:lineRule="auto"/>
        <w:ind w:left="709" w:hanging="709"/>
        <w:jc w:val="both"/>
      </w:pPr>
      <w:r w:rsidRPr="0099197E">
        <w:t>Abdullahi, N.</w:t>
      </w:r>
      <w:r w:rsidR="0099197E" w:rsidRPr="0099197E">
        <w:t xml:space="preserve"> </w:t>
      </w:r>
      <w:r w:rsidR="00420D58" w:rsidRPr="0099197E">
        <w:t>M., Shahr</w:t>
      </w:r>
      <w:r w:rsidRPr="0099197E">
        <w:t>iar, S., Kea, S., Abdullahi, A.</w:t>
      </w:r>
      <w:r w:rsidR="0099197E" w:rsidRPr="0099197E">
        <w:t xml:space="preserve"> </w:t>
      </w:r>
      <w:r w:rsidR="00420D58" w:rsidRPr="0099197E">
        <w:t xml:space="preserve">M., Zhang, Q., &amp; Huo, X. </w:t>
      </w:r>
      <w:r w:rsidR="00AC7D6B" w:rsidRPr="0099197E">
        <w:t>(</w:t>
      </w:r>
      <w:r w:rsidR="00420D58" w:rsidRPr="0099197E">
        <w:t>2021</w:t>
      </w:r>
      <w:r w:rsidR="00AC7D6B" w:rsidRPr="0099197E">
        <w:t>)</w:t>
      </w:r>
      <w:r w:rsidR="00420D58" w:rsidRPr="0099197E">
        <w:t xml:space="preserve">. Nigeria’s cocoa </w:t>
      </w:r>
      <w:r w:rsidR="00031A21" w:rsidRPr="0099197E">
        <w:t>export</w:t>
      </w:r>
      <w:r w:rsidR="00420D58" w:rsidRPr="0099197E">
        <w:t xml:space="preserve">: a gravity model approach. </w:t>
      </w:r>
      <w:r w:rsidR="00420D58" w:rsidRPr="0099197E">
        <w:rPr>
          <w:i/>
        </w:rPr>
        <w:t>Ciência Rural</w:t>
      </w:r>
      <w:r w:rsidR="00AC7D6B" w:rsidRPr="0099197E">
        <w:rPr>
          <w:i/>
        </w:rPr>
        <w:t>,</w:t>
      </w:r>
      <w:r w:rsidR="00420D58" w:rsidRPr="0099197E">
        <w:rPr>
          <w:i/>
        </w:rPr>
        <w:t xml:space="preserve"> 51</w:t>
      </w:r>
      <w:r w:rsidR="0099197E">
        <w:t>(11), 1-15</w:t>
      </w:r>
      <w:r w:rsidR="00420D58" w:rsidRPr="0099197E">
        <w:t>.</w:t>
      </w:r>
    </w:p>
    <w:p w14:paraId="32BA88ED" w14:textId="7B8F5153" w:rsidR="00420D58" w:rsidRPr="0099197E" w:rsidRDefault="00420D58" w:rsidP="00AC7D6B">
      <w:pPr>
        <w:spacing w:line="240" w:lineRule="auto"/>
        <w:ind w:left="709" w:hanging="709"/>
        <w:jc w:val="both"/>
        <w:rPr>
          <w:szCs w:val="24"/>
          <w:lang w:val="en-US"/>
        </w:rPr>
      </w:pPr>
      <w:r w:rsidRPr="0099197E">
        <w:rPr>
          <w:szCs w:val="24"/>
          <w:lang w:val="en-US"/>
        </w:rPr>
        <w:t>Aigner, D.</w:t>
      </w:r>
      <w:r w:rsidR="00C95EE9" w:rsidRPr="0099197E">
        <w:rPr>
          <w:szCs w:val="24"/>
          <w:lang w:val="en-US"/>
        </w:rPr>
        <w:t>, Lovell, C.</w:t>
      </w:r>
      <w:r w:rsidR="0099197E" w:rsidRPr="0099197E">
        <w:rPr>
          <w:szCs w:val="24"/>
          <w:lang w:val="en-US"/>
        </w:rPr>
        <w:t xml:space="preserve"> </w:t>
      </w:r>
      <w:r w:rsidR="00900714" w:rsidRPr="0099197E">
        <w:rPr>
          <w:szCs w:val="24"/>
          <w:lang w:val="en-US"/>
        </w:rPr>
        <w:t xml:space="preserve">K., &amp; Schmidt, P. </w:t>
      </w:r>
      <w:r w:rsidR="00AC7D6B" w:rsidRPr="0099197E">
        <w:rPr>
          <w:szCs w:val="24"/>
          <w:lang w:val="en-US"/>
        </w:rPr>
        <w:t>(</w:t>
      </w:r>
      <w:r w:rsidRPr="0099197E">
        <w:rPr>
          <w:szCs w:val="24"/>
          <w:lang w:val="en-US"/>
        </w:rPr>
        <w:t>1977</w:t>
      </w:r>
      <w:r w:rsidR="00AC7D6B" w:rsidRPr="0099197E">
        <w:rPr>
          <w:szCs w:val="24"/>
          <w:lang w:val="en-US"/>
        </w:rPr>
        <w:t>)</w:t>
      </w:r>
      <w:r w:rsidRPr="0099197E">
        <w:rPr>
          <w:szCs w:val="24"/>
          <w:lang w:val="en-US"/>
        </w:rPr>
        <w:t xml:space="preserve">. Formulation and estimation of stochastic frontier production function models. </w:t>
      </w:r>
      <w:r w:rsidRPr="0099197E">
        <w:rPr>
          <w:i/>
          <w:iCs/>
          <w:szCs w:val="24"/>
          <w:lang w:val="en-US"/>
        </w:rPr>
        <w:t>Journal of econometrics</w:t>
      </w:r>
      <w:r w:rsidR="00AC7D6B" w:rsidRPr="0099197E">
        <w:rPr>
          <w:i/>
          <w:iCs/>
          <w:szCs w:val="24"/>
          <w:lang w:val="en-US"/>
        </w:rPr>
        <w:t>,</w:t>
      </w:r>
      <w:r w:rsidRPr="0099197E">
        <w:rPr>
          <w:i/>
          <w:iCs/>
          <w:szCs w:val="24"/>
          <w:lang w:val="en-US"/>
        </w:rPr>
        <w:t xml:space="preserve"> 6</w:t>
      </w:r>
      <w:r w:rsidR="00900714" w:rsidRPr="0099197E">
        <w:rPr>
          <w:szCs w:val="24"/>
          <w:lang w:val="en-US"/>
        </w:rPr>
        <w:t>(1)</w:t>
      </w:r>
      <w:r w:rsidR="00AC7D6B" w:rsidRPr="0099197E">
        <w:rPr>
          <w:szCs w:val="24"/>
          <w:lang w:val="en-US"/>
        </w:rPr>
        <w:t>,</w:t>
      </w:r>
      <w:r w:rsidRPr="0099197E">
        <w:rPr>
          <w:szCs w:val="24"/>
          <w:lang w:val="en-US"/>
        </w:rPr>
        <w:t xml:space="preserve"> 21-37.</w:t>
      </w:r>
    </w:p>
    <w:p w14:paraId="3923BC7F" w14:textId="29F44B67" w:rsidR="00420D58" w:rsidRPr="004669CE" w:rsidRDefault="00420D58" w:rsidP="00AC7D6B">
      <w:pPr>
        <w:spacing w:line="240" w:lineRule="auto"/>
        <w:ind w:left="709" w:hanging="709"/>
        <w:jc w:val="both"/>
      </w:pPr>
      <w:r w:rsidRPr="004669CE">
        <w:t xml:space="preserve">Apriyanti, I. </w:t>
      </w:r>
      <w:r w:rsidR="00AC7D6B" w:rsidRPr="004669CE">
        <w:t>(</w:t>
      </w:r>
      <w:r w:rsidRPr="004669CE">
        <w:t>2019</w:t>
      </w:r>
      <w:r w:rsidR="00AC7D6B" w:rsidRPr="004669CE">
        <w:t>)</w:t>
      </w:r>
      <w:r w:rsidRPr="004669CE">
        <w:t xml:space="preserve">. Analysis </w:t>
      </w:r>
      <w:r w:rsidR="00AC7D6B" w:rsidRPr="004669CE">
        <w:t xml:space="preserve">of </w:t>
      </w:r>
      <w:r w:rsidR="00995A09" w:rsidRPr="004669CE">
        <w:t>palm oil</w:t>
      </w:r>
      <w:r w:rsidR="00AC7D6B" w:rsidRPr="004669CE">
        <w:t xml:space="preserve"> production efficiency in </w:t>
      </w:r>
      <w:r w:rsidRPr="004669CE">
        <w:t xml:space="preserve">PTPN IV Gardens North Sumatra. </w:t>
      </w:r>
      <w:r w:rsidRPr="004669CE">
        <w:rPr>
          <w:i/>
        </w:rPr>
        <w:t>Journal of Agribusiness Sciences</w:t>
      </w:r>
      <w:r w:rsidR="00AC7D6B" w:rsidRPr="004669CE">
        <w:rPr>
          <w:i/>
        </w:rPr>
        <w:t>,</w:t>
      </w:r>
      <w:r w:rsidR="00900714" w:rsidRPr="004669CE">
        <w:rPr>
          <w:i/>
        </w:rPr>
        <w:t xml:space="preserve"> 3</w:t>
      </w:r>
      <w:r w:rsidR="00AC7D6B" w:rsidRPr="004669CE">
        <w:t>(1),</w:t>
      </w:r>
      <w:r w:rsidRPr="004669CE">
        <w:t xml:space="preserve"> 45-51.</w:t>
      </w:r>
    </w:p>
    <w:p w14:paraId="2B032A28" w14:textId="00D60C93" w:rsidR="00420D58" w:rsidRPr="008E7BBB" w:rsidRDefault="00C95EE9" w:rsidP="00AC7D6B">
      <w:pPr>
        <w:spacing w:line="240" w:lineRule="auto"/>
        <w:ind w:left="709" w:hanging="709"/>
        <w:jc w:val="both"/>
        <w:rPr>
          <w:szCs w:val="24"/>
          <w:lang w:val="en-US"/>
        </w:rPr>
      </w:pPr>
      <w:r w:rsidRPr="008E7BBB">
        <w:rPr>
          <w:szCs w:val="24"/>
          <w:lang w:val="en-US"/>
        </w:rPr>
        <w:t>Armstrong, S.</w:t>
      </w:r>
      <w:r w:rsidR="004669CE" w:rsidRPr="008E7BBB">
        <w:rPr>
          <w:szCs w:val="24"/>
          <w:lang w:val="en-US"/>
        </w:rPr>
        <w:t xml:space="preserve"> </w:t>
      </w:r>
      <w:r w:rsidR="00420D58" w:rsidRPr="008E7BBB">
        <w:rPr>
          <w:szCs w:val="24"/>
          <w:lang w:val="en-US"/>
        </w:rPr>
        <w:t>P.,</w:t>
      </w:r>
      <w:r w:rsidR="00900714" w:rsidRPr="008E7BBB">
        <w:rPr>
          <w:szCs w:val="24"/>
          <w:lang w:val="en-US"/>
        </w:rPr>
        <w:t xml:space="preserve"> Drysdale, P., &amp; </w:t>
      </w:r>
      <w:proofErr w:type="spellStart"/>
      <w:r w:rsidR="00900714" w:rsidRPr="008E7BBB">
        <w:rPr>
          <w:szCs w:val="24"/>
          <w:lang w:val="en-US"/>
        </w:rPr>
        <w:t>Kalirajan</w:t>
      </w:r>
      <w:proofErr w:type="spellEnd"/>
      <w:r w:rsidR="00900714" w:rsidRPr="008E7BBB">
        <w:rPr>
          <w:szCs w:val="24"/>
          <w:lang w:val="en-US"/>
        </w:rPr>
        <w:t xml:space="preserve">, K. </w:t>
      </w:r>
      <w:r w:rsidRPr="008E7BBB">
        <w:rPr>
          <w:szCs w:val="24"/>
          <w:lang w:val="en-US"/>
        </w:rPr>
        <w:t>(</w:t>
      </w:r>
      <w:r w:rsidR="00420D58" w:rsidRPr="008E7BBB">
        <w:rPr>
          <w:szCs w:val="24"/>
          <w:lang w:val="en-US"/>
        </w:rPr>
        <w:t>2008</w:t>
      </w:r>
      <w:r w:rsidRPr="008E7BBB">
        <w:rPr>
          <w:szCs w:val="24"/>
          <w:lang w:val="en-US"/>
        </w:rPr>
        <w:t>)</w:t>
      </w:r>
      <w:r w:rsidR="00420D58" w:rsidRPr="008E7BBB">
        <w:rPr>
          <w:szCs w:val="24"/>
          <w:lang w:val="en-US"/>
        </w:rPr>
        <w:t xml:space="preserve">. Asian trade structures and trade potential: </w:t>
      </w:r>
      <w:r w:rsidR="004669CE" w:rsidRPr="008E7BBB">
        <w:rPr>
          <w:szCs w:val="24"/>
          <w:lang w:val="en-US"/>
        </w:rPr>
        <w:t>A</w:t>
      </w:r>
      <w:r w:rsidR="00420D58" w:rsidRPr="008E7BBB">
        <w:rPr>
          <w:szCs w:val="24"/>
          <w:lang w:val="en-US"/>
        </w:rPr>
        <w:t xml:space="preserve">n initial analysis of South and East Asian trade. </w:t>
      </w:r>
    </w:p>
    <w:p w14:paraId="33750817" w14:textId="05ECD87B" w:rsidR="00420D58" w:rsidRPr="004669CE" w:rsidRDefault="00420D58" w:rsidP="00AC7D6B">
      <w:pPr>
        <w:spacing w:line="240" w:lineRule="auto"/>
        <w:ind w:left="709" w:hanging="709"/>
        <w:jc w:val="both"/>
      </w:pPr>
      <w:r w:rsidRPr="004669CE">
        <w:t xml:space="preserve">Atif, R. M., Mahmood, H., Haiyun, L., &amp; Mao, H. </w:t>
      </w:r>
      <w:r w:rsidR="00C95EE9" w:rsidRPr="004669CE">
        <w:t>(</w:t>
      </w:r>
      <w:r w:rsidRPr="004669CE">
        <w:t>2019</w:t>
      </w:r>
      <w:r w:rsidR="00C95EE9" w:rsidRPr="004669CE">
        <w:t>)</w:t>
      </w:r>
      <w:r w:rsidRPr="004669CE">
        <w:t xml:space="preserve">. Determinants and efficiency of Pakistan’s chemical products’ </w:t>
      </w:r>
      <w:r w:rsidR="00031A21" w:rsidRPr="004669CE">
        <w:t>export</w:t>
      </w:r>
      <w:r w:rsidRPr="004669CE">
        <w:t xml:space="preserve">: </w:t>
      </w:r>
      <w:r w:rsidR="004669CE" w:rsidRPr="004669CE">
        <w:t>A</w:t>
      </w:r>
      <w:r w:rsidRPr="004669CE">
        <w:t xml:space="preserve">n application of stochastic frontier gravity model. </w:t>
      </w:r>
      <w:r w:rsidRPr="004669CE">
        <w:rPr>
          <w:i/>
        </w:rPr>
        <w:t xml:space="preserve">PloS </w:t>
      </w:r>
      <w:r w:rsidR="004669CE" w:rsidRPr="004669CE">
        <w:rPr>
          <w:i/>
        </w:rPr>
        <w:t>ONE</w:t>
      </w:r>
      <w:r w:rsidR="00C95EE9" w:rsidRPr="004669CE">
        <w:rPr>
          <w:i/>
        </w:rPr>
        <w:t>,</w:t>
      </w:r>
      <w:r w:rsidRPr="004669CE">
        <w:rPr>
          <w:i/>
        </w:rPr>
        <w:t xml:space="preserve"> 14</w:t>
      </w:r>
      <w:r w:rsidR="00C95EE9" w:rsidRPr="004669CE">
        <w:t>(5),</w:t>
      </w:r>
      <w:r w:rsidRPr="004669CE">
        <w:t xml:space="preserve"> e0217210.</w:t>
      </w:r>
    </w:p>
    <w:p w14:paraId="2BC41FBE" w14:textId="731AFE55" w:rsidR="00420D58" w:rsidRPr="007F59AF" w:rsidRDefault="00420D58" w:rsidP="00AC7D6B">
      <w:pPr>
        <w:spacing w:line="240" w:lineRule="auto"/>
        <w:ind w:left="709" w:hanging="709"/>
        <w:jc w:val="both"/>
        <w:rPr>
          <w:color w:val="222222"/>
          <w:shd w:val="clear" w:color="auto" w:fill="FFFFFF"/>
        </w:rPr>
      </w:pPr>
      <w:r w:rsidRPr="007F59AF">
        <w:rPr>
          <w:color w:val="222222"/>
          <w:shd w:val="clear" w:color="auto" w:fill="FFFFFF"/>
        </w:rPr>
        <w:t xml:space="preserve">Basarac Sertić, M., Vučković, V., &amp; Škrabić Perić, B. </w:t>
      </w:r>
      <w:r w:rsidR="00C95EE9" w:rsidRPr="007F59AF">
        <w:rPr>
          <w:color w:val="222222"/>
          <w:shd w:val="clear" w:color="auto" w:fill="FFFFFF"/>
        </w:rPr>
        <w:t>(</w:t>
      </w:r>
      <w:r w:rsidRPr="007F59AF">
        <w:rPr>
          <w:color w:val="222222"/>
          <w:shd w:val="clear" w:color="auto" w:fill="FFFFFF"/>
        </w:rPr>
        <w:t>2015</w:t>
      </w:r>
      <w:r w:rsidR="00C95EE9" w:rsidRPr="007F59AF">
        <w:rPr>
          <w:color w:val="222222"/>
          <w:shd w:val="clear" w:color="auto" w:fill="FFFFFF"/>
        </w:rPr>
        <w:t>)</w:t>
      </w:r>
      <w:r w:rsidRPr="007F59AF">
        <w:rPr>
          <w:color w:val="222222"/>
          <w:shd w:val="clear" w:color="auto" w:fill="FFFFFF"/>
        </w:rPr>
        <w:t xml:space="preserve">. Determinants of manufacturing industry </w:t>
      </w:r>
      <w:r w:rsidR="00031A21" w:rsidRPr="007F59AF">
        <w:rPr>
          <w:color w:val="222222"/>
          <w:shd w:val="clear" w:color="auto" w:fill="FFFFFF"/>
        </w:rPr>
        <w:t>export</w:t>
      </w:r>
      <w:r w:rsidRPr="007F59AF">
        <w:rPr>
          <w:color w:val="222222"/>
          <w:shd w:val="clear" w:color="auto" w:fill="FFFFFF"/>
        </w:rPr>
        <w:t xml:space="preserve"> in European Union member states: </w:t>
      </w:r>
      <w:r w:rsidR="007F59AF" w:rsidRPr="007F59AF">
        <w:rPr>
          <w:color w:val="222222"/>
          <w:shd w:val="clear" w:color="auto" w:fill="FFFFFF"/>
        </w:rPr>
        <w:t>A</w:t>
      </w:r>
      <w:r w:rsidRPr="007F59AF">
        <w:rPr>
          <w:color w:val="222222"/>
          <w:shd w:val="clear" w:color="auto" w:fill="FFFFFF"/>
        </w:rPr>
        <w:t xml:space="preserve"> panel data analysis. </w:t>
      </w:r>
      <w:r w:rsidRPr="007F59AF">
        <w:rPr>
          <w:i/>
          <w:iCs/>
          <w:color w:val="222222"/>
          <w:shd w:val="clear" w:color="auto" w:fill="FFFFFF"/>
        </w:rPr>
        <w:t>Economic research-Ekonomska istraživanja</w:t>
      </w:r>
      <w:r w:rsidR="00C95EE9" w:rsidRPr="007F59AF">
        <w:rPr>
          <w:i/>
          <w:iCs/>
          <w:color w:val="222222"/>
          <w:shd w:val="clear" w:color="auto" w:fill="FFFFFF"/>
        </w:rPr>
        <w:t>,</w:t>
      </w:r>
      <w:r w:rsidRPr="007F59AF">
        <w:rPr>
          <w:i/>
          <w:iCs/>
          <w:color w:val="222222"/>
          <w:shd w:val="clear" w:color="auto" w:fill="FFFFFF"/>
        </w:rPr>
        <w:t xml:space="preserve"> 28</w:t>
      </w:r>
      <w:r w:rsidR="00C95EE9" w:rsidRPr="007F59AF">
        <w:rPr>
          <w:color w:val="222222"/>
          <w:shd w:val="clear" w:color="auto" w:fill="FFFFFF"/>
        </w:rPr>
        <w:t>(1),</w:t>
      </w:r>
      <w:r w:rsidRPr="007F59AF">
        <w:rPr>
          <w:color w:val="222222"/>
          <w:shd w:val="clear" w:color="auto" w:fill="FFFFFF"/>
        </w:rPr>
        <w:t xml:space="preserve"> 384-397.</w:t>
      </w:r>
    </w:p>
    <w:p w14:paraId="1E027725" w14:textId="63EE5F5D" w:rsidR="00420D58" w:rsidRPr="007F59AF" w:rsidRDefault="00C95EE9" w:rsidP="00AC7D6B">
      <w:pPr>
        <w:spacing w:line="240" w:lineRule="auto"/>
        <w:ind w:left="709" w:hanging="709"/>
        <w:jc w:val="both"/>
        <w:rPr>
          <w:color w:val="222222"/>
          <w:shd w:val="clear" w:color="auto" w:fill="FFFFFF"/>
        </w:rPr>
      </w:pPr>
      <w:r w:rsidRPr="007F59AF">
        <w:rPr>
          <w:color w:val="222222"/>
          <w:shd w:val="clear" w:color="auto" w:fill="FFFFFF"/>
        </w:rPr>
        <w:t>Bashir, M.</w:t>
      </w:r>
      <w:r w:rsidR="00A87FD8">
        <w:rPr>
          <w:color w:val="222222"/>
          <w:shd w:val="clear" w:color="auto" w:fill="FFFFFF"/>
        </w:rPr>
        <w:t xml:space="preserve"> </w:t>
      </w:r>
      <w:r w:rsidR="00420D58" w:rsidRPr="007F59AF">
        <w:rPr>
          <w:color w:val="222222"/>
          <w:shd w:val="clear" w:color="auto" w:fill="FFFFFF"/>
        </w:rPr>
        <w:t xml:space="preserve">A., Sheng, B., Doğan, B., Sarwar, S., &amp; Shahzad, U. </w:t>
      </w:r>
      <w:r w:rsidRPr="007F59AF">
        <w:rPr>
          <w:color w:val="222222"/>
          <w:shd w:val="clear" w:color="auto" w:fill="FFFFFF"/>
        </w:rPr>
        <w:t>(</w:t>
      </w:r>
      <w:r w:rsidR="00420D58" w:rsidRPr="007F59AF">
        <w:rPr>
          <w:color w:val="222222"/>
          <w:shd w:val="clear" w:color="auto" w:fill="FFFFFF"/>
        </w:rPr>
        <w:t>2020</w:t>
      </w:r>
      <w:r w:rsidRPr="007F59AF">
        <w:rPr>
          <w:color w:val="222222"/>
          <w:shd w:val="clear" w:color="auto" w:fill="FFFFFF"/>
        </w:rPr>
        <w:t>)</w:t>
      </w:r>
      <w:r w:rsidR="00420D58" w:rsidRPr="007F59AF">
        <w:rPr>
          <w:color w:val="222222"/>
          <w:shd w:val="clear" w:color="auto" w:fill="FFFFFF"/>
        </w:rPr>
        <w:t xml:space="preserve">. Export product diversification and energy efficiency: </w:t>
      </w:r>
      <w:r w:rsidR="007F59AF" w:rsidRPr="007F59AF">
        <w:rPr>
          <w:color w:val="222222"/>
          <w:shd w:val="clear" w:color="auto" w:fill="FFFFFF"/>
        </w:rPr>
        <w:t>E</w:t>
      </w:r>
      <w:r w:rsidR="00420D58" w:rsidRPr="007F59AF">
        <w:rPr>
          <w:color w:val="222222"/>
          <w:shd w:val="clear" w:color="auto" w:fill="FFFFFF"/>
        </w:rPr>
        <w:t xml:space="preserve">mpirical evidence from OECD countries. </w:t>
      </w:r>
      <w:r w:rsidR="00420D58" w:rsidRPr="007F59AF">
        <w:rPr>
          <w:i/>
          <w:color w:val="222222"/>
          <w:shd w:val="clear" w:color="auto" w:fill="FFFFFF"/>
        </w:rPr>
        <w:t>Structural Change and Economic Dynamics</w:t>
      </w:r>
      <w:r w:rsidRPr="007F59AF">
        <w:rPr>
          <w:i/>
          <w:color w:val="222222"/>
          <w:shd w:val="clear" w:color="auto" w:fill="FFFFFF"/>
        </w:rPr>
        <w:t>,</w:t>
      </w:r>
      <w:r w:rsidRPr="007F59AF">
        <w:rPr>
          <w:color w:val="222222"/>
          <w:shd w:val="clear" w:color="auto" w:fill="FFFFFF"/>
        </w:rPr>
        <w:t xml:space="preserve"> 55,</w:t>
      </w:r>
      <w:r w:rsidR="00420D58" w:rsidRPr="007F59AF">
        <w:rPr>
          <w:color w:val="222222"/>
          <w:shd w:val="clear" w:color="auto" w:fill="FFFFFF"/>
        </w:rPr>
        <w:t xml:space="preserve"> 232-243.</w:t>
      </w:r>
    </w:p>
    <w:p w14:paraId="5FA185FB" w14:textId="09A0DE49" w:rsidR="00420D58" w:rsidRPr="002A6726" w:rsidRDefault="00420D58" w:rsidP="00AC7D6B">
      <w:pPr>
        <w:spacing w:line="240" w:lineRule="auto"/>
        <w:ind w:left="709" w:hanging="709"/>
        <w:jc w:val="both"/>
        <w:rPr>
          <w:color w:val="222222"/>
          <w:shd w:val="clear" w:color="auto" w:fill="FFFFFF"/>
        </w:rPr>
      </w:pPr>
      <w:r w:rsidRPr="002A6726">
        <w:rPr>
          <w:color w:val="222222"/>
          <w:shd w:val="clear" w:color="auto" w:fill="FFFFFF"/>
        </w:rPr>
        <w:t xml:space="preserve">Bayar, G., Ünal, M., &amp; Tokpunar, S. </w:t>
      </w:r>
      <w:r w:rsidR="00C95EE9" w:rsidRPr="002A6726">
        <w:rPr>
          <w:color w:val="222222"/>
          <w:shd w:val="clear" w:color="auto" w:fill="FFFFFF"/>
        </w:rPr>
        <w:t>(</w:t>
      </w:r>
      <w:r w:rsidRPr="002A6726">
        <w:rPr>
          <w:color w:val="222222"/>
          <w:shd w:val="clear" w:color="auto" w:fill="FFFFFF"/>
        </w:rPr>
        <w:t>2015</w:t>
      </w:r>
      <w:r w:rsidR="00C95EE9" w:rsidRPr="002A6726">
        <w:rPr>
          <w:color w:val="222222"/>
          <w:shd w:val="clear" w:color="auto" w:fill="FFFFFF"/>
        </w:rPr>
        <w:t>)</w:t>
      </w:r>
      <w:r w:rsidRPr="002A6726">
        <w:rPr>
          <w:color w:val="222222"/>
          <w:shd w:val="clear" w:color="auto" w:fill="FFFFFF"/>
        </w:rPr>
        <w:t xml:space="preserve">. Determinants of Turkish </w:t>
      </w:r>
      <w:r w:rsidR="00031A21" w:rsidRPr="002A6726">
        <w:rPr>
          <w:color w:val="222222"/>
          <w:shd w:val="clear" w:color="auto" w:fill="FFFFFF"/>
        </w:rPr>
        <w:t>export</w:t>
      </w:r>
      <w:r w:rsidRPr="002A6726">
        <w:rPr>
          <w:color w:val="222222"/>
          <w:shd w:val="clear" w:color="auto" w:fill="FFFFFF"/>
        </w:rPr>
        <w:t xml:space="preserve"> to European Union countries: </w:t>
      </w:r>
      <w:r w:rsidR="002A6726" w:rsidRPr="002A6726">
        <w:rPr>
          <w:color w:val="222222"/>
          <w:shd w:val="clear" w:color="auto" w:fill="FFFFFF"/>
        </w:rPr>
        <w:t>A</w:t>
      </w:r>
      <w:r w:rsidRPr="002A6726">
        <w:rPr>
          <w:color w:val="222222"/>
          <w:shd w:val="clear" w:color="auto" w:fill="FFFFFF"/>
        </w:rPr>
        <w:t xml:space="preserve"> </w:t>
      </w:r>
      <w:r w:rsidR="002A6726" w:rsidRPr="002A6726">
        <w:rPr>
          <w:color w:val="222222"/>
          <w:shd w:val="clear" w:color="auto" w:fill="FFFFFF"/>
        </w:rPr>
        <w:t>s</w:t>
      </w:r>
      <w:r w:rsidRPr="002A6726">
        <w:rPr>
          <w:color w:val="222222"/>
          <w:shd w:val="clear" w:color="auto" w:fill="FFFFFF"/>
        </w:rPr>
        <w:t>ectoral panel data analysis. </w:t>
      </w:r>
      <w:r w:rsidRPr="002A6726">
        <w:rPr>
          <w:i/>
          <w:iCs/>
          <w:color w:val="222222"/>
          <w:shd w:val="clear" w:color="auto" w:fill="FFFFFF"/>
        </w:rPr>
        <w:t>Emerging Markets Finance and Trade</w:t>
      </w:r>
      <w:r w:rsidR="00C95EE9" w:rsidRPr="002A6726">
        <w:rPr>
          <w:i/>
          <w:iCs/>
          <w:color w:val="222222"/>
          <w:shd w:val="clear" w:color="auto" w:fill="FFFFFF"/>
        </w:rPr>
        <w:t>,</w:t>
      </w:r>
      <w:r w:rsidRPr="002A6726">
        <w:rPr>
          <w:color w:val="222222"/>
          <w:shd w:val="clear" w:color="auto" w:fill="FFFFFF"/>
        </w:rPr>
        <w:t> </w:t>
      </w:r>
      <w:r w:rsidRPr="002A6726">
        <w:rPr>
          <w:i/>
          <w:iCs/>
          <w:color w:val="222222"/>
          <w:shd w:val="clear" w:color="auto" w:fill="FFFFFF"/>
        </w:rPr>
        <w:t>51</w:t>
      </w:r>
      <w:r w:rsidR="00C95EE9" w:rsidRPr="002A6726">
        <w:rPr>
          <w:color w:val="222222"/>
          <w:shd w:val="clear" w:color="auto" w:fill="FFFFFF"/>
        </w:rPr>
        <w:t>(6),</w:t>
      </w:r>
      <w:r w:rsidRPr="002A6726">
        <w:rPr>
          <w:color w:val="222222"/>
          <w:shd w:val="clear" w:color="auto" w:fill="FFFFFF"/>
        </w:rPr>
        <w:t xml:space="preserve"> 1307-1325.</w:t>
      </w:r>
    </w:p>
    <w:p w14:paraId="529DC938" w14:textId="60C7E28E" w:rsidR="00420D58" w:rsidRPr="00A87FD8" w:rsidRDefault="00C95EE9" w:rsidP="00AC7D6B">
      <w:pPr>
        <w:spacing w:line="240" w:lineRule="auto"/>
        <w:ind w:left="709" w:hanging="709"/>
        <w:jc w:val="both"/>
      </w:pPr>
      <w:r w:rsidRPr="00A87FD8">
        <w:t>Devadason, E.</w:t>
      </w:r>
      <w:r w:rsidR="00A87FD8" w:rsidRPr="00A87FD8">
        <w:t xml:space="preserve"> </w:t>
      </w:r>
      <w:r w:rsidRPr="00A87FD8">
        <w:t>S., &amp; Mubarik, M.</w:t>
      </w:r>
      <w:r w:rsidR="00A87FD8" w:rsidRPr="00A87FD8">
        <w:t xml:space="preserve"> </w:t>
      </w:r>
      <w:r w:rsidR="00420D58" w:rsidRPr="00A87FD8">
        <w:t xml:space="preserve">S. </w:t>
      </w:r>
      <w:r w:rsidRPr="00A87FD8">
        <w:t>(</w:t>
      </w:r>
      <w:r w:rsidR="00420D58" w:rsidRPr="00A87FD8">
        <w:t>2021</w:t>
      </w:r>
      <w:r w:rsidRPr="00A87FD8">
        <w:t>)</w:t>
      </w:r>
      <w:r w:rsidR="00420D58" w:rsidRPr="00A87FD8">
        <w:t xml:space="preserve">. Intraregional export flows and export efficiency in Palm Oil and Palm-Based Products: Southeast Asia and Latin America regions compared. </w:t>
      </w:r>
      <w:r w:rsidR="00420D58" w:rsidRPr="00A87FD8">
        <w:rPr>
          <w:i/>
        </w:rPr>
        <w:t>The International Trade Journal</w:t>
      </w:r>
      <w:r w:rsidRPr="00A87FD8">
        <w:rPr>
          <w:i/>
        </w:rPr>
        <w:t>,</w:t>
      </w:r>
      <w:r w:rsidR="00420D58" w:rsidRPr="00A87FD8">
        <w:rPr>
          <w:i/>
        </w:rPr>
        <w:t xml:space="preserve"> </w:t>
      </w:r>
      <w:r w:rsidR="00A87FD8" w:rsidRPr="00A87FD8">
        <w:rPr>
          <w:i/>
        </w:rPr>
        <w:t>36</w:t>
      </w:r>
      <w:r w:rsidR="00A87FD8" w:rsidRPr="00A87FD8">
        <w:t>(3), 239-260</w:t>
      </w:r>
      <w:r w:rsidR="00420D58" w:rsidRPr="00A87FD8">
        <w:t>.</w:t>
      </w:r>
    </w:p>
    <w:p w14:paraId="0A3D5DC9" w14:textId="33D5C6DB" w:rsidR="00420D58" w:rsidRPr="004E3A9D" w:rsidRDefault="00420D58" w:rsidP="00AC7D6B">
      <w:pPr>
        <w:spacing w:line="240" w:lineRule="auto"/>
        <w:ind w:left="709" w:hanging="709"/>
        <w:jc w:val="both"/>
        <w:rPr>
          <w:szCs w:val="24"/>
          <w:lang w:val="en-US"/>
        </w:rPr>
      </w:pPr>
      <w:r w:rsidRPr="004E3A9D">
        <w:rPr>
          <w:szCs w:val="24"/>
          <w:lang w:val="en-US"/>
        </w:rPr>
        <w:t>Drysdale, P.,</w:t>
      </w:r>
      <w:r w:rsidR="00900714" w:rsidRPr="004E3A9D">
        <w:rPr>
          <w:szCs w:val="24"/>
          <w:lang w:val="en-US"/>
        </w:rPr>
        <w:t xml:space="preserve"> Huang, Y., &amp; </w:t>
      </w:r>
      <w:proofErr w:type="spellStart"/>
      <w:r w:rsidR="00900714" w:rsidRPr="004E3A9D">
        <w:rPr>
          <w:szCs w:val="24"/>
          <w:lang w:val="en-US"/>
        </w:rPr>
        <w:t>Kalirajan</w:t>
      </w:r>
      <w:proofErr w:type="spellEnd"/>
      <w:r w:rsidR="00900714" w:rsidRPr="004E3A9D">
        <w:rPr>
          <w:szCs w:val="24"/>
          <w:lang w:val="en-US"/>
        </w:rPr>
        <w:t>, K</w:t>
      </w:r>
      <w:r w:rsidR="00C95EE9" w:rsidRPr="004E3A9D">
        <w:rPr>
          <w:szCs w:val="24"/>
          <w:lang w:val="en-US"/>
        </w:rPr>
        <w:t>.</w:t>
      </w:r>
      <w:r w:rsidR="00833CB9" w:rsidRPr="004E3A9D">
        <w:rPr>
          <w:szCs w:val="24"/>
          <w:lang w:val="en-US"/>
        </w:rPr>
        <w:t xml:space="preserve"> </w:t>
      </w:r>
      <w:r w:rsidR="00900714" w:rsidRPr="004E3A9D">
        <w:rPr>
          <w:szCs w:val="24"/>
          <w:lang w:val="en-US"/>
        </w:rPr>
        <w:t xml:space="preserve">P. </w:t>
      </w:r>
      <w:r w:rsidR="00C95EE9" w:rsidRPr="004E3A9D">
        <w:rPr>
          <w:szCs w:val="24"/>
          <w:lang w:val="en-US"/>
        </w:rPr>
        <w:t>(</w:t>
      </w:r>
      <w:r w:rsidR="00900714" w:rsidRPr="004E3A9D">
        <w:rPr>
          <w:szCs w:val="24"/>
          <w:lang w:val="en-US"/>
        </w:rPr>
        <w:t>2000</w:t>
      </w:r>
      <w:r w:rsidR="00C95EE9" w:rsidRPr="004E3A9D">
        <w:rPr>
          <w:szCs w:val="24"/>
          <w:lang w:val="en-US"/>
        </w:rPr>
        <w:t>)</w:t>
      </w:r>
      <w:r w:rsidRPr="004E3A9D">
        <w:rPr>
          <w:szCs w:val="24"/>
          <w:lang w:val="en-US"/>
        </w:rPr>
        <w:t xml:space="preserve">. China’s trade efficiency: </w:t>
      </w:r>
      <w:r w:rsidR="00833CB9" w:rsidRPr="004E3A9D">
        <w:rPr>
          <w:szCs w:val="24"/>
          <w:lang w:val="en-US"/>
        </w:rPr>
        <w:t>M</w:t>
      </w:r>
      <w:r w:rsidRPr="004E3A9D">
        <w:rPr>
          <w:szCs w:val="24"/>
          <w:lang w:val="en-US"/>
        </w:rPr>
        <w:t xml:space="preserve">easurement and determinants. </w:t>
      </w:r>
      <w:r w:rsidR="00833CB9" w:rsidRPr="004E3A9D">
        <w:rPr>
          <w:szCs w:val="24"/>
          <w:lang w:val="en-US"/>
        </w:rPr>
        <w:t xml:space="preserve">In Drysdale, P., Zhang, Y., &amp; Song, L. (Ed.), </w:t>
      </w:r>
      <w:r w:rsidRPr="004E3A9D">
        <w:rPr>
          <w:i/>
          <w:iCs/>
          <w:szCs w:val="24"/>
          <w:lang w:val="en-US"/>
        </w:rPr>
        <w:t xml:space="preserve">APEC and </w:t>
      </w:r>
      <w:proofErr w:type="spellStart"/>
      <w:r w:rsidRPr="004E3A9D">
        <w:rPr>
          <w:i/>
          <w:iCs/>
          <w:szCs w:val="24"/>
          <w:lang w:val="en-US"/>
        </w:rPr>
        <w:t>liberalisation</w:t>
      </w:r>
      <w:proofErr w:type="spellEnd"/>
      <w:r w:rsidRPr="004E3A9D">
        <w:rPr>
          <w:i/>
          <w:iCs/>
          <w:szCs w:val="24"/>
          <w:lang w:val="en-US"/>
        </w:rPr>
        <w:t xml:space="preserve"> of the Chinese economy</w:t>
      </w:r>
      <w:r w:rsidR="00833CB9" w:rsidRPr="004E3A9D">
        <w:rPr>
          <w:i/>
          <w:iCs/>
          <w:szCs w:val="24"/>
          <w:lang w:val="en-US"/>
        </w:rPr>
        <w:t xml:space="preserve"> </w:t>
      </w:r>
      <w:r w:rsidR="00833CB9" w:rsidRPr="004E3A9D">
        <w:rPr>
          <w:szCs w:val="24"/>
          <w:lang w:val="en-US"/>
        </w:rPr>
        <w:t>(2</w:t>
      </w:r>
      <w:r w:rsidR="00833CB9" w:rsidRPr="004E3A9D">
        <w:rPr>
          <w:szCs w:val="24"/>
          <w:vertAlign w:val="superscript"/>
          <w:lang w:val="en-US"/>
        </w:rPr>
        <w:t>nd</w:t>
      </w:r>
      <w:r w:rsidR="00833CB9" w:rsidRPr="004E3A9D">
        <w:rPr>
          <w:szCs w:val="24"/>
          <w:lang w:val="en-US"/>
        </w:rPr>
        <w:t xml:space="preserve"> ed., pp. 259-271).</w:t>
      </w:r>
      <w:r w:rsidRPr="004E3A9D">
        <w:rPr>
          <w:szCs w:val="24"/>
          <w:lang w:val="en-US"/>
        </w:rPr>
        <w:t xml:space="preserve"> </w:t>
      </w:r>
      <w:r w:rsidR="00833CB9" w:rsidRPr="004E3A9D">
        <w:rPr>
          <w:szCs w:val="24"/>
          <w:lang w:val="en-US"/>
        </w:rPr>
        <w:t xml:space="preserve">ANU </w:t>
      </w:r>
      <w:proofErr w:type="spellStart"/>
      <w:r w:rsidR="00833CB9" w:rsidRPr="004E3A9D">
        <w:rPr>
          <w:szCs w:val="24"/>
          <w:lang w:val="en-US"/>
        </w:rPr>
        <w:t>ePress</w:t>
      </w:r>
      <w:proofErr w:type="spellEnd"/>
      <w:r w:rsidRPr="004E3A9D">
        <w:rPr>
          <w:szCs w:val="24"/>
          <w:lang w:val="en-US"/>
        </w:rPr>
        <w:t>.</w:t>
      </w:r>
    </w:p>
    <w:p w14:paraId="6F43A5D5" w14:textId="51ABC801" w:rsidR="00420D58" w:rsidRPr="004E3A9D" w:rsidRDefault="00C95EE9" w:rsidP="00AC7D6B">
      <w:pPr>
        <w:spacing w:line="240" w:lineRule="auto"/>
        <w:ind w:left="709" w:hanging="709"/>
        <w:jc w:val="both"/>
      </w:pPr>
      <w:r w:rsidRPr="004E3A9D">
        <w:t>Euler, M., Hoffmann, M.</w:t>
      </w:r>
      <w:r w:rsidR="004E3A9D" w:rsidRPr="004E3A9D">
        <w:t xml:space="preserve"> </w:t>
      </w:r>
      <w:r w:rsidR="00420D58" w:rsidRPr="004E3A9D">
        <w:t xml:space="preserve">P., Fathoni, Z., &amp; Schwarze, S. </w:t>
      </w:r>
      <w:r w:rsidRPr="004E3A9D">
        <w:t>(</w:t>
      </w:r>
      <w:r w:rsidR="00420D58" w:rsidRPr="004E3A9D">
        <w:t>2016</w:t>
      </w:r>
      <w:r w:rsidRPr="004E3A9D">
        <w:t>)</w:t>
      </w:r>
      <w:r w:rsidR="00420D58" w:rsidRPr="004E3A9D">
        <w:t xml:space="preserve">. Exploring yield gaps in smallholder </w:t>
      </w:r>
      <w:r w:rsidR="00995A09" w:rsidRPr="004E3A9D">
        <w:t>palm oil</w:t>
      </w:r>
      <w:r w:rsidR="00420D58" w:rsidRPr="004E3A9D">
        <w:t xml:space="preserve"> production systems in eastern Sumatra, Indonesia. </w:t>
      </w:r>
      <w:r w:rsidR="00420D58" w:rsidRPr="004E3A9D">
        <w:rPr>
          <w:i/>
        </w:rPr>
        <w:t>Agricultural Systems</w:t>
      </w:r>
      <w:r w:rsidRPr="004E3A9D">
        <w:rPr>
          <w:i/>
        </w:rPr>
        <w:t>,</w:t>
      </w:r>
      <w:r w:rsidR="00420D58" w:rsidRPr="004E3A9D">
        <w:rPr>
          <w:i/>
        </w:rPr>
        <w:t xml:space="preserve"> 146</w:t>
      </w:r>
      <w:r w:rsidRPr="004E3A9D">
        <w:t>,</w:t>
      </w:r>
      <w:r w:rsidR="00420D58" w:rsidRPr="004E3A9D">
        <w:t xml:space="preserve"> 111-119.</w:t>
      </w:r>
    </w:p>
    <w:p w14:paraId="113DD6F7" w14:textId="73F1C5CF" w:rsidR="00420D58" w:rsidRPr="006F74AD" w:rsidRDefault="00C95EE9" w:rsidP="00AC7D6B">
      <w:pPr>
        <w:spacing w:line="240" w:lineRule="auto"/>
        <w:ind w:left="709" w:hanging="709"/>
        <w:jc w:val="both"/>
      </w:pPr>
      <w:r w:rsidRPr="006F74AD">
        <w:t>Ezechi, E.</w:t>
      </w:r>
      <w:r w:rsidR="006F74AD" w:rsidRPr="006F74AD">
        <w:t xml:space="preserve"> </w:t>
      </w:r>
      <w:r w:rsidR="00900714" w:rsidRPr="006F74AD">
        <w:t>H.</w:t>
      </w:r>
      <w:r w:rsidR="006F74AD" w:rsidRPr="006F74AD">
        <w:t>,</w:t>
      </w:r>
      <w:r w:rsidR="00900714" w:rsidRPr="006F74AD">
        <w:t xml:space="preserve"> &amp; Muda, K. </w:t>
      </w:r>
      <w:r w:rsidRPr="006F74AD">
        <w:t>(</w:t>
      </w:r>
      <w:r w:rsidR="00900714" w:rsidRPr="006F74AD">
        <w:t>2019</w:t>
      </w:r>
      <w:r w:rsidRPr="006F74AD">
        <w:t>)</w:t>
      </w:r>
      <w:r w:rsidR="00420D58" w:rsidRPr="006F74AD">
        <w:t xml:space="preserve">. Overview of trends in crude palm oil production and economic impact in Malaysia. </w:t>
      </w:r>
      <w:r w:rsidR="00420D58" w:rsidRPr="006F74AD">
        <w:rPr>
          <w:i/>
        </w:rPr>
        <w:t>Sriwijaya Journal of Environment</w:t>
      </w:r>
      <w:r w:rsidRPr="006F74AD">
        <w:rPr>
          <w:i/>
        </w:rPr>
        <w:t>,</w:t>
      </w:r>
      <w:r w:rsidR="00900714" w:rsidRPr="006F74AD">
        <w:rPr>
          <w:i/>
        </w:rPr>
        <w:t xml:space="preserve"> 4</w:t>
      </w:r>
      <w:r w:rsidR="00900714" w:rsidRPr="006F74AD">
        <w:t>(1)</w:t>
      </w:r>
      <w:r w:rsidRPr="006F74AD">
        <w:t>,</w:t>
      </w:r>
      <w:r w:rsidR="00420D58" w:rsidRPr="006F74AD">
        <w:t xml:space="preserve"> 19-26.</w:t>
      </w:r>
    </w:p>
    <w:p w14:paraId="0C6C7B81" w14:textId="12C4589B" w:rsidR="00420D58" w:rsidRPr="00787435" w:rsidRDefault="00420D58" w:rsidP="00AC7D6B">
      <w:pPr>
        <w:spacing w:line="240" w:lineRule="auto"/>
        <w:ind w:left="709" w:hanging="709"/>
        <w:jc w:val="both"/>
      </w:pPr>
      <w:r w:rsidRPr="00787435">
        <w:t>Foong, S.</w:t>
      </w:r>
      <w:r w:rsidR="006F74AD" w:rsidRPr="00787435">
        <w:t xml:space="preserve"> </w:t>
      </w:r>
      <w:r w:rsidRPr="00787435">
        <w:t>Z., Andia</w:t>
      </w:r>
      <w:r w:rsidR="00C95EE9" w:rsidRPr="00787435">
        <w:t>ppan, V., Tan, R., &amp; Ng, D.</w:t>
      </w:r>
      <w:r w:rsidR="006F74AD" w:rsidRPr="00787435">
        <w:t xml:space="preserve"> </w:t>
      </w:r>
      <w:r w:rsidR="00900714" w:rsidRPr="00787435">
        <w:t xml:space="preserve">K. </w:t>
      </w:r>
      <w:r w:rsidR="00C95EE9" w:rsidRPr="00787435">
        <w:t>(</w:t>
      </w:r>
      <w:r w:rsidR="00900714" w:rsidRPr="00787435">
        <w:t>2019</w:t>
      </w:r>
      <w:r w:rsidR="00C95EE9" w:rsidRPr="00787435">
        <w:t>)</w:t>
      </w:r>
      <w:r w:rsidRPr="00787435">
        <w:t>. Optimization and analysis for palm oil mill operations via input-output optimization model. In MATEC Web of Conferences</w:t>
      </w:r>
      <w:r w:rsidR="00787435" w:rsidRPr="00787435">
        <w:t>: The 25</w:t>
      </w:r>
      <w:r w:rsidR="00787435" w:rsidRPr="00787435">
        <w:rPr>
          <w:vertAlign w:val="superscript"/>
        </w:rPr>
        <w:t>th</w:t>
      </w:r>
      <w:r w:rsidRPr="00787435">
        <w:t xml:space="preserve"> </w:t>
      </w:r>
      <w:r w:rsidR="00787435" w:rsidRPr="00787435">
        <w:t xml:space="preserve">Regional Symposium on Chemical Engineering (RSCE 2018) </w:t>
      </w:r>
      <w:r w:rsidRPr="00787435">
        <w:t xml:space="preserve">(Vol. 268, p. 02006). </w:t>
      </w:r>
    </w:p>
    <w:p w14:paraId="38CAB910" w14:textId="311CA02D" w:rsidR="00420D58" w:rsidRPr="00D21BC5" w:rsidRDefault="00C95EE9" w:rsidP="00AC7D6B">
      <w:pPr>
        <w:spacing w:line="240" w:lineRule="auto"/>
        <w:ind w:left="709" w:hanging="709"/>
        <w:jc w:val="both"/>
      </w:pPr>
      <w:r w:rsidRPr="00D21BC5">
        <w:t>Fung, H.</w:t>
      </w:r>
      <w:r w:rsidR="006F74AD" w:rsidRPr="00D21BC5">
        <w:t xml:space="preserve"> </w:t>
      </w:r>
      <w:r w:rsidR="00420D58" w:rsidRPr="00D21BC5">
        <w:t xml:space="preserve">G., </w:t>
      </w:r>
      <w:r w:rsidRPr="00D21BC5">
        <w:t>Gao, G.</w:t>
      </w:r>
      <w:r w:rsidR="006F74AD" w:rsidRPr="00D21BC5">
        <w:t xml:space="preserve"> </w:t>
      </w:r>
      <w:r w:rsidR="00420D58" w:rsidRPr="00D21BC5">
        <w:t xml:space="preserve">Y., Lu, J., &amp; Mano, H. </w:t>
      </w:r>
      <w:r w:rsidRPr="00D21BC5">
        <w:t>(</w:t>
      </w:r>
      <w:r w:rsidR="00420D58" w:rsidRPr="00D21BC5">
        <w:t>2008</w:t>
      </w:r>
      <w:r w:rsidRPr="00D21BC5">
        <w:t>)</w:t>
      </w:r>
      <w:r w:rsidR="00420D58" w:rsidRPr="00D21BC5">
        <w:t xml:space="preserve">. Impact of competitive position on export propensity and intensity: </w:t>
      </w:r>
      <w:r w:rsidRPr="00D21BC5">
        <w:t>a</w:t>
      </w:r>
      <w:r w:rsidR="00420D58" w:rsidRPr="00D21BC5">
        <w:t>n empirical study of manufacturing firms in China.</w:t>
      </w:r>
      <w:r w:rsidR="00420D58" w:rsidRPr="00D21BC5">
        <w:rPr>
          <w:i/>
        </w:rPr>
        <w:t xml:space="preserve"> Chinese Economy</w:t>
      </w:r>
      <w:r w:rsidRPr="00D21BC5">
        <w:rPr>
          <w:i/>
        </w:rPr>
        <w:t>,</w:t>
      </w:r>
      <w:r w:rsidR="00420D58" w:rsidRPr="00D21BC5">
        <w:rPr>
          <w:i/>
        </w:rPr>
        <w:t xml:space="preserve"> 41</w:t>
      </w:r>
      <w:r w:rsidRPr="00D21BC5">
        <w:t>(5),</w:t>
      </w:r>
      <w:r w:rsidR="00420D58" w:rsidRPr="00D21BC5">
        <w:t xml:space="preserve"> 51-67.</w:t>
      </w:r>
    </w:p>
    <w:p w14:paraId="542A734D" w14:textId="2A6925BE" w:rsidR="00420D58" w:rsidRPr="00891BC1" w:rsidRDefault="00420D58" w:rsidP="00AC7D6B">
      <w:pPr>
        <w:spacing w:line="240" w:lineRule="auto"/>
        <w:ind w:left="709" w:hanging="709"/>
        <w:jc w:val="both"/>
      </w:pPr>
      <w:r w:rsidRPr="00891BC1">
        <w:lastRenderedPageBreak/>
        <w:t xml:space="preserve">Hu, J., &amp; Xu, S. </w:t>
      </w:r>
      <w:r w:rsidR="00C95EE9" w:rsidRPr="00891BC1">
        <w:t>(</w:t>
      </w:r>
      <w:r w:rsidRPr="00891BC1">
        <w:t>2022</w:t>
      </w:r>
      <w:r w:rsidR="00C95EE9" w:rsidRPr="00891BC1">
        <w:t>)</w:t>
      </w:r>
      <w:r w:rsidRPr="00891BC1">
        <w:t xml:space="preserve">. Analysis of energy efficiency in China’s export trade: </w:t>
      </w:r>
      <w:r w:rsidR="00891BC1" w:rsidRPr="00891BC1">
        <w:t>A</w:t>
      </w:r>
      <w:r w:rsidRPr="00891BC1">
        <w:t xml:space="preserve"> perspective based on the synergistic reduction of CO2 and SO2. </w:t>
      </w:r>
      <w:r w:rsidRPr="00891BC1">
        <w:rPr>
          <w:i/>
        </w:rPr>
        <w:t>Energy Reports</w:t>
      </w:r>
      <w:r w:rsidR="00C95EE9" w:rsidRPr="00891BC1">
        <w:rPr>
          <w:i/>
        </w:rPr>
        <w:t>, 8</w:t>
      </w:r>
      <w:r w:rsidR="00891BC1" w:rsidRPr="00891BC1">
        <w:t>(4)</w:t>
      </w:r>
      <w:r w:rsidR="00C95EE9" w:rsidRPr="00891BC1">
        <w:t>,</w:t>
      </w:r>
      <w:r w:rsidRPr="00891BC1">
        <w:t xml:space="preserve"> 140-155.</w:t>
      </w:r>
    </w:p>
    <w:p w14:paraId="7B963EAA" w14:textId="79D93A00" w:rsidR="00420D58" w:rsidRPr="00EA2B27" w:rsidRDefault="00420D58" w:rsidP="00AC7D6B">
      <w:pPr>
        <w:spacing w:line="240" w:lineRule="auto"/>
        <w:ind w:left="709" w:hanging="709"/>
        <w:jc w:val="both"/>
      </w:pPr>
      <w:r w:rsidRPr="00EA2B27">
        <w:t>Ismail, R., S</w:t>
      </w:r>
      <w:r w:rsidR="00900714" w:rsidRPr="00EA2B27">
        <w:t xml:space="preserve">ulaiman, N., &amp; Norsi'ee, S. R. </w:t>
      </w:r>
      <w:r w:rsidR="00891BC1" w:rsidRPr="00EA2B27">
        <w:t>(</w:t>
      </w:r>
      <w:r w:rsidR="00900714" w:rsidRPr="00EA2B27">
        <w:t>2017</w:t>
      </w:r>
      <w:r w:rsidR="00891BC1" w:rsidRPr="00EA2B27">
        <w:t>)</w:t>
      </w:r>
      <w:r w:rsidRPr="00EA2B27">
        <w:t xml:space="preserve">. Total </w:t>
      </w:r>
      <w:r w:rsidR="00891BC1" w:rsidRPr="00EA2B27">
        <w:t xml:space="preserve">factor productivity and its contribution to </w:t>
      </w:r>
      <w:r w:rsidRPr="00EA2B27">
        <w:t xml:space="preserve">Malaysian </w:t>
      </w:r>
      <w:r w:rsidR="00891BC1" w:rsidRPr="00EA2B27">
        <w:t>palm oil-based industry output growth</w:t>
      </w:r>
      <w:r w:rsidRPr="00EA2B27">
        <w:t xml:space="preserve">. </w:t>
      </w:r>
      <w:r w:rsidRPr="00EA2B27">
        <w:rPr>
          <w:i/>
        </w:rPr>
        <w:t xml:space="preserve">Review of Integrative </w:t>
      </w:r>
      <w:r w:rsidR="00900714" w:rsidRPr="00EA2B27">
        <w:rPr>
          <w:i/>
        </w:rPr>
        <w:t>Business and Economics Research</w:t>
      </w:r>
      <w:r w:rsidR="00891BC1" w:rsidRPr="00EA2B27">
        <w:rPr>
          <w:i/>
        </w:rPr>
        <w:t>,</w:t>
      </w:r>
      <w:r w:rsidR="00900714" w:rsidRPr="00EA2B27">
        <w:rPr>
          <w:i/>
        </w:rPr>
        <w:t xml:space="preserve"> 6</w:t>
      </w:r>
      <w:r w:rsidR="00900714" w:rsidRPr="00EA2B27">
        <w:t>(4)</w:t>
      </w:r>
      <w:r w:rsidR="00891BC1" w:rsidRPr="00EA2B27">
        <w:t>,</w:t>
      </w:r>
      <w:r w:rsidRPr="00EA2B27">
        <w:t xml:space="preserve"> 180</w:t>
      </w:r>
      <w:r w:rsidR="00891BC1" w:rsidRPr="00EA2B27">
        <w:t>-195</w:t>
      </w:r>
      <w:r w:rsidRPr="00EA2B27">
        <w:t>.</w:t>
      </w:r>
    </w:p>
    <w:p w14:paraId="4DEEFCF6" w14:textId="03DC5CD8" w:rsidR="00420D58" w:rsidRPr="00EA2B27" w:rsidRDefault="00900714" w:rsidP="00AC7D6B">
      <w:pPr>
        <w:spacing w:line="240" w:lineRule="auto"/>
        <w:ind w:left="709" w:hanging="709"/>
        <w:jc w:val="both"/>
      </w:pPr>
      <w:r w:rsidRPr="00EA2B27">
        <w:t xml:space="preserve">Ismiasih, I. </w:t>
      </w:r>
      <w:r w:rsidR="00C95EE9" w:rsidRPr="00EA2B27">
        <w:t>(</w:t>
      </w:r>
      <w:r w:rsidRPr="00EA2B27">
        <w:t>2018</w:t>
      </w:r>
      <w:r w:rsidR="00C95EE9" w:rsidRPr="00EA2B27">
        <w:t>)</w:t>
      </w:r>
      <w:r w:rsidR="00420D58" w:rsidRPr="00EA2B27">
        <w:t xml:space="preserve">. Technical </w:t>
      </w:r>
      <w:r w:rsidR="00C95EE9" w:rsidRPr="00EA2B27">
        <w:t xml:space="preserve">efficiency of palm oil production </w:t>
      </w:r>
      <w:r w:rsidR="00420D58" w:rsidRPr="00EA2B27">
        <w:t xml:space="preserve">in West Kalimantan. </w:t>
      </w:r>
      <w:r w:rsidR="00420D58" w:rsidRPr="00EA2B27">
        <w:rPr>
          <w:i/>
        </w:rPr>
        <w:t>HABITAT</w:t>
      </w:r>
      <w:r w:rsidR="00C95EE9" w:rsidRPr="00EA2B27">
        <w:rPr>
          <w:i/>
        </w:rPr>
        <w:t>,</w:t>
      </w:r>
      <w:r w:rsidRPr="00EA2B27">
        <w:rPr>
          <w:i/>
        </w:rPr>
        <w:t xml:space="preserve"> 28</w:t>
      </w:r>
      <w:r w:rsidR="00C95EE9" w:rsidRPr="00EA2B27">
        <w:t>(3),</w:t>
      </w:r>
      <w:r w:rsidR="00420D58" w:rsidRPr="00EA2B27">
        <w:t xml:space="preserve"> 91-98.</w:t>
      </w:r>
    </w:p>
    <w:p w14:paraId="646B5749" w14:textId="0484FEF4" w:rsidR="00420D58" w:rsidRPr="00C4138F" w:rsidRDefault="00420D58" w:rsidP="00AC7D6B">
      <w:pPr>
        <w:spacing w:line="240" w:lineRule="auto"/>
        <w:ind w:left="709" w:hanging="709"/>
        <w:jc w:val="both"/>
      </w:pPr>
      <w:r w:rsidRPr="00C4138F">
        <w:t>Jelita,</w:t>
      </w:r>
      <w:r w:rsidR="00900714" w:rsidRPr="00C4138F">
        <w:t xml:space="preserve"> N., Harianto, H., &amp; Rifin, A. </w:t>
      </w:r>
      <w:r w:rsidR="00C95EE9" w:rsidRPr="00C4138F">
        <w:t>(</w:t>
      </w:r>
      <w:r w:rsidR="00900714" w:rsidRPr="00C4138F">
        <w:t>2020</w:t>
      </w:r>
      <w:r w:rsidR="00C95EE9" w:rsidRPr="00C4138F">
        <w:t>)</w:t>
      </w:r>
      <w:r w:rsidRPr="00C4138F">
        <w:t xml:space="preserve">. Efisiensi </w:t>
      </w:r>
      <w:r w:rsidR="00C95EE9" w:rsidRPr="00C4138F">
        <w:t xml:space="preserve">teknis, perubahan teknologi, dan produktivitas faktor total pabrik kelapa sawit di </w:t>
      </w:r>
      <w:r w:rsidRPr="00C4138F">
        <w:t xml:space="preserve">Indonesia. </w:t>
      </w:r>
      <w:r w:rsidRPr="00C4138F">
        <w:rPr>
          <w:i/>
        </w:rPr>
        <w:t>Jurnal Ekonomi Pertanian dan Agribisni</w:t>
      </w:r>
      <w:r w:rsidR="00900714" w:rsidRPr="00C4138F">
        <w:rPr>
          <w:i/>
        </w:rPr>
        <w:t>s</w:t>
      </w:r>
      <w:r w:rsidR="00C95EE9" w:rsidRPr="00C4138F">
        <w:rPr>
          <w:i/>
        </w:rPr>
        <w:t>,</w:t>
      </w:r>
      <w:r w:rsidR="00900714" w:rsidRPr="00C4138F">
        <w:t xml:space="preserve"> </w:t>
      </w:r>
      <w:r w:rsidR="00900714" w:rsidRPr="00C4138F">
        <w:rPr>
          <w:i/>
        </w:rPr>
        <w:t>4</w:t>
      </w:r>
      <w:r w:rsidR="00900714" w:rsidRPr="00C4138F">
        <w:t>(1)</w:t>
      </w:r>
      <w:r w:rsidR="00C95EE9" w:rsidRPr="00C4138F">
        <w:t>,</w:t>
      </w:r>
      <w:r w:rsidRPr="00C4138F">
        <w:t xml:space="preserve"> 210-218.</w:t>
      </w:r>
    </w:p>
    <w:p w14:paraId="05007745" w14:textId="32691951" w:rsidR="00420D58" w:rsidRPr="00732479" w:rsidRDefault="00420D58" w:rsidP="00AC7D6B">
      <w:pPr>
        <w:spacing w:line="240" w:lineRule="auto"/>
        <w:ind w:left="709" w:hanging="709"/>
        <w:jc w:val="both"/>
      </w:pPr>
      <w:r w:rsidRPr="00732479">
        <w:t>Juyjaeng, C. O., Su</w:t>
      </w:r>
      <w:r w:rsidR="00900714" w:rsidRPr="00732479">
        <w:t xml:space="preserve">wanmaneepong, S., &amp; Mankeb, P. </w:t>
      </w:r>
      <w:r w:rsidR="00C95EE9" w:rsidRPr="00732479">
        <w:t>(</w:t>
      </w:r>
      <w:r w:rsidR="00900714" w:rsidRPr="00732479">
        <w:t>2018</w:t>
      </w:r>
      <w:r w:rsidR="00C95EE9" w:rsidRPr="00732479">
        <w:t>)</w:t>
      </w:r>
      <w:r w:rsidRPr="00732479">
        <w:t xml:space="preserve">. Technical </w:t>
      </w:r>
      <w:r w:rsidR="00C95EE9" w:rsidRPr="00732479">
        <w:t xml:space="preserve">efficiency of </w:t>
      </w:r>
      <w:r w:rsidR="00995A09" w:rsidRPr="00732479">
        <w:t>palm oil</w:t>
      </w:r>
      <w:r w:rsidR="00C95EE9" w:rsidRPr="00732479">
        <w:t xml:space="preserve"> production under a large agricultural plot scheme</w:t>
      </w:r>
      <w:r w:rsidRPr="00732479">
        <w:t xml:space="preserve"> in Thailand. </w:t>
      </w:r>
      <w:r w:rsidRPr="00732479">
        <w:rPr>
          <w:i/>
        </w:rPr>
        <w:t>Asian Journal of Scientific Research</w:t>
      </w:r>
      <w:r w:rsidR="00C95EE9" w:rsidRPr="00732479">
        <w:rPr>
          <w:i/>
        </w:rPr>
        <w:t xml:space="preserve">, </w:t>
      </w:r>
      <w:r w:rsidR="00900714" w:rsidRPr="00732479">
        <w:rPr>
          <w:i/>
        </w:rPr>
        <w:t>11</w:t>
      </w:r>
      <w:r w:rsidR="00C4138F" w:rsidRPr="00732479">
        <w:t>(4)</w:t>
      </w:r>
      <w:r w:rsidR="00C95EE9" w:rsidRPr="00732479">
        <w:t>,</w:t>
      </w:r>
      <w:r w:rsidRPr="00732479">
        <w:t xml:space="preserve"> 472-479.</w:t>
      </w:r>
    </w:p>
    <w:p w14:paraId="7DEC4D2E" w14:textId="62770BD7" w:rsidR="00420D58" w:rsidRPr="00732479" w:rsidRDefault="00C95EE9" w:rsidP="00AC7D6B">
      <w:pPr>
        <w:spacing w:line="240" w:lineRule="auto"/>
        <w:ind w:left="709" w:hanging="709"/>
        <w:jc w:val="both"/>
        <w:rPr>
          <w:szCs w:val="24"/>
          <w:lang w:val="en-US"/>
        </w:rPr>
      </w:pPr>
      <w:proofErr w:type="spellStart"/>
      <w:r w:rsidRPr="00732479">
        <w:rPr>
          <w:szCs w:val="24"/>
          <w:lang w:val="en-US"/>
        </w:rPr>
        <w:t>Kalirajan</w:t>
      </w:r>
      <w:proofErr w:type="spellEnd"/>
      <w:r w:rsidRPr="00732479">
        <w:rPr>
          <w:szCs w:val="24"/>
          <w:lang w:val="en-US"/>
        </w:rPr>
        <w:t>, K.</w:t>
      </w:r>
      <w:r w:rsidR="00732479" w:rsidRPr="00732479">
        <w:rPr>
          <w:szCs w:val="24"/>
          <w:lang w:val="en-US"/>
        </w:rPr>
        <w:t xml:space="preserve"> </w:t>
      </w:r>
      <w:r w:rsidR="00900714" w:rsidRPr="00732479">
        <w:rPr>
          <w:szCs w:val="24"/>
          <w:lang w:val="en-US"/>
        </w:rPr>
        <w:t xml:space="preserve">P. </w:t>
      </w:r>
      <w:r w:rsidRPr="00732479">
        <w:rPr>
          <w:szCs w:val="24"/>
          <w:lang w:val="en-US"/>
        </w:rPr>
        <w:t>(</w:t>
      </w:r>
      <w:r w:rsidR="00900714" w:rsidRPr="00732479">
        <w:rPr>
          <w:szCs w:val="24"/>
          <w:lang w:val="en-US"/>
        </w:rPr>
        <w:t>2000</w:t>
      </w:r>
      <w:r w:rsidRPr="00732479">
        <w:rPr>
          <w:szCs w:val="24"/>
          <w:lang w:val="en-US"/>
        </w:rPr>
        <w:t>)</w:t>
      </w:r>
      <w:r w:rsidR="00420D58" w:rsidRPr="00732479">
        <w:rPr>
          <w:szCs w:val="24"/>
          <w:lang w:val="en-US"/>
        </w:rPr>
        <w:t xml:space="preserve">. Indian ocean rim association for regional cooperation (IOR-ARC): </w:t>
      </w:r>
      <w:r w:rsidR="00732479" w:rsidRPr="00732479">
        <w:rPr>
          <w:szCs w:val="24"/>
          <w:lang w:val="en-US"/>
        </w:rPr>
        <w:t>I</w:t>
      </w:r>
      <w:r w:rsidRPr="00732479">
        <w:rPr>
          <w:szCs w:val="24"/>
          <w:lang w:val="en-US"/>
        </w:rPr>
        <w:t>mpact on</w:t>
      </w:r>
      <w:r w:rsidR="00420D58" w:rsidRPr="00732479">
        <w:rPr>
          <w:szCs w:val="24"/>
          <w:lang w:val="en-US"/>
        </w:rPr>
        <w:t xml:space="preserve"> Australia's trade. </w:t>
      </w:r>
      <w:r w:rsidR="00420D58" w:rsidRPr="00732479">
        <w:rPr>
          <w:i/>
          <w:iCs/>
          <w:szCs w:val="24"/>
          <w:lang w:val="en-US"/>
        </w:rPr>
        <w:t>Journal of Economic Integration</w:t>
      </w:r>
      <w:r w:rsidRPr="00732479">
        <w:rPr>
          <w:i/>
          <w:iCs/>
          <w:szCs w:val="24"/>
          <w:lang w:val="en-US"/>
        </w:rPr>
        <w:t>,</w:t>
      </w:r>
      <w:r w:rsidR="00420D58" w:rsidRPr="00732479">
        <w:rPr>
          <w:i/>
          <w:iCs/>
          <w:szCs w:val="24"/>
          <w:lang w:val="en-US"/>
        </w:rPr>
        <w:t xml:space="preserve"> </w:t>
      </w:r>
      <w:r w:rsidR="00732479" w:rsidRPr="00732479">
        <w:rPr>
          <w:i/>
          <w:iCs/>
          <w:szCs w:val="24"/>
          <w:lang w:val="en-US"/>
        </w:rPr>
        <w:t>15</w:t>
      </w:r>
      <w:r w:rsidR="00732479" w:rsidRPr="00732479">
        <w:rPr>
          <w:szCs w:val="24"/>
          <w:lang w:val="en-US"/>
        </w:rPr>
        <w:t xml:space="preserve">(4), </w:t>
      </w:r>
      <w:r w:rsidR="00420D58" w:rsidRPr="00732479">
        <w:rPr>
          <w:szCs w:val="24"/>
          <w:lang w:val="en-US"/>
        </w:rPr>
        <w:t>533-547.</w:t>
      </w:r>
    </w:p>
    <w:p w14:paraId="6D59E9F9" w14:textId="59B11182" w:rsidR="00420D58" w:rsidRPr="00732479" w:rsidRDefault="00420D58" w:rsidP="00AC7D6B">
      <w:pPr>
        <w:spacing w:line="240" w:lineRule="auto"/>
        <w:ind w:left="709" w:hanging="709"/>
        <w:jc w:val="both"/>
        <w:rPr>
          <w:szCs w:val="24"/>
          <w:lang w:val="en-US"/>
        </w:rPr>
      </w:pPr>
      <w:proofErr w:type="spellStart"/>
      <w:r w:rsidRPr="00732479">
        <w:rPr>
          <w:szCs w:val="24"/>
          <w:lang w:val="en-US"/>
        </w:rPr>
        <w:t>Ka</w:t>
      </w:r>
      <w:r w:rsidR="00C95EE9" w:rsidRPr="00732479">
        <w:rPr>
          <w:szCs w:val="24"/>
          <w:lang w:val="en-US"/>
        </w:rPr>
        <w:t>lirajan</w:t>
      </w:r>
      <w:proofErr w:type="spellEnd"/>
      <w:r w:rsidR="00C95EE9" w:rsidRPr="00732479">
        <w:rPr>
          <w:szCs w:val="24"/>
          <w:lang w:val="en-US"/>
        </w:rPr>
        <w:t>, K.</w:t>
      </w:r>
      <w:r w:rsidR="00732479" w:rsidRPr="00732479">
        <w:rPr>
          <w:szCs w:val="24"/>
          <w:lang w:val="en-US"/>
        </w:rPr>
        <w:t xml:space="preserve"> </w:t>
      </w:r>
      <w:r w:rsidR="00C95EE9" w:rsidRPr="00732479">
        <w:rPr>
          <w:szCs w:val="24"/>
          <w:lang w:val="en-US"/>
        </w:rPr>
        <w:t>P., &amp; Shand, R.</w:t>
      </w:r>
      <w:r w:rsidR="00732479" w:rsidRPr="00732479">
        <w:rPr>
          <w:szCs w:val="24"/>
          <w:lang w:val="en-US"/>
        </w:rPr>
        <w:t xml:space="preserve"> </w:t>
      </w:r>
      <w:r w:rsidR="00900714" w:rsidRPr="00732479">
        <w:rPr>
          <w:szCs w:val="24"/>
          <w:lang w:val="en-US"/>
        </w:rPr>
        <w:t xml:space="preserve">T. </w:t>
      </w:r>
      <w:r w:rsidR="00C95EE9" w:rsidRPr="00732479">
        <w:rPr>
          <w:szCs w:val="24"/>
          <w:lang w:val="en-US"/>
        </w:rPr>
        <w:t>(</w:t>
      </w:r>
      <w:r w:rsidR="00900714" w:rsidRPr="00732479">
        <w:rPr>
          <w:szCs w:val="24"/>
          <w:lang w:val="en-US"/>
        </w:rPr>
        <w:t>1999</w:t>
      </w:r>
      <w:r w:rsidR="00C95EE9" w:rsidRPr="00732479">
        <w:rPr>
          <w:szCs w:val="24"/>
          <w:lang w:val="en-US"/>
        </w:rPr>
        <w:t>)</w:t>
      </w:r>
      <w:r w:rsidRPr="00732479">
        <w:rPr>
          <w:szCs w:val="24"/>
          <w:lang w:val="en-US"/>
        </w:rPr>
        <w:t xml:space="preserve">. Frontier production functions and technical efficiency measures. </w:t>
      </w:r>
      <w:r w:rsidRPr="00732479">
        <w:rPr>
          <w:i/>
          <w:iCs/>
          <w:szCs w:val="24"/>
          <w:lang w:val="en-US"/>
        </w:rPr>
        <w:t>Journal of Economic surveys</w:t>
      </w:r>
      <w:r w:rsidR="00C95EE9" w:rsidRPr="00732479">
        <w:rPr>
          <w:i/>
          <w:iCs/>
          <w:szCs w:val="24"/>
          <w:lang w:val="en-US"/>
        </w:rPr>
        <w:t>,</w:t>
      </w:r>
      <w:r w:rsidRPr="00732479">
        <w:rPr>
          <w:szCs w:val="24"/>
          <w:lang w:val="en-US"/>
        </w:rPr>
        <w:t xml:space="preserve"> </w:t>
      </w:r>
      <w:r w:rsidRPr="00732479">
        <w:rPr>
          <w:i/>
          <w:iCs/>
          <w:szCs w:val="24"/>
          <w:lang w:val="en-US"/>
        </w:rPr>
        <w:t>13</w:t>
      </w:r>
      <w:r w:rsidR="00C95EE9" w:rsidRPr="00732479">
        <w:rPr>
          <w:szCs w:val="24"/>
          <w:lang w:val="en-US"/>
        </w:rPr>
        <w:t>(2),</w:t>
      </w:r>
      <w:r w:rsidRPr="00732479">
        <w:rPr>
          <w:szCs w:val="24"/>
          <w:lang w:val="en-US"/>
        </w:rPr>
        <w:t xml:space="preserve"> 149-172.</w:t>
      </w:r>
    </w:p>
    <w:p w14:paraId="2D71F6DC" w14:textId="4E677927" w:rsidR="00420D58" w:rsidRPr="00202544" w:rsidRDefault="00C95EE9" w:rsidP="00AC7D6B">
      <w:pPr>
        <w:spacing w:line="240" w:lineRule="auto"/>
        <w:ind w:left="709" w:hanging="709"/>
        <w:jc w:val="both"/>
      </w:pPr>
      <w:r w:rsidRPr="00202544">
        <w:t>Kazemzadeh, E., Fuinhas, J.</w:t>
      </w:r>
      <w:r w:rsidR="00732479" w:rsidRPr="00202544">
        <w:t xml:space="preserve"> </w:t>
      </w:r>
      <w:r w:rsidR="00420D58" w:rsidRPr="00202544">
        <w:t xml:space="preserve">A., Koengkan, M., Osmani, F., &amp; Silva, N. </w:t>
      </w:r>
      <w:r w:rsidRPr="00202544">
        <w:t>(</w:t>
      </w:r>
      <w:r w:rsidR="00420D58" w:rsidRPr="00202544">
        <w:t>2022</w:t>
      </w:r>
      <w:r w:rsidRPr="00202544">
        <w:t>)</w:t>
      </w:r>
      <w:r w:rsidR="00420D58" w:rsidRPr="00202544">
        <w:t xml:space="preserve">. Do energy efficiency and export quality affect the ecological footprint in emerging countries? </w:t>
      </w:r>
      <w:r w:rsidR="00202544" w:rsidRPr="00202544">
        <w:t xml:space="preserve">A </w:t>
      </w:r>
      <w:r w:rsidR="00420D58" w:rsidRPr="00202544">
        <w:t xml:space="preserve">two-step approach using the SBM–DEA model and panel quantile regression. </w:t>
      </w:r>
      <w:r w:rsidR="00420D58" w:rsidRPr="00202544">
        <w:rPr>
          <w:i/>
        </w:rPr>
        <w:t>Environment Systems and Decisions</w:t>
      </w:r>
      <w:r w:rsidRPr="00202544">
        <w:rPr>
          <w:i/>
        </w:rPr>
        <w:t>,</w:t>
      </w:r>
      <w:r w:rsidR="00420D58" w:rsidRPr="00202544">
        <w:rPr>
          <w:i/>
        </w:rPr>
        <w:t xml:space="preserve"> </w:t>
      </w:r>
      <w:r w:rsidR="00202544" w:rsidRPr="00202544">
        <w:rPr>
          <w:i/>
        </w:rPr>
        <w:t>42</w:t>
      </w:r>
      <w:r w:rsidR="00202544" w:rsidRPr="00202544">
        <w:t>, 608-625</w:t>
      </w:r>
      <w:r w:rsidR="00420D58" w:rsidRPr="00202544">
        <w:t>.</w:t>
      </w:r>
    </w:p>
    <w:p w14:paraId="08182413" w14:textId="3BE9BB8D" w:rsidR="00420D58" w:rsidRPr="005525E4" w:rsidRDefault="00420D58" w:rsidP="00AC7D6B">
      <w:pPr>
        <w:spacing w:line="240" w:lineRule="auto"/>
        <w:ind w:left="709" w:hanging="709"/>
        <w:jc w:val="both"/>
      </w:pPr>
      <w:r w:rsidRPr="005525E4">
        <w:t xml:space="preserve">Kea, S., Li, </w:t>
      </w:r>
      <w:r w:rsidR="00C95EE9" w:rsidRPr="005525E4">
        <w:t>H., Shahriar, S., Abdullahi, N.</w:t>
      </w:r>
      <w:r w:rsidR="00202544" w:rsidRPr="005525E4">
        <w:t xml:space="preserve"> </w:t>
      </w:r>
      <w:r w:rsidRPr="005525E4">
        <w:t xml:space="preserve">M., Phoak, S., &amp; Touch, T. </w:t>
      </w:r>
      <w:r w:rsidR="00C95EE9" w:rsidRPr="005525E4">
        <w:t>(</w:t>
      </w:r>
      <w:r w:rsidRPr="005525E4">
        <w:t>2019</w:t>
      </w:r>
      <w:r w:rsidR="00C95EE9" w:rsidRPr="005525E4">
        <w:t>)</w:t>
      </w:r>
      <w:r w:rsidRPr="005525E4">
        <w:t xml:space="preserve">. Factors influencing Cambodian rice </w:t>
      </w:r>
      <w:r w:rsidR="00031A21" w:rsidRPr="005525E4">
        <w:t>export</w:t>
      </w:r>
      <w:r w:rsidRPr="005525E4">
        <w:t xml:space="preserve">: </w:t>
      </w:r>
      <w:r w:rsidR="00202544" w:rsidRPr="005525E4">
        <w:t>A</w:t>
      </w:r>
      <w:r w:rsidRPr="005525E4">
        <w:t xml:space="preserve">n application of the dynamic panel gravity model. </w:t>
      </w:r>
      <w:r w:rsidRPr="005525E4">
        <w:rPr>
          <w:i/>
        </w:rPr>
        <w:t>Emerging Markets Finance and Trade</w:t>
      </w:r>
      <w:r w:rsidR="00C95EE9" w:rsidRPr="005525E4">
        <w:rPr>
          <w:i/>
        </w:rPr>
        <w:t>,</w:t>
      </w:r>
      <w:r w:rsidRPr="005525E4">
        <w:rPr>
          <w:i/>
        </w:rPr>
        <w:t xml:space="preserve"> 55</w:t>
      </w:r>
      <w:r w:rsidR="00C95EE9" w:rsidRPr="005525E4">
        <w:t>(15),</w:t>
      </w:r>
      <w:r w:rsidRPr="005525E4">
        <w:t xml:space="preserve"> 3631-3652.</w:t>
      </w:r>
    </w:p>
    <w:p w14:paraId="59CCD971" w14:textId="0A8E7A0F" w:rsidR="00900714" w:rsidRPr="005525E4" w:rsidRDefault="00420D58" w:rsidP="00AC7D6B">
      <w:pPr>
        <w:spacing w:line="240" w:lineRule="auto"/>
        <w:ind w:left="709" w:hanging="709"/>
        <w:jc w:val="both"/>
      </w:pPr>
      <w:r w:rsidRPr="005525E4">
        <w:t>Kushairi, A.,</w:t>
      </w:r>
      <w:r w:rsidR="00900714" w:rsidRPr="005525E4">
        <w:t xml:space="preserve"> Singh, R., &amp; Ong-Abdullah, M. </w:t>
      </w:r>
      <w:r w:rsidR="00C95EE9" w:rsidRPr="005525E4">
        <w:t>(</w:t>
      </w:r>
      <w:r w:rsidR="00900714" w:rsidRPr="005525E4">
        <w:t>2017</w:t>
      </w:r>
      <w:r w:rsidR="00C95EE9" w:rsidRPr="005525E4">
        <w:t>)</w:t>
      </w:r>
      <w:r w:rsidRPr="005525E4">
        <w:t xml:space="preserve">. The </w:t>
      </w:r>
      <w:r w:rsidR="00995A09" w:rsidRPr="005525E4">
        <w:t>palm oil</w:t>
      </w:r>
      <w:r w:rsidRPr="005525E4">
        <w:t xml:space="preserve"> industry in Malaysia: </w:t>
      </w:r>
      <w:r w:rsidR="005525E4" w:rsidRPr="005525E4">
        <w:t>T</w:t>
      </w:r>
      <w:r w:rsidRPr="005525E4">
        <w:t xml:space="preserve">hriving with transformative technologies. </w:t>
      </w:r>
      <w:r w:rsidRPr="005525E4">
        <w:rPr>
          <w:i/>
        </w:rPr>
        <w:t>J</w:t>
      </w:r>
      <w:r w:rsidR="005525E4" w:rsidRPr="005525E4">
        <w:rPr>
          <w:i/>
        </w:rPr>
        <w:t xml:space="preserve">ournal of Oil </w:t>
      </w:r>
      <w:r w:rsidR="00995A09" w:rsidRPr="005525E4">
        <w:rPr>
          <w:i/>
        </w:rPr>
        <w:t xml:space="preserve">Palm </w:t>
      </w:r>
      <w:r w:rsidR="005525E4" w:rsidRPr="005525E4">
        <w:rPr>
          <w:i/>
        </w:rPr>
        <w:t>Research</w:t>
      </w:r>
      <w:r w:rsidR="00C95EE9" w:rsidRPr="005525E4">
        <w:rPr>
          <w:i/>
        </w:rPr>
        <w:t>,</w:t>
      </w:r>
      <w:r w:rsidR="00900714" w:rsidRPr="005525E4">
        <w:t xml:space="preserve"> </w:t>
      </w:r>
      <w:r w:rsidR="00900714" w:rsidRPr="005525E4">
        <w:rPr>
          <w:i/>
        </w:rPr>
        <w:t>29</w:t>
      </w:r>
      <w:r w:rsidR="00900714" w:rsidRPr="005525E4">
        <w:t>(4)</w:t>
      </w:r>
      <w:r w:rsidR="00C95EE9" w:rsidRPr="005525E4">
        <w:t>,</w:t>
      </w:r>
      <w:r w:rsidRPr="005525E4">
        <w:t xml:space="preserve"> 431-439.</w:t>
      </w:r>
    </w:p>
    <w:p w14:paraId="212CB1B0" w14:textId="7165B09D" w:rsidR="00420D58" w:rsidRPr="005525E4" w:rsidRDefault="00420D58" w:rsidP="00AC7D6B">
      <w:pPr>
        <w:spacing w:line="240" w:lineRule="auto"/>
        <w:ind w:left="709" w:hanging="709"/>
        <w:jc w:val="both"/>
      </w:pPr>
      <w:r w:rsidRPr="005525E4">
        <w:t>Ho, D.</w:t>
      </w:r>
      <w:r w:rsidR="005525E4">
        <w:t xml:space="preserve"> </w:t>
      </w:r>
      <w:r w:rsidR="00C95EE9" w:rsidRPr="005525E4">
        <w:t>C.</w:t>
      </w:r>
      <w:r w:rsidR="005525E4">
        <w:t xml:space="preserve"> </w:t>
      </w:r>
      <w:r w:rsidR="00C95EE9" w:rsidRPr="005525E4">
        <w:t>K., Chan, E.</w:t>
      </w:r>
      <w:r w:rsidR="005525E4">
        <w:t xml:space="preserve"> </w:t>
      </w:r>
      <w:r w:rsidR="00C95EE9" w:rsidRPr="005525E4">
        <w:t>M.</w:t>
      </w:r>
      <w:r w:rsidR="005525E4">
        <w:t xml:space="preserve"> </w:t>
      </w:r>
      <w:r w:rsidRPr="005525E4">
        <w:t xml:space="preserve">H., </w:t>
      </w:r>
      <w:r w:rsidR="00C95EE9" w:rsidRPr="005525E4">
        <w:t>Yip, T.</w:t>
      </w:r>
      <w:r w:rsidR="005525E4">
        <w:t xml:space="preserve"> </w:t>
      </w:r>
      <w:r w:rsidR="00C95EE9" w:rsidRPr="005525E4">
        <w:t>L., &amp; Tsang, C.</w:t>
      </w:r>
      <w:r w:rsidR="005525E4">
        <w:t xml:space="preserve"> </w:t>
      </w:r>
      <w:r w:rsidRPr="005525E4">
        <w:t xml:space="preserve">W. </w:t>
      </w:r>
      <w:r w:rsidR="00C95EE9" w:rsidRPr="005525E4">
        <w:t>(</w:t>
      </w:r>
      <w:r w:rsidRPr="005525E4">
        <w:t>2020</w:t>
      </w:r>
      <w:r w:rsidR="00C95EE9" w:rsidRPr="005525E4">
        <w:t>)</w:t>
      </w:r>
      <w:r w:rsidRPr="005525E4">
        <w:t xml:space="preserve">. The United States’ clothing imports from Asian countries along the Belt and Road: </w:t>
      </w:r>
      <w:r w:rsidR="006348C3">
        <w:t>A</w:t>
      </w:r>
      <w:r w:rsidRPr="005525E4">
        <w:t xml:space="preserve">n extended gravity trade model with application of artificial neural network. </w:t>
      </w:r>
      <w:r w:rsidRPr="005525E4">
        <w:rPr>
          <w:i/>
        </w:rPr>
        <w:t>Sustainability</w:t>
      </w:r>
      <w:r w:rsidR="00C95EE9" w:rsidRPr="005525E4">
        <w:rPr>
          <w:i/>
        </w:rPr>
        <w:t>,</w:t>
      </w:r>
      <w:r w:rsidRPr="005525E4">
        <w:t xml:space="preserve"> </w:t>
      </w:r>
      <w:r w:rsidRPr="005525E4">
        <w:rPr>
          <w:i/>
        </w:rPr>
        <w:t>12</w:t>
      </w:r>
      <w:r w:rsidRPr="005525E4">
        <w:t>(18)</w:t>
      </w:r>
      <w:r w:rsidR="00C95EE9" w:rsidRPr="005525E4">
        <w:t>,</w:t>
      </w:r>
      <w:r w:rsidRPr="005525E4">
        <w:t xml:space="preserve"> 7433.</w:t>
      </w:r>
    </w:p>
    <w:p w14:paraId="4AA97D09" w14:textId="65F04BB7" w:rsidR="00420D58" w:rsidRPr="00642042" w:rsidRDefault="00C95EE9" w:rsidP="00AC7D6B">
      <w:pPr>
        <w:spacing w:line="240" w:lineRule="auto"/>
        <w:ind w:left="709" w:hanging="709"/>
        <w:jc w:val="both"/>
      </w:pPr>
      <w:r w:rsidRPr="006348C3">
        <w:t>Meyers, W.</w:t>
      </w:r>
      <w:r w:rsidR="005525E4" w:rsidRPr="006348C3">
        <w:t xml:space="preserve"> </w:t>
      </w:r>
      <w:r w:rsidR="00420D58" w:rsidRPr="006348C3">
        <w:t xml:space="preserve">H., Karasova, N., &amp; Yatsenko, O. </w:t>
      </w:r>
      <w:r w:rsidRPr="006348C3">
        <w:t>(</w:t>
      </w:r>
      <w:r w:rsidR="00420D58" w:rsidRPr="006348C3">
        <w:t>2018</w:t>
      </w:r>
      <w:r w:rsidRPr="006348C3">
        <w:t>)</w:t>
      </w:r>
      <w:r w:rsidR="00420D58" w:rsidRPr="006348C3">
        <w:t xml:space="preserve">. Highly marginal goods as source of export efficiency rise in agrarian sector. </w:t>
      </w:r>
      <w:r w:rsidR="00420D58" w:rsidRPr="006348C3">
        <w:rPr>
          <w:i/>
        </w:rPr>
        <w:t xml:space="preserve">Management Theory and Studies for Rural </w:t>
      </w:r>
      <w:r w:rsidR="00420D58" w:rsidRPr="00642042">
        <w:rPr>
          <w:i/>
        </w:rPr>
        <w:t>Business and Infrastructure Development</w:t>
      </w:r>
      <w:r w:rsidRPr="00642042">
        <w:rPr>
          <w:i/>
        </w:rPr>
        <w:t>,</w:t>
      </w:r>
      <w:r w:rsidR="00420D58" w:rsidRPr="00642042">
        <w:t xml:space="preserve"> </w:t>
      </w:r>
      <w:r w:rsidR="00420D58" w:rsidRPr="00642042">
        <w:rPr>
          <w:i/>
        </w:rPr>
        <w:t>40</w:t>
      </w:r>
      <w:r w:rsidRPr="00642042">
        <w:t>(4),</w:t>
      </w:r>
      <w:r w:rsidR="00420D58" w:rsidRPr="00642042">
        <w:t xml:space="preserve"> 577-586.</w:t>
      </w:r>
    </w:p>
    <w:p w14:paraId="632EA2C6" w14:textId="3180A079" w:rsidR="00420D58" w:rsidRPr="00642042" w:rsidRDefault="00C95EE9" w:rsidP="00AC7D6B">
      <w:pPr>
        <w:spacing w:line="240" w:lineRule="auto"/>
        <w:ind w:left="709" w:hanging="709"/>
        <w:jc w:val="both"/>
      </w:pPr>
      <w:r w:rsidRPr="00642042">
        <w:t>Mohamad, A.</w:t>
      </w:r>
      <w:r w:rsidR="00642042" w:rsidRPr="00642042">
        <w:t xml:space="preserve"> </w:t>
      </w:r>
      <w:r w:rsidRPr="00642042">
        <w:t>H.</w:t>
      </w:r>
      <w:r w:rsidR="00642042" w:rsidRPr="00642042">
        <w:t xml:space="preserve"> </w:t>
      </w:r>
      <w:r w:rsidRPr="00642042">
        <w:t xml:space="preserve">H., &amp; </w:t>
      </w:r>
      <w:r w:rsidR="00642042" w:rsidRPr="00642042">
        <w:t>Z</w:t>
      </w:r>
      <w:r w:rsidRPr="00642042">
        <w:t>ainuddin, M.</w:t>
      </w:r>
      <w:r w:rsidR="00642042" w:rsidRPr="00642042">
        <w:t xml:space="preserve"> </w:t>
      </w:r>
      <w:r w:rsidRPr="00642042">
        <w:t>R.</w:t>
      </w:r>
      <w:r w:rsidR="00642042" w:rsidRPr="00642042">
        <w:t xml:space="preserve"> </w:t>
      </w:r>
      <w:r w:rsidR="00420D58" w:rsidRPr="00642042">
        <w:t xml:space="preserve">K. </w:t>
      </w:r>
      <w:r w:rsidRPr="00642042">
        <w:t>(</w:t>
      </w:r>
      <w:r w:rsidR="00420D58" w:rsidRPr="00642042">
        <w:t>2021</w:t>
      </w:r>
      <w:r w:rsidRPr="00642042">
        <w:t>)</w:t>
      </w:r>
      <w:r w:rsidR="00420D58" w:rsidRPr="00642042">
        <w:t>. Belt and R</w:t>
      </w:r>
      <w:r w:rsidR="00642042" w:rsidRPr="00642042">
        <w:t>oad initiatives and the competitiveness of natural rubber export</w:t>
      </w:r>
      <w:r w:rsidR="00420D58" w:rsidRPr="00642042">
        <w:t xml:space="preserve">: Evidence from the BRI Region. </w:t>
      </w:r>
      <w:r w:rsidR="00420D58" w:rsidRPr="00642042">
        <w:rPr>
          <w:i/>
        </w:rPr>
        <w:t>Journal of Asian Finance, Economics and Business</w:t>
      </w:r>
      <w:r w:rsidRPr="00642042">
        <w:rPr>
          <w:i/>
        </w:rPr>
        <w:t>,</w:t>
      </w:r>
      <w:r w:rsidR="00420D58" w:rsidRPr="00642042">
        <w:rPr>
          <w:i/>
        </w:rPr>
        <w:t xml:space="preserve"> 8</w:t>
      </w:r>
      <w:r w:rsidRPr="00642042">
        <w:t>(11),</w:t>
      </w:r>
      <w:r w:rsidR="00420D58" w:rsidRPr="00642042">
        <w:t xml:space="preserve"> 145-155.</w:t>
      </w:r>
    </w:p>
    <w:p w14:paraId="0F278456" w14:textId="3F6539F8" w:rsidR="00420D58" w:rsidRPr="00642042" w:rsidRDefault="00420D58" w:rsidP="00AC7D6B">
      <w:pPr>
        <w:spacing w:line="240" w:lineRule="auto"/>
        <w:ind w:left="709" w:hanging="709"/>
        <w:jc w:val="both"/>
      </w:pPr>
      <w:r w:rsidRPr="00642042">
        <w:t xml:space="preserve">Opoku, </w:t>
      </w:r>
      <w:r w:rsidR="00C95EE9" w:rsidRPr="00642042">
        <w:t>E.</w:t>
      </w:r>
      <w:r w:rsidR="00642042" w:rsidRPr="00642042">
        <w:t xml:space="preserve"> </w:t>
      </w:r>
      <w:r w:rsidR="00C95EE9" w:rsidRPr="00642042">
        <w:t>E., Yan, I.</w:t>
      </w:r>
      <w:r w:rsidR="00642042" w:rsidRPr="00642042">
        <w:t xml:space="preserve"> </w:t>
      </w:r>
      <w:r w:rsidRPr="00642042">
        <w:t xml:space="preserve">K., &amp; Hynes, K. </w:t>
      </w:r>
      <w:r w:rsidR="00C95EE9" w:rsidRPr="00642042">
        <w:t>(</w:t>
      </w:r>
      <w:r w:rsidRPr="00642042">
        <w:t>2020</w:t>
      </w:r>
      <w:r w:rsidR="00C95EE9" w:rsidRPr="00642042">
        <w:t>)</w:t>
      </w:r>
      <w:r w:rsidRPr="00642042">
        <w:t xml:space="preserve">. Reaching up and reaching out: The impact of competition on firms’ productivity and export decisions. </w:t>
      </w:r>
      <w:r w:rsidRPr="00642042">
        <w:rPr>
          <w:i/>
        </w:rPr>
        <w:t>Pacific Economic Review</w:t>
      </w:r>
      <w:r w:rsidR="00C95EE9" w:rsidRPr="00642042">
        <w:rPr>
          <w:i/>
        </w:rPr>
        <w:t xml:space="preserve">, </w:t>
      </w:r>
      <w:r w:rsidRPr="00642042">
        <w:rPr>
          <w:i/>
        </w:rPr>
        <w:t>25</w:t>
      </w:r>
      <w:r w:rsidRPr="00642042">
        <w:t>(1)</w:t>
      </w:r>
      <w:r w:rsidR="00C95EE9" w:rsidRPr="00642042">
        <w:t>,</w:t>
      </w:r>
      <w:r w:rsidRPr="00642042">
        <w:t xml:space="preserve"> 69-101.</w:t>
      </w:r>
    </w:p>
    <w:p w14:paraId="7A0C9B20" w14:textId="59299D19" w:rsidR="00420D58" w:rsidRPr="00446B0E" w:rsidRDefault="00420D58" w:rsidP="00AC7D6B">
      <w:pPr>
        <w:spacing w:line="240" w:lineRule="auto"/>
        <w:ind w:left="709" w:hanging="709"/>
        <w:jc w:val="both"/>
      </w:pPr>
      <w:r w:rsidRPr="00446B0E">
        <w:t xml:space="preserve">Rahman, R., Shahriar, S., &amp; Kea, S. </w:t>
      </w:r>
      <w:r w:rsidR="00C95EE9" w:rsidRPr="00446B0E">
        <w:t>(</w:t>
      </w:r>
      <w:r w:rsidRPr="00446B0E">
        <w:t>2019</w:t>
      </w:r>
      <w:r w:rsidR="00C95EE9" w:rsidRPr="00446B0E">
        <w:t>)</w:t>
      </w:r>
      <w:r w:rsidRPr="00446B0E">
        <w:t xml:space="preserve">. Determinants of </w:t>
      </w:r>
      <w:r w:rsidR="00031A21" w:rsidRPr="00446B0E">
        <w:t>export</w:t>
      </w:r>
      <w:r w:rsidRPr="00446B0E">
        <w:t xml:space="preserve">: </w:t>
      </w:r>
      <w:r w:rsidR="00446B0E" w:rsidRPr="00446B0E">
        <w:t>A</w:t>
      </w:r>
      <w:r w:rsidRPr="00446B0E">
        <w:t xml:space="preserve"> gravity model analysis of the Bangladeshi textile and clothing industries. </w:t>
      </w:r>
      <w:r w:rsidRPr="00446B0E">
        <w:rPr>
          <w:i/>
        </w:rPr>
        <w:t>FIIB Business Review</w:t>
      </w:r>
      <w:r w:rsidR="00C95EE9" w:rsidRPr="00446B0E">
        <w:rPr>
          <w:i/>
        </w:rPr>
        <w:t>,</w:t>
      </w:r>
      <w:r w:rsidRPr="00446B0E">
        <w:rPr>
          <w:i/>
        </w:rPr>
        <w:t xml:space="preserve"> 8</w:t>
      </w:r>
      <w:r w:rsidR="00C95EE9" w:rsidRPr="00446B0E">
        <w:t>(3),</w:t>
      </w:r>
      <w:r w:rsidRPr="00446B0E">
        <w:t xml:space="preserve"> 229-244.</w:t>
      </w:r>
    </w:p>
    <w:p w14:paraId="50A80A31" w14:textId="46B29182" w:rsidR="00420D58" w:rsidRPr="00446B0E" w:rsidRDefault="00C95EE9" w:rsidP="00AC7D6B">
      <w:pPr>
        <w:spacing w:line="240" w:lineRule="auto"/>
        <w:ind w:left="709" w:hanging="709"/>
        <w:jc w:val="both"/>
      </w:pPr>
      <w:r w:rsidRPr="00446B0E">
        <w:t>Tikhomirov, A.</w:t>
      </w:r>
      <w:r w:rsidR="00446B0E">
        <w:t xml:space="preserve"> </w:t>
      </w:r>
      <w:r w:rsidRPr="00446B0E">
        <w:t>I., &amp; Fomin, A.</w:t>
      </w:r>
      <w:r w:rsidR="00446B0E">
        <w:t xml:space="preserve"> </w:t>
      </w:r>
      <w:r w:rsidR="00420D58" w:rsidRPr="00446B0E">
        <w:t xml:space="preserve">A. </w:t>
      </w:r>
      <w:r w:rsidRPr="00446B0E">
        <w:t>(</w:t>
      </w:r>
      <w:r w:rsidR="00420D58" w:rsidRPr="00446B0E">
        <w:t>2018</w:t>
      </w:r>
      <w:r w:rsidRPr="00446B0E">
        <w:t>)</w:t>
      </w:r>
      <w:r w:rsidR="00420D58" w:rsidRPr="00446B0E">
        <w:t xml:space="preserve">. Macroeconomic factors in realizing export potential for animal production. </w:t>
      </w:r>
      <w:r w:rsidR="00420D58" w:rsidRPr="00DD3B91">
        <w:rPr>
          <w:i/>
        </w:rPr>
        <w:t>International Agricultural Journal</w:t>
      </w:r>
      <w:r w:rsidRPr="00DD3B91">
        <w:rPr>
          <w:i/>
        </w:rPr>
        <w:t>, 3,</w:t>
      </w:r>
      <w:r w:rsidR="00420D58" w:rsidRPr="00446B0E">
        <w:t xml:space="preserve"> 27-39.</w:t>
      </w:r>
    </w:p>
    <w:p w14:paraId="599BE579" w14:textId="19C0DF91" w:rsidR="00420D58" w:rsidRPr="00446B0E" w:rsidRDefault="00420D58" w:rsidP="00AC7D6B">
      <w:pPr>
        <w:spacing w:line="240" w:lineRule="auto"/>
        <w:ind w:left="709" w:hanging="709"/>
        <w:jc w:val="both"/>
      </w:pPr>
      <w:r w:rsidRPr="00446B0E">
        <w:t xml:space="preserve">Wang, S., Tang, Y., Du, Z., &amp; Song, M. </w:t>
      </w:r>
      <w:r w:rsidR="00193264" w:rsidRPr="00446B0E">
        <w:t>(</w:t>
      </w:r>
      <w:r w:rsidRPr="00446B0E">
        <w:t>2020</w:t>
      </w:r>
      <w:r w:rsidR="00193264" w:rsidRPr="00446B0E">
        <w:t>)</w:t>
      </w:r>
      <w:r w:rsidRPr="00446B0E">
        <w:t xml:space="preserve">. Export trade, embodied carbon emissions, and environmental pollution: </w:t>
      </w:r>
      <w:r w:rsidR="00DD3B91">
        <w:t>A</w:t>
      </w:r>
      <w:r w:rsidRPr="00446B0E">
        <w:t xml:space="preserve">n empirical analysis of China's high-and new-technology industries. </w:t>
      </w:r>
      <w:r w:rsidRPr="00DD3B91">
        <w:rPr>
          <w:i/>
        </w:rPr>
        <w:t>Journal of Environmental Management</w:t>
      </w:r>
      <w:r w:rsidR="00193264" w:rsidRPr="00DD3B91">
        <w:rPr>
          <w:i/>
        </w:rPr>
        <w:t>,</w:t>
      </w:r>
      <w:r w:rsidRPr="00DD3B91">
        <w:rPr>
          <w:i/>
        </w:rPr>
        <w:t xml:space="preserve"> 276</w:t>
      </w:r>
      <w:r w:rsidR="00193264" w:rsidRPr="00446B0E">
        <w:t>,</w:t>
      </w:r>
      <w:r w:rsidRPr="00446B0E">
        <w:t xml:space="preserve"> 111371.</w:t>
      </w:r>
    </w:p>
    <w:p w14:paraId="4CBF2D78" w14:textId="3AC3CD86" w:rsidR="00420D58" w:rsidRPr="00203AA4" w:rsidRDefault="00420D58" w:rsidP="00AC7D6B">
      <w:pPr>
        <w:spacing w:line="240" w:lineRule="auto"/>
        <w:ind w:left="709" w:hanging="709"/>
        <w:jc w:val="both"/>
      </w:pPr>
      <w:r w:rsidRPr="00446B0E">
        <w:t xml:space="preserve">Yang, X., &amp; Li, C. </w:t>
      </w:r>
      <w:r w:rsidR="00193264" w:rsidRPr="00446B0E">
        <w:t>(</w:t>
      </w:r>
      <w:r w:rsidRPr="00446B0E">
        <w:t>2019</w:t>
      </w:r>
      <w:r w:rsidR="00193264" w:rsidRPr="00446B0E">
        <w:t>)</w:t>
      </w:r>
      <w:r w:rsidRPr="00446B0E">
        <w:t xml:space="preserve">. Industrial environmental efficiency, foreign direct investment and export - </w:t>
      </w:r>
      <w:r w:rsidR="00D506B6">
        <w:t>E</w:t>
      </w:r>
      <w:r w:rsidRPr="00446B0E">
        <w:t xml:space="preserve">vidence from 30 provinces in China. </w:t>
      </w:r>
      <w:r w:rsidRPr="00446B0E">
        <w:rPr>
          <w:i/>
        </w:rPr>
        <w:t>Journal of Cleaner Production</w:t>
      </w:r>
      <w:r w:rsidR="00193264" w:rsidRPr="00446B0E">
        <w:rPr>
          <w:i/>
        </w:rPr>
        <w:t>,</w:t>
      </w:r>
      <w:r w:rsidR="00193264" w:rsidRPr="00446B0E">
        <w:t xml:space="preserve"> 212,</w:t>
      </w:r>
      <w:r w:rsidRPr="00446B0E">
        <w:t xml:space="preserve"> 1490-1498.</w:t>
      </w:r>
    </w:p>
    <w:p w14:paraId="2B3269E3" w14:textId="479BE5EC" w:rsidR="003F5631" w:rsidRDefault="003F5631" w:rsidP="00AC7D6B">
      <w:pPr>
        <w:pStyle w:val="BodyText"/>
        <w:spacing w:line="240" w:lineRule="auto"/>
      </w:pPr>
    </w:p>
    <w:sectPr w:rsidR="003F5631" w:rsidSect="00D42C8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45"/>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635A1" w14:textId="77777777" w:rsidR="00702F23" w:rsidRDefault="00702F23" w:rsidP="00E4433D">
      <w:pPr>
        <w:spacing w:line="240" w:lineRule="auto"/>
      </w:pPr>
      <w:r>
        <w:separator/>
      </w:r>
    </w:p>
  </w:endnote>
  <w:endnote w:type="continuationSeparator" w:id="0">
    <w:p w14:paraId="5F5AABBB" w14:textId="77777777" w:rsidR="00702F23" w:rsidRDefault="00702F23" w:rsidP="00E44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34737" w14:textId="77777777" w:rsidR="00D42C87" w:rsidRDefault="00D42C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A85C" w14:textId="77777777" w:rsidR="00D42C87" w:rsidRDefault="00D42C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A46AC" w14:textId="77777777" w:rsidR="00D42C87" w:rsidRDefault="00D42C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F5E5C" w14:textId="77777777" w:rsidR="00702F23" w:rsidRDefault="00702F23" w:rsidP="00E4433D">
      <w:pPr>
        <w:spacing w:line="240" w:lineRule="auto"/>
      </w:pPr>
      <w:r>
        <w:separator/>
      </w:r>
    </w:p>
  </w:footnote>
  <w:footnote w:type="continuationSeparator" w:id="0">
    <w:p w14:paraId="08BDE613" w14:textId="77777777" w:rsidR="00702F23" w:rsidRDefault="00702F23" w:rsidP="00E443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22402" w14:textId="77777777" w:rsidR="00D42C87" w:rsidRDefault="00D42C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F7977" w14:textId="0B011448" w:rsidR="00D42C87" w:rsidRPr="00D42C87" w:rsidRDefault="00D42C87" w:rsidP="00D42C87">
    <w:pPr>
      <w:tabs>
        <w:tab w:val="left" w:pos="720"/>
        <w:tab w:val="center" w:pos="4680"/>
        <w:tab w:val="right" w:pos="9360"/>
      </w:tabs>
      <w:spacing w:line="240" w:lineRule="auto"/>
      <w:ind w:left="2" w:hanging="2"/>
      <w:jc w:val="both"/>
      <w:rPr>
        <w:sz w:val="18"/>
        <w:szCs w:val="18"/>
        <w:lang w:val="en-US"/>
      </w:rPr>
    </w:pPr>
    <w:bookmarkStart w:id="0" w:name="_Hlk143544534"/>
    <w:r w:rsidRPr="00D42C87">
      <w:rPr>
        <w:sz w:val="18"/>
        <w:szCs w:val="18"/>
      </w:rPr>
      <w:t>Geografia-Malaysian Journal of Society and Space 20 issue 2 (</w:t>
    </w:r>
    <w:r>
      <w:rPr>
        <w:sz w:val="18"/>
        <w:szCs w:val="18"/>
      </w:rPr>
      <w:t>145-155</w:t>
    </w:r>
    <w:r w:rsidRPr="00D42C87">
      <w:rPr>
        <w:sz w:val="18"/>
        <w:szCs w:val="18"/>
      </w:rPr>
      <w:t>)</w:t>
    </w:r>
    <w:r w:rsidRPr="00D42C87">
      <w:rPr>
        <w:sz w:val="18"/>
        <w:szCs w:val="18"/>
      </w:rPr>
      <w:tab/>
    </w:r>
  </w:p>
  <w:p w14:paraId="4D581549" w14:textId="39FF0C11" w:rsidR="00D42C87" w:rsidRPr="00D42C87" w:rsidRDefault="00D42C87" w:rsidP="00D42C87">
    <w:pPr>
      <w:pStyle w:val="Header"/>
      <w:rPr>
        <w:sz w:val="18"/>
        <w:szCs w:val="18"/>
      </w:rPr>
    </w:pPr>
    <w:r w:rsidRPr="00D42C87">
      <w:rPr>
        <w:sz w:val="18"/>
        <w:szCs w:val="18"/>
      </w:rPr>
      <w:t xml:space="preserve">© 2024, e-ISSN 2682-7727 </w:t>
    </w:r>
    <w:bookmarkStart w:id="1" w:name="_GoBack"/>
    <w:bookmarkEnd w:id="0"/>
    <w:r w:rsidRPr="00A95A81">
      <w:rPr>
        <w:position w:val="-1"/>
        <w:sz w:val="18"/>
        <w:szCs w:val="18"/>
      </w:rPr>
      <w:fldChar w:fldCharType="begin"/>
    </w:r>
    <w:r w:rsidRPr="00A95A81">
      <w:rPr>
        <w:position w:val="-1"/>
        <w:sz w:val="18"/>
        <w:szCs w:val="18"/>
      </w:rPr>
      <w:instrText xml:space="preserve"> HYPERLINK "https://doi.org/10.17576/geo-2024-2002-09" </w:instrText>
    </w:r>
    <w:r w:rsidRPr="00A95A81">
      <w:rPr>
        <w:position w:val="-1"/>
        <w:sz w:val="18"/>
        <w:szCs w:val="18"/>
      </w:rPr>
    </w:r>
    <w:r w:rsidRPr="00A95A81">
      <w:rPr>
        <w:position w:val="-1"/>
        <w:sz w:val="18"/>
        <w:szCs w:val="18"/>
      </w:rPr>
      <w:fldChar w:fldCharType="separate"/>
    </w:r>
    <w:r w:rsidRPr="00A95A81">
      <w:rPr>
        <w:rStyle w:val="Hyperlink"/>
        <w:color w:val="auto"/>
        <w:position w:val="-1"/>
        <w:sz w:val="18"/>
        <w:szCs w:val="18"/>
        <w:u w:val="none"/>
      </w:rPr>
      <w:t>https://doi.org/10.17576/geo-2024-2002-09</w:t>
    </w:r>
    <w:r w:rsidRPr="00A95A81">
      <w:rPr>
        <w:position w:val="-1"/>
        <w:sz w:val="18"/>
        <w:szCs w:val="18"/>
      </w:rPr>
      <w:fldChar w:fldCharType="end"/>
    </w:r>
    <w:bookmarkEnd w:id="1"/>
    <w:sdt>
      <w:sdtPr>
        <w:rPr>
          <w:sz w:val="18"/>
          <w:szCs w:val="18"/>
        </w:rPr>
        <w:id w:val="-1795670417"/>
        <w:docPartObj>
          <w:docPartGallery w:val="Page Numbers (Top of Page)"/>
          <w:docPartUnique/>
        </w:docPartObj>
      </w:sdtPr>
      <w:sdtEndPr>
        <w:rPr>
          <w:noProof/>
        </w:rPr>
      </w:sdtEndPr>
      <w:sdtContent>
        <w:r>
          <w:rPr>
            <w:sz w:val="18"/>
            <w:szCs w:val="18"/>
          </w:rPr>
          <w:tab/>
        </w:r>
        <w:r w:rsidRPr="00D42C87">
          <w:rPr>
            <w:sz w:val="18"/>
            <w:szCs w:val="18"/>
          </w:rPr>
          <w:fldChar w:fldCharType="begin"/>
        </w:r>
        <w:r w:rsidRPr="00D42C87">
          <w:rPr>
            <w:sz w:val="18"/>
            <w:szCs w:val="18"/>
          </w:rPr>
          <w:instrText xml:space="preserve"> PAGE   \* MERGEFORMAT </w:instrText>
        </w:r>
        <w:r w:rsidRPr="00D42C87">
          <w:rPr>
            <w:sz w:val="18"/>
            <w:szCs w:val="18"/>
          </w:rPr>
          <w:fldChar w:fldCharType="separate"/>
        </w:r>
        <w:r w:rsidR="00A95A81">
          <w:rPr>
            <w:noProof/>
            <w:sz w:val="18"/>
            <w:szCs w:val="18"/>
          </w:rPr>
          <w:t>145</w:t>
        </w:r>
        <w:r w:rsidRPr="00D42C87">
          <w:rPr>
            <w:noProof/>
            <w:sz w:val="18"/>
            <w:szCs w:val="18"/>
          </w:rPr>
          <w:fldChar w:fldCharType="end"/>
        </w:r>
      </w:sdtContent>
    </w:sdt>
  </w:p>
  <w:p w14:paraId="103993CD" w14:textId="3CACD444" w:rsidR="00E4433D" w:rsidRPr="00D42C87" w:rsidRDefault="00E4433D" w:rsidP="00D42C87">
    <w:pPr>
      <w:tabs>
        <w:tab w:val="center" w:pos="4680"/>
        <w:tab w:val="right" w:pos="9360"/>
      </w:tabs>
      <w:spacing w:line="240" w:lineRule="auto"/>
      <w:ind w:hanging="2"/>
      <w:rPr>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412CE" w14:textId="77777777" w:rsidR="00D42C87" w:rsidRDefault="00D42C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C4"/>
    <w:rsid w:val="00010478"/>
    <w:rsid w:val="000148B7"/>
    <w:rsid w:val="00017299"/>
    <w:rsid w:val="00031A21"/>
    <w:rsid w:val="00041F76"/>
    <w:rsid w:val="00046E8B"/>
    <w:rsid w:val="000553B5"/>
    <w:rsid w:val="00064C01"/>
    <w:rsid w:val="000656C8"/>
    <w:rsid w:val="00072D12"/>
    <w:rsid w:val="00090357"/>
    <w:rsid w:val="00092615"/>
    <w:rsid w:val="000A12C9"/>
    <w:rsid w:val="000A40E3"/>
    <w:rsid w:val="000D5A45"/>
    <w:rsid w:val="000E6BB2"/>
    <w:rsid w:val="00103F46"/>
    <w:rsid w:val="001052EF"/>
    <w:rsid w:val="001223E9"/>
    <w:rsid w:val="0012506D"/>
    <w:rsid w:val="00126513"/>
    <w:rsid w:val="00140E7E"/>
    <w:rsid w:val="001461F7"/>
    <w:rsid w:val="001853E5"/>
    <w:rsid w:val="00193264"/>
    <w:rsid w:val="001A0B6F"/>
    <w:rsid w:val="001A6AFC"/>
    <w:rsid w:val="001B3E55"/>
    <w:rsid w:val="001C3B1B"/>
    <w:rsid w:val="001D3307"/>
    <w:rsid w:val="001D362C"/>
    <w:rsid w:val="001D7909"/>
    <w:rsid w:val="001E4AC5"/>
    <w:rsid w:val="001F1168"/>
    <w:rsid w:val="0020114B"/>
    <w:rsid w:val="00201D61"/>
    <w:rsid w:val="00201F34"/>
    <w:rsid w:val="00202544"/>
    <w:rsid w:val="00204800"/>
    <w:rsid w:val="00216F2B"/>
    <w:rsid w:val="00225379"/>
    <w:rsid w:val="00226B8E"/>
    <w:rsid w:val="00230788"/>
    <w:rsid w:val="00245E4A"/>
    <w:rsid w:val="00246FFF"/>
    <w:rsid w:val="0025196D"/>
    <w:rsid w:val="00257191"/>
    <w:rsid w:val="00270626"/>
    <w:rsid w:val="00270E8A"/>
    <w:rsid w:val="00271DF2"/>
    <w:rsid w:val="0027532F"/>
    <w:rsid w:val="002771F9"/>
    <w:rsid w:val="00282C9D"/>
    <w:rsid w:val="00285C1B"/>
    <w:rsid w:val="00287DF4"/>
    <w:rsid w:val="00294AF3"/>
    <w:rsid w:val="002A1D1B"/>
    <w:rsid w:val="002A364B"/>
    <w:rsid w:val="002A6726"/>
    <w:rsid w:val="002B5E21"/>
    <w:rsid w:val="002B6B19"/>
    <w:rsid w:val="002D0075"/>
    <w:rsid w:val="002D0245"/>
    <w:rsid w:val="002D0D59"/>
    <w:rsid w:val="002D109A"/>
    <w:rsid w:val="002D2164"/>
    <w:rsid w:val="002E3939"/>
    <w:rsid w:val="002E479A"/>
    <w:rsid w:val="002F056F"/>
    <w:rsid w:val="002F66EB"/>
    <w:rsid w:val="00302BD9"/>
    <w:rsid w:val="00307DF9"/>
    <w:rsid w:val="00310487"/>
    <w:rsid w:val="003328F1"/>
    <w:rsid w:val="0033298A"/>
    <w:rsid w:val="0033504D"/>
    <w:rsid w:val="003466D5"/>
    <w:rsid w:val="00363FE5"/>
    <w:rsid w:val="00364FDB"/>
    <w:rsid w:val="00373E79"/>
    <w:rsid w:val="00390A78"/>
    <w:rsid w:val="00396CFC"/>
    <w:rsid w:val="003A3F54"/>
    <w:rsid w:val="003A5F7E"/>
    <w:rsid w:val="003B4C80"/>
    <w:rsid w:val="003C55B3"/>
    <w:rsid w:val="003C65DB"/>
    <w:rsid w:val="003E6EF2"/>
    <w:rsid w:val="003E70D1"/>
    <w:rsid w:val="003F2756"/>
    <w:rsid w:val="003F5631"/>
    <w:rsid w:val="0040450C"/>
    <w:rsid w:val="00413D34"/>
    <w:rsid w:val="00420D58"/>
    <w:rsid w:val="004341DC"/>
    <w:rsid w:val="00436815"/>
    <w:rsid w:val="00445077"/>
    <w:rsid w:val="00446B0E"/>
    <w:rsid w:val="00447948"/>
    <w:rsid w:val="004535A4"/>
    <w:rsid w:val="0046178E"/>
    <w:rsid w:val="004669CE"/>
    <w:rsid w:val="00470EC4"/>
    <w:rsid w:val="00491191"/>
    <w:rsid w:val="00491F97"/>
    <w:rsid w:val="004A610E"/>
    <w:rsid w:val="004A631D"/>
    <w:rsid w:val="004C6D0B"/>
    <w:rsid w:val="004D39BA"/>
    <w:rsid w:val="004D6D65"/>
    <w:rsid w:val="004E1E2D"/>
    <w:rsid w:val="004E3698"/>
    <w:rsid w:val="004E3A9D"/>
    <w:rsid w:val="004F1FDD"/>
    <w:rsid w:val="004F7517"/>
    <w:rsid w:val="00506111"/>
    <w:rsid w:val="0051605D"/>
    <w:rsid w:val="0052340A"/>
    <w:rsid w:val="0053472C"/>
    <w:rsid w:val="00535FEF"/>
    <w:rsid w:val="00547E6B"/>
    <w:rsid w:val="00551EC2"/>
    <w:rsid w:val="005525E4"/>
    <w:rsid w:val="005549D2"/>
    <w:rsid w:val="0057065E"/>
    <w:rsid w:val="0057107D"/>
    <w:rsid w:val="0057549B"/>
    <w:rsid w:val="005857A5"/>
    <w:rsid w:val="00590526"/>
    <w:rsid w:val="005951B1"/>
    <w:rsid w:val="005B4297"/>
    <w:rsid w:val="005D05B5"/>
    <w:rsid w:val="005D3C7F"/>
    <w:rsid w:val="005E6074"/>
    <w:rsid w:val="005F587A"/>
    <w:rsid w:val="00613DB6"/>
    <w:rsid w:val="0063191A"/>
    <w:rsid w:val="006348C3"/>
    <w:rsid w:val="00634FE4"/>
    <w:rsid w:val="00642042"/>
    <w:rsid w:val="00665EE5"/>
    <w:rsid w:val="00670453"/>
    <w:rsid w:val="00684267"/>
    <w:rsid w:val="006903FC"/>
    <w:rsid w:val="006A36F4"/>
    <w:rsid w:val="006A5F58"/>
    <w:rsid w:val="006B73AE"/>
    <w:rsid w:val="006F74AD"/>
    <w:rsid w:val="006F7502"/>
    <w:rsid w:val="00702F23"/>
    <w:rsid w:val="00721323"/>
    <w:rsid w:val="00732479"/>
    <w:rsid w:val="007570D0"/>
    <w:rsid w:val="00765CDF"/>
    <w:rsid w:val="00787435"/>
    <w:rsid w:val="0079697D"/>
    <w:rsid w:val="007C745A"/>
    <w:rsid w:val="007D1ECE"/>
    <w:rsid w:val="007D3F4B"/>
    <w:rsid w:val="007D4A2C"/>
    <w:rsid w:val="007E13D9"/>
    <w:rsid w:val="007E15DD"/>
    <w:rsid w:val="007F13FD"/>
    <w:rsid w:val="007F3F36"/>
    <w:rsid w:val="007F58F3"/>
    <w:rsid w:val="007F59AF"/>
    <w:rsid w:val="00803009"/>
    <w:rsid w:val="0083206A"/>
    <w:rsid w:val="00833CB9"/>
    <w:rsid w:val="00835948"/>
    <w:rsid w:val="00843C29"/>
    <w:rsid w:val="00850971"/>
    <w:rsid w:val="00854C6D"/>
    <w:rsid w:val="00862AB3"/>
    <w:rsid w:val="0087023B"/>
    <w:rsid w:val="00890A0E"/>
    <w:rsid w:val="00891BC1"/>
    <w:rsid w:val="008A38CA"/>
    <w:rsid w:val="008A476A"/>
    <w:rsid w:val="008A5D1A"/>
    <w:rsid w:val="008A704B"/>
    <w:rsid w:val="008B3DDC"/>
    <w:rsid w:val="008C002F"/>
    <w:rsid w:val="008C371B"/>
    <w:rsid w:val="008E38BA"/>
    <w:rsid w:val="008E7BBB"/>
    <w:rsid w:val="00900714"/>
    <w:rsid w:val="00912BAA"/>
    <w:rsid w:val="00914391"/>
    <w:rsid w:val="00916648"/>
    <w:rsid w:val="00925E3E"/>
    <w:rsid w:val="009271BC"/>
    <w:rsid w:val="00942E04"/>
    <w:rsid w:val="009513AB"/>
    <w:rsid w:val="00953103"/>
    <w:rsid w:val="00954073"/>
    <w:rsid w:val="00955967"/>
    <w:rsid w:val="00955F8C"/>
    <w:rsid w:val="00956155"/>
    <w:rsid w:val="009710E0"/>
    <w:rsid w:val="0099197E"/>
    <w:rsid w:val="00995A09"/>
    <w:rsid w:val="009A1EEA"/>
    <w:rsid w:val="009A64F7"/>
    <w:rsid w:val="009F01DB"/>
    <w:rsid w:val="00A13ADB"/>
    <w:rsid w:val="00A23BC3"/>
    <w:rsid w:val="00A26E81"/>
    <w:rsid w:val="00A30579"/>
    <w:rsid w:val="00A32FC8"/>
    <w:rsid w:val="00A43C93"/>
    <w:rsid w:val="00A45AFE"/>
    <w:rsid w:val="00A55951"/>
    <w:rsid w:val="00A605A6"/>
    <w:rsid w:val="00A61616"/>
    <w:rsid w:val="00A63670"/>
    <w:rsid w:val="00A653B3"/>
    <w:rsid w:val="00A707B4"/>
    <w:rsid w:val="00A7171A"/>
    <w:rsid w:val="00A87FD8"/>
    <w:rsid w:val="00A92C44"/>
    <w:rsid w:val="00A95A81"/>
    <w:rsid w:val="00AA4573"/>
    <w:rsid w:val="00AB0780"/>
    <w:rsid w:val="00AC7D6B"/>
    <w:rsid w:val="00AD4866"/>
    <w:rsid w:val="00AD4EE3"/>
    <w:rsid w:val="00AF6B7E"/>
    <w:rsid w:val="00B0127E"/>
    <w:rsid w:val="00B04DA0"/>
    <w:rsid w:val="00B10920"/>
    <w:rsid w:val="00B13D8E"/>
    <w:rsid w:val="00B14E69"/>
    <w:rsid w:val="00B2591C"/>
    <w:rsid w:val="00B317C4"/>
    <w:rsid w:val="00B45F0B"/>
    <w:rsid w:val="00B616F8"/>
    <w:rsid w:val="00B631FC"/>
    <w:rsid w:val="00B848B9"/>
    <w:rsid w:val="00B84D80"/>
    <w:rsid w:val="00B933A7"/>
    <w:rsid w:val="00B96337"/>
    <w:rsid w:val="00B96592"/>
    <w:rsid w:val="00BA0E95"/>
    <w:rsid w:val="00BA202A"/>
    <w:rsid w:val="00BA3F06"/>
    <w:rsid w:val="00BA6868"/>
    <w:rsid w:val="00BD278F"/>
    <w:rsid w:val="00C01E49"/>
    <w:rsid w:val="00C208E3"/>
    <w:rsid w:val="00C277D0"/>
    <w:rsid w:val="00C4138F"/>
    <w:rsid w:val="00C440DA"/>
    <w:rsid w:val="00C55480"/>
    <w:rsid w:val="00C633E2"/>
    <w:rsid w:val="00C762EC"/>
    <w:rsid w:val="00C855E0"/>
    <w:rsid w:val="00C95BEA"/>
    <w:rsid w:val="00C95EE9"/>
    <w:rsid w:val="00CA6F5F"/>
    <w:rsid w:val="00CC1A84"/>
    <w:rsid w:val="00CC2C08"/>
    <w:rsid w:val="00CE27D6"/>
    <w:rsid w:val="00CE4AC9"/>
    <w:rsid w:val="00CF4C9E"/>
    <w:rsid w:val="00CF78FD"/>
    <w:rsid w:val="00D046CC"/>
    <w:rsid w:val="00D10E4B"/>
    <w:rsid w:val="00D17475"/>
    <w:rsid w:val="00D21BC5"/>
    <w:rsid w:val="00D26033"/>
    <w:rsid w:val="00D34918"/>
    <w:rsid w:val="00D42133"/>
    <w:rsid w:val="00D42C87"/>
    <w:rsid w:val="00D46B6A"/>
    <w:rsid w:val="00D506B6"/>
    <w:rsid w:val="00D57E04"/>
    <w:rsid w:val="00D62F26"/>
    <w:rsid w:val="00D67BA0"/>
    <w:rsid w:val="00D722EE"/>
    <w:rsid w:val="00D740B6"/>
    <w:rsid w:val="00D84546"/>
    <w:rsid w:val="00DD3B91"/>
    <w:rsid w:val="00E02619"/>
    <w:rsid w:val="00E05ADD"/>
    <w:rsid w:val="00E0780E"/>
    <w:rsid w:val="00E2392E"/>
    <w:rsid w:val="00E273DA"/>
    <w:rsid w:val="00E418BE"/>
    <w:rsid w:val="00E4433D"/>
    <w:rsid w:val="00E4793F"/>
    <w:rsid w:val="00E47F39"/>
    <w:rsid w:val="00E553FF"/>
    <w:rsid w:val="00E55FAD"/>
    <w:rsid w:val="00E620F6"/>
    <w:rsid w:val="00E80136"/>
    <w:rsid w:val="00E82DA8"/>
    <w:rsid w:val="00EA2973"/>
    <w:rsid w:val="00EA2A44"/>
    <w:rsid w:val="00EA2B27"/>
    <w:rsid w:val="00EB1733"/>
    <w:rsid w:val="00EC06FC"/>
    <w:rsid w:val="00EC1FAF"/>
    <w:rsid w:val="00ED03E0"/>
    <w:rsid w:val="00EE62E3"/>
    <w:rsid w:val="00EE7B21"/>
    <w:rsid w:val="00EF0A2C"/>
    <w:rsid w:val="00EF6AF1"/>
    <w:rsid w:val="00F07599"/>
    <w:rsid w:val="00F1486E"/>
    <w:rsid w:val="00F2352E"/>
    <w:rsid w:val="00F2564B"/>
    <w:rsid w:val="00F4649D"/>
    <w:rsid w:val="00F46BC8"/>
    <w:rsid w:val="00F478F1"/>
    <w:rsid w:val="00F55B7D"/>
    <w:rsid w:val="00F76780"/>
    <w:rsid w:val="00FC4A0A"/>
    <w:rsid w:val="00FC607F"/>
    <w:rsid w:val="00FD5F1A"/>
    <w:rsid w:val="00FE2F84"/>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6F10"/>
  <w15:chartTrackingRefBased/>
  <w15:docId w15:val="{E72CBAA3-B365-4341-81BC-AC2CAD32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06111"/>
    <w:pPr>
      <w:widowControl w:val="0"/>
      <w:autoSpaceDE w:val="0"/>
      <w:autoSpaceDN w:val="0"/>
      <w:spacing w:after="0" w:line="276" w:lineRule="auto"/>
    </w:pPr>
    <w:rPr>
      <w:rFonts w:ascii="Times New Roman" w:eastAsia="Times New Roman" w:hAnsi="Times New Roman" w:cs="Times New Roman"/>
      <w:sz w:val="24"/>
      <w:lang w:val="ms"/>
    </w:rPr>
  </w:style>
  <w:style w:type="paragraph" w:styleId="Heading2">
    <w:name w:val="heading 2"/>
    <w:basedOn w:val="Normal"/>
    <w:link w:val="Heading2Char"/>
    <w:uiPriority w:val="1"/>
    <w:qFormat/>
    <w:rsid w:val="003F5631"/>
    <w:pPr>
      <w:ind w:left="472"/>
      <w:jc w:val="cente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06111"/>
  </w:style>
  <w:style w:type="character" w:customStyle="1" w:styleId="BodyTextChar">
    <w:name w:val="Body Text Char"/>
    <w:basedOn w:val="DefaultParagraphFont"/>
    <w:link w:val="BodyText"/>
    <w:uiPriority w:val="1"/>
    <w:rsid w:val="00506111"/>
    <w:rPr>
      <w:rFonts w:ascii="Times New Roman" w:eastAsia="Times New Roman" w:hAnsi="Times New Roman" w:cs="Times New Roman"/>
      <w:sz w:val="24"/>
      <w:lang w:val="ms"/>
    </w:rPr>
  </w:style>
  <w:style w:type="table" w:styleId="TableGrid">
    <w:name w:val="Table Grid"/>
    <w:basedOn w:val="TableNormal"/>
    <w:uiPriority w:val="39"/>
    <w:rsid w:val="00A13AD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B1B"/>
    <w:rPr>
      <w:sz w:val="16"/>
      <w:szCs w:val="16"/>
    </w:rPr>
  </w:style>
  <w:style w:type="paragraph" w:styleId="CommentText">
    <w:name w:val="annotation text"/>
    <w:basedOn w:val="Normal"/>
    <w:link w:val="CommentTextChar"/>
    <w:uiPriority w:val="99"/>
    <w:unhideWhenUsed/>
    <w:rsid w:val="001C3B1B"/>
    <w:pPr>
      <w:spacing w:line="240" w:lineRule="auto"/>
    </w:pPr>
    <w:rPr>
      <w:sz w:val="20"/>
      <w:szCs w:val="20"/>
    </w:rPr>
  </w:style>
  <w:style w:type="character" w:customStyle="1" w:styleId="CommentTextChar">
    <w:name w:val="Comment Text Char"/>
    <w:basedOn w:val="DefaultParagraphFont"/>
    <w:link w:val="CommentText"/>
    <w:uiPriority w:val="99"/>
    <w:rsid w:val="001C3B1B"/>
    <w:rPr>
      <w:rFonts w:ascii="Times New Roman" w:eastAsia="Times New Roman" w:hAnsi="Times New Roman" w:cs="Times New Roman"/>
      <w:sz w:val="20"/>
      <w:szCs w:val="20"/>
      <w:lang w:val="ms"/>
    </w:rPr>
  </w:style>
  <w:style w:type="paragraph" w:styleId="CommentSubject">
    <w:name w:val="annotation subject"/>
    <w:basedOn w:val="CommentText"/>
    <w:next w:val="CommentText"/>
    <w:link w:val="CommentSubjectChar"/>
    <w:uiPriority w:val="99"/>
    <w:semiHidden/>
    <w:unhideWhenUsed/>
    <w:rsid w:val="001C3B1B"/>
    <w:rPr>
      <w:b/>
      <w:bCs/>
    </w:rPr>
  </w:style>
  <w:style w:type="character" w:customStyle="1" w:styleId="CommentSubjectChar">
    <w:name w:val="Comment Subject Char"/>
    <w:basedOn w:val="CommentTextChar"/>
    <w:link w:val="CommentSubject"/>
    <w:uiPriority w:val="99"/>
    <w:semiHidden/>
    <w:rsid w:val="001C3B1B"/>
    <w:rPr>
      <w:rFonts w:ascii="Times New Roman" w:eastAsia="Times New Roman" w:hAnsi="Times New Roman" w:cs="Times New Roman"/>
      <w:b/>
      <w:bCs/>
      <w:sz w:val="20"/>
      <w:szCs w:val="20"/>
      <w:lang w:val="ms"/>
    </w:rPr>
  </w:style>
  <w:style w:type="paragraph" w:styleId="BalloonText">
    <w:name w:val="Balloon Text"/>
    <w:basedOn w:val="Normal"/>
    <w:link w:val="BalloonTextChar"/>
    <w:uiPriority w:val="99"/>
    <w:semiHidden/>
    <w:unhideWhenUsed/>
    <w:rsid w:val="001C3B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B1B"/>
    <w:rPr>
      <w:rFonts w:ascii="Segoe UI" w:eastAsia="Times New Roman" w:hAnsi="Segoe UI" w:cs="Segoe UI"/>
      <w:sz w:val="18"/>
      <w:szCs w:val="18"/>
      <w:lang w:val="ms"/>
    </w:rPr>
  </w:style>
  <w:style w:type="character" w:customStyle="1" w:styleId="Heading2Char">
    <w:name w:val="Heading 2 Char"/>
    <w:basedOn w:val="DefaultParagraphFont"/>
    <w:link w:val="Heading2"/>
    <w:uiPriority w:val="1"/>
    <w:rsid w:val="003F5631"/>
    <w:rPr>
      <w:rFonts w:ascii="Times New Roman" w:eastAsia="Times New Roman" w:hAnsi="Times New Roman" w:cs="Times New Roman"/>
      <w:sz w:val="28"/>
      <w:szCs w:val="28"/>
      <w:lang w:val="ms"/>
    </w:rPr>
  </w:style>
  <w:style w:type="character" w:styleId="PlaceholderText">
    <w:name w:val="Placeholder Text"/>
    <w:basedOn w:val="DefaultParagraphFont"/>
    <w:uiPriority w:val="99"/>
    <w:semiHidden/>
    <w:rsid w:val="00363FE5"/>
    <w:rPr>
      <w:color w:val="808080"/>
    </w:rPr>
  </w:style>
  <w:style w:type="character" w:styleId="Hyperlink">
    <w:name w:val="Hyperlink"/>
    <w:basedOn w:val="DefaultParagraphFont"/>
    <w:uiPriority w:val="99"/>
    <w:unhideWhenUsed/>
    <w:rsid w:val="00413D34"/>
    <w:rPr>
      <w:color w:val="0563C1" w:themeColor="hyperlink"/>
      <w:u w:val="single"/>
    </w:rPr>
  </w:style>
  <w:style w:type="paragraph" w:styleId="Revision">
    <w:name w:val="Revision"/>
    <w:hidden/>
    <w:uiPriority w:val="99"/>
    <w:semiHidden/>
    <w:rsid w:val="00EF6AF1"/>
    <w:pPr>
      <w:spacing w:after="0" w:line="240" w:lineRule="auto"/>
    </w:pPr>
    <w:rPr>
      <w:rFonts w:ascii="Times New Roman" w:eastAsia="Times New Roman" w:hAnsi="Times New Roman" w:cs="Times New Roman"/>
      <w:sz w:val="24"/>
      <w:lang w:val="ms"/>
    </w:rPr>
  </w:style>
  <w:style w:type="character" w:customStyle="1" w:styleId="UnresolvedMention">
    <w:name w:val="Unresolved Mention"/>
    <w:basedOn w:val="DefaultParagraphFont"/>
    <w:uiPriority w:val="99"/>
    <w:semiHidden/>
    <w:unhideWhenUsed/>
    <w:rsid w:val="000A12C9"/>
    <w:rPr>
      <w:color w:val="605E5C"/>
      <w:shd w:val="clear" w:color="auto" w:fill="E1DFDD"/>
    </w:rPr>
  </w:style>
  <w:style w:type="paragraph" w:styleId="Header">
    <w:name w:val="header"/>
    <w:basedOn w:val="Normal"/>
    <w:link w:val="HeaderChar"/>
    <w:uiPriority w:val="99"/>
    <w:unhideWhenUsed/>
    <w:rsid w:val="00E4433D"/>
    <w:pPr>
      <w:tabs>
        <w:tab w:val="center" w:pos="4513"/>
        <w:tab w:val="right" w:pos="9026"/>
      </w:tabs>
      <w:spacing w:line="240" w:lineRule="auto"/>
    </w:pPr>
  </w:style>
  <w:style w:type="character" w:customStyle="1" w:styleId="HeaderChar">
    <w:name w:val="Header Char"/>
    <w:basedOn w:val="DefaultParagraphFont"/>
    <w:link w:val="Header"/>
    <w:uiPriority w:val="99"/>
    <w:rsid w:val="00E4433D"/>
    <w:rPr>
      <w:rFonts w:ascii="Times New Roman" w:eastAsia="Times New Roman" w:hAnsi="Times New Roman" w:cs="Times New Roman"/>
      <w:sz w:val="24"/>
      <w:lang w:val="ms"/>
    </w:rPr>
  </w:style>
  <w:style w:type="paragraph" w:styleId="Footer">
    <w:name w:val="footer"/>
    <w:basedOn w:val="Normal"/>
    <w:link w:val="FooterChar"/>
    <w:uiPriority w:val="99"/>
    <w:unhideWhenUsed/>
    <w:rsid w:val="00E4433D"/>
    <w:pPr>
      <w:tabs>
        <w:tab w:val="center" w:pos="4513"/>
        <w:tab w:val="right" w:pos="9026"/>
      </w:tabs>
      <w:spacing w:line="240" w:lineRule="auto"/>
    </w:pPr>
  </w:style>
  <w:style w:type="character" w:customStyle="1" w:styleId="FooterChar">
    <w:name w:val="Footer Char"/>
    <w:basedOn w:val="DefaultParagraphFont"/>
    <w:link w:val="Footer"/>
    <w:uiPriority w:val="99"/>
    <w:rsid w:val="00E4433D"/>
    <w:rPr>
      <w:rFonts w:ascii="Times New Roman" w:eastAsia="Times New Roman" w:hAnsi="Times New Roman" w:cs="Times New Roman"/>
      <w:sz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73781">
      <w:bodyDiv w:val="1"/>
      <w:marLeft w:val="0"/>
      <w:marRight w:val="0"/>
      <w:marTop w:val="0"/>
      <w:marBottom w:val="0"/>
      <w:divBdr>
        <w:top w:val="none" w:sz="0" w:space="0" w:color="auto"/>
        <w:left w:val="none" w:sz="0" w:space="0" w:color="auto"/>
        <w:bottom w:val="none" w:sz="0" w:space="0" w:color="auto"/>
        <w:right w:val="none" w:sz="0" w:space="0" w:color="auto"/>
      </w:divBdr>
      <w:divsChild>
        <w:div w:id="1172406074">
          <w:marLeft w:val="0"/>
          <w:marRight w:val="0"/>
          <w:marTop w:val="0"/>
          <w:marBottom w:val="0"/>
          <w:divBdr>
            <w:top w:val="none" w:sz="0" w:space="0" w:color="auto"/>
            <w:left w:val="none" w:sz="0" w:space="0" w:color="auto"/>
            <w:bottom w:val="none" w:sz="0" w:space="0" w:color="auto"/>
            <w:right w:val="none" w:sz="0" w:space="0" w:color="auto"/>
          </w:divBdr>
        </w:div>
      </w:divsChild>
    </w:div>
    <w:div w:id="40726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B2F7E-8945-4E48-B902-DB4BD59F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5914</Words>
  <Characters>33716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imna</dc:creator>
  <cp:keywords/>
  <dc:description/>
  <cp:lastModifiedBy>ADMIN</cp:lastModifiedBy>
  <cp:revision>3</cp:revision>
  <dcterms:created xsi:type="dcterms:W3CDTF">2024-05-30T09:38:00Z</dcterms:created>
  <dcterms:modified xsi:type="dcterms:W3CDTF">2024-05-30T09:38:00Z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422259b44ddf0f71b9f00a7c383ca00799ed911e9a67ee4a829cbcfc0aec7152</vt:lpwstr>
  </property>
</Properties>
</file>