
<file path=[Content_Types].xml><?xml version="1.0" encoding="utf-8"?>
<Types xmlns="http://schemas.openxmlformats.org/package/2006/content-types">
  <Default Extension="png" ContentType="image/png"/>
  <Default Extension="jpeg" ContentType="image/jpe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305C3D" w14:textId="77777777" w:rsidR="00B027A9" w:rsidRDefault="00AE2895">
      <w:pPr>
        <w:spacing w:after="0" w:line="240" w:lineRule="auto"/>
        <w:ind w:leftChars="0" w:left="0" w:firstLineChars="0" w:firstLine="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Analisis trend suhu jangka masa panjang dan hubungannya dengan perkembangan kawasan bandar di Pulau Pinang</w:t>
      </w:r>
    </w:p>
    <w:p w14:paraId="744F7084" w14:textId="77777777" w:rsidR="00B027A9" w:rsidRDefault="00B027A9">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p>
    <w:p w14:paraId="269C686C" w14:textId="77777777" w:rsidR="00B027A9" w:rsidRDefault="00AE2895">
      <w:pPr>
        <w:pBdr>
          <w:top w:val="nil"/>
          <w:left w:val="nil"/>
          <w:bottom w:val="nil"/>
          <w:right w:val="nil"/>
          <w:between w:val="nil"/>
        </w:pBdr>
        <w:spacing w:after="0" w:line="240" w:lineRule="auto"/>
        <w:ind w:left="0" w:hanging="2"/>
        <w:jc w:val="center"/>
        <w:rPr>
          <w:rFonts w:ascii="Times New Roman" w:eastAsia="Times New Roman" w:hAnsi="Times New Roman" w:cs="Times New Roman"/>
          <w:vertAlign w:val="superscript"/>
        </w:rPr>
      </w:pPr>
      <w:r>
        <w:rPr>
          <w:rFonts w:ascii="Times New Roman" w:eastAsia="Times New Roman" w:hAnsi="Times New Roman" w:cs="Times New Roman"/>
        </w:rPr>
        <w:t>Tharshini Murthy</w:t>
      </w:r>
      <w:r>
        <w:rPr>
          <w:rFonts w:ascii="Times New Roman" w:eastAsia="Times New Roman" w:hAnsi="Times New Roman" w:cs="Times New Roman"/>
          <w:vertAlign w:val="superscript"/>
        </w:rPr>
        <w:t>1</w:t>
      </w:r>
      <w:r>
        <w:rPr>
          <w:rFonts w:ascii="Times New Roman" w:eastAsia="Times New Roman" w:hAnsi="Times New Roman" w:cs="Times New Roman"/>
        </w:rPr>
        <w:t>, Izham Mohamad Yusoff</w:t>
      </w:r>
      <w:r>
        <w:rPr>
          <w:rFonts w:ascii="Times New Roman" w:eastAsia="Times New Roman" w:hAnsi="Times New Roman" w:cs="Times New Roman"/>
          <w:vertAlign w:val="superscript"/>
        </w:rPr>
        <w:t>1</w:t>
      </w:r>
      <w:r>
        <w:rPr>
          <w:rFonts w:ascii="Times New Roman" w:eastAsia="Times New Roman" w:hAnsi="Times New Roman" w:cs="Times New Roman"/>
        </w:rPr>
        <w:t>, Nik Norliati Fitri Md Nor</w:t>
      </w:r>
      <w:r>
        <w:rPr>
          <w:rFonts w:ascii="Times New Roman" w:eastAsia="Times New Roman" w:hAnsi="Times New Roman" w:cs="Times New Roman"/>
          <w:vertAlign w:val="superscript"/>
        </w:rPr>
        <w:t>1</w:t>
      </w:r>
      <w:r>
        <w:rPr>
          <w:rFonts w:ascii="Times New Roman" w:eastAsia="Times New Roman" w:hAnsi="Times New Roman" w:cs="Times New Roman"/>
        </w:rPr>
        <w:t>, Siti Masayu Rosliah Abdul Rashid</w:t>
      </w:r>
      <w:r>
        <w:rPr>
          <w:rFonts w:ascii="Times New Roman" w:eastAsia="Times New Roman" w:hAnsi="Times New Roman" w:cs="Times New Roman"/>
          <w:vertAlign w:val="superscript"/>
        </w:rPr>
        <w:t>1</w:t>
      </w:r>
      <w:r>
        <w:rPr>
          <w:rFonts w:ascii="Times New Roman" w:eastAsia="Times New Roman" w:hAnsi="Times New Roman" w:cs="Times New Roman"/>
        </w:rPr>
        <w:t>, Ismail Ahmad Abir</w:t>
      </w:r>
      <w:r>
        <w:rPr>
          <w:rFonts w:ascii="Times New Roman" w:eastAsia="Times New Roman" w:hAnsi="Times New Roman" w:cs="Times New Roman"/>
          <w:vertAlign w:val="superscript"/>
        </w:rPr>
        <w:t>2</w:t>
      </w:r>
    </w:p>
    <w:p w14:paraId="595EC36F" w14:textId="77777777" w:rsidR="00B027A9" w:rsidRDefault="00B027A9">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p>
    <w:p w14:paraId="237C6F1D" w14:textId="77777777" w:rsidR="00B027A9" w:rsidRDefault="00AE289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vertAlign w:val="superscript"/>
        </w:rPr>
        <w:t>1</w:t>
      </w:r>
      <w:r>
        <w:rPr>
          <w:rFonts w:ascii="Times New Roman" w:eastAsia="Times New Roman" w:hAnsi="Times New Roman" w:cs="Times New Roman"/>
          <w:color w:val="000000"/>
        </w:rPr>
        <w:t>Pusat Pengajian Pendidikan Jarak Jauh, Universiti Sains Malaysia, Penang, Malaysia.</w:t>
      </w:r>
    </w:p>
    <w:p w14:paraId="77BF73B0" w14:textId="77777777" w:rsidR="00B027A9" w:rsidRDefault="00AE289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vertAlign w:val="superscript"/>
        </w:rPr>
        <w:t>2</w:t>
      </w:r>
      <w:r>
        <w:rPr>
          <w:rFonts w:ascii="Times New Roman" w:eastAsia="Times New Roman" w:hAnsi="Times New Roman" w:cs="Times New Roman"/>
          <w:color w:val="000000"/>
        </w:rPr>
        <w:t>Pusat Pengajian Sains Fizik, Universiti Sains Malaysia, Penang, Malaysia.</w:t>
      </w:r>
    </w:p>
    <w:p w14:paraId="06C62412" w14:textId="77777777" w:rsidR="00B027A9" w:rsidRDefault="00B027A9">
      <w:pPr>
        <w:pBdr>
          <w:top w:val="nil"/>
          <w:left w:val="nil"/>
          <w:bottom w:val="nil"/>
          <w:right w:val="nil"/>
          <w:between w:val="nil"/>
        </w:pBdr>
        <w:spacing w:after="0" w:line="240" w:lineRule="auto"/>
        <w:ind w:leftChars="0" w:left="0" w:firstLineChars="0" w:firstLine="0"/>
        <w:rPr>
          <w:rFonts w:ascii="Times New Roman" w:eastAsia="Times New Roman" w:hAnsi="Times New Roman" w:cs="Times New Roman"/>
          <w:color w:val="000000"/>
        </w:rPr>
      </w:pPr>
    </w:p>
    <w:p w14:paraId="7A628733" w14:textId="77777777" w:rsidR="00B027A9" w:rsidRDefault="00AE2895">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Correspondence: Izham Mohamad Yusoff (email: </w:t>
      </w:r>
      <w:r>
        <w:rPr>
          <w:rFonts w:ascii="Times New Roman" w:eastAsia="Times New Roman" w:hAnsi="Times New Roman" w:cs="Times New Roman"/>
        </w:rPr>
        <w:t>izham@usm.my</w:t>
      </w:r>
      <w:r w:rsidRPr="0024368E">
        <w:rPr>
          <w:rFonts w:ascii="Times New Roman" w:eastAsia="Times New Roman" w:hAnsi="Times New Roman" w:cs="Times New Roman"/>
          <w:iCs/>
          <w:color w:val="000000"/>
        </w:rPr>
        <w:t>)</w:t>
      </w:r>
    </w:p>
    <w:p w14:paraId="30E9A65D" w14:textId="77777777" w:rsidR="00B027A9" w:rsidRDefault="00B027A9">
      <w:pPr>
        <w:pBdr>
          <w:top w:val="nil"/>
          <w:left w:val="nil"/>
          <w:bottom w:val="nil"/>
          <w:right w:val="nil"/>
          <w:between w:val="nil"/>
        </w:pBdr>
        <w:spacing w:after="0" w:line="240" w:lineRule="auto"/>
        <w:ind w:left="0" w:hanging="2"/>
        <w:jc w:val="center"/>
        <w:rPr>
          <w:rFonts w:ascii="Times New Roman" w:eastAsia="Times New Roman" w:hAnsi="Times New Roman" w:cs="Times New Roman"/>
        </w:rPr>
      </w:pPr>
    </w:p>
    <w:p w14:paraId="0EA01AED" w14:textId="77777777" w:rsidR="00B027A9" w:rsidRDefault="00AE2895">
      <w:pPr>
        <w:spacing w:after="0" w:line="240" w:lineRule="auto"/>
        <w:ind w:leftChars="0" w:left="0" w:firstLineChars="0" w:hanging="2"/>
        <w:jc w:val="both"/>
        <w:rPr>
          <w:rFonts w:ascii="Times New Roman" w:eastAsia="Times New Roman" w:hAnsi="Times New Roman" w:cs="Times New Roman"/>
          <w:color w:val="000000"/>
          <w:lang w:val="ms-MY"/>
        </w:rPr>
      </w:pPr>
      <w:r>
        <w:rPr>
          <w:rFonts w:ascii="Times New Roman" w:eastAsia="Times New Roman" w:hAnsi="Times New Roman" w:cs="Times New Roman"/>
          <w:lang w:val="ms-MY"/>
        </w:rPr>
        <w:t>Received: 17 June 2023</w:t>
      </w:r>
      <w:r>
        <w:rPr>
          <w:rFonts w:ascii="Times New Roman" w:eastAsia="Times New Roman" w:hAnsi="Times New Roman" w:cs="Times New Roman"/>
          <w:lang w:val="en-GB"/>
        </w:rPr>
        <w:t xml:space="preserve">; Accepted: 22 September 2023; Published: </w:t>
      </w:r>
      <w:r>
        <w:rPr>
          <w:rFonts w:ascii="Times New Roman" w:eastAsia="Times New Roman" w:hAnsi="Times New Roman" w:cs="Times New Roman"/>
        </w:rPr>
        <w:t>30 November 2023</w:t>
      </w:r>
    </w:p>
    <w:p w14:paraId="2F35A11C" w14:textId="77777777" w:rsidR="00B027A9" w:rsidRDefault="00B027A9">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p w14:paraId="37726CB0" w14:textId="77777777" w:rsidR="00B027A9" w:rsidRDefault="00AE2895">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 </w:t>
      </w:r>
    </w:p>
    <w:p w14:paraId="3BC07AA6" w14:textId="77777777" w:rsidR="00B027A9" w:rsidRDefault="00AE2895">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b/>
          <w:position w:val="0"/>
          <w:sz w:val="24"/>
          <w:szCs w:val="24"/>
        </w:rPr>
      </w:pPr>
      <w:r>
        <w:rPr>
          <w:rFonts w:ascii="Times New Roman" w:hAnsi="Times New Roman" w:cs="Times New Roman"/>
          <w:b/>
          <w:position w:val="0"/>
          <w:sz w:val="24"/>
          <w:szCs w:val="24"/>
        </w:rPr>
        <w:t xml:space="preserve">Abstrak </w:t>
      </w:r>
    </w:p>
    <w:p w14:paraId="622DFC8F" w14:textId="77777777" w:rsidR="00B027A9" w:rsidRDefault="00B027A9">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b/>
          <w:position w:val="0"/>
          <w:sz w:val="24"/>
          <w:szCs w:val="24"/>
        </w:rPr>
      </w:pPr>
    </w:p>
    <w:p w14:paraId="193ED404" w14:textId="040C7752" w:rsidR="00B027A9" w:rsidRDefault="00AE2895">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4"/>
          <w:szCs w:val="24"/>
        </w:rPr>
      </w:pPr>
      <w:r>
        <w:rPr>
          <w:rFonts w:ascii="Times New Roman" w:hAnsi="Times New Roman" w:cs="Times New Roman"/>
          <w:position w:val="0"/>
          <w:sz w:val="24"/>
          <w:szCs w:val="24"/>
        </w:rPr>
        <w:t xml:space="preserve">Kawasan bandar memainkan peranan penting dalam perubahan trend suhu jangka masa panjang. Terdapat banyak kajian yang dijalankan di seluruh dunia berkaitan hubungan antara perubahan guna tanah dengan peningkatan suhu permukaan. Kajian ini juga bertujuan untuk mengenalpasti hubungan antara perkembangan bandar dan trend suhu jangka masa panjang di bahagian pulau, Pulau Pinang dengan menggunakan peta guna tanah digital yang diperolehi daripada Jabatan Pertanian Malaysia. Dalam kajian ini, perkembangan bandar Pulau Pinang dari tahun 1966 hingga 2015 telah dianalisis. </w:t>
      </w:r>
      <w:r w:rsidR="00A36514">
        <w:rPr>
          <w:rFonts w:ascii="Times New Roman" w:hAnsi="Times New Roman" w:cs="Times New Roman"/>
          <w:position w:val="0"/>
          <w:sz w:val="24"/>
          <w:szCs w:val="24"/>
        </w:rPr>
        <w:t>T</w:t>
      </w:r>
      <w:r>
        <w:rPr>
          <w:rFonts w:ascii="Times New Roman" w:hAnsi="Times New Roman" w:cs="Times New Roman"/>
          <w:position w:val="0"/>
          <w:sz w:val="24"/>
          <w:szCs w:val="24"/>
        </w:rPr>
        <w:t xml:space="preserve">rend suhu jangka masa panjang juga dianalisis dengan menggunakan kaedah Mann-Kendall dan Sen's Slope. Imej satelit juga digunakan dalam analisis suhu sebagai sumber tambahan bagi menyokong hasil kajian. Akhirnya, hubungan antara perkembangan bandar dan juga suhu telah dikenal pasti dengan menggunakan analisis korelasi. Hasil kajian ini menunjukkan bahawa bahagian pulau, negeri Pulau Pinang telah mengalami proses urbanisasi yang pesat sejak dari tahun 1966 hingga 2015, di mana kadar bagi keseluruhan perkembangan bandar adalah 134.22%. </w:t>
      </w:r>
      <w:r w:rsidR="00A36514">
        <w:rPr>
          <w:rFonts w:ascii="Times New Roman" w:hAnsi="Times New Roman" w:cs="Times New Roman"/>
          <w:position w:val="0"/>
          <w:sz w:val="24"/>
          <w:szCs w:val="24"/>
        </w:rPr>
        <w:t>I</w:t>
      </w:r>
      <w:r>
        <w:rPr>
          <w:rFonts w:ascii="Times New Roman" w:hAnsi="Times New Roman" w:cs="Times New Roman"/>
          <w:position w:val="0"/>
          <w:sz w:val="24"/>
          <w:szCs w:val="24"/>
        </w:rPr>
        <w:t>ndeks suhu (Tmin, Tmax, dan Tmean) menunjukkan trend meningkat yang ketara pada kadar 0.19 ℃/dekad, 1.2 ℃/dekad dan 0.3 ℃/dekad. Tmin dan Tmean pula mempunyai korelasi yang signifikan dan kuat terhadap perkembangan kawasan bandar. Imej satelit yang dianalisis juga menunjukkan catatan suhu tinggi pada kawasan bandar. Hal ini menunjukkan bahawa terdapat hubungan yang kuat antara perkembangan bandar dengan kenaikan suhu di bahagian pulau, negeri Pulau Pinang. Namun, terdapat juga faktor lain yang mengakibatkan catatan suhu yang tinggi. Hal ini kerana, pada tahun 2008 hingga 2015 suhu tetap meningkat walaupun pembangunan semakin menurun. Oleh itu, dapat dikatakan bahawa terdapat juga faktor lain yang menyumbang kepada peningkatan suhu di bahagian pulau seperti perubahan iklim dunia.</w:t>
      </w:r>
    </w:p>
    <w:p w14:paraId="1A585DAB" w14:textId="77777777" w:rsidR="00B027A9" w:rsidRDefault="00B027A9">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4"/>
          <w:szCs w:val="24"/>
        </w:rPr>
      </w:pPr>
    </w:p>
    <w:p w14:paraId="4B0E3626" w14:textId="77777777" w:rsidR="00B027A9" w:rsidRDefault="00AE2895">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4"/>
          <w:szCs w:val="24"/>
        </w:rPr>
      </w:pPr>
      <w:r>
        <w:rPr>
          <w:rFonts w:ascii="Times New Roman" w:hAnsi="Times New Roman" w:cs="Times New Roman"/>
          <w:b/>
          <w:bCs/>
          <w:position w:val="0"/>
          <w:sz w:val="24"/>
          <w:szCs w:val="24"/>
        </w:rPr>
        <w:t>Kata kunci:</w:t>
      </w:r>
      <w:r>
        <w:rPr>
          <w:rFonts w:ascii="Times New Roman" w:hAnsi="Times New Roman" w:cs="Times New Roman"/>
          <w:position w:val="0"/>
          <w:sz w:val="24"/>
          <w:szCs w:val="24"/>
        </w:rPr>
        <w:t xml:space="preserve"> Perkembangan bandar, Pulau Pinang, satelit, suhu jangka masa panjang</w:t>
      </w:r>
    </w:p>
    <w:p w14:paraId="7B401F27" w14:textId="77777777" w:rsidR="00B027A9" w:rsidRDefault="00B027A9">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4"/>
          <w:szCs w:val="24"/>
        </w:rPr>
      </w:pPr>
    </w:p>
    <w:p w14:paraId="65F802B8" w14:textId="77777777" w:rsidR="00B027A9" w:rsidRDefault="00B027A9">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4"/>
          <w:szCs w:val="24"/>
        </w:rPr>
      </w:pPr>
    </w:p>
    <w:p w14:paraId="768D27E1" w14:textId="77777777" w:rsidR="00B027A9" w:rsidRDefault="00B027A9">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4"/>
          <w:szCs w:val="24"/>
        </w:rPr>
      </w:pPr>
    </w:p>
    <w:p w14:paraId="203FD72E" w14:textId="77777777" w:rsidR="00B027A9" w:rsidRDefault="00B027A9">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4"/>
          <w:szCs w:val="24"/>
        </w:rPr>
      </w:pPr>
    </w:p>
    <w:p w14:paraId="4C2EBDAD" w14:textId="77777777" w:rsidR="00B027A9" w:rsidRDefault="00B027A9">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4"/>
          <w:szCs w:val="24"/>
        </w:rPr>
      </w:pPr>
    </w:p>
    <w:p w14:paraId="382F7801" w14:textId="77777777" w:rsidR="00B027A9" w:rsidRDefault="00B027A9">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4"/>
          <w:szCs w:val="24"/>
        </w:rPr>
      </w:pPr>
    </w:p>
    <w:p w14:paraId="101B9642" w14:textId="77777777" w:rsidR="00B027A9" w:rsidRDefault="00B027A9">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4"/>
          <w:szCs w:val="24"/>
        </w:rPr>
      </w:pPr>
    </w:p>
    <w:p w14:paraId="0D6017EE" w14:textId="51800823" w:rsidR="00B027A9" w:rsidRDefault="00AE2895">
      <w:pPr>
        <w:spacing w:after="0" w:line="240" w:lineRule="auto"/>
        <w:ind w:leftChars="0" w:left="0" w:firstLineChars="0" w:firstLine="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Analysis of </w:t>
      </w:r>
      <w:r w:rsidR="0024368E">
        <w:rPr>
          <w:rFonts w:ascii="Times New Roman" w:eastAsia="Times New Roman" w:hAnsi="Times New Roman" w:cs="Times New Roman"/>
          <w:b/>
          <w:sz w:val="28"/>
          <w:szCs w:val="28"/>
        </w:rPr>
        <w:t>long-term temperature trend and its relationship with urban expansion</w:t>
      </w:r>
      <w:r>
        <w:rPr>
          <w:rFonts w:ascii="Times New Roman" w:eastAsia="Times New Roman" w:hAnsi="Times New Roman" w:cs="Times New Roman"/>
          <w:b/>
          <w:sz w:val="28"/>
          <w:szCs w:val="28"/>
        </w:rPr>
        <w:t xml:space="preserve"> </w:t>
      </w:r>
      <w:r w:rsidR="0024368E">
        <w:rPr>
          <w:rFonts w:ascii="Times New Roman" w:eastAsia="Times New Roman" w:hAnsi="Times New Roman" w:cs="Times New Roman"/>
          <w:b/>
          <w:sz w:val="28"/>
          <w:szCs w:val="28"/>
        </w:rPr>
        <w:t>i</w:t>
      </w:r>
      <w:r>
        <w:rPr>
          <w:rFonts w:ascii="Times New Roman" w:eastAsia="Times New Roman" w:hAnsi="Times New Roman" w:cs="Times New Roman"/>
          <w:b/>
          <w:sz w:val="28"/>
          <w:szCs w:val="28"/>
        </w:rPr>
        <w:t>n Penang Island</w:t>
      </w:r>
    </w:p>
    <w:p w14:paraId="3A82B08C" w14:textId="77777777" w:rsidR="00B027A9" w:rsidRDefault="00B027A9">
      <w:pPr>
        <w:spacing w:after="0" w:line="240" w:lineRule="auto"/>
        <w:ind w:leftChars="0" w:left="0" w:firstLineChars="0" w:firstLine="0"/>
        <w:jc w:val="center"/>
        <w:rPr>
          <w:rFonts w:ascii="Times New Roman" w:eastAsia="Times New Roman" w:hAnsi="Times New Roman" w:cs="Times New Roman"/>
          <w:b/>
          <w:sz w:val="28"/>
          <w:szCs w:val="28"/>
        </w:rPr>
      </w:pPr>
    </w:p>
    <w:p w14:paraId="42BBAF58" w14:textId="77777777" w:rsidR="00B027A9" w:rsidRDefault="00B027A9">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4"/>
          <w:szCs w:val="24"/>
        </w:rPr>
      </w:pPr>
    </w:p>
    <w:p w14:paraId="35429D8F" w14:textId="77777777" w:rsidR="00B027A9" w:rsidRDefault="00AE2895">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b/>
          <w:position w:val="0"/>
          <w:sz w:val="24"/>
          <w:szCs w:val="24"/>
        </w:rPr>
      </w:pPr>
      <w:r>
        <w:rPr>
          <w:rFonts w:ascii="Times New Roman" w:hAnsi="Times New Roman" w:cs="Times New Roman"/>
          <w:b/>
          <w:position w:val="0"/>
          <w:sz w:val="24"/>
          <w:szCs w:val="24"/>
        </w:rPr>
        <w:t>Abstract</w:t>
      </w:r>
    </w:p>
    <w:p w14:paraId="57A34194" w14:textId="77777777" w:rsidR="00B027A9" w:rsidRDefault="00B027A9">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b/>
          <w:position w:val="0"/>
          <w:sz w:val="24"/>
          <w:szCs w:val="24"/>
        </w:rPr>
      </w:pPr>
    </w:p>
    <w:p w14:paraId="2D17A14F" w14:textId="77777777" w:rsidR="00B027A9" w:rsidRDefault="00AE2895">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4"/>
          <w:szCs w:val="24"/>
        </w:rPr>
      </w:pPr>
      <w:r>
        <w:rPr>
          <w:rFonts w:ascii="Times New Roman" w:hAnsi="Times New Roman" w:cs="Times New Roman"/>
          <w:position w:val="0"/>
          <w:sz w:val="24"/>
          <w:szCs w:val="24"/>
        </w:rPr>
        <w:t>Urban areas play an important role in changing long-term temperature trends. There are many studies conducted around the world related to land use change and the increase in surface temperature. This study also aims to identify the relationship between urban development and long-term temperature trends in the island part of Penang by using digital land use maps obtained from the Malaysian Department of Agriculture. In this study, the development of the city of Penang from 1966 to 2015 was analyzed. Then, long-term temperature trends were also analyzed using the Mann-Kendall and Sen's Slope methods. Satellite images are also used in temperature analysis as an additional source to support the study results. Finally, the relationship between urban development and temperature has been ascertained using correlation analysis. The results of this study show that the island part of the state of Penang has experienced a rapid urbanization process from 1966 to 2015, where the rate of overall urban development is 134.22%. Then, the temperature index (Tmin, Tmax, and Tmean) shows a significant increasing trend at the rate of 0.19 ℃/decade, 1.2 ℃/decade and 0.3 ℃/decade. Then, Tmin and Tmean have a significant and strong correlation to the development of urban areas. Analyzed satellite images also show high temperatures recorded in urban areas. This shows that there is a strong relationship between urban development and temperature rise in the island, Penang state. However, there are also other factors that cause high temperature records. This is because, from 2008 to 2015 the temperature kept rising even though development was decreasing. Therefore, it can be said that there are other factors that contribute to the increase in temperature on the island such as climate change.</w:t>
      </w:r>
    </w:p>
    <w:p w14:paraId="7E9425AB" w14:textId="77777777" w:rsidR="00B027A9" w:rsidRDefault="00B027A9">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4"/>
          <w:szCs w:val="24"/>
        </w:rPr>
      </w:pPr>
    </w:p>
    <w:p w14:paraId="14760663" w14:textId="77777777" w:rsidR="00B027A9" w:rsidRDefault="00AE2895">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4"/>
          <w:szCs w:val="24"/>
        </w:rPr>
      </w:pPr>
      <w:r w:rsidRPr="0024368E">
        <w:rPr>
          <w:rFonts w:ascii="Times New Roman" w:hAnsi="Times New Roman" w:cs="Times New Roman"/>
          <w:b/>
          <w:bCs/>
          <w:position w:val="0"/>
          <w:sz w:val="24"/>
          <w:szCs w:val="24"/>
        </w:rPr>
        <w:t>Keywords:</w:t>
      </w:r>
      <w:r w:rsidRPr="0024368E">
        <w:rPr>
          <w:rFonts w:ascii="Times New Roman" w:hAnsi="Times New Roman" w:cs="Times New Roman"/>
          <w:position w:val="0"/>
          <w:sz w:val="24"/>
          <w:szCs w:val="24"/>
        </w:rPr>
        <w:t xml:space="preserve"> Urban expansion, Penang Island, satellite, long term temperature </w:t>
      </w:r>
    </w:p>
    <w:p w14:paraId="0EDFC1C9" w14:textId="77777777" w:rsidR="00B027A9" w:rsidRDefault="00B027A9">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4"/>
          <w:szCs w:val="24"/>
        </w:rPr>
      </w:pPr>
    </w:p>
    <w:p w14:paraId="3919E9E0" w14:textId="77777777" w:rsidR="00B027A9" w:rsidRDefault="00B027A9">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4"/>
          <w:szCs w:val="24"/>
        </w:rPr>
      </w:pPr>
    </w:p>
    <w:p w14:paraId="322E1682" w14:textId="77777777" w:rsidR="00B027A9" w:rsidRDefault="00AE2895">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b/>
          <w:position w:val="0"/>
          <w:sz w:val="24"/>
          <w:szCs w:val="24"/>
        </w:rPr>
      </w:pPr>
      <w:r>
        <w:rPr>
          <w:rFonts w:ascii="Times New Roman" w:hAnsi="Times New Roman" w:cs="Times New Roman"/>
          <w:b/>
          <w:position w:val="0"/>
          <w:sz w:val="24"/>
          <w:szCs w:val="24"/>
        </w:rPr>
        <w:t>Pengenalan</w:t>
      </w:r>
    </w:p>
    <w:p w14:paraId="2D2254CA" w14:textId="77777777" w:rsidR="00B027A9" w:rsidRDefault="00B027A9">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b/>
          <w:position w:val="0"/>
          <w:sz w:val="24"/>
          <w:szCs w:val="24"/>
        </w:rPr>
      </w:pPr>
    </w:p>
    <w:p w14:paraId="191BA1E0" w14:textId="29DB176B" w:rsidR="00B027A9" w:rsidRDefault="00AE2895">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4"/>
          <w:szCs w:val="24"/>
        </w:rPr>
      </w:pPr>
      <w:r>
        <w:rPr>
          <w:rFonts w:ascii="Times New Roman" w:hAnsi="Times New Roman" w:cs="Times New Roman"/>
          <w:position w:val="0"/>
          <w:sz w:val="24"/>
          <w:szCs w:val="24"/>
        </w:rPr>
        <w:t xml:space="preserve">Menurut laporan khas Panel Antara Kerajaan mengenai Perubahan Iklim (IPCC) mengenai Pemanasan Global 1.5 °C, pemanasan global ditakrifkan sebagai peningkatan purata global gabungan suhu permukaan darat dan permukaan laut dalam tempoh 30 tahun </w:t>
      </w:r>
      <w:r>
        <w:rPr>
          <w:rFonts w:ascii="Times New Roman" w:hAnsi="Times New Roman" w:cs="Times New Roman"/>
          <w:position w:val="0"/>
          <w:sz w:val="24"/>
          <w:szCs w:val="24"/>
        </w:rPr>
        <w:fldChar w:fldCharType="begin"/>
      </w:r>
      <w:r>
        <w:rPr>
          <w:rFonts w:ascii="Times New Roman" w:hAnsi="Times New Roman" w:cs="Times New Roman"/>
          <w:position w:val="0"/>
          <w:sz w:val="24"/>
          <w:szCs w:val="24"/>
        </w:rPr>
        <w:instrText>ADDIN CSL_CITATION {"citationItems":[{"id":"ITEM-1","itemData":{"URL":"https://www.ipcc.ch/sr15/","abstract":"An IPCC special report on the impacts of global warming of 1.5 °C above pre-industrial levels and related global greenhouse gas emission pathways, in the context of strengthening the global response to the threat of climate change, sustainable development, and efforts to eradicate poverty. ","accessed":{"date-parts":[["2021","7","2"]]},"author":[{"dropping-particle":"","family":"IPCC","given":"","non-dropping-particle":"","parse-names":false,"suffix":""}],"container-title":"IPCC","id":"ITEM-1","issued":{"date-parts":[["2018"]]},"title":"Global Warming of 1.5 ºC —","type":"webpage"},"uris":["http://www.mendeley.com/documents/?uuid=9f188c40-31ec-3b85-b458-159cd824b515"]}],"mendeley":{"formattedCitation":"(IPCC, 2018)","plainTextFormattedCitation":"(IPCC, 2018)","previouslyFormattedCitation":"(IPCC, 2018)"},"properties":{"noteIndex":0},"schema":"https://github.com/citation-style-language/schema/raw/master/csl-citation.json"}</w:instrText>
      </w:r>
      <w:r>
        <w:rPr>
          <w:rFonts w:ascii="Times New Roman" w:hAnsi="Times New Roman" w:cs="Times New Roman"/>
          <w:position w:val="0"/>
          <w:sz w:val="24"/>
          <w:szCs w:val="24"/>
        </w:rPr>
        <w:fldChar w:fldCharType="separate"/>
      </w:r>
      <w:r>
        <w:rPr>
          <w:rFonts w:ascii="Times New Roman" w:hAnsi="Times New Roman" w:cs="Times New Roman"/>
          <w:noProof/>
          <w:position w:val="0"/>
          <w:sz w:val="24"/>
          <w:szCs w:val="24"/>
        </w:rPr>
        <w:t>(IPCC, 2018)</w:t>
      </w:r>
      <w:r>
        <w:rPr>
          <w:rFonts w:ascii="Times New Roman" w:hAnsi="Times New Roman" w:cs="Times New Roman"/>
          <w:position w:val="0"/>
          <w:sz w:val="24"/>
          <w:szCs w:val="24"/>
        </w:rPr>
        <w:fldChar w:fldCharType="end"/>
      </w:r>
      <w:r>
        <w:rPr>
          <w:rFonts w:ascii="Times New Roman" w:hAnsi="Times New Roman" w:cs="Times New Roman"/>
          <w:position w:val="0"/>
          <w:sz w:val="24"/>
          <w:szCs w:val="24"/>
        </w:rPr>
        <w:t>. Pemanasan global yang didorong terutamanya oleh gas rumah hijau berasaskan karbon dioksida (CO</w:t>
      </w:r>
      <w:r>
        <w:rPr>
          <w:rFonts w:ascii="Times New Roman" w:hAnsi="Times New Roman" w:cs="Times New Roman"/>
          <w:position w:val="0"/>
          <w:sz w:val="24"/>
          <w:szCs w:val="24"/>
          <w:vertAlign w:val="subscript"/>
        </w:rPr>
        <w:t>2</w:t>
      </w:r>
      <w:r>
        <w:rPr>
          <w:rFonts w:ascii="Times New Roman" w:hAnsi="Times New Roman" w:cs="Times New Roman"/>
          <w:position w:val="0"/>
          <w:sz w:val="24"/>
          <w:szCs w:val="24"/>
        </w:rPr>
        <w:t xml:space="preserve">), telah mencetuskan kebimbangan yang besar dalam kalangan saintis di seluruh dunia dan telah menarik perhatian setiap kerajaan di dunia </w:t>
      </w:r>
      <w:r>
        <w:rPr>
          <w:rFonts w:ascii="Times New Roman" w:hAnsi="Times New Roman" w:cs="Times New Roman"/>
          <w:position w:val="0"/>
          <w:sz w:val="24"/>
          <w:szCs w:val="24"/>
        </w:rPr>
        <w:fldChar w:fldCharType="begin"/>
      </w:r>
      <w:r>
        <w:rPr>
          <w:rFonts w:ascii="Times New Roman" w:hAnsi="Times New Roman" w:cs="Times New Roman"/>
          <w:position w:val="0"/>
          <w:sz w:val="24"/>
          <w:szCs w:val="24"/>
        </w:rPr>
        <w:instrText>ADDIN CSL_CITATION {"citationItems":[{"id":"ITEM-1","itemData":{"DOI":"10.1155/2014/374987","ISSN":"16879317","abstract":"Global warming, which is representatively caused by CO2-based greenhouse gases, has caused widespread concern in the global scientific community and gets the high attention of each government in the world. Human activities impact climate change through greenhouse gas emissions and land use changes. The current study on the impact of urbanization on the annual average temperature of the recent 60 years in Beijing was conducted using 1951-2012 temperature data. Anomaly analysis, quadratic polynomial trend method, and moving average method were employed to indicate the temporal variation of temperature. The results showed that average temperature increased both in urban and rural areas. The temperature of urban Beijing increased during the period from 1951 to 2012, especially from 1971 to 1994. The temperature of rural Beijing showed a faster increase than that of the urban area from 1989 to 1998. However, the rate of temperature increase slowed down in recent years. This type of change was temporally consistent with the process of land use change and urbanization in Beijing. Economic restructuring and improvement of urban planning may have been one of the reasons that the regional warming has been slowed down in the rural area. © 2014 Yong Wang et al.","author":[{"dropping-particle":"","family":"Wang","given":"Yong","non-dropping-particle":"","parse-names":false,"suffix":""},{"dropping-particle":"","family":"Ji","given":"Wei","non-dropping-particle":"","parse-names":false,"suffix":""},{"dropping-particle":"","family":"Yu","given":"Xinfang","non-dropping-particle":"","parse-names":false,"suffix":""},{"dropping-particle":"","family":"Xu","given":"Xinliang","non-dropping-particle":"","parse-names":false,"suffix":""},{"dropping-particle":"","family":"Jiang","given":"Dong","non-dropping-particle":"","parse-names":false,"suffix":""},{"dropping-particle":"","family":"Wang","given":"Zhangang","non-dropping-particle":"","parse-names":false,"suffix":""},{"dropping-particle":"","family":"Zhuang","given":"Dafang","non-dropping-particle":"","parse-names":false,"suffix":""}],"container-title":"Advances in Meteorology","id":"ITEM-1","issued":{"date-parts":[["2014"]]},"title":"The impact of urbanization on the annual average temperature of the past 60 years in Beijing","type":"article-journal","volume":"2014"},"uris":["http://www.mendeley.com/documents/?uuid=e8710150-87b8-4537-a4d4-cc4e67db27d2"]}],"mendeley":{"formattedCitation":"(Wang et al., 2014)","plainTextFormattedCitation":"(Wang et al., 2014)","previouslyFormattedCitation":"(Wang et al., 2014)"},"properties":{"noteIndex":0},"schema":"https://github.com/citation-style-language/schema/raw/master/csl-citation.json"}</w:instrText>
      </w:r>
      <w:r>
        <w:rPr>
          <w:rFonts w:ascii="Times New Roman" w:hAnsi="Times New Roman" w:cs="Times New Roman"/>
          <w:position w:val="0"/>
          <w:sz w:val="24"/>
          <w:szCs w:val="24"/>
        </w:rPr>
        <w:fldChar w:fldCharType="separate"/>
      </w:r>
      <w:r>
        <w:rPr>
          <w:rFonts w:ascii="Times New Roman" w:hAnsi="Times New Roman" w:cs="Times New Roman"/>
          <w:noProof/>
          <w:position w:val="0"/>
          <w:sz w:val="24"/>
          <w:szCs w:val="24"/>
        </w:rPr>
        <w:t>(Wang et al., 2014)</w:t>
      </w:r>
      <w:r>
        <w:rPr>
          <w:rFonts w:ascii="Times New Roman" w:hAnsi="Times New Roman" w:cs="Times New Roman"/>
          <w:position w:val="0"/>
          <w:sz w:val="24"/>
          <w:szCs w:val="24"/>
        </w:rPr>
        <w:fldChar w:fldCharType="end"/>
      </w:r>
      <w:r>
        <w:rPr>
          <w:rFonts w:ascii="Times New Roman" w:hAnsi="Times New Roman" w:cs="Times New Roman"/>
          <w:position w:val="0"/>
          <w:sz w:val="24"/>
          <w:szCs w:val="24"/>
        </w:rPr>
        <w:t xml:space="preserve">. Hal ini kerana, kejadian cuaca ekstrem telah meningkat akibat pemanasan global, khususnya dari segi suhu ekstrem (Tan et al., 2020). </w:t>
      </w:r>
      <w:r w:rsidR="0024368E">
        <w:rPr>
          <w:rFonts w:ascii="Times New Roman" w:hAnsi="Times New Roman" w:cs="Times New Roman"/>
          <w:position w:val="0"/>
          <w:sz w:val="24"/>
          <w:szCs w:val="24"/>
        </w:rPr>
        <w:t>M</w:t>
      </w:r>
      <w:r>
        <w:rPr>
          <w:rFonts w:ascii="Times New Roman" w:hAnsi="Times New Roman" w:cs="Times New Roman"/>
          <w:position w:val="0"/>
          <w:sz w:val="24"/>
          <w:szCs w:val="24"/>
        </w:rPr>
        <w:t xml:space="preserve">enurut </w:t>
      </w:r>
      <w:r>
        <w:rPr>
          <w:rFonts w:ascii="Times New Roman" w:hAnsi="Times New Roman" w:cs="Times New Roman"/>
          <w:position w:val="0"/>
          <w:sz w:val="24"/>
          <w:szCs w:val="24"/>
        </w:rPr>
        <w:fldChar w:fldCharType="begin"/>
      </w:r>
      <w:r>
        <w:rPr>
          <w:rFonts w:ascii="Times New Roman" w:hAnsi="Times New Roman" w:cs="Times New Roman"/>
          <w:position w:val="0"/>
          <w:sz w:val="24"/>
          <w:szCs w:val="24"/>
        </w:rPr>
        <w:instrText>ADDIN CSL_CITATION {"citationItems":[{"id":"ITEM-1","itemData":{"DOI":"10.1007/s00704-006-0263-3","ISSN":"14344483","abstract":"This paper investigates the warming trend and interannual variability of surface air temperatures in the Malaysian region during the period 1961-2002. The trend analyses show that most regions in Malaysia experience warming over the period at comparable rates to those in regions surrounding the Bay of Bengal. The regions of Peninsular Malaysia and northern Borneo experience warming rates of between 2.7-4.0 °C/100 years. However, the warming rates are lower in the south-western region of Borneo. The interannual variability of Malaysian temperature is largely dominated by the El Niño-Southern Oscillation (ENSO). Regardless of the warming trends, all regions in Malaysia experience uniform warming during an El Niño event, particularly during the October-November-December (OND) and the January-February-March (JFM) periods. This uniform warming is associated with the latent heat released from the central eastern Pacific region and forced adiabatic subsidence in the Maritime Continent during an El Niño event. During its early development period i.e. during the July-August-September (JAS) season, the El Niñ's impact on the Malaysian temperatures is relatively weak compare to its influence during the OND and JFM seasons. However, the warming continues to the April-May-June (AMJ) season although during this period the anomalous conditions in the eastern central Pacific have begun or have returned to normal. The Indian Ocean Dipole (IOD) mode exerts an influence on Malaysian temperatures. When it co-occurs with ENSO, it tends to weaken the ENSO influence particularly during an OND period. However, it appears to have an appreciable influence only during an AMJ period when it occurs in the absence of an ENSO event. Despite the strong influence of the ENSO, the warming rates during the 42-year period appears to be least affected by interannual variability. © Springer-Verlag 2006.","author":[{"dropping-particle":"","family":"Tangang","given":"Fredolin T.","non-dropping-particle":"","parse-names":false,"suffix":""},{"dropping-particle":"","family":"Juneng","given":"Liew","non-dropping-particle":"","parse-names":false,"suffix":""},{"dropping-particle":"","family":"Ahmad","given":"Shahruddin","non-dropping-particle":"","parse-names":false,"suffix":""}],"container-title":"Theoretical and Applied Climatology","id":"ITEM-1","issue":"3-4","issued":{"date-parts":[["2007"]]},"page":"127-141","title":"Trend and interannual variability of temperature in Malaysia: 1961-2002","type":"article-journal","volume":"89"},"uris":["http://www.mendeley.com/documents/?uuid=fd3a00f0-1045-4c86-8338-b289c2686430"]}],"mendeley":{"formattedCitation":"(Tangang et al., 2007)","plainTextFormattedCitation":"(Tangang et al., 2007)","previouslyFormattedCitation":"(Tangang et al., 2007)"},"properties":{"noteIndex":0},"schema":"https://github.com/citation-style-language/schema/raw/master/csl-citation.json"}</w:instrText>
      </w:r>
      <w:r>
        <w:rPr>
          <w:rFonts w:ascii="Times New Roman" w:hAnsi="Times New Roman" w:cs="Times New Roman"/>
          <w:position w:val="0"/>
          <w:sz w:val="24"/>
          <w:szCs w:val="24"/>
        </w:rPr>
        <w:fldChar w:fldCharType="separate"/>
      </w:r>
      <w:r>
        <w:rPr>
          <w:rFonts w:ascii="Times New Roman" w:hAnsi="Times New Roman" w:cs="Times New Roman"/>
          <w:noProof/>
          <w:position w:val="0"/>
          <w:sz w:val="24"/>
          <w:szCs w:val="24"/>
        </w:rPr>
        <w:t xml:space="preserve">Tangang et al. </w:t>
      </w:r>
      <w:r w:rsidR="0024368E">
        <w:rPr>
          <w:rFonts w:ascii="Times New Roman" w:hAnsi="Times New Roman" w:cs="Times New Roman"/>
          <w:noProof/>
          <w:position w:val="0"/>
          <w:sz w:val="24"/>
          <w:szCs w:val="24"/>
        </w:rPr>
        <w:t>(</w:t>
      </w:r>
      <w:r>
        <w:rPr>
          <w:rFonts w:ascii="Times New Roman" w:hAnsi="Times New Roman" w:cs="Times New Roman"/>
          <w:noProof/>
          <w:position w:val="0"/>
          <w:sz w:val="24"/>
          <w:szCs w:val="24"/>
        </w:rPr>
        <w:t>2007)</w:t>
      </w:r>
      <w:r>
        <w:rPr>
          <w:rFonts w:ascii="Times New Roman" w:hAnsi="Times New Roman" w:cs="Times New Roman"/>
          <w:position w:val="0"/>
          <w:sz w:val="24"/>
          <w:szCs w:val="24"/>
        </w:rPr>
        <w:fldChar w:fldCharType="end"/>
      </w:r>
      <w:r>
        <w:rPr>
          <w:rFonts w:ascii="Times New Roman" w:hAnsi="Times New Roman" w:cs="Times New Roman"/>
          <w:position w:val="0"/>
          <w:sz w:val="24"/>
          <w:szCs w:val="24"/>
        </w:rPr>
        <w:t xml:space="preserve">, purata suhu di seluruh dunia telah meningkat sebanyak 0.3–0.6 ℃ pada abad sebelumnya. Jika suhu terus meningkat pada kadar semasa, ramalan untuk 2050 menunjukkan bahawa suhu global akan meningkat sebanyak 2 ℃ hingga 4 ℃. Hal ini akan menyebabkan pencairan besar ais kutub utara dan selatan. Akibatnya, paras air akan meningkat, dan negara pulau dan bandar pantai tertentu akan </w:t>
      </w:r>
      <w:r w:rsidR="0024368E">
        <w:rPr>
          <w:rFonts w:ascii="Times New Roman" w:hAnsi="Times New Roman" w:cs="Times New Roman"/>
          <w:position w:val="0"/>
          <w:sz w:val="24"/>
          <w:szCs w:val="24"/>
        </w:rPr>
        <w:t>ditenggelami air</w:t>
      </w:r>
      <w:r>
        <w:rPr>
          <w:rFonts w:ascii="Times New Roman" w:hAnsi="Times New Roman" w:cs="Times New Roman"/>
          <w:position w:val="0"/>
          <w:sz w:val="24"/>
          <w:szCs w:val="24"/>
        </w:rPr>
        <w:t xml:space="preserve"> </w:t>
      </w:r>
      <w:r>
        <w:rPr>
          <w:rFonts w:ascii="Times New Roman" w:hAnsi="Times New Roman" w:cs="Times New Roman"/>
          <w:position w:val="0"/>
          <w:sz w:val="24"/>
          <w:szCs w:val="24"/>
        </w:rPr>
        <w:fldChar w:fldCharType="begin"/>
      </w:r>
      <w:r>
        <w:rPr>
          <w:rFonts w:ascii="Times New Roman" w:hAnsi="Times New Roman" w:cs="Times New Roman"/>
          <w:position w:val="0"/>
          <w:sz w:val="24"/>
          <w:szCs w:val="24"/>
        </w:rPr>
        <w:instrText>ADDIN CSL_CITATION {"citationItems":[{"id":"ITEM-1","itemData":{"DOI":"10.1038/S41586-018-0712-Z","ISSN":"14764687","PMID":"30455421","abstract":"Meltwater from the Antarctic Ice Sheet is projected to cause up to one metre of sea-level rise by 2100 under the highest greenhouse gas concentration trajectory (RCP8.5) considered by the Intergovernmental Panel on Climate Change (IPCC). However, the effects of meltwater from the ice sheets and ice shelves of Antarctica are not included in the widely used CMIP5 climate models, which introduces bias into IPCC climate projections. Here we assess a large ensemble simulation of the CMIP5 model ‘GFDL ESM2M’ that accounts for RCP8.5-projected Antarctic Ice Sheet meltwater. We find that, relative to the standard RCP8.5 scenario, accounting for meltwater delays the exceedance of the maximum global-mean atmospheric warming targets of 1.5 and 2 degrees Celsius by more than a decade, enhances drying of the Southern Hemisphere and reduces drying of the Northern Hemisphere, increases the formation of Antarctic sea ice (consistent with recent observations of increasing Antarctic sea-ice area) and warms the subsurface ocean around the Antarctic coast. Moreover, the meltwater-induced subsurface ocean warming could lead to further ice-sheet and ice-shelf melting through a positive feedback mechanism, highlighting the importance of including meltwater effects in simulations of future climate.","author":[{"dropping-particle":"","family":"Bronselaer","given":"Ben","non-dropping-particle":"","parse-names":false,"suffix":""},{"dropping-particle":"","family":"Winton","given":"Michael","non-dropping-particle":"","parse-names":false,"suffix":""},{"dropping-particle":"","family":"Griffies","given":"Stephen M.","non-dropping-particle":"","parse-names":false,"suffix":""},{"dropping-particle":"","family":"Hurlin","given":"William J.","non-dropping-particle":"","parse-names":false,"suffix":""},{"dropping-particle":"","family":"Rodgers","given":"Keith B.","non-dropping-particle":"","parse-names":false,"suffix":""},{"dropping-particle":"V.","family":"Sergienko","given":"Olga","non-dropping-particle":"","parse-names":false,"suffix":""},{"dropping-particle":"","family":"Stouffer","given":"Ronald J.","non-dropping-particle":"","parse-names":false,"suffix":""},{"dropping-particle":"","family":"Russell","given":"Joellen L.","non-dropping-particle":"","parse-names":false,"suffix":""}],"container-title":"Nature","id":"ITEM-1","issue":"7734","issued":{"date-parts":[["2018","12","6"]]},"page":"53-58","publisher":"Nature Publishing Group","title":"Change in future climate due to Antarctic meltwater","type":"article-journal","volume":"564"},"uris":["http://www.mendeley.com/documents/?uuid=3a1f62a4-0067-3c1d-b07a-e7f1a0855fd2"]}],"mendeley":{"formattedCitation":"(Bronselaer et al., 2018)","plainTextFormattedCitation":"(Bronselaer et al., 2018)","previouslyFormattedCitation":"(Bronselaer et al., 2018)"},"properties":{"noteIndex":0},"schema":"https://github.com/citation-style-language/schema/raw/master/csl-citation.json"}</w:instrText>
      </w:r>
      <w:r>
        <w:rPr>
          <w:rFonts w:ascii="Times New Roman" w:hAnsi="Times New Roman" w:cs="Times New Roman"/>
          <w:position w:val="0"/>
          <w:sz w:val="24"/>
          <w:szCs w:val="24"/>
        </w:rPr>
        <w:fldChar w:fldCharType="separate"/>
      </w:r>
      <w:r>
        <w:rPr>
          <w:rFonts w:ascii="Times New Roman" w:hAnsi="Times New Roman" w:cs="Times New Roman"/>
          <w:noProof/>
          <w:position w:val="0"/>
          <w:sz w:val="24"/>
          <w:szCs w:val="24"/>
        </w:rPr>
        <w:t>(Bronselaer et al., 2018)</w:t>
      </w:r>
      <w:r>
        <w:rPr>
          <w:rFonts w:ascii="Times New Roman" w:hAnsi="Times New Roman" w:cs="Times New Roman"/>
          <w:position w:val="0"/>
          <w:sz w:val="24"/>
          <w:szCs w:val="24"/>
        </w:rPr>
        <w:fldChar w:fldCharType="end"/>
      </w:r>
      <w:r>
        <w:rPr>
          <w:rFonts w:ascii="Times New Roman" w:hAnsi="Times New Roman" w:cs="Times New Roman"/>
          <w:position w:val="0"/>
          <w:sz w:val="24"/>
          <w:szCs w:val="24"/>
        </w:rPr>
        <w:t>.</w:t>
      </w:r>
    </w:p>
    <w:p w14:paraId="541DD5B5" w14:textId="77777777" w:rsidR="00B027A9" w:rsidRDefault="00AE2895">
      <w:pPr>
        <w:suppressAutoHyphens w:val="0"/>
        <w:spacing w:after="0" w:line="240" w:lineRule="auto"/>
        <w:ind w:leftChars="0" w:left="0" w:firstLineChars="0" w:firstLine="720"/>
        <w:jc w:val="both"/>
        <w:textDirection w:val="lrTb"/>
        <w:textAlignment w:val="auto"/>
        <w:outlineLvl w:val="9"/>
        <w:rPr>
          <w:rFonts w:ascii="Times New Roman" w:hAnsi="Times New Roman" w:cs="Times New Roman"/>
          <w:position w:val="0"/>
          <w:sz w:val="24"/>
          <w:szCs w:val="24"/>
        </w:rPr>
      </w:pPr>
      <w:r>
        <w:rPr>
          <w:rFonts w:ascii="Times New Roman" w:hAnsi="Times New Roman" w:cs="Times New Roman"/>
          <w:position w:val="0"/>
          <w:sz w:val="24"/>
          <w:szCs w:val="24"/>
        </w:rPr>
        <w:t xml:space="preserve">Terdapat pelbagai faktor yang menyebabkan peningkatan suhu di seluruh dunia. Salah satu faktornya ialah aktiviti manusia, terutamanya urbanisasi.  Kebelakangan ini, ramai penyelidik telah mengkaji kesan aktiviti manusia seperti pembangunan pembandaran yang pesat terhadap iklim </w:t>
      </w:r>
      <w:r>
        <w:rPr>
          <w:rFonts w:ascii="Times New Roman" w:hAnsi="Times New Roman" w:cs="Times New Roman"/>
          <w:position w:val="0"/>
          <w:sz w:val="24"/>
          <w:szCs w:val="24"/>
        </w:rPr>
        <w:lastRenderedPageBreak/>
        <w:t xml:space="preserve">sejak beberapa tahun ini.  Hasil daripada kajian mereka menunjukkan bahawa pelbagai jenis tanah ditukar menjadi kawasan bandar akibat peningkatan populasi penduduk dan juga pembangunan ekonomi. Perubahan guna tanah dan hubungannya dengan pembangunan kawasan bandar mempunyai pengaruh yang signifikan terhadap iklim dan cuaca tempatan sekiranya pembangunan ini tidak dirancang dan diurus dengan betul (Tan et al., 2010). Hal ini akan menyumbang kepada perubahan dalam trend suhu. Analisis data pemerhatian dari bandar dan kawasan luar bandar berdekatan mendedahkan bahawa pembandaran mempunyai pengaruh yang signifikan terhadap trend suhu. Kekonduksian terma dan haba terpancar selalunya dicatatkan lebih tinggi di tempat metropolitan </w:t>
      </w:r>
      <w:r>
        <w:rPr>
          <w:rFonts w:ascii="Times New Roman" w:hAnsi="Times New Roman" w:cs="Times New Roman"/>
          <w:position w:val="0"/>
          <w:sz w:val="24"/>
          <w:szCs w:val="24"/>
        </w:rPr>
        <w:fldChar w:fldCharType="begin"/>
      </w:r>
      <w:r>
        <w:rPr>
          <w:rFonts w:ascii="Times New Roman" w:hAnsi="Times New Roman" w:cs="Times New Roman"/>
          <w:position w:val="0"/>
          <w:sz w:val="24"/>
          <w:szCs w:val="24"/>
        </w:rPr>
        <w:instrText>ADDIN CSL_CITATION {"citationItems":[{"id":"ITEM-1","itemData":{"DOI":"10.1007/s12665-009-0286-z","ISSN":"18666280","abstract":"Land surface temperature (LST) plays an important role in local, regional and global climate studies. LST controls the distribution of the budget for radiation heat between the atmosphere and the earth's surface. Therefore, it is important to evaluate abrupt changes in land use/land cover (LULC). Penang Island, Malaysia has been experiencing a rapid and drastic change in urban expansion over the past two decades due to growth in industrial and residential areas. The aim of this study was to investigate and evaluate the impact of LST with respect to land use changes in Penang Island, Malaysia. Three supervised classification techniques known as maximum likelihood, minimum distance-to-mean and parallelepiped were applied to the images to extract thematic information from the acquired scene by using PCI Geomatica 10.1 image processing software. These remote sensing classification techniques help to examine land-use changes in Penang Island using multi-temporal Landsat data for the period of 1999-2007. Training sites were selected within each scene and seven land cover classes were assigned to each classifier. The relative performance of each technique was evaluated. The accuracy of each classification map was assessed using a reference data set consisting of a large number of samples collected per category. Two Landsat satellite images captured in 1999 and 2007 were chosen to classify the LULC types using the maximum likelihood classification method, determined from visible and near-infrared bands. The study revealed that the maximum likelihood classifier produced superior results and achieved a high degree of accuracy. The LST and normalised difference vegetation index (NDVI) were computed based on changes in LULC. The results showed that the urban (highly built-up) area increased dramatically, and grassland area increased moderately. Inversely, barren land decreased obviously, and forest area decreased moderately. While urban (minimally built-up) area decreased slightly. These changes in LULC caused at significant difference in LST between urban and rural areas. Strong correlation values were observed between LST and NDVI for all LULC classes. The remote sensing technique used in this study was found to be efficient; it reduced the time for the analysis of the urban expansion, and it was found to be a useful tool to evaluate the impact of urbanisation with LST. © 2009 Springer-Verlag.","author":[{"dropping-particle":"","family":"Tan","given":"Kok Chooi","non-dropping-particle":"","parse-names":false,"suffix":""},{"dropping-particle":"","family":"Lim","given":"Hwee San","non-dropping-particle":"","parse-names":false,"suffix":""},{"dropping-particle":"","family":"MatJafri","given":"Mohd Zubir","non-dropping-particle":"","parse-names":false,"suffix":""},{"dropping-particle":"","family":"Abdullah","given":"Khiruddin","non-dropping-particle":"","parse-names":false,"suffix":""}],"container-title":"Environmental Earth Sciences","id":"ITEM-1","issue":"7","issued":{"date-parts":[["2010"]]},"page":"1509-1521","title":"Landsat data to evaluate urban expansion and determine land use/land cover changes in Penang Island, Malaysia","type":"article-journal","volume":"60"},"uris":["http://www.mendeley.com/documents/?uuid=7a373a6f-86aa-4ffa-a58e-bfc3125352d0"]}],"mendeley":{"formattedCitation":"(K. C. Tan et al., 2010)","plainTextFormattedCitation":"(K. C. Tan et al., 2010)","previouslyFormattedCitation":"(K. C. Tan et al., 2010)"},"properties":{"noteIndex":0},"schema":"https://github.com/citation-style-language/schema/raw/master/csl-citation.json"}</w:instrText>
      </w:r>
      <w:r>
        <w:rPr>
          <w:rFonts w:ascii="Times New Roman" w:hAnsi="Times New Roman" w:cs="Times New Roman"/>
          <w:position w:val="0"/>
          <w:sz w:val="24"/>
          <w:szCs w:val="24"/>
        </w:rPr>
        <w:fldChar w:fldCharType="separate"/>
      </w:r>
      <w:r>
        <w:rPr>
          <w:rFonts w:ascii="Times New Roman" w:hAnsi="Times New Roman" w:cs="Times New Roman"/>
          <w:noProof/>
          <w:position w:val="0"/>
          <w:sz w:val="24"/>
          <w:szCs w:val="24"/>
        </w:rPr>
        <w:t>(Tan et al., 2010)</w:t>
      </w:r>
      <w:r>
        <w:rPr>
          <w:rFonts w:ascii="Times New Roman" w:hAnsi="Times New Roman" w:cs="Times New Roman"/>
          <w:position w:val="0"/>
          <w:sz w:val="24"/>
          <w:szCs w:val="24"/>
        </w:rPr>
        <w:fldChar w:fldCharType="end"/>
      </w:r>
      <w:r>
        <w:rPr>
          <w:rFonts w:ascii="Times New Roman" w:hAnsi="Times New Roman" w:cs="Times New Roman"/>
          <w:position w:val="0"/>
          <w:sz w:val="24"/>
          <w:szCs w:val="24"/>
        </w:rPr>
        <w:t>.</w:t>
      </w:r>
    </w:p>
    <w:p w14:paraId="179C5799" w14:textId="3552BAD2" w:rsidR="00B027A9" w:rsidRDefault="00AE2895">
      <w:pPr>
        <w:suppressAutoHyphens w:val="0"/>
        <w:spacing w:after="0" w:line="240" w:lineRule="auto"/>
        <w:ind w:leftChars="0" w:left="0" w:firstLineChars="0" w:firstLine="720"/>
        <w:jc w:val="both"/>
        <w:textDirection w:val="lrTb"/>
        <w:textAlignment w:val="auto"/>
        <w:outlineLvl w:val="9"/>
        <w:rPr>
          <w:rFonts w:ascii="Times New Roman" w:hAnsi="Times New Roman" w:cs="Times New Roman"/>
          <w:position w:val="0"/>
          <w:sz w:val="24"/>
          <w:szCs w:val="24"/>
        </w:rPr>
      </w:pPr>
      <w:r>
        <w:rPr>
          <w:rFonts w:ascii="Times New Roman" w:hAnsi="Times New Roman" w:cs="Times New Roman"/>
          <w:position w:val="0"/>
          <w:sz w:val="24"/>
          <w:szCs w:val="24"/>
        </w:rPr>
        <w:t xml:space="preserve">Dalam sejarah manusia, urbanisasi telah menjadi kunci utama kepada perubahan litupan guna tanah </w:t>
      </w:r>
      <w:r>
        <w:rPr>
          <w:rFonts w:ascii="Times New Roman" w:hAnsi="Times New Roman" w:cs="Times New Roman"/>
          <w:position w:val="0"/>
          <w:sz w:val="24"/>
          <w:szCs w:val="24"/>
        </w:rPr>
        <w:fldChar w:fldCharType="begin"/>
      </w:r>
      <w:r>
        <w:rPr>
          <w:rFonts w:ascii="Times New Roman" w:hAnsi="Times New Roman" w:cs="Times New Roman"/>
          <w:position w:val="0"/>
          <w:sz w:val="24"/>
          <w:szCs w:val="24"/>
        </w:rPr>
        <w:instrText>ADDIN CSL_CITATION {"citationItems":[{"id":"ITEM-1","itemData":{"DOI":"10.1080/713860788","ISSN":"13665901","abstract":"The Zhujiang Delta of South China has experienced a rapid urban expansion over the past two decades due to accelerated economic growth. This paper reports an investigation into the application of the integration of remote sensing and geographic information systems (GIS) for detecting urban growth and assessing its impact on surface temperature in the region. Remote sensing techniques were used to carry out land use/cover change detection by using multitemporal Landsat Thematic Mapper data. Urban growth patterns were analysed by using a GIS-based modelling approach. The integration of remote sensing and GIS was further applied to examine the impact of urban growth on surface temperatures. The results revealed a notable and uneven urban growth in the study area. This urban development had raised surface radiant temperature by 13.01 K in the urbanized area. The integration of remote sensing and GIS was found to be effective in monitoring and analysing urban growth patterns, and in evaluating urbanization impact on surface temperature. © 2001 Taylor &amp; Francis Group, LLC.","author":[{"dropping-particle":"","family":"Weng","given":"Q.","non-dropping-particle":"","parse-names":false,"suffix":""}],"container-title":"International Journal of Remote Sensing","id":"ITEM-1","issue":"10","issued":{"date-parts":[["2001"]]},"page":"1999-2014","title":"A remote sensing?GIS evaluation of urban expansion and its impact on surface temperature in the Zhujiang Delta, China","type":"article-journal","volume":"22"},"uris":["http://www.mendeley.com/documents/?uuid=fafb2c7c-7275-451c-9abb-1b26fbd6f0ec"]}],"mendeley":{"formattedCitation":"(Weng, 2001)","plainTextFormattedCitation":"(Weng, 2001)","previouslyFormattedCitation":"(Weng, 2001)"},"properties":{"noteIndex":0},"schema":"https://github.com/citation-style-language/schema/raw/master/csl-citation.json"}</w:instrText>
      </w:r>
      <w:r>
        <w:rPr>
          <w:rFonts w:ascii="Times New Roman" w:hAnsi="Times New Roman" w:cs="Times New Roman"/>
          <w:position w:val="0"/>
          <w:sz w:val="24"/>
          <w:szCs w:val="24"/>
        </w:rPr>
        <w:fldChar w:fldCharType="separate"/>
      </w:r>
      <w:r>
        <w:rPr>
          <w:rFonts w:ascii="Times New Roman" w:hAnsi="Times New Roman" w:cs="Times New Roman"/>
          <w:noProof/>
          <w:position w:val="0"/>
          <w:sz w:val="24"/>
          <w:szCs w:val="24"/>
        </w:rPr>
        <w:t>(Weng, 2001)</w:t>
      </w:r>
      <w:r>
        <w:rPr>
          <w:rFonts w:ascii="Times New Roman" w:hAnsi="Times New Roman" w:cs="Times New Roman"/>
          <w:position w:val="0"/>
          <w:sz w:val="24"/>
          <w:szCs w:val="24"/>
        </w:rPr>
        <w:fldChar w:fldCharType="end"/>
      </w:r>
      <w:r>
        <w:rPr>
          <w:rFonts w:ascii="Times New Roman" w:hAnsi="Times New Roman" w:cs="Times New Roman"/>
          <w:position w:val="0"/>
          <w:sz w:val="24"/>
          <w:szCs w:val="24"/>
        </w:rPr>
        <w:t>.</w:t>
      </w:r>
      <w:r w:rsidR="00A41C67">
        <w:rPr>
          <w:rFonts w:ascii="Times New Roman" w:hAnsi="Times New Roman" w:cs="Times New Roman"/>
          <w:position w:val="0"/>
          <w:sz w:val="24"/>
          <w:szCs w:val="24"/>
        </w:rPr>
        <w:t xml:space="preserve"> U</w:t>
      </w:r>
      <w:r>
        <w:rPr>
          <w:rFonts w:ascii="Times New Roman" w:hAnsi="Times New Roman" w:cs="Times New Roman"/>
          <w:position w:val="0"/>
          <w:sz w:val="24"/>
          <w:szCs w:val="24"/>
        </w:rPr>
        <w:t xml:space="preserve">rbanisasi juga merupakan fenomena global yang tidak dapat dielakkan. Menurut Pertubuhan Bangsa-Bangsa Bersatu, kawasan bandar menyumbang kepada kira-kira 5% daripada tanah global dan lebih daripada 50% manusia tinggal di kawasan bandar.  Kadar peratusan ini dijangka meningkat kepada 66% pada pertengahan abad kedua puluh satu </w:t>
      </w:r>
      <w:r>
        <w:rPr>
          <w:rFonts w:ascii="Times New Roman" w:hAnsi="Times New Roman" w:cs="Times New Roman"/>
          <w:position w:val="0"/>
          <w:sz w:val="24"/>
          <w:szCs w:val="24"/>
        </w:rPr>
        <w:fldChar w:fldCharType="begin"/>
      </w:r>
      <w:r>
        <w:rPr>
          <w:rFonts w:ascii="Times New Roman" w:hAnsi="Times New Roman" w:cs="Times New Roman"/>
          <w:position w:val="0"/>
          <w:sz w:val="24"/>
          <w:szCs w:val="24"/>
        </w:rPr>
        <w:instrText>ADDIN CSL_CITATION {"citationItems":[{"id":"ITEM-1","itemData":{"DOI":"10.3390/su10010188","ISSN":"20711050","abstract":"Drastic urbanization has resulted in numerous problems worldwide, and many studies were devoted to individual cities. There is an urgent need to quantify urbanization patterns and illustrate their driving forces in the regional area on a large scale over a longer time period. This study produced a land cover dataset to characterize sequential urban land expansion in Northeast China from 1990 to 2015 using object-based backdating classification and calculating the expansion index. The drivers were investigated using Pearson correlation analysis and the multiple linear stepwise regression model. The results revealed that the total area of urban land increased by 43.15% from 1990 to 2015, mainly in the middle part of the study area, and especially in the coastal area of Liaoning. Liaoning had the fastest growth rate, while Heilongjiang showed a decrease in growth rate rankings. Urban land expanded northward and southward within Harbin City, towards the west and east within Changchun City, and relatively equally in all directions within Shenyang City. Expansion patterns changed from edge expansion (42%) to outlying expansion (47%). Urban land of Liaoning and the Eastern Inner Mongolia Autonomous region expanded with similar patterns as the entire area, but that of Heilongjiang grew in an opposite pattern, and Jilin maintained outlying major expansion. The influence of factors on urban land sprawl varied temporally. Tertiary industry product, gross domestic product, secondary industry product, total population and urban population were driving factors of urban land sprawl in Northeast China from 1990 to 2015. This research provides quantitative methods for better understanding urban land dynamics and devising feasible strategies for sustainable urban development.","author":[{"dropping-particle":"","family":"Chen","given":"Lin","non-dropping-particle":"","parse-names":false,"suffix":""},{"dropping-particle":"","family":"Ren","given":"Chunying","non-dropping-particle":"","parse-names":false,"suffix":""},{"dropping-particle":"","family":"Zhang","given":"Bai","non-dropping-particle":"","parse-names":false,"suffix":""},{"dropping-particle":"","family":"Wang","given":"Zongming","non-dropping-particle":"","parse-names":false,"suffix":""},{"dropping-particle":"","family":"Liu","given":"Mingyue","non-dropping-particle":"","parse-names":false,"suffix":""}],"container-title":"Sustainability (Switzerland)","id":"ITEM-1","issue":"1","issued":{"date-parts":[["2018"]]},"title":"Quantifying urban land sprawl and its driving forces in Northeast China from 1990 to 2015","type":"article-journal","volume":"10"},"uris":["http://www.mendeley.com/documents/?uuid=311fb99e-dc33-499f-a613-75bb1a6d1a08"]}],"mendeley":{"formattedCitation":"(Chen et al., 2018)","plainTextFormattedCitation":"(Chen et al., 2018)","previouslyFormattedCitation":"(Chen et al., 2018)"},"properties":{"noteIndex":0},"schema":"https://github.com/citation-style-language/schema/raw/master/csl-citation.json"}</w:instrText>
      </w:r>
      <w:r>
        <w:rPr>
          <w:rFonts w:ascii="Times New Roman" w:hAnsi="Times New Roman" w:cs="Times New Roman"/>
          <w:position w:val="0"/>
          <w:sz w:val="24"/>
          <w:szCs w:val="24"/>
        </w:rPr>
        <w:fldChar w:fldCharType="separate"/>
      </w:r>
      <w:r>
        <w:rPr>
          <w:rFonts w:ascii="Times New Roman" w:hAnsi="Times New Roman" w:cs="Times New Roman"/>
          <w:noProof/>
          <w:position w:val="0"/>
          <w:sz w:val="24"/>
          <w:szCs w:val="24"/>
        </w:rPr>
        <w:t>(Chen et al., 2018)</w:t>
      </w:r>
      <w:r>
        <w:rPr>
          <w:rFonts w:ascii="Times New Roman" w:hAnsi="Times New Roman" w:cs="Times New Roman"/>
          <w:position w:val="0"/>
          <w:sz w:val="24"/>
          <w:szCs w:val="24"/>
        </w:rPr>
        <w:fldChar w:fldCharType="end"/>
      </w:r>
      <w:r>
        <w:rPr>
          <w:rFonts w:ascii="Times New Roman" w:hAnsi="Times New Roman" w:cs="Times New Roman"/>
          <w:position w:val="0"/>
          <w:sz w:val="24"/>
          <w:szCs w:val="24"/>
        </w:rPr>
        <w:t xml:space="preserve">. Menurut </w:t>
      </w:r>
      <w:r>
        <w:rPr>
          <w:rFonts w:ascii="Times New Roman" w:hAnsi="Times New Roman" w:cs="Times New Roman"/>
          <w:position w:val="0"/>
          <w:sz w:val="24"/>
          <w:szCs w:val="24"/>
        </w:rPr>
        <w:fldChar w:fldCharType="begin"/>
      </w:r>
      <w:r>
        <w:rPr>
          <w:rFonts w:ascii="Times New Roman" w:hAnsi="Times New Roman" w:cs="Times New Roman"/>
          <w:position w:val="0"/>
          <w:sz w:val="24"/>
          <w:szCs w:val="24"/>
        </w:rPr>
        <w:instrText>ADDIN CSL_CITATION {"citationItems":[{"id":"ITEM-1","itemData":{"DOI":"10.3390/land9100373","ISSN":"2073445X","abstract":"Drastic growth of urban populations has caused expansion of peri-urban areas—the transitional zone between a city and its hinterland. Although urbanisation may bring economic opportunities and improve infrastructure in an area, uncontrolled urban expansion towards peri-urban areas will negatively impact the environment and the community living within the area. Malaysia, for example, has become one of the most urbanised countries in East Asia. However, cities in Malaysia are relatively small and less densely populated compared with other cities in East Asia. This indicates that urban expansion has been sprawling towards peri-urban areas, and not being controlled and properly managed. To ensure urban expansions occur sustainably, urban growth boundary (UGB) can potentially be used as a mechanism to contain and limit urban expansion, and allow urban growth to be planned to achieve sustainable development. A scientific approach is essential to determine an UGB that allows future growth to be predicted and taken into consideration. Potentially, urban spatial models have been widely used to plan and predict future urban expansions. George Town Conurbation, the second largest urban conurbation in Malaysia, has been chosen as the study area in this study. This study aims to demonstrate the application of a GIS-Cellular Automata model, known as FutureSim, which was developed to simulate land cover changes and generate a designated UGB for this area. The model was developed based on the transition rule derived from land cover changes, from 2010 to 2018, and then used to predict future land cover changes under two different planning scenarios—compact growth and urban sprawl scenarios. With the accuracy of the model exceeding 74%, FutureSim was used to predict land cover change until 2030. The model can potentially be used to assist planners and policymakers to make decisions on the allocation of sustainable land use and planning for rapidly developing regions.","author":[{"dropping-particle":"","family":"Samat","given":"Narimah","non-dropping-particle":"","parse-names":false,"suffix":""},{"dropping-particle":"","family":"Mahamud","given":"Mohd Amirul","non-dropping-particle":"","parse-names":false,"suffix":""},{"dropping-particle":"","family":"Tan","given":"Mou Leong","non-dropping-particle":"","parse-names":false,"suffix":""},{"dropping-particle":"","family":"Tilaki","given":"Mohammad Javad Maghsoodi","non-dropping-particle":"","parse-names":false,"suffix":""},{"dropping-particle":"","family":"Tew","given":"Yi Lin","non-dropping-particle":"","parse-names":false,"suffix":""}],"container-title":"Land","id":"ITEM-1","issue":"10","issued":{"date-parts":[["2020"]]},"page":"1-16","title":"Modelling land cover changes in peri-urban areas: A case study of george town conurbation, malaysia","type":"article-journal","volume":"9"},"uris":["http://www.mendeley.com/documents/?uuid=0fde2cbb-5d22-4ba6-9d2b-4b5c108a3b15"]}],"mendeley":{"formattedCitation":"(Samat et al., 2020)","manualFormatting":"Samat et al (2020)","plainTextFormattedCitation":"(Samat et al., 2020)","previouslyFormattedCitation":"(Samat et al., 2020)"},"properties":{"noteIndex":0},"schema":"https://github.com/citation-style-language/schema/raw/master/csl-citation.json"}</w:instrText>
      </w:r>
      <w:r>
        <w:rPr>
          <w:rFonts w:ascii="Times New Roman" w:hAnsi="Times New Roman" w:cs="Times New Roman"/>
          <w:position w:val="0"/>
          <w:sz w:val="24"/>
          <w:szCs w:val="24"/>
        </w:rPr>
        <w:fldChar w:fldCharType="separate"/>
      </w:r>
      <w:r>
        <w:rPr>
          <w:rFonts w:ascii="Times New Roman" w:hAnsi="Times New Roman" w:cs="Times New Roman"/>
          <w:noProof/>
          <w:position w:val="0"/>
          <w:sz w:val="24"/>
          <w:szCs w:val="24"/>
        </w:rPr>
        <w:t>Samat et al. (2020)</w:t>
      </w:r>
      <w:r>
        <w:rPr>
          <w:rFonts w:ascii="Times New Roman" w:hAnsi="Times New Roman" w:cs="Times New Roman"/>
          <w:position w:val="0"/>
          <w:sz w:val="24"/>
          <w:szCs w:val="24"/>
        </w:rPr>
        <w:fldChar w:fldCharType="end"/>
      </w:r>
      <w:r>
        <w:rPr>
          <w:rFonts w:ascii="Times New Roman" w:hAnsi="Times New Roman" w:cs="Times New Roman"/>
          <w:position w:val="0"/>
          <w:sz w:val="24"/>
          <w:szCs w:val="24"/>
        </w:rPr>
        <w:t>, kawasan bandar berkembang ke kawasan pinggir bandar seiring dengan pertumbuhan penduduk dunia.</w:t>
      </w:r>
    </w:p>
    <w:p w14:paraId="63D95010" w14:textId="77777777" w:rsidR="00B027A9" w:rsidRDefault="00AE2895">
      <w:pPr>
        <w:suppressAutoHyphens w:val="0"/>
        <w:spacing w:after="0" w:line="240" w:lineRule="auto"/>
        <w:ind w:leftChars="0" w:left="0" w:firstLineChars="0" w:firstLine="720"/>
        <w:jc w:val="both"/>
        <w:textDirection w:val="lrTb"/>
        <w:textAlignment w:val="auto"/>
        <w:outlineLvl w:val="9"/>
        <w:rPr>
          <w:rFonts w:ascii="Times New Roman" w:hAnsi="Times New Roman" w:cs="Times New Roman"/>
          <w:position w:val="0"/>
          <w:sz w:val="24"/>
          <w:szCs w:val="24"/>
        </w:rPr>
      </w:pPr>
      <w:r>
        <w:rPr>
          <w:rFonts w:ascii="Times New Roman" w:hAnsi="Times New Roman" w:cs="Times New Roman"/>
          <w:position w:val="0"/>
          <w:sz w:val="24"/>
          <w:szCs w:val="24"/>
        </w:rPr>
        <w:t>Negara Malaysia merupakan salah satu negara Asia Timur yang paling padat dengan urbanisasi dan salah satu kawasan metropolitan yang paling pesat berkembang di dunia. Pada tahun 1991, 50.4% penduduk tinggal di kawasan bandar, menjadikan Malaysia sebagai sebuah negara berbandar. Perkadaran penduduk yang tinggal di kawasan bandar telah meningkat secara berterusan dan mencapai 65% pada tahun 2010 serta 75% pada tahun 2020 (Samat et al., 2020). Pulau Pinang juga mengalami perkembangan pesat sejak beberapa dekad yang lalu. Ia juga merupakan pulau yang berpopulasi tinggi di negara ini, dengan anggaran penduduk 720,000 orang. Oleh itu, ianya padat dengan jalan raya, bangunan, konkrit, pangsapuri dan sejumlah besar kenderaan</w:t>
      </w:r>
    </w:p>
    <w:p w14:paraId="22E15A98" w14:textId="551E3C23" w:rsidR="00B027A9" w:rsidRDefault="00AE2895">
      <w:pPr>
        <w:suppressAutoHyphens w:val="0"/>
        <w:spacing w:after="0" w:line="240" w:lineRule="auto"/>
        <w:ind w:leftChars="0" w:left="0" w:firstLineChars="0" w:firstLine="720"/>
        <w:jc w:val="both"/>
        <w:textDirection w:val="lrTb"/>
        <w:textAlignment w:val="auto"/>
        <w:outlineLvl w:val="9"/>
        <w:rPr>
          <w:rFonts w:ascii="Times New Roman" w:hAnsi="Times New Roman" w:cs="Times New Roman"/>
          <w:position w:val="0"/>
          <w:sz w:val="24"/>
          <w:szCs w:val="24"/>
        </w:rPr>
      </w:pPr>
      <w:r>
        <w:rPr>
          <w:rFonts w:ascii="Times New Roman" w:hAnsi="Times New Roman" w:cs="Times New Roman"/>
          <w:position w:val="0"/>
          <w:sz w:val="24"/>
          <w:szCs w:val="24"/>
        </w:rPr>
        <w:t xml:space="preserve">Menurut </w:t>
      </w:r>
      <w:r>
        <w:rPr>
          <w:rFonts w:ascii="Times New Roman" w:hAnsi="Times New Roman" w:cs="Times New Roman"/>
          <w:position w:val="0"/>
          <w:sz w:val="24"/>
          <w:szCs w:val="24"/>
        </w:rPr>
        <w:fldChar w:fldCharType="begin"/>
      </w:r>
      <w:r>
        <w:rPr>
          <w:rFonts w:ascii="Times New Roman" w:hAnsi="Times New Roman" w:cs="Times New Roman"/>
          <w:position w:val="0"/>
          <w:sz w:val="24"/>
          <w:szCs w:val="24"/>
        </w:rPr>
        <w:instrText>ADDIN CSL_CITATION {"citationItems":[{"id":"ITEM-1","itemData":{"DOI":"10.1016/j.foar.2019.09.001","ISSN":"20952635","abstract":"George Town is a significant World Heritage Site in the Straits of Malacca. This paper examined the evolution of urban morphology in George Town within geography, politics, economy, and culture in a horizontal dimension and layer upon layer in a vertical dimension. In this study, to ensure the objectives are achieved, qualitative methods will be applied including several approaches such as literature review, interpretation of archives chronologically, maps study, census returns, trade directories, photographs and postcards, and urban master plan study. The research is based on the analysis of urban construction, land use, economic development, and municipal policies. First, study the urban morphology in a specific period, and construct the inner layer structure in each period. Second, an analogy is drawn among the evolution of the urban morphology by time-scale, this section focusses on the historical conjunctures and events related to the urban construction. An important contribution can be made to the conservation and management of urban built heritage in George Town, on the one hand, explaining the evolution of urban morphology by examining George Town's physical and spatial environment, and in turn, on the other hand, understanding about the physical and spatial environment by examining the urban morphology.","author":[{"dropping-particle":"","family":"Zhao","given":"Long","non-dropping-particle":"","parse-names":false,"suffix":""},{"dropping-particle":"Bin","family":"Wong","given":"Wun","non-dropping-particle":"","parse-names":false,"suffix":""},{"dropping-particle":"Bin","family":"Hanafi","given":"Zulkifli","non-dropping-particle":"","parse-names":false,"suffix":""}],"container-title":"Frontiers of Architectural Research","id":"ITEM-1","issue":"4","issued":{"date-parts":[["2019"]]},"page":"513-534","publisher":"Elsevier Ltd","title":"The evolution of George Town's urban morphology in the Straits of Malacca, late 18th century-early 21st century","type":"article-journal","volume":"8"},"uris":["http://www.mendeley.com/documents/?uuid=5348a1a5-d7be-4c5a-b67a-765885407de6"]}],"mendeley":{"formattedCitation":"(Zhao et al., 2019)","manualFormatting":"Zhao et al (2019)","plainTextFormattedCitation":"(Zhao et al., 2019)","previouslyFormattedCitation":"(Zhao et al., 2019)"},"properties":{"noteIndex":0},"schema":"https://github.com/citation-style-language/schema/raw/master/csl-citation.json"}</w:instrText>
      </w:r>
      <w:r>
        <w:rPr>
          <w:rFonts w:ascii="Times New Roman" w:hAnsi="Times New Roman" w:cs="Times New Roman"/>
          <w:position w:val="0"/>
          <w:sz w:val="24"/>
          <w:szCs w:val="24"/>
        </w:rPr>
        <w:fldChar w:fldCharType="separate"/>
      </w:r>
      <w:r>
        <w:rPr>
          <w:rFonts w:ascii="Times New Roman" w:hAnsi="Times New Roman" w:cs="Times New Roman"/>
          <w:noProof/>
          <w:position w:val="0"/>
          <w:sz w:val="24"/>
          <w:szCs w:val="24"/>
        </w:rPr>
        <w:t>Zhao et al. (2019)</w:t>
      </w:r>
      <w:r>
        <w:rPr>
          <w:rFonts w:ascii="Times New Roman" w:hAnsi="Times New Roman" w:cs="Times New Roman"/>
          <w:position w:val="0"/>
          <w:sz w:val="24"/>
          <w:szCs w:val="24"/>
        </w:rPr>
        <w:fldChar w:fldCharType="end"/>
      </w:r>
      <w:r>
        <w:rPr>
          <w:rFonts w:ascii="Times New Roman" w:hAnsi="Times New Roman" w:cs="Times New Roman"/>
          <w:position w:val="0"/>
          <w:sz w:val="24"/>
          <w:szCs w:val="24"/>
        </w:rPr>
        <w:t>, pembangunan urbanisasi bermula pada akhir abad kelapan belas di tanjung timur laut, kawasan tertua di George Town. Walaupun pada hakikatnya bandar itu memperoleh beberapa tanah yang boleh diakses melalui operasi penambakan di kawasan paya dan tebing lumpur selatan, pertumbuhan bandar bagaimana</w:t>
      </w:r>
      <w:r w:rsidR="0024368E">
        <w:rPr>
          <w:rFonts w:ascii="Times New Roman" w:hAnsi="Times New Roman" w:cs="Times New Roman"/>
          <w:position w:val="0"/>
          <w:sz w:val="24"/>
          <w:szCs w:val="24"/>
        </w:rPr>
        <w:t xml:space="preserve"> </w:t>
      </w:r>
      <w:r>
        <w:rPr>
          <w:rFonts w:ascii="Times New Roman" w:hAnsi="Times New Roman" w:cs="Times New Roman"/>
          <w:position w:val="0"/>
          <w:sz w:val="24"/>
          <w:szCs w:val="24"/>
        </w:rPr>
        <w:t xml:space="preserve">pun dibelenggu oleh kekurangan tanah. Seluruh pantai timur telah menjadi bandar pada akhir abad kedua puluh. Malaysia telah menyaksikan perubahan ketara dan drastik dalam pengembangan bandar sejak dua dekad yang lalu akibat daripada pertumbuhan dalam sektor perindustrian dan kediaman di Pulau Pinang. </w:t>
      </w:r>
      <w:r>
        <w:rPr>
          <w:rFonts w:ascii="Times New Roman" w:hAnsi="Times New Roman" w:cs="Times New Roman"/>
          <w:position w:val="0"/>
          <w:sz w:val="24"/>
          <w:szCs w:val="24"/>
        </w:rPr>
        <w:fldChar w:fldCharType="begin"/>
      </w:r>
      <w:r>
        <w:rPr>
          <w:rFonts w:ascii="Times New Roman" w:hAnsi="Times New Roman" w:cs="Times New Roman"/>
          <w:position w:val="0"/>
          <w:sz w:val="24"/>
          <w:szCs w:val="24"/>
        </w:rPr>
        <w:instrText>ADDIN CSL_CITATION {"citationItems":[{"id":"ITEM-1","itemData":{"DOI":"10.17576/jsm-2019-4811-02","ISSN":"01266039","abstract":"Urban expansion mapping is important in urban planning, land use and water resources management. The purpose of this study is to evaluate the spatio-Temporal trends of urban expansion in Penang using three Landsat satellite images taken in 2004, 2011 and 2018. Maximum Likelihood was used to classify the land uses into urban, agricultural, water, and forest. Comparison of the classified images with time-series Google Earth images and field data collection resulting an accuracy up to 90%. The results showed that urban have been expanded around 5% from 2004 to 2018. Major urban development is mainly found in the eastern part of Penang island. Meanwhile, major development in the Penang mainland can be found in the middle and western regions. Due to the limited development land on the Penang Island, a rapid urban expansion can be found in the south-western part of the Penang mainland that near to the second bridge. In order to maintain the city and community sustainability in Penang, government needs to plan on balanced socio-economic growth for the near future.","author":[{"dropping-particle":"","family":"Tew","given":"Yi Lin","non-dropping-particle":"","parse-names":false,"suffix":""},{"dropping-particle":"","family":"Tan","given":"Mou Leong","non-dropping-particle":"","parse-names":false,"suffix":""},{"dropping-particle":"","family":"Samat","given":"Narimah","non-dropping-particle":"","parse-names":false,"suffix":""},{"dropping-particle":"","family":"Yang","given":"Xiaoying","non-dropping-particle":"","parse-names":false,"suffix":""}],"container-title":"Sains Malaysiana","id":"ITEM-1","issue":"11","issued":{"date-parts":[["2019"]]},"page":"2307-2315","title":"Urban expansion analysis using landsat images in Penang, malaysia","type":"article-journal","volume":"48"},"uris":["http://www.mendeley.com/documents/?uuid=31aa34a2-b784-4155-8e8e-51921b74d35d"]}],"mendeley":{"formattedCitation":"(Tew et al., 2019)","manualFormatting":"Tew et al (2019)","plainTextFormattedCitation":"(Tew et al., 2019)","previouslyFormattedCitation":"(Tew et al., 2019)"},"properties":{"noteIndex":0},"schema":"https://github.com/citation-style-language/schema/raw/master/csl-citation.json"}</w:instrText>
      </w:r>
      <w:r>
        <w:rPr>
          <w:rFonts w:ascii="Times New Roman" w:hAnsi="Times New Roman" w:cs="Times New Roman"/>
          <w:position w:val="0"/>
          <w:sz w:val="24"/>
          <w:szCs w:val="24"/>
        </w:rPr>
        <w:fldChar w:fldCharType="separate"/>
      </w:r>
      <w:r>
        <w:rPr>
          <w:rFonts w:ascii="Times New Roman" w:hAnsi="Times New Roman" w:cs="Times New Roman"/>
          <w:noProof/>
          <w:position w:val="0"/>
          <w:sz w:val="24"/>
          <w:szCs w:val="24"/>
        </w:rPr>
        <w:t>Tew et al. (2019)</w:t>
      </w:r>
      <w:r>
        <w:rPr>
          <w:rFonts w:ascii="Times New Roman" w:hAnsi="Times New Roman" w:cs="Times New Roman"/>
          <w:position w:val="0"/>
          <w:sz w:val="24"/>
          <w:szCs w:val="24"/>
        </w:rPr>
        <w:fldChar w:fldCharType="end"/>
      </w:r>
      <w:r>
        <w:rPr>
          <w:rFonts w:ascii="Times New Roman" w:hAnsi="Times New Roman" w:cs="Times New Roman"/>
          <w:position w:val="0"/>
          <w:sz w:val="24"/>
          <w:szCs w:val="24"/>
        </w:rPr>
        <w:t xml:space="preserve">, juga menyatakan dalam kajian mereka bahawa terdapat pembangunan pesat kawasan urbanisasi di Pulau Pinang sejak dari tahun 2004 hingga 2018. Ramai sarjana telah menumpukan perhatian kepada pembandaran dan pengaruhnya terhadap wilayah tempatan dalam beberapa dekad yang lalu. Jadi, kajian ini memfokuskan kepada hubungan antara trend suhu dan perkembangan kawasan bandar.  </w:t>
      </w:r>
    </w:p>
    <w:p w14:paraId="3A5D3875" w14:textId="77777777" w:rsidR="00B027A9" w:rsidRDefault="00B027A9">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4"/>
          <w:szCs w:val="24"/>
        </w:rPr>
      </w:pPr>
    </w:p>
    <w:p w14:paraId="254BC609" w14:textId="77777777" w:rsidR="00B027A9" w:rsidRDefault="00B027A9">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4"/>
          <w:szCs w:val="24"/>
        </w:rPr>
      </w:pPr>
    </w:p>
    <w:p w14:paraId="66F8FF77" w14:textId="77777777" w:rsidR="00B027A9" w:rsidRDefault="00AE2895">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b/>
          <w:position w:val="0"/>
          <w:sz w:val="24"/>
          <w:szCs w:val="24"/>
        </w:rPr>
      </w:pPr>
      <w:r>
        <w:rPr>
          <w:rFonts w:ascii="Times New Roman" w:hAnsi="Times New Roman" w:cs="Times New Roman"/>
          <w:b/>
          <w:position w:val="0"/>
          <w:sz w:val="24"/>
          <w:szCs w:val="24"/>
        </w:rPr>
        <w:t>Metodologi dan kawasan kajian</w:t>
      </w:r>
    </w:p>
    <w:p w14:paraId="796D5AE8" w14:textId="77777777" w:rsidR="00B027A9" w:rsidRDefault="00B027A9">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b/>
          <w:position w:val="0"/>
          <w:sz w:val="24"/>
          <w:szCs w:val="24"/>
        </w:rPr>
      </w:pPr>
    </w:p>
    <w:p w14:paraId="73457EF3" w14:textId="77777777" w:rsidR="00B027A9" w:rsidRDefault="00AE2895">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i/>
          <w:position w:val="0"/>
          <w:sz w:val="24"/>
          <w:szCs w:val="24"/>
        </w:rPr>
      </w:pPr>
      <w:r>
        <w:rPr>
          <w:rFonts w:ascii="Times New Roman" w:hAnsi="Times New Roman" w:cs="Times New Roman"/>
          <w:i/>
          <w:position w:val="0"/>
          <w:sz w:val="24"/>
          <w:szCs w:val="24"/>
        </w:rPr>
        <w:t>Analisis perubahan guna tanah</w:t>
      </w:r>
    </w:p>
    <w:p w14:paraId="4C24161B" w14:textId="77777777" w:rsidR="00B027A9" w:rsidRDefault="00B027A9">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i/>
          <w:position w:val="0"/>
          <w:sz w:val="24"/>
          <w:szCs w:val="24"/>
        </w:rPr>
      </w:pPr>
    </w:p>
    <w:p w14:paraId="1F70DDF5" w14:textId="26E0C070" w:rsidR="00B027A9" w:rsidRDefault="00AE2895">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4"/>
          <w:szCs w:val="24"/>
        </w:rPr>
      </w:pPr>
      <w:r>
        <w:rPr>
          <w:rFonts w:ascii="Times New Roman" w:hAnsi="Times New Roman" w:cs="Times New Roman"/>
          <w:position w:val="0"/>
          <w:sz w:val="24"/>
          <w:szCs w:val="24"/>
        </w:rPr>
        <w:t xml:space="preserve">Tanah merupakan sumber semula jadi penting yang digunakan untuk menanam tanaman, penempatan penduduk, membina empangan dan kawasan takungan air, membangunkan perniagaan, dan memelihara hutan, serta yang lain.  Ciri guna tanah menentukan nilai atau potensi </w:t>
      </w:r>
      <w:r>
        <w:rPr>
          <w:rFonts w:ascii="Times New Roman" w:hAnsi="Times New Roman" w:cs="Times New Roman"/>
          <w:position w:val="0"/>
          <w:sz w:val="24"/>
          <w:szCs w:val="24"/>
        </w:rPr>
        <w:lastRenderedPageBreak/>
        <w:t xml:space="preserve">ekonomi sesebuah wilayah </w:t>
      </w:r>
      <w:r>
        <w:rPr>
          <w:rFonts w:ascii="Times New Roman" w:hAnsi="Times New Roman" w:cs="Times New Roman"/>
          <w:position w:val="0"/>
          <w:sz w:val="24"/>
          <w:szCs w:val="24"/>
        </w:rPr>
        <w:fldChar w:fldCharType="begin"/>
      </w:r>
      <w:r>
        <w:rPr>
          <w:rFonts w:ascii="Times New Roman" w:hAnsi="Times New Roman" w:cs="Times New Roman"/>
          <w:position w:val="0"/>
          <w:sz w:val="24"/>
          <w:szCs w:val="24"/>
        </w:rPr>
        <w:instrText>ADDIN CSL_CITATION {"citationItems":[{"id":"ITEM-1","itemData":{"DOI":"10.13140/RG.2.2.22403.09763","author":[{"dropping-particle":"","family":"Balasubramanian","given":"Prof.A.","non-dropping-particle":"","parse-names":false,"suffix":""}],"id":"ITEM-1","issue":"2","issued":{"date-parts":[["2006"]]},"number-of-pages":"1-7","title":"Categories of Land Use","type":"report","volume":"2"},"uris":["http://www.mendeley.com/documents/?uuid=26c370fe-2f67-482f-b994-696b63fba235"]}],"mendeley":{"formattedCitation":"(Balasubramanian, 2006)","plainTextFormattedCitation":"(Balasubramanian, 2006)","previouslyFormattedCitation":"(Balasubramanian, 2006)"},"properties":{"noteIndex":0},"schema":"https://github.com/citation-style-language/schema/raw/master/csl-citation.json"}</w:instrText>
      </w:r>
      <w:r>
        <w:rPr>
          <w:rFonts w:ascii="Times New Roman" w:hAnsi="Times New Roman" w:cs="Times New Roman"/>
          <w:position w:val="0"/>
          <w:sz w:val="24"/>
          <w:szCs w:val="24"/>
        </w:rPr>
        <w:fldChar w:fldCharType="separate"/>
      </w:r>
      <w:r>
        <w:rPr>
          <w:rFonts w:ascii="Times New Roman" w:hAnsi="Times New Roman" w:cs="Times New Roman"/>
          <w:noProof/>
          <w:position w:val="0"/>
          <w:sz w:val="24"/>
          <w:szCs w:val="24"/>
        </w:rPr>
        <w:t>(Balasubramanian, 2006)</w:t>
      </w:r>
      <w:r>
        <w:rPr>
          <w:rFonts w:ascii="Times New Roman" w:hAnsi="Times New Roman" w:cs="Times New Roman"/>
          <w:position w:val="0"/>
          <w:sz w:val="24"/>
          <w:szCs w:val="24"/>
        </w:rPr>
        <w:fldChar w:fldCharType="end"/>
      </w:r>
      <w:r>
        <w:rPr>
          <w:rFonts w:ascii="Times New Roman" w:hAnsi="Times New Roman" w:cs="Times New Roman"/>
          <w:position w:val="0"/>
          <w:sz w:val="24"/>
          <w:szCs w:val="24"/>
        </w:rPr>
        <w:t xml:space="preserve">. Dalam kajian ini, peta guna tanah Pulau Pinang bagi enam tahun digunakan iaitu 1966, 1974, 1984, 1997, 2008 dan 2015. Peta guna tanah Pulau Pinang digunakan untuk mengesan perubahan kelas guna tanah sejak tahun 1966 sehingga 2015. Terdapat empat guna tanah utama yang dikenal pasti dalam kajian ini, iaitu kawasan binaan, pertanian, tanah hutan dan badan air. Kawasan binaan digunakan sebagai penunjuk pembandaran dalam kajian ini. Jadual 1 menunjukkan senarai empat kelas guna tanah utama yang digunakan dalam kajian ini. Peta guna tanah bagi tempoh enam tahun telah dikumpul daripada Jabatan Pertanian Malaysia. </w:t>
      </w:r>
      <w:r w:rsidR="00A41C67">
        <w:rPr>
          <w:rFonts w:ascii="Times New Roman" w:hAnsi="Times New Roman" w:cs="Times New Roman"/>
          <w:position w:val="0"/>
          <w:sz w:val="24"/>
          <w:szCs w:val="24"/>
        </w:rPr>
        <w:t>B</w:t>
      </w:r>
      <w:r>
        <w:rPr>
          <w:rFonts w:ascii="Times New Roman" w:hAnsi="Times New Roman" w:cs="Times New Roman"/>
          <w:position w:val="0"/>
          <w:sz w:val="24"/>
          <w:szCs w:val="24"/>
        </w:rPr>
        <w:t>agi mengenalpasti perubahan guna tanah di Pulau Pinang dari tahun 1966 hingga 2015, peta telah didigitasikan menggunakan perisian ArcMap (GIS), versi 10.4.1. Pengekodan warna juga dilakukan pada peta guna tanah mengikut piawaian yang ditetapkan oleh Plan Malaysia. Manual yang digunakan ialah versi 2.0. Keluasan setiap kelas guna tanah juga telah dikira dalam perisian ArcMap.</w:t>
      </w:r>
    </w:p>
    <w:p w14:paraId="47FFB2CE" w14:textId="77777777" w:rsidR="00B027A9" w:rsidRDefault="00B027A9">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4"/>
          <w:szCs w:val="24"/>
        </w:rPr>
      </w:pPr>
    </w:p>
    <w:p w14:paraId="377B6885" w14:textId="77777777" w:rsidR="00B027A9" w:rsidRDefault="00AE2895">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4"/>
        </w:rPr>
      </w:pPr>
      <w:r>
        <w:rPr>
          <w:rFonts w:ascii="Times New Roman" w:hAnsi="Times New Roman" w:cs="Times New Roman"/>
          <w:b/>
          <w:position w:val="0"/>
          <w:sz w:val="20"/>
          <w:szCs w:val="24"/>
        </w:rPr>
        <w:t>Jadual 1.</w:t>
      </w:r>
      <w:r>
        <w:rPr>
          <w:rFonts w:ascii="Times New Roman" w:hAnsi="Times New Roman" w:cs="Times New Roman"/>
          <w:position w:val="0"/>
          <w:sz w:val="20"/>
          <w:szCs w:val="24"/>
        </w:rPr>
        <w:t xml:space="preserve"> Kelas guna tanah</w:t>
      </w:r>
    </w:p>
    <w:p w14:paraId="14658E6F" w14:textId="77777777" w:rsidR="00B027A9" w:rsidRDefault="00B027A9">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4"/>
        </w:rPr>
      </w:pPr>
    </w:p>
    <w:tbl>
      <w:tblPr>
        <w:tblStyle w:val="TableGrid1"/>
        <w:tblW w:w="58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0"/>
        <w:gridCol w:w="4002"/>
      </w:tblGrid>
      <w:tr w:rsidR="00B027A9" w14:paraId="79E517B7" w14:textId="77777777">
        <w:trPr>
          <w:trHeight w:val="156"/>
          <w:jc w:val="center"/>
        </w:trPr>
        <w:tc>
          <w:tcPr>
            <w:tcW w:w="1810" w:type="dxa"/>
            <w:tcBorders>
              <w:top w:val="single" w:sz="4" w:space="0" w:color="auto"/>
              <w:bottom w:val="single" w:sz="4" w:space="0" w:color="auto"/>
            </w:tcBorders>
            <w:shd w:val="clear" w:color="auto" w:fill="8DB3E2"/>
            <w:hideMark/>
          </w:tcPr>
          <w:p w14:paraId="1716032E" w14:textId="77777777" w:rsidR="00B027A9" w:rsidRDefault="00AE2895">
            <w:pPr>
              <w:suppressAutoHyphens w:val="0"/>
              <w:ind w:leftChars="0" w:left="0" w:firstLineChars="0" w:firstLine="0"/>
              <w:jc w:val="center"/>
              <w:textDirection w:val="lrTb"/>
              <w:textAlignment w:val="auto"/>
              <w:outlineLvl w:val="9"/>
              <w:rPr>
                <w:rFonts w:ascii="Times New Roman" w:hAnsi="Times New Roman"/>
                <w:b/>
                <w:position w:val="0"/>
                <w:sz w:val="20"/>
                <w:szCs w:val="24"/>
              </w:rPr>
            </w:pPr>
            <w:r>
              <w:rPr>
                <w:rFonts w:ascii="Times New Roman" w:eastAsia="Times New Roman" w:hAnsi="Times New Roman"/>
                <w:b/>
                <w:position w:val="0"/>
                <w:sz w:val="20"/>
                <w:szCs w:val="24"/>
              </w:rPr>
              <w:t>Kelas guna tanah</w:t>
            </w:r>
          </w:p>
        </w:tc>
        <w:tc>
          <w:tcPr>
            <w:tcW w:w="4002" w:type="dxa"/>
            <w:tcBorders>
              <w:top w:val="single" w:sz="4" w:space="0" w:color="auto"/>
              <w:bottom w:val="single" w:sz="4" w:space="0" w:color="auto"/>
            </w:tcBorders>
            <w:shd w:val="clear" w:color="auto" w:fill="8DB3E2"/>
            <w:hideMark/>
          </w:tcPr>
          <w:p w14:paraId="4284C0CC" w14:textId="77777777" w:rsidR="00B027A9" w:rsidRDefault="00AE2895">
            <w:pPr>
              <w:suppressAutoHyphens w:val="0"/>
              <w:ind w:leftChars="0" w:left="0" w:firstLineChars="0" w:firstLine="0"/>
              <w:jc w:val="center"/>
              <w:textDirection w:val="lrTb"/>
              <w:textAlignment w:val="auto"/>
              <w:outlineLvl w:val="9"/>
              <w:rPr>
                <w:rFonts w:ascii="Times New Roman" w:hAnsi="Times New Roman"/>
                <w:b/>
                <w:position w:val="0"/>
                <w:sz w:val="20"/>
                <w:szCs w:val="24"/>
              </w:rPr>
            </w:pPr>
            <w:r>
              <w:rPr>
                <w:rFonts w:ascii="Times New Roman" w:eastAsia="Times New Roman" w:hAnsi="Times New Roman"/>
                <w:b/>
                <w:position w:val="0"/>
                <w:sz w:val="20"/>
                <w:szCs w:val="24"/>
              </w:rPr>
              <w:t>Penerangan</w:t>
            </w:r>
          </w:p>
        </w:tc>
      </w:tr>
      <w:tr w:rsidR="00B027A9" w14:paraId="64C95899" w14:textId="77777777">
        <w:trPr>
          <w:trHeight w:val="201"/>
          <w:jc w:val="center"/>
        </w:trPr>
        <w:tc>
          <w:tcPr>
            <w:tcW w:w="1810" w:type="dxa"/>
            <w:tcBorders>
              <w:top w:val="single" w:sz="4" w:space="0" w:color="auto"/>
            </w:tcBorders>
            <w:hideMark/>
          </w:tcPr>
          <w:p w14:paraId="64CBBDDE" w14:textId="77777777" w:rsidR="00B027A9" w:rsidRDefault="00AE2895">
            <w:pPr>
              <w:suppressAutoHyphens w:val="0"/>
              <w:ind w:leftChars="0" w:left="0" w:firstLineChars="0" w:firstLine="0"/>
              <w:jc w:val="center"/>
              <w:textDirection w:val="lrTb"/>
              <w:textAlignment w:val="auto"/>
              <w:outlineLvl w:val="9"/>
              <w:rPr>
                <w:rFonts w:ascii="Times New Roman" w:hAnsi="Times New Roman"/>
                <w:position w:val="0"/>
                <w:sz w:val="20"/>
                <w:szCs w:val="24"/>
              </w:rPr>
            </w:pPr>
            <w:r>
              <w:rPr>
                <w:rFonts w:ascii="Times New Roman" w:eastAsia="Times New Roman" w:hAnsi="Times New Roman"/>
                <w:position w:val="0"/>
                <w:sz w:val="20"/>
                <w:szCs w:val="24"/>
              </w:rPr>
              <w:t>Binaan</w:t>
            </w:r>
          </w:p>
        </w:tc>
        <w:tc>
          <w:tcPr>
            <w:tcW w:w="4002" w:type="dxa"/>
            <w:tcBorders>
              <w:top w:val="single" w:sz="4" w:space="0" w:color="auto"/>
            </w:tcBorders>
            <w:hideMark/>
          </w:tcPr>
          <w:p w14:paraId="773FC72F" w14:textId="77777777" w:rsidR="00B027A9" w:rsidRDefault="00AE2895">
            <w:pPr>
              <w:suppressAutoHyphens w:val="0"/>
              <w:ind w:leftChars="0" w:left="0" w:firstLineChars="0" w:firstLine="0"/>
              <w:jc w:val="center"/>
              <w:textDirection w:val="lrTb"/>
              <w:textAlignment w:val="auto"/>
              <w:outlineLvl w:val="9"/>
              <w:rPr>
                <w:rFonts w:ascii="Times New Roman" w:hAnsi="Times New Roman"/>
                <w:position w:val="0"/>
                <w:sz w:val="20"/>
                <w:szCs w:val="24"/>
              </w:rPr>
            </w:pPr>
            <w:r>
              <w:rPr>
                <w:rFonts w:ascii="Times New Roman" w:hAnsi="Times New Roman"/>
                <w:position w:val="0"/>
                <w:sz w:val="20"/>
                <w:szCs w:val="24"/>
              </w:rPr>
              <w:t>Bandar, kawasan kediaman, kawasan perindustrian, institusi dan kemudahan awam</w:t>
            </w:r>
          </w:p>
        </w:tc>
      </w:tr>
      <w:tr w:rsidR="00B027A9" w14:paraId="4CD2ED0E" w14:textId="77777777">
        <w:trPr>
          <w:trHeight w:val="106"/>
          <w:jc w:val="center"/>
        </w:trPr>
        <w:tc>
          <w:tcPr>
            <w:tcW w:w="1810" w:type="dxa"/>
            <w:hideMark/>
          </w:tcPr>
          <w:p w14:paraId="1B58CF9C" w14:textId="77777777" w:rsidR="00B027A9" w:rsidRDefault="00AE2895">
            <w:pPr>
              <w:suppressAutoHyphens w:val="0"/>
              <w:ind w:leftChars="0" w:left="0" w:firstLineChars="0" w:firstLine="0"/>
              <w:jc w:val="center"/>
              <w:textDirection w:val="lrTb"/>
              <w:textAlignment w:val="auto"/>
              <w:outlineLvl w:val="9"/>
              <w:rPr>
                <w:rFonts w:ascii="Times New Roman" w:hAnsi="Times New Roman"/>
                <w:position w:val="0"/>
                <w:sz w:val="20"/>
                <w:szCs w:val="24"/>
              </w:rPr>
            </w:pPr>
            <w:r>
              <w:rPr>
                <w:rFonts w:ascii="Times New Roman" w:eastAsia="Times New Roman" w:hAnsi="Times New Roman"/>
                <w:position w:val="0"/>
                <w:sz w:val="20"/>
                <w:szCs w:val="24"/>
              </w:rPr>
              <w:t>Pertanian</w:t>
            </w:r>
          </w:p>
        </w:tc>
        <w:tc>
          <w:tcPr>
            <w:tcW w:w="4002" w:type="dxa"/>
            <w:hideMark/>
          </w:tcPr>
          <w:p w14:paraId="392147F9" w14:textId="77777777" w:rsidR="00B027A9" w:rsidRDefault="00AE2895">
            <w:pPr>
              <w:suppressAutoHyphens w:val="0"/>
              <w:ind w:leftChars="0" w:left="0" w:firstLineChars="0" w:firstLine="0"/>
              <w:jc w:val="center"/>
              <w:textDirection w:val="lrTb"/>
              <w:textAlignment w:val="auto"/>
              <w:outlineLvl w:val="9"/>
              <w:rPr>
                <w:rFonts w:ascii="Times New Roman" w:hAnsi="Times New Roman"/>
                <w:position w:val="0"/>
                <w:sz w:val="20"/>
                <w:szCs w:val="24"/>
              </w:rPr>
            </w:pPr>
            <w:r>
              <w:rPr>
                <w:rFonts w:ascii="Times New Roman" w:hAnsi="Times New Roman"/>
                <w:position w:val="0"/>
                <w:sz w:val="20"/>
                <w:szCs w:val="24"/>
              </w:rPr>
              <w:t>Tanaman, akuakultur, penternakan, padang rumput dan kebun campur</w:t>
            </w:r>
          </w:p>
        </w:tc>
      </w:tr>
      <w:tr w:rsidR="00B027A9" w14:paraId="78C8EFC7" w14:textId="77777777">
        <w:trPr>
          <w:trHeight w:val="137"/>
          <w:jc w:val="center"/>
        </w:trPr>
        <w:tc>
          <w:tcPr>
            <w:tcW w:w="1810" w:type="dxa"/>
            <w:hideMark/>
          </w:tcPr>
          <w:p w14:paraId="52DD0482" w14:textId="77777777" w:rsidR="00B027A9" w:rsidRDefault="00AE2895">
            <w:pPr>
              <w:suppressAutoHyphens w:val="0"/>
              <w:ind w:leftChars="0" w:left="0" w:firstLineChars="0" w:firstLine="0"/>
              <w:jc w:val="center"/>
              <w:textDirection w:val="lrTb"/>
              <w:textAlignment w:val="auto"/>
              <w:outlineLvl w:val="9"/>
              <w:rPr>
                <w:rFonts w:ascii="Times New Roman" w:hAnsi="Times New Roman"/>
                <w:position w:val="0"/>
                <w:sz w:val="20"/>
                <w:szCs w:val="24"/>
              </w:rPr>
            </w:pPr>
            <w:r>
              <w:rPr>
                <w:rFonts w:ascii="Times New Roman" w:eastAsia="Times New Roman" w:hAnsi="Times New Roman"/>
                <w:position w:val="0"/>
                <w:sz w:val="20"/>
                <w:szCs w:val="24"/>
              </w:rPr>
              <w:t>Hutan</w:t>
            </w:r>
          </w:p>
        </w:tc>
        <w:tc>
          <w:tcPr>
            <w:tcW w:w="4002" w:type="dxa"/>
            <w:hideMark/>
          </w:tcPr>
          <w:p w14:paraId="0402C194" w14:textId="77777777" w:rsidR="00B027A9" w:rsidRDefault="00AE2895">
            <w:pPr>
              <w:suppressAutoHyphens w:val="0"/>
              <w:ind w:leftChars="0" w:left="0" w:firstLineChars="0" w:firstLine="0"/>
              <w:jc w:val="center"/>
              <w:textDirection w:val="lrTb"/>
              <w:textAlignment w:val="auto"/>
              <w:outlineLvl w:val="9"/>
              <w:rPr>
                <w:rFonts w:ascii="Times New Roman" w:hAnsi="Times New Roman"/>
                <w:position w:val="0"/>
                <w:sz w:val="20"/>
                <w:szCs w:val="24"/>
              </w:rPr>
            </w:pPr>
            <w:r>
              <w:rPr>
                <w:rFonts w:ascii="Times New Roman" w:hAnsi="Times New Roman"/>
                <w:position w:val="0"/>
                <w:sz w:val="20"/>
                <w:szCs w:val="24"/>
              </w:rPr>
              <w:t>Tanah pamah dan hutan paya</w:t>
            </w:r>
          </w:p>
        </w:tc>
      </w:tr>
      <w:tr w:rsidR="00B027A9" w14:paraId="314F0B8D" w14:textId="77777777">
        <w:trPr>
          <w:trHeight w:val="70"/>
          <w:jc w:val="center"/>
        </w:trPr>
        <w:tc>
          <w:tcPr>
            <w:tcW w:w="1810" w:type="dxa"/>
            <w:tcBorders>
              <w:bottom w:val="single" w:sz="4" w:space="0" w:color="auto"/>
            </w:tcBorders>
            <w:hideMark/>
          </w:tcPr>
          <w:p w14:paraId="4FA39B28" w14:textId="77777777" w:rsidR="00B027A9" w:rsidRDefault="00AE2895">
            <w:pPr>
              <w:suppressAutoHyphens w:val="0"/>
              <w:ind w:leftChars="0" w:left="0" w:firstLineChars="0" w:firstLine="0"/>
              <w:jc w:val="center"/>
              <w:textDirection w:val="lrTb"/>
              <w:textAlignment w:val="auto"/>
              <w:outlineLvl w:val="9"/>
              <w:rPr>
                <w:rFonts w:ascii="Times New Roman" w:hAnsi="Times New Roman"/>
                <w:position w:val="0"/>
                <w:sz w:val="20"/>
                <w:szCs w:val="24"/>
              </w:rPr>
            </w:pPr>
            <w:r>
              <w:rPr>
                <w:rFonts w:ascii="Times New Roman" w:eastAsia="Times New Roman" w:hAnsi="Times New Roman"/>
                <w:position w:val="0"/>
                <w:sz w:val="20"/>
                <w:szCs w:val="24"/>
              </w:rPr>
              <w:t>Badan air</w:t>
            </w:r>
          </w:p>
        </w:tc>
        <w:tc>
          <w:tcPr>
            <w:tcW w:w="4002" w:type="dxa"/>
            <w:tcBorders>
              <w:bottom w:val="single" w:sz="4" w:space="0" w:color="auto"/>
            </w:tcBorders>
            <w:hideMark/>
          </w:tcPr>
          <w:p w14:paraId="52841CBB" w14:textId="77777777" w:rsidR="00B027A9" w:rsidRDefault="00AE2895">
            <w:pPr>
              <w:suppressAutoHyphens w:val="0"/>
              <w:ind w:leftChars="0" w:left="0" w:firstLineChars="0" w:firstLine="0"/>
              <w:jc w:val="center"/>
              <w:textDirection w:val="lrTb"/>
              <w:textAlignment w:val="auto"/>
              <w:outlineLvl w:val="9"/>
              <w:rPr>
                <w:rFonts w:ascii="Times New Roman" w:hAnsi="Times New Roman"/>
                <w:position w:val="0"/>
                <w:sz w:val="20"/>
                <w:szCs w:val="24"/>
              </w:rPr>
            </w:pPr>
            <w:r>
              <w:rPr>
                <w:rFonts w:ascii="Times New Roman" w:hAnsi="Times New Roman"/>
                <w:position w:val="0"/>
                <w:sz w:val="20"/>
                <w:szCs w:val="24"/>
              </w:rPr>
              <w:t>Sumber air: Empangan, sungai dan kolam</w:t>
            </w:r>
          </w:p>
        </w:tc>
      </w:tr>
    </w:tbl>
    <w:p w14:paraId="407ADCFD" w14:textId="77777777" w:rsidR="00B027A9" w:rsidRDefault="00B027A9">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i/>
          <w:position w:val="0"/>
          <w:sz w:val="24"/>
          <w:szCs w:val="24"/>
        </w:rPr>
      </w:pPr>
    </w:p>
    <w:p w14:paraId="447CBBAA" w14:textId="77777777" w:rsidR="00B027A9" w:rsidRDefault="00AE2895">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i/>
          <w:position w:val="0"/>
          <w:sz w:val="24"/>
          <w:szCs w:val="24"/>
        </w:rPr>
      </w:pPr>
      <w:r>
        <w:rPr>
          <w:rFonts w:ascii="Times New Roman" w:hAnsi="Times New Roman" w:cs="Times New Roman"/>
          <w:i/>
          <w:position w:val="0"/>
          <w:sz w:val="24"/>
          <w:szCs w:val="24"/>
        </w:rPr>
        <w:t>Kaedah Mann-Kendall dan Sen’s Slope</w:t>
      </w:r>
    </w:p>
    <w:p w14:paraId="003835DD" w14:textId="77777777" w:rsidR="00B027A9" w:rsidRDefault="00B027A9">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i/>
          <w:position w:val="0"/>
          <w:sz w:val="24"/>
          <w:szCs w:val="24"/>
        </w:rPr>
      </w:pPr>
    </w:p>
    <w:p w14:paraId="07770F3E" w14:textId="77777777" w:rsidR="00B027A9" w:rsidRDefault="00AE2895">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4"/>
          <w:szCs w:val="24"/>
        </w:rPr>
      </w:pPr>
      <w:r>
        <w:rPr>
          <w:rFonts w:ascii="Times New Roman" w:hAnsi="Times New Roman" w:cs="Times New Roman"/>
          <w:position w:val="0"/>
          <w:sz w:val="24"/>
          <w:szCs w:val="24"/>
        </w:rPr>
        <w:t xml:space="preserve">Bagi mengenalpasti trend, ujian Mann-Kendall (MK) bukan parametrik telah digunakan, manakala perubahan magnitud dikira menggunakan ujian Sen’s slope. MK telah kerap digunakan dalam analisis ekstrem suhu jangka panjang di seluruh dunia, terutamanya apabila digabungkan dengan Sen’s slope </w:t>
      </w:r>
      <w:r>
        <w:rPr>
          <w:rFonts w:ascii="Times New Roman" w:hAnsi="Times New Roman" w:cs="Times New Roman"/>
          <w:position w:val="0"/>
          <w:sz w:val="24"/>
          <w:szCs w:val="24"/>
        </w:rPr>
        <w:fldChar w:fldCharType="begin"/>
      </w:r>
      <w:r>
        <w:rPr>
          <w:rFonts w:ascii="Times New Roman" w:hAnsi="Times New Roman" w:cs="Times New Roman"/>
          <w:position w:val="0"/>
          <w:sz w:val="24"/>
          <w:szCs w:val="24"/>
        </w:rPr>
        <w:instrText>ADDIN CSL_CITATION {"citationItems":[{"id":"ITEM-1","itemData":{"DOI":"10.1002/joc.6864","ISSN":"10970088","abstract":"Understanding the changes in temperature extremes is important for managing and coping with the risks associated with regional climate change. However, the climatological characteristics of temperature extremes and their variabilities is still not adequately studies in Malaysia. This study evaluates the spatial and temporal variations of temperature extremes over Malaysia for the period 1985–2018. This study includes four phases: (a) collection, quality control and homogeneity analysis of temperature data; (b) general (TXmean, TNmean, TMmean and DTR), warm (TXx, TNx, TX90p and TN90p) and cool (TXn, TNn, TX10p and TN10p) temperature extreme indices calculations; (c) trend analysis of temperature extremes using the Mann-Kendall and Sens's slope test; and (d) analyses of correlations between temperature extremes and El Niño-Southern Oscillation (ENSO). The results indicate a warming of surface temperature across Malaysia, particularly in Peninsular Malaysia. In general, TXmean, TNmean and TMmean increased significantly at 5% significance level by 0.12°C/decade, 0.27°C/decade and 0.17°C/decade, respectively. A significant decreasing trend in DTR by 0.12°C/decade is seen, which is related to the higher increasing rate of TNmean. All of the warm extreme indices, TXx, TNx, TX90p and TN90p presents significant increasing trends by 0.19°C/decade, 0.28°C/decade, 2.86%/decade and 3.08%/decade, respectively. For the cool extreme indices, TX10p and TN10p decreased significantly by 0.95%/decade and 3.18%/decade, respectively, though the trend in TXn by 0.11°C/decade is not statistically significant. The only cool index presenting a significant increasing trend is TNn by 0.44°C/decade, indicating a reduction of cool nights. Besides that, major cities in the northern and western parts of Peninsular Malaysia generally exhibit a higher warming trend compared to rural and highland area. These are possibly related to the intensified urban heat island effect under the rapid urbanization. This study also found that the ENSO affected warm extreme indices much stronger than cool extreme indices in Malaysia.","author":[{"dropping-particle":"","family":"Tan","given":"Mou Leong","non-dropping-particle":"","parse-names":false,"suffix":""},{"dropping-particle":"","family":"Juneng","given":"Liew","non-dropping-particle":"","parse-names":false,"suffix":""},{"dropping-particle":"","family":"Tangang","given":"Fredolin T.","non-dropping-particle":"","parse-names":false,"suffix":""},{"dropping-particle":"","family":"Chung","given":"Jing Xiang","non-dropping-particle":"","parse-names":false,"suffix":""},{"dropping-particle":"","family":"Radin Firdaus","given":"R. B.","non-dropping-particle":"","parse-names":false,"suffix":""}],"container-title":"International Journal of Climatology","id":"ITEM-1","issue":"S1","issued":{"date-parts":[["2020"]]},"page":"E2564-E2580","title":"Changes in temperature extremes and their relationship with ENSO in Malaysia from 1985 to 2018","type":"article-journal","volume":"41"},"uris":["http://www.mendeley.com/documents/?uuid=d4d95be2-36e4-4481-bc38-df8ad1f6a913"]}],"mendeley":{"formattedCitation":"(M. L. Tan et al., 2020)","manualFormatting":"(Tan et al., 2020)","plainTextFormattedCitation":"(M. L. Tan et al., 2020)","previouslyFormattedCitation":"(M. L. Tan et al., 2020)"},"properties":{"noteIndex":0},"schema":"https://github.com/citation-style-language/schema/raw/master/csl-citation.json"}</w:instrText>
      </w:r>
      <w:r>
        <w:rPr>
          <w:rFonts w:ascii="Times New Roman" w:hAnsi="Times New Roman" w:cs="Times New Roman"/>
          <w:position w:val="0"/>
          <w:sz w:val="24"/>
          <w:szCs w:val="24"/>
        </w:rPr>
        <w:fldChar w:fldCharType="separate"/>
      </w:r>
      <w:r>
        <w:rPr>
          <w:rFonts w:ascii="Times New Roman" w:hAnsi="Times New Roman" w:cs="Times New Roman"/>
          <w:noProof/>
          <w:position w:val="0"/>
          <w:sz w:val="24"/>
          <w:szCs w:val="24"/>
        </w:rPr>
        <w:t>(Tan et al., 2020)</w:t>
      </w:r>
      <w:r>
        <w:rPr>
          <w:rFonts w:ascii="Times New Roman" w:hAnsi="Times New Roman" w:cs="Times New Roman"/>
          <w:position w:val="0"/>
          <w:sz w:val="24"/>
          <w:szCs w:val="24"/>
        </w:rPr>
        <w:fldChar w:fldCharType="end"/>
      </w:r>
      <w:r>
        <w:rPr>
          <w:rFonts w:ascii="Times New Roman" w:hAnsi="Times New Roman" w:cs="Times New Roman"/>
          <w:position w:val="0"/>
          <w:sz w:val="24"/>
          <w:szCs w:val="24"/>
        </w:rPr>
        <w:t>. Kaedah ini juga biasa digunakan dalam analisis siri masa hidrologi dan klimatologi.</w:t>
      </w:r>
    </w:p>
    <w:p w14:paraId="7D907A97" w14:textId="77777777" w:rsidR="00B027A9" w:rsidRDefault="00AE2895">
      <w:pPr>
        <w:suppressAutoHyphens w:val="0"/>
        <w:spacing w:after="0" w:line="240" w:lineRule="auto"/>
        <w:ind w:leftChars="0" w:left="0" w:firstLineChars="0" w:firstLine="720"/>
        <w:jc w:val="both"/>
        <w:textDirection w:val="lrTb"/>
        <w:textAlignment w:val="auto"/>
        <w:outlineLvl w:val="9"/>
        <w:rPr>
          <w:rFonts w:ascii="Times New Roman" w:hAnsi="Times New Roman" w:cs="Times New Roman"/>
          <w:position w:val="0"/>
          <w:sz w:val="24"/>
          <w:szCs w:val="24"/>
        </w:rPr>
      </w:pPr>
      <w:r>
        <w:rPr>
          <w:rFonts w:ascii="Times New Roman" w:hAnsi="Times New Roman" w:cs="Times New Roman"/>
          <w:position w:val="0"/>
          <w:sz w:val="24"/>
          <w:szCs w:val="24"/>
        </w:rPr>
        <w:t>Ujian Mann-Kendall telah dicadangkan oleh Pertubuhan Meteorologi Sedunia (WMO) untuk menganalisis corak temporal dalam siri masa data alam sekitar. Kaedah ini digunakan untuk mencari corak data jangka panjang yang signifikan secara statistik.</w:t>
      </w:r>
    </w:p>
    <w:p w14:paraId="2ABBDC7F" w14:textId="77777777" w:rsidR="00B027A9" w:rsidRDefault="00B027A9">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i/>
          <w:position w:val="0"/>
          <w:sz w:val="24"/>
          <w:szCs w:val="24"/>
        </w:rPr>
      </w:pPr>
    </w:p>
    <w:p w14:paraId="0406C331" w14:textId="77777777" w:rsidR="00B027A9" w:rsidRDefault="00AE2895">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i/>
          <w:position w:val="0"/>
          <w:sz w:val="24"/>
          <w:szCs w:val="24"/>
        </w:rPr>
      </w:pPr>
      <w:r>
        <w:rPr>
          <w:rFonts w:ascii="Times New Roman" w:hAnsi="Times New Roman" w:cs="Times New Roman"/>
          <w:i/>
          <w:position w:val="0"/>
          <w:sz w:val="24"/>
          <w:szCs w:val="24"/>
        </w:rPr>
        <w:t>Analisis korelasi</w:t>
      </w:r>
    </w:p>
    <w:p w14:paraId="127AD41E" w14:textId="77777777" w:rsidR="00B027A9" w:rsidRDefault="00B027A9">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i/>
          <w:position w:val="0"/>
          <w:sz w:val="24"/>
          <w:szCs w:val="24"/>
        </w:rPr>
      </w:pPr>
    </w:p>
    <w:p w14:paraId="0D2847E9" w14:textId="1F6C157A" w:rsidR="00B027A9" w:rsidRDefault="00AE2895">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4"/>
          <w:szCs w:val="24"/>
        </w:rPr>
      </w:pPr>
      <w:r>
        <w:rPr>
          <w:rFonts w:ascii="Times New Roman" w:hAnsi="Times New Roman" w:cs="Times New Roman"/>
          <w:position w:val="0"/>
          <w:sz w:val="24"/>
          <w:szCs w:val="24"/>
        </w:rPr>
        <w:t xml:space="preserve">Bagi mengenal pasti hubungan antara guna tanah dan trend suhu, ‘Pearson's Product Moment Correlation Analysis’ telah digunakan dalam kajian ini. Analisis Korelasi ini merupakan kaedah statistik untuk menentukan kekuatan hubungan antara dua pembolehubah kuantitatif, dengan perkaitan linear antara +1 hingga -1. Akibatnya, dengan data korelasi, perubahan magnitud pada salah satu pembolehubah dikaitkan dengan perubahan magnitud pembolehubah lain, sama ada dalam arah yang sama atau dalam arah yang bertentangan </w:t>
      </w:r>
      <w:r>
        <w:rPr>
          <w:rFonts w:ascii="Times New Roman" w:hAnsi="Times New Roman" w:cs="Times New Roman"/>
          <w:position w:val="0"/>
          <w:sz w:val="24"/>
          <w:szCs w:val="24"/>
        </w:rPr>
        <w:fldChar w:fldCharType="begin"/>
      </w:r>
      <w:r>
        <w:rPr>
          <w:rFonts w:ascii="Times New Roman" w:hAnsi="Times New Roman" w:cs="Times New Roman"/>
          <w:position w:val="0"/>
          <w:sz w:val="24"/>
          <w:szCs w:val="24"/>
        </w:rPr>
        <w:instrText>ADDIN CSL_CITATION {"citationItems":[{"id":"ITEM-1","itemData":{"DOI":"10.1213/ANE.0000000000002864","ISBN":"0000000000","ISSN":"15267598","PMID":"29481436","abstract":"Correlation in the broadest sense is a measure of an association between variables. In correlated data, the change in the magnitude of 1 variable is associated with a change in the magnitude of another variable, either in the same (positive correlation) or in the opposite (negative correlation) direction. Most often, the term correlation is used in the context of a linear relationship between 2 continuous variables and expressed as Pearson product-moment correlation. The Pearson correlation coefficient is typically used for jointly normally distributed data (data that follow a bivariate normal distribution). For nonnormally distributed continuous data, for ordinal data, or for data with relevant outliers, a Spearman rank correlation can be used as a measure of a monotonic association. Both correlation coefficients are scaled such that they range from –1 to +1, where 0 indicates that there is no linear or monotonic association, and the relationship gets stronger and ultimately approaches a straight line (Pearson correlation) or a constantly increasing or decreasing curve (Spearman correlation) as the coefficient approaches an absolute value of 1. Hypothesis tests and confidence intervals can be used to address the statistical significance of the results and to estimate the strength of the relationship in the population from which the data were sampled. The aim of this tutorial is to guide researchers and clinicians in the appropriate use and interpretation of correlation coefficients. (Anesth Analg 2018;126:1763–8.","author":[{"dropping-particle":"","family":"Schober","given":"Patrick","non-dropping-particle":"","parse-names":false,"suffix":""},{"dropping-particle":"","family":"Schwarte","given":"Lothar A.","non-dropping-particle":"","parse-names":false,"suffix":""}],"container-title":"Anesthesia and Analgesia","id":"ITEM-1","issue":"5","issued":{"date-parts":[["2018"]]},"page":"1763-1768","title":"Correlation coefficients: Appropriate use and interpretation","type":"article-journal","volume":"126"},"uris":["http://www.mendeley.com/documents/?uuid=ac7f8cb9-d6ae-416d-a915-c0e947c65b1c"]}],"mendeley":{"formattedCitation":"(Schober &amp; Schwarte, 2018)","plainTextFormattedCitation":"(Schober &amp; Schwarte, 2018)","previouslyFormattedCitation":"(Schober &amp; Schwarte, 2018)"},"properties":{"noteIndex":0},"schema":"https://github.com/citation-style-language/schema/raw/master/csl-citation.json"}</w:instrText>
      </w:r>
      <w:r>
        <w:rPr>
          <w:rFonts w:ascii="Times New Roman" w:hAnsi="Times New Roman" w:cs="Times New Roman"/>
          <w:position w:val="0"/>
          <w:sz w:val="24"/>
          <w:szCs w:val="24"/>
        </w:rPr>
        <w:fldChar w:fldCharType="separate"/>
      </w:r>
      <w:r>
        <w:rPr>
          <w:rFonts w:ascii="Times New Roman" w:hAnsi="Times New Roman" w:cs="Times New Roman"/>
          <w:noProof/>
          <w:position w:val="0"/>
          <w:sz w:val="24"/>
          <w:szCs w:val="24"/>
        </w:rPr>
        <w:t>(Schober &amp; Schwarte, 2018)</w:t>
      </w:r>
      <w:r>
        <w:rPr>
          <w:rFonts w:ascii="Times New Roman" w:hAnsi="Times New Roman" w:cs="Times New Roman"/>
          <w:position w:val="0"/>
          <w:sz w:val="24"/>
          <w:szCs w:val="24"/>
        </w:rPr>
        <w:fldChar w:fldCharType="end"/>
      </w:r>
      <w:r>
        <w:rPr>
          <w:rFonts w:ascii="Times New Roman" w:hAnsi="Times New Roman" w:cs="Times New Roman"/>
          <w:position w:val="0"/>
          <w:sz w:val="24"/>
          <w:szCs w:val="24"/>
        </w:rPr>
        <w:t>. Dalam erti kata lain, nilai yang lebih besar bagi satu pembolehubah dinyatakan sebagai korelasi positif manakala nilainya lebih rendah menunjukkan korelasi negatif. Dalam kajian ini, analisis korelasi diuji bagi keempat kelas guna tanah (kawasan binaan, pertanian, hutan dan badan air) dengan data iklim seperti hujan tahunan, purata suhu minimum (Tmin), purata suhu purata (Tmean), dan purata suhu maksimum (Tmax).  Keputusan untuk analisis korelasi ditunjukkan dalam Jadual 5. Jadual 2 pula menunjukkan nilai dan hubungan bagi analisis korelasi.</w:t>
      </w:r>
    </w:p>
    <w:p w14:paraId="1888E8AB" w14:textId="77777777" w:rsidR="00B027A9" w:rsidRDefault="00AE2895">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4"/>
        </w:rPr>
      </w:pPr>
      <w:r>
        <w:rPr>
          <w:rFonts w:ascii="Times New Roman" w:hAnsi="Times New Roman" w:cs="Times New Roman"/>
          <w:b/>
          <w:position w:val="0"/>
          <w:sz w:val="20"/>
          <w:szCs w:val="24"/>
        </w:rPr>
        <w:lastRenderedPageBreak/>
        <w:t>Jadual 2.</w:t>
      </w:r>
      <w:r>
        <w:rPr>
          <w:rFonts w:ascii="Times New Roman" w:hAnsi="Times New Roman" w:cs="Times New Roman"/>
          <w:position w:val="0"/>
          <w:sz w:val="20"/>
          <w:szCs w:val="24"/>
        </w:rPr>
        <w:t xml:space="preserve"> Nilai dan hubungan analisis korelasi</w:t>
      </w:r>
    </w:p>
    <w:p w14:paraId="57529AEC" w14:textId="77777777" w:rsidR="00B027A9" w:rsidRDefault="00B027A9">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4"/>
        </w:rPr>
      </w:pPr>
    </w:p>
    <w:tbl>
      <w:tblPr>
        <w:tblStyle w:val="TableGrid1"/>
        <w:tblW w:w="0" w:type="auto"/>
        <w:tblInd w:w="226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2413"/>
      </w:tblGrid>
      <w:tr w:rsidR="00B027A9" w14:paraId="61C5FBC3" w14:textId="77777777">
        <w:tc>
          <w:tcPr>
            <w:tcW w:w="2407" w:type="dxa"/>
            <w:tcBorders>
              <w:bottom w:val="single" w:sz="4" w:space="0" w:color="auto"/>
            </w:tcBorders>
            <w:shd w:val="clear" w:color="auto" w:fill="8DB3E2"/>
            <w:hideMark/>
          </w:tcPr>
          <w:p w14:paraId="170E2F6C" w14:textId="77777777" w:rsidR="00B027A9" w:rsidRDefault="00AE2895">
            <w:pPr>
              <w:suppressAutoHyphens w:val="0"/>
              <w:ind w:leftChars="0" w:left="0" w:firstLineChars="0" w:firstLine="0"/>
              <w:jc w:val="center"/>
              <w:textDirection w:val="lrTb"/>
              <w:textAlignment w:val="auto"/>
              <w:outlineLvl w:val="9"/>
              <w:rPr>
                <w:rFonts w:ascii="Times New Roman" w:hAnsi="Times New Roman"/>
                <w:b/>
                <w:bCs/>
                <w:position w:val="0"/>
                <w:sz w:val="20"/>
                <w:szCs w:val="24"/>
              </w:rPr>
            </w:pPr>
            <w:r>
              <w:rPr>
                <w:rFonts w:ascii="Times New Roman" w:hAnsi="Times New Roman"/>
                <w:b/>
                <w:bCs/>
                <w:position w:val="0"/>
                <w:sz w:val="20"/>
                <w:szCs w:val="24"/>
              </w:rPr>
              <w:t>Nilai korelasi</w:t>
            </w:r>
          </w:p>
        </w:tc>
        <w:tc>
          <w:tcPr>
            <w:tcW w:w="2413" w:type="dxa"/>
            <w:tcBorders>
              <w:bottom w:val="single" w:sz="4" w:space="0" w:color="auto"/>
            </w:tcBorders>
            <w:shd w:val="clear" w:color="auto" w:fill="8DB3E2"/>
            <w:hideMark/>
          </w:tcPr>
          <w:p w14:paraId="163DF3FD" w14:textId="77777777" w:rsidR="00B027A9" w:rsidRDefault="00AE2895">
            <w:pPr>
              <w:suppressAutoHyphens w:val="0"/>
              <w:ind w:leftChars="0" w:left="0" w:firstLineChars="0" w:firstLine="0"/>
              <w:jc w:val="center"/>
              <w:textDirection w:val="lrTb"/>
              <w:textAlignment w:val="auto"/>
              <w:outlineLvl w:val="9"/>
              <w:rPr>
                <w:rFonts w:ascii="Times New Roman" w:hAnsi="Times New Roman"/>
                <w:b/>
                <w:bCs/>
                <w:position w:val="0"/>
                <w:sz w:val="20"/>
                <w:szCs w:val="24"/>
              </w:rPr>
            </w:pPr>
            <w:r>
              <w:rPr>
                <w:rFonts w:ascii="Times New Roman" w:hAnsi="Times New Roman"/>
                <w:b/>
                <w:bCs/>
                <w:position w:val="0"/>
                <w:sz w:val="20"/>
                <w:szCs w:val="24"/>
              </w:rPr>
              <w:t>Kekuatan/hubungan</w:t>
            </w:r>
          </w:p>
        </w:tc>
      </w:tr>
      <w:tr w:rsidR="00B027A9" w14:paraId="4012C8CC" w14:textId="77777777">
        <w:tc>
          <w:tcPr>
            <w:tcW w:w="2407" w:type="dxa"/>
            <w:tcBorders>
              <w:top w:val="single" w:sz="4" w:space="0" w:color="auto"/>
            </w:tcBorders>
            <w:hideMark/>
          </w:tcPr>
          <w:p w14:paraId="0358534B" w14:textId="77777777" w:rsidR="00B027A9" w:rsidRDefault="00AE2895">
            <w:pPr>
              <w:suppressAutoHyphens w:val="0"/>
              <w:ind w:leftChars="0" w:left="0" w:firstLineChars="0" w:firstLine="0"/>
              <w:jc w:val="center"/>
              <w:textDirection w:val="lrTb"/>
              <w:textAlignment w:val="auto"/>
              <w:outlineLvl w:val="9"/>
              <w:rPr>
                <w:rFonts w:ascii="Times New Roman" w:hAnsi="Times New Roman"/>
                <w:position w:val="0"/>
                <w:sz w:val="20"/>
                <w:szCs w:val="24"/>
              </w:rPr>
            </w:pPr>
            <w:r>
              <w:rPr>
                <w:rFonts w:ascii="Times New Roman" w:hAnsi="Times New Roman"/>
                <w:position w:val="0"/>
                <w:sz w:val="20"/>
                <w:szCs w:val="24"/>
              </w:rPr>
              <w:t>.90 to 1.00 (-.90 to - 1.00)</w:t>
            </w:r>
          </w:p>
        </w:tc>
        <w:tc>
          <w:tcPr>
            <w:tcW w:w="2413" w:type="dxa"/>
            <w:tcBorders>
              <w:top w:val="single" w:sz="4" w:space="0" w:color="auto"/>
            </w:tcBorders>
            <w:hideMark/>
          </w:tcPr>
          <w:p w14:paraId="6E80037D" w14:textId="77777777" w:rsidR="00B027A9" w:rsidRDefault="00AE2895">
            <w:pPr>
              <w:suppressAutoHyphens w:val="0"/>
              <w:ind w:leftChars="0" w:left="0" w:firstLineChars="0" w:firstLine="0"/>
              <w:jc w:val="center"/>
              <w:textDirection w:val="lrTb"/>
              <w:textAlignment w:val="auto"/>
              <w:outlineLvl w:val="9"/>
              <w:rPr>
                <w:rFonts w:ascii="Times New Roman" w:hAnsi="Times New Roman"/>
                <w:position w:val="0"/>
                <w:sz w:val="20"/>
                <w:szCs w:val="24"/>
              </w:rPr>
            </w:pPr>
            <w:r>
              <w:rPr>
                <w:rFonts w:ascii="Times New Roman" w:hAnsi="Times New Roman"/>
                <w:position w:val="0"/>
                <w:sz w:val="20"/>
                <w:szCs w:val="24"/>
              </w:rPr>
              <w:t>Sempurna</w:t>
            </w:r>
          </w:p>
        </w:tc>
      </w:tr>
      <w:tr w:rsidR="00B027A9" w14:paraId="0E6FF61C" w14:textId="77777777">
        <w:tc>
          <w:tcPr>
            <w:tcW w:w="2407" w:type="dxa"/>
            <w:hideMark/>
          </w:tcPr>
          <w:p w14:paraId="2BAE13A6" w14:textId="77777777" w:rsidR="00B027A9" w:rsidRDefault="00AE2895">
            <w:pPr>
              <w:suppressAutoHyphens w:val="0"/>
              <w:ind w:leftChars="0" w:left="0" w:firstLineChars="0" w:firstLine="0"/>
              <w:jc w:val="center"/>
              <w:textDirection w:val="lrTb"/>
              <w:textAlignment w:val="auto"/>
              <w:outlineLvl w:val="9"/>
              <w:rPr>
                <w:rFonts w:ascii="Times New Roman" w:hAnsi="Times New Roman"/>
                <w:position w:val="0"/>
                <w:sz w:val="20"/>
                <w:szCs w:val="24"/>
              </w:rPr>
            </w:pPr>
            <w:r>
              <w:rPr>
                <w:rFonts w:ascii="Times New Roman" w:hAnsi="Times New Roman"/>
                <w:position w:val="0"/>
                <w:sz w:val="20"/>
                <w:szCs w:val="24"/>
              </w:rPr>
              <w:t>.70 to .90 (-.70 to -.90)</w:t>
            </w:r>
          </w:p>
        </w:tc>
        <w:tc>
          <w:tcPr>
            <w:tcW w:w="2413" w:type="dxa"/>
            <w:hideMark/>
          </w:tcPr>
          <w:p w14:paraId="5034A377" w14:textId="77777777" w:rsidR="00B027A9" w:rsidRDefault="00AE2895">
            <w:pPr>
              <w:suppressAutoHyphens w:val="0"/>
              <w:ind w:leftChars="0" w:left="0" w:firstLineChars="0" w:firstLine="0"/>
              <w:jc w:val="center"/>
              <w:textDirection w:val="lrTb"/>
              <w:textAlignment w:val="auto"/>
              <w:outlineLvl w:val="9"/>
              <w:rPr>
                <w:rFonts w:ascii="Times New Roman" w:hAnsi="Times New Roman"/>
                <w:position w:val="0"/>
                <w:sz w:val="20"/>
                <w:szCs w:val="24"/>
              </w:rPr>
            </w:pPr>
            <w:r>
              <w:rPr>
                <w:rFonts w:ascii="Times New Roman" w:hAnsi="Times New Roman"/>
                <w:position w:val="0"/>
                <w:sz w:val="20"/>
                <w:szCs w:val="24"/>
              </w:rPr>
              <w:t>Sangat kuat</w:t>
            </w:r>
          </w:p>
        </w:tc>
      </w:tr>
      <w:tr w:rsidR="00B027A9" w14:paraId="44BBD56B" w14:textId="77777777">
        <w:tc>
          <w:tcPr>
            <w:tcW w:w="2407" w:type="dxa"/>
            <w:hideMark/>
          </w:tcPr>
          <w:p w14:paraId="78413688" w14:textId="77777777" w:rsidR="00B027A9" w:rsidRDefault="00AE2895">
            <w:pPr>
              <w:suppressAutoHyphens w:val="0"/>
              <w:ind w:leftChars="0" w:left="0" w:firstLineChars="0" w:firstLine="0"/>
              <w:jc w:val="center"/>
              <w:textDirection w:val="lrTb"/>
              <w:textAlignment w:val="auto"/>
              <w:outlineLvl w:val="9"/>
              <w:rPr>
                <w:rFonts w:ascii="Times New Roman" w:hAnsi="Times New Roman"/>
                <w:position w:val="0"/>
                <w:sz w:val="20"/>
                <w:szCs w:val="24"/>
              </w:rPr>
            </w:pPr>
            <w:r>
              <w:rPr>
                <w:rFonts w:ascii="Times New Roman" w:hAnsi="Times New Roman"/>
                <w:position w:val="0"/>
                <w:sz w:val="20"/>
                <w:szCs w:val="24"/>
              </w:rPr>
              <w:t>.50 to .70 (-.50 to -.70)</w:t>
            </w:r>
          </w:p>
        </w:tc>
        <w:tc>
          <w:tcPr>
            <w:tcW w:w="2413" w:type="dxa"/>
            <w:hideMark/>
          </w:tcPr>
          <w:p w14:paraId="78D5FF9B" w14:textId="77777777" w:rsidR="00B027A9" w:rsidRDefault="00AE2895">
            <w:pPr>
              <w:suppressAutoHyphens w:val="0"/>
              <w:ind w:leftChars="0" w:left="0" w:firstLineChars="0" w:firstLine="0"/>
              <w:jc w:val="center"/>
              <w:textDirection w:val="lrTb"/>
              <w:textAlignment w:val="auto"/>
              <w:outlineLvl w:val="9"/>
              <w:rPr>
                <w:rFonts w:ascii="Times New Roman" w:hAnsi="Times New Roman"/>
                <w:position w:val="0"/>
                <w:sz w:val="20"/>
                <w:szCs w:val="24"/>
              </w:rPr>
            </w:pPr>
            <w:r>
              <w:rPr>
                <w:rFonts w:ascii="Times New Roman" w:hAnsi="Times New Roman"/>
                <w:position w:val="0"/>
                <w:sz w:val="20"/>
                <w:szCs w:val="24"/>
              </w:rPr>
              <w:t>Kuat</w:t>
            </w:r>
          </w:p>
        </w:tc>
      </w:tr>
      <w:tr w:rsidR="00B027A9" w14:paraId="33F47B4D" w14:textId="77777777">
        <w:tc>
          <w:tcPr>
            <w:tcW w:w="2407" w:type="dxa"/>
            <w:hideMark/>
          </w:tcPr>
          <w:p w14:paraId="74F74A4D" w14:textId="77777777" w:rsidR="00B027A9" w:rsidRDefault="00AE2895">
            <w:pPr>
              <w:suppressAutoHyphens w:val="0"/>
              <w:ind w:leftChars="0" w:left="0" w:firstLineChars="0" w:firstLine="0"/>
              <w:jc w:val="center"/>
              <w:textDirection w:val="lrTb"/>
              <w:textAlignment w:val="auto"/>
              <w:outlineLvl w:val="9"/>
              <w:rPr>
                <w:rFonts w:ascii="Times New Roman" w:hAnsi="Times New Roman"/>
                <w:position w:val="0"/>
                <w:sz w:val="20"/>
                <w:szCs w:val="24"/>
              </w:rPr>
            </w:pPr>
            <w:r>
              <w:rPr>
                <w:rFonts w:ascii="Times New Roman" w:hAnsi="Times New Roman"/>
                <w:position w:val="0"/>
                <w:sz w:val="20"/>
                <w:szCs w:val="24"/>
              </w:rPr>
              <w:t>.30 to .50 (-.30 to -.50)</w:t>
            </w:r>
          </w:p>
        </w:tc>
        <w:tc>
          <w:tcPr>
            <w:tcW w:w="2413" w:type="dxa"/>
            <w:hideMark/>
          </w:tcPr>
          <w:p w14:paraId="4DEA6368" w14:textId="77777777" w:rsidR="00B027A9" w:rsidRDefault="00AE2895">
            <w:pPr>
              <w:suppressAutoHyphens w:val="0"/>
              <w:ind w:leftChars="0" w:left="0" w:firstLineChars="0" w:firstLine="0"/>
              <w:jc w:val="center"/>
              <w:textDirection w:val="lrTb"/>
              <w:textAlignment w:val="auto"/>
              <w:outlineLvl w:val="9"/>
              <w:rPr>
                <w:rFonts w:ascii="Times New Roman" w:hAnsi="Times New Roman"/>
                <w:position w:val="0"/>
                <w:sz w:val="20"/>
                <w:szCs w:val="24"/>
              </w:rPr>
            </w:pPr>
            <w:r>
              <w:rPr>
                <w:rFonts w:ascii="Times New Roman" w:hAnsi="Times New Roman"/>
                <w:position w:val="0"/>
                <w:sz w:val="20"/>
                <w:szCs w:val="24"/>
              </w:rPr>
              <w:t>Sederhana</w:t>
            </w:r>
          </w:p>
        </w:tc>
      </w:tr>
      <w:tr w:rsidR="00B027A9" w14:paraId="6172ECAB" w14:textId="77777777">
        <w:tc>
          <w:tcPr>
            <w:tcW w:w="2407" w:type="dxa"/>
            <w:hideMark/>
          </w:tcPr>
          <w:p w14:paraId="452B0FBD" w14:textId="77777777" w:rsidR="00B027A9" w:rsidRDefault="00AE2895">
            <w:pPr>
              <w:suppressAutoHyphens w:val="0"/>
              <w:ind w:leftChars="0" w:left="0" w:firstLineChars="0" w:firstLine="0"/>
              <w:jc w:val="center"/>
              <w:textDirection w:val="lrTb"/>
              <w:textAlignment w:val="auto"/>
              <w:outlineLvl w:val="9"/>
              <w:rPr>
                <w:rFonts w:ascii="Times New Roman" w:hAnsi="Times New Roman"/>
                <w:position w:val="0"/>
                <w:sz w:val="20"/>
                <w:szCs w:val="24"/>
              </w:rPr>
            </w:pPr>
            <w:r>
              <w:rPr>
                <w:rFonts w:ascii="Times New Roman" w:hAnsi="Times New Roman"/>
                <w:position w:val="0"/>
                <w:sz w:val="20"/>
                <w:szCs w:val="24"/>
              </w:rPr>
              <w:t>.00 to .30 (.00 to -.30)</w:t>
            </w:r>
          </w:p>
        </w:tc>
        <w:tc>
          <w:tcPr>
            <w:tcW w:w="2413" w:type="dxa"/>
            <w:hideMark/>
          </w:tcPr>
          <w:p w14:paraId="2007AC8A" w14:textId="77777777" w:rsidR="00B027A9" w:rsidRDefault="00AE2895">
            <w:pPr>
              <w:suppressAutoHyphens w:val="0"/>
              <w:ind w:leftChars="0" w:left="0" w:firstLineChars="0" w:firstLine="0"/>
              <w:jc w:val="center"/>
              <w:textDirection w:val="lrTb"/>
              <w:textAlignment w:val="auto"/>
              <w:outlineLvl w:val="9"/>
              <w:rPr>
                <w:rFonts w:ascii="Times New Roman" w:hAnsi="Times New Roman"/>
                <w:position w:val="0"/>
                <w:sz w:val="20"/>
                <w:szCs w:val="24"/>
              </w:rPr>
            </w:pPr>
            <w:r>
              <w:rPr>
                <w:rFonts w:ascii="Times New Roman" w:hAnsi="Times New Roman"/>
                <w:position w:val="0"/>
                <w:sz w:val="20"/>
                <w:szCs w:val="24"/>
              </w:rPr>
              <w:t>Lemah</w:t>
            </w:r>
          </w:p>
        </w:tc>
      </w:tr>
    </w:tbl>
    <w:p w14:paraId="10EE415A" w14:textId="77777777" w:rsidR="00B027A9" w:rsidRDefault="00B027A9">
      <w:pPr>
        <w:suppressAutoHyphens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b/>
          <w:color w:val="000000"/>
          <w:position w:val="0"/>
          <w:sz w:val="24"/>
          <w:szCs w:val="24"/>
        </w:rPr>
      </w:pPr>
    </w:p>
    <w:p w14:paraId="1F4DDC62" w14:textId="77777777" w:rsidR="00B027A9" w:rsidRDefault="00AE2895">
      <w:pPr>
        <w:suppressAutoHyphens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i/>
          <w:color w:val="000000"/>
          <w:position w:val="0"/>
          <w:sz w:val="24"/>
          <w:szCs w:val="24"/>
        </w:rPr>
      </w:pPr>
      <w:r>
        <w:rPr>
          <w:rFonts w:ascii="Times New Roman" w:eastAsia="Times New Roman" w:hAnsi="Times New Roman" w:cs="Times New Roman"/>
          <w:i/>
          <w:color w:val="000000"/>
          <w:position w:val="0"/>
          <w:sz w:val="24"/>
          <w:szCs w:val="24"/>
        </w:rPr>
        <w:t>Pengekstrakan Suhu Permukaan Tanah (LST)</w:t>
      </w:r>
    </w:p>
    <w:p w14:paraId="090C6868" w14:textId="77777777" w:rsidR="00B027A9" w:rsidRDefault="00B027A9">
      <w:pPr>
        <w:suppressAutoHyphens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i/>
          <w:color w:val="000000"/>
          <w:position w:val="0"/>
          <w:sz w:val="24"/>
          <w:szCs w:val="24"/>
        </w:rPr>
      </w:pPr>
    </w:p>
    <w:p w14:paraId="3C0E183A" w14:textId="02AAC0E2" w:rsidR="00B027A9" w:rsidRDefault="00AE2895">
      <w:pPr>
        <w:suppressAutoHyphens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color w:val="000000"/>
          <w:position w:val="0"/>
          <w:sz w:val="24"/>
          <w:szCs w:val="24"/>
        </w:rPr>
      </w:pPr>
      <w:r>
        <w:rPr>
          <w:rFonts w:ascii="Times New Roman" w:eastAsia="Times New Roman" w:hAnsi="Times New Roman" w:cs="Times New Roman"/>
          <w:color w:val="000000"/>
          <w:position w:val="0"/>
          <w:sz w:val="24"/>
          <w:szCs w:val="24"/>
        </w:rPr>
        <w:t xml:space="preserve">Program Landsat merupakan usaha terpanjang untuk pengimejan </w:t>
      </w:r>
      <w:r w:rsidR="00C81C1C">
        <w:rPr>
          <w:rFonts w:ascii="Times New Roman" w:eastAsia="Times New Roman" w:hAnsi="Times New Roman" w:cs="Times New Roman"/>
          <w:color w:val="000000"/>
          <w:position w:val="0"/>
          <w:sz w:val="24"/>
          <w:szCs w:val="24"/>
        </w:rPr>
        <w:t>b</w:t>
      </w:r>
      <w:r>
        <w:rPr>
          <w:rFonts w:ascii="Times New Roman" w:eastAsia="Times New Roman" w:hAnsi="Times New Roman" w:cs="Times New Roman"/>
          <w:color w:val="000000"/>
          <w:position w:val="0"/>
          <w:sz w:val="24"/>
          <w:szCs w:val="24"/>
        </w:rPr>
        <w:t xml:space="preserve">umi yang masih berjalan lancar sehingga sekarang sejak tahun 1972. Imej satelit Landsat digunakan secara meluas dalam kebanyakkan bidang seperti pertanian, perhutanan, alam sekitar, hidrologi dan geologi. Salah satu sebab utama ianya begitu popular kerana ianya membolehkan orang ramai mengunakannya secara percuma. Imej yang dirakam oleh satelit Landsat boleh dilihat dan dimuat turun secara percuma melalui </w:t>
      </w:r>
      <w:r w:rsidR="00C81C1C">
        <w:rPr>
          <w:rFonts w:ascii="Times New Roman" w:eastAsia="Times New Roman" w:hAnsi="Times New Roman" w:cs="Times New Roman"/>
          <w:color w:val="000000"/>
          <w:position w:val="0"/>
          <w:sz w:val="24"/>
          <w:szCs w:val="24"/>
        </w:rPr>
        <w:t xml:space="preserve">aplikasi </w:t>
      </w:r>
      <w:r w:rsidR="00C81C1C" w:rsidRPr="00C81C1C">
        <w:rPr>
          <w:rFonts w:ascii="Times New Roman" w:eastAsia="Times New Roman" w:hAnsi="Times New Roman" w:cs="Times New Roman"/>
          <w:i/>
          <w:iCs/>
          <w:color w:val="000000"/>
          <w:position w:val="0"/>
          <w:sz w:val="24"/>
          <w:szCs w:val="24"/>
        </w:rPr>
        <w:t>Earth Explorer</w:t>
      </w:r>
      <w:r w:rsidR="00C81C1C">
        <w:rPr>
          <w:rFonts w:ascii="Times New Roman" w:eastAsia="Times New Roman" w:hAnsi="Times New Roman" w:cs="Times New Roman"/>
          <w:color w:val="000000"/>
          <w:position w:val="0"/>
          <w:sz w:val="24"/>
          <w:szCs w:val="24"/>
        </w:rPr>
        <w:t xml:space="preserve"> yang dibangunkan oleh United States Geological Survey</w:t>
      </w:r>
      <w:r>
        <w:rPr>
          <w:rFonts w:ascii="Times New Roman" w:eastAsia="Times New Roman" w:hAnsi="Times New Roman" w:cs="Times New Roman"/>
          <w:color w:val="000000"/>
          <w:position w:val="0"/>
          <w:sz w:val="24"/>
          <w:szCs w:val="24"/>
        </w:rPr>
        <w:t xml:space="preserve"> (USGS) </w:t>
      </w:r>
      <w:r>
        <w:rPr>
          <w:rFonts w:ascii="Times New Roman" w:eastAsia="Times New Roman" w:hAnsi="Times New Roman" w:cs="Times New Roman"/>
          <w:color w:val="000000"/>
          <w:position w:val="0"/>
          <w:sz w:val="24"/>
          <w:szCs w:val="24"/>
        </w:rPr>
        <w:fldChar w:fldCharType="begin"/>
      </w:r>
      <w:r>
        <w:rPr>
          <w:rFonts w:ascii="Times New Roman" w:eastAsia="Times New Roman" w:hAnsi="Times New Roman" w:cs="Times New Roman"/>
          <w:color w:val="000000"/>
          <w:position w:val="0"/>
          <w:sz w:val="24"/>
          <w:szCs w:val="24"/>
        </w:rPr>
        <w:instrText>ADDIN CSL_CITATION {"citationItems":[{"id":"ITEM-1","itemData":{"DOI":"10.17576/jsm-2019-4811-02","ISSN":"01266039","abstract":"Urban expansion mapping is important in urban planning, land use and water resources management. The purpose of this study is to evaluate the spatio-Temporal trends of urban expansion in Penang using three Landsat satellite images taken in 2004, 2011 and 2018. Maximum Likelihood was used to classify the land uses into urban, agricultural, water, and forest. Comparison of the classified images with time-series Google Earth images and field data collection resulting an accuracy up to 90%. The results showed that urban have been expanded around 5% from 2004 to 2018. Major urban development is mainly found in the eastern part of Penang island. Meanwhile, major development in the Penang mainland can be found in the middle and western regions. Due to the limited development land on the Penang Island, a rapid urban expansion can be found in the south-western part of the Penang mainland that near to the second bridge. In order to maintain the city and community sustainability in Penang, government needs to plan on balanced socio-economic growth for the near future.","author":[{"dropping-particle":"","family":"Tew","given":"Yi Lin","non-dropping-particle":"","parse-names":false,"suffix":""},{"dropping-particle":"","family":"Tan","given":"Mou Leong","non-dropping-particle":"","parse-names":false,"suffix":""},{"dropping-particle":"","family":"Samat","given":"Narimah","non-dropping-particle":"","parse-names":false,"suffix":""},{"dropping-particle":"","family":"Yang","given":"Xiaoying","non-dropping-particle":"","parse-names":false,"suffix":""}],"container-title":"Sains Malaysiana","id":"ITEM-1","issue":"11","issued":{"date-parts":[["2019"]]},"page":"2307-2315","title":"Urban expansion analysis using landsat images in Penang, malaysia","type":"article-journal","volume":"48"},"uris":["http://www.mendeley.com/documents/?uuid=31aa34a2-b784-4155-8e8e-51921b74d35d"]}],"mendeley":{"formattedCitation":"(Tew et al., 2019)","plainTextFormattedCitation":"(Tew et al., 2019)","previouslyFormattedCitation":"(Tew et al., 2019)"},"properties":{"noteIndex":0},"schema":"https://github.com/citation-style-language/schema/raw/master/csl-citation.json"}</w:instrText>
      </w:r>
      <w:r>
        <w:rPr>
          <w:rFonts w:ascii="Times New Roman" w:eastAsia="Times New Roman" w:hAnsi="Times New Roman" w:cs="Times New Roman"/>
          <w:color w:val="000000"/>
          <w:position w:val="0"/>
          <w:sz w:val="24"/>
          <w:szCs w:val="24"/>
        </w:rPr>
        <w:fldChar w:fldCharType="separate"/>
      </w:r>
      <w:r>
        <w:rPr>
          <w:rFonts w:ascii="Times New Roman" w:eastAsia="Times New Roman" w:hAnsi="Times New Roman" w:cs="Times New Roman"/>
          <w:noProof/>
          <w:color w:val="000000"/>
          <w:position w:val="0"/>
          <w:sz w:val="24"/>
          <w:szCs w:val="24"/>
        </w:rPr>
        <w:t>(Tew et al., 2019)</w:t>
      </w:r>
      <w:r>
        <w:rPr>
          <w:rFonts w:ascii="Times New Roman" w:eastAsia="Times New Roman" w:hAnsi="Times New Roman" w:cs="Times New Roman"/>
          <w:color w:val="000000"/>
          <w:position w:val="0"/>
          <w:sz w:val="24"/>
          <w:szCs w:val="24"/>
        </w:rPr>
        <w:fldChar w:fldCharType="end"/>
      </w:r>
      <w:r>
        <w:rPr>
          <w:rFonts w:ascii="Times New Roman" w:eastAsia="Times New Roman" w:hAnsi="Times New Roman" w:cs="Times New Roman"/>
          <w:color w:val="000000"/>
          <w:position w:val="0"/>
          <w:sz w:val="24"/>
          <w:szCs w:val="24"/>
        </w:rPr>
        <w:t xml:space="preserve">. Oleh itu, imej satelit yang digunakan dalam kajian ini untuk mengekstark suhu permukaan tanah Pulau Pinang telah diperolehi melalui laman USGS.  Imej satelit bagi tahun 1984 sehingga 1997 telah diperolehi daripada Landsat 5 dan tahun 2008 pula daripada Landsat 7. </w:t>
      </w:r>
      <w:r w:rsidR="00DA1FFD">
        <w:rPr>
          <w:rFonts w:ascii="Times New Roman" w:eastAsia="Times New Roman" w:hAnsi="Times New Roman" w:cs="Times New Roman"/>
          <w:color w:val="000000"/>
          <w:position w:val="0"/>
          <w:sz w:val="24"/>
          <w:szCs w:val="24"/>
        </w:rPr>
        <w:t>Manakala</w:t>
      </w:r>
      <w:r>
        <w:rPr>
          <w:rFonts w:ascii="Times New Roman" w:eastAsia="Times New Roman" w:hAnsi="Times New Roman" w:cs="Times New Roman"/>
          <w:color w:val="000000"/>
          <w:position w:val="0"/>
          <w:sz w:val="24"/>
          <w:szCs w:val="24"/>
        </w:rPr>
        <w:t xml:space="preserve"> imej satelit 2015 pula diperolehi daripada Landsat 8.  Rajah 8 menunjukkan ketiga imej yang dimuat turun dan diproses menggunakan ArcGIS</w:t>
      </w:r>
    </w:p>
    <w:p w14:paraId="03C436A0" w14:textId="77777777" w:rsidR="00B027A9" w:rsidRDefault="00AE2895">
      <w:pPr>
        <w:suppressAutoHyphens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color w:val="000000"/>
          <w:position w:val="0"/>
          <w:sz w:val="24"/>
          <w:szCs w:val="24"/>
        </w:rPr>
      </w:pPr>
      <w:r>
        <w:rPr>
          <w:rFonts w:ascii="Times New Roman" w:eastAsia="Times New Roman" w:hAnsi="Times New Roman" w:cs="Times New Roman"/>
          <w:i/>
          <w:color w:val="000000"/>
          <w:position w:val="0"/>
          <w:sz w:val="24"/>
          <w:szCs w:val="24"/>
        </w:rPr>
        <w:tab/>
      </w:r>
    </w:p>
    <w:p w14:paraId="19704B87" w14:textId="77777777" w:rsidR="00B027A9" w:rsidRDefault="00AE2895">
      <w:pPr>
        <w:suppressAutoHyphens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i/>
          <w:color w:val="000000"/>
          <w:position w:val="0"/>
          <w:sz w:val="24"/>
          <w:szCs w:val="24"/>
        </w:rPr>
      </w:pPr>
      <w:r>
        <w:rPr>
          <w:rFonts w:ascii="Times New Roman" w:eastAsia="Times New Roman" w:hAnsi="Times New Roman" w:cs="Times New Roman"/>
          <w:i/>
          <w:color w:val="000000"/>
          <w:position w:val="0"/>
          <w:sz w:val="24"/>
          <w:szCs w:val="24"/>
        </w:rPr>
        <w:t>Kawasan kajian</w:t>
      </w:r>
    </w:p>
    <w:p w14:paraId="040E44C0" w14:textId="77777777" w:rsidR="00B027A9" w:rsidRDefault="00B027A9">
      <w:pPr>
        <w:suppressAutoHyphens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i/>
          <w:color w:val="000000"/>
          <w:position w:val="0"/>
          <w:sz w:val="24"/>
          <w:szCs w:val="24"/>
        </w:rPr>
      </w:pPr>
    </w:p>
    <w:p w14:paraId="327030E6" w14:textId="77777777" w:rsidR="00B027A9" w:rsidRDefault="00AE2895">
      <w:pPr>
        <w:suppressAutoHyphens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color w:val="000000"/>
          <w:position w:val="0"/>
          <w:sz w:val="24"/>
          <w:szCs w:val="24"/>
        </w:rPr>
      </w:pPr>
      <w:r>
        <w:rPr>
          <w:rFonts w:ascii="Times New Roman" w:eastAsia="Times New Roman" w:hAnsi="Times New Roman" w:cs="Times New Roman"/>
          <w:color w:val="000000"/>
          <w:position w:val="0"/>
          <w:sz w:val="24"/>
          <w:szCs w:val="24"/>
        </w:rPr>
        <w:t xml:space="preserve">Pulau Pinang terletak di bahagian utara negara Malaysia, iaitu terletak antara latitud 5°12'N dan 5°30'N, dan longitud 100°09'E dan 100°26'E. George Town merupakan ibu negeri Pulau Pinang dan juga bandar kedua terbesar di Malaysia, terletak di bahagian timur Pulau Pinang. Bahagian pulau, Pulau Pinang merupakan pulau yang diduduki paling ramai penduduk di Malaysia, dengan anggaran penduduk seramai 720,000 orang. Pentadbiran daerah Pulau Pinang terbahagi kepada dua bahagian: Majlis Perbandaran Seberang Perai (MPSP) dan Majlis Bandaraya Pulau Pinang (MBPP) </w:t>
      </w:r>
      <w:r>
        <w:rPr>
          <w:rFonts w:ascii="Times New Roman" w:eastAsia="Times New Roman" w:hAnsi="Times New Roman" w:cs="Times New Roman"/>
          <w:color w:val="000000"/>
          <w:position w:val="0"/>
          <w:sz w:val="24"/>
          <w:szCs w:val="24"/>
        </w:rPr>
        <w:fldChar w:fldCharType="begin"/>
      </w:r>
      <w:r>
        <w:rPr>
          <w:rFonts w:ascii="Times New Roman" w:eastAsia="Times New Roman" w:hAnsi="Times New Roman" w:cs="Times New Roman"/>
          <w:color w:val="000000"/>
          <w:position w:val="0"/>
          <w:sz w:val="24"/>
          <w:szCs w:val="24"/>
        </w:rPr>
        <w:instrText>ADDIN CSL_CITATION {"citationItems":[{"id":"ITEM-1","itemData":{"author":[{"dropping-particle":"","family":"Hanafiah","given":"Aili","non-dropping-particle":"","parse-names":false,"suffix":""}],"container-title":"Journal of Advance Research in Applied Science","id":"ITEM-1","issue":"7","issued":{"date-parts":[["2019"]]},"page":"1-13","title":"Urban Heat Island Island Phenomenon in Penang Island, Malaysia","type":"article-journal","volume":"6"},"uris":["http://www.mendeley.com/documents/?uuid=4a953a49-0b05-4180-8f87-30a68947a4a0"]}],"mendeley":{"formattedCitation":"(Hanafiah, 2019)","plainTextFormattedCitation":"(Hanafiah, 2019)","previouslyFormattedCitation":"(Hanafiah, 2019)"},"properties":{"noteIndex":0},"schema":"https://github.com/citation-style-language/schema/raw/master/csl-citation.json"}</w:instrText>
      </w:r>
      <w:r>
        <w:rPr>
          <w:rFonts w:ascii="Times New Roman" w:eastAsia="Times New Roman" w:hAnsi="Times New Roman" w:cs="Times New Roman"/>
          <w:color w:val="000000"/>
          <w:position w:val="0"/>
          <w:sz w:val="24"/>
          <w:szCs w:val="24"/>
        </w:rPr>
        <w:fldChar w:fldCharType="separate"/>
      </w:r>
      <w:r>
        <w:rPr>
          <w:rFonts w:ascii="Times New Roman" w:eastAsia="Times New Roman" w:hAnsi="Times New Roman" w:cs="Times New Roman"/>
          <w:noProof/>
          <w:color w:val="000000"/>
          <w:position w:val="0"/>
          <w:sz w:val="24"/>
          <w:szCs w:val="24"/>
        </w:rPr>
        <w:t>(Hanafiah, 2019)</w:t>
      </w:r>
      <w:r>
        <w:rPr>
          <w:rFonts w:ascii="Times New Roman" w:eastAsia="Times New Roman" w:hAnsi="Times New Roman" w:cs="Times New Roman"/>
          <w:color w:val="000000"/>
          <w:position w:val="0"/>
          <w:sz w:val="24"/>
          <w:szCs w:val="24"/>
        </w:rPr>
        <w:fldChar w:fldCharType="end"/>
      </w:r>
      <w:r>
        <w:rPr>
          <w:rFonts w:ascii="Times New Roman" w:eastAsia="Times New Roman" w:hAnsi="Times New Roman" w:cs="Times New Roman"/>
          <w:color w:val="000000"/>
          <w:position w:val="0"/>
          <w:sz w:val="24"/>
          <w:szCs w:val="24"/>
        </w:rPr>
        <w:t>.</w:t>
      </w:r>
    </w:p>
    <w:p w14:paraId="1510B568" w14:textId="6BB655FF" w:rsidR="00B027A9" w:rsidRDefault="00AE2895">
      <w:pPr>
        <w:suppressAutoHyphens w:val="0"/>
        <w:spacing w:after="0" w:line="240" w:lineRule="auto"/>
        <w:ind w:leftChars="0" w:left="0" w:firstLineChars="0" w:firstLine="720"/>
        <w:jc w:val="both"/>
        <w:textDirection w:val="lrTb"/>
        <w:textAlignment w:val="auto"/>
        <w:outlineLvl w:val="9"/>
        <w:rPr>
          <w:rFonts w:ascii="Times New Roman" w:eastAsia="Times New Roman" w:hAnsi="Times New Roman" w:cs="Times New Roman"/>
          <w:color w:val="000000"/>
          <w:position w:val="0"/>
          <w:sz w:val="24"/>
          <w:szCs w:val="24"/>
        </w:rPr>
      </w:pPr>
      <w:r>
        <w:rPr>
          <w:rFonts w:ascii="Times New Roman" w:eastAsia="Times New Roman" w:hAnsi="Times New Roman" w:cs="Times New Roman"/>
          <w:color w:val="000000"/>
          <w:position w:val="0"/>
          <w:sz w:val="24"/>
          <w:szCs w:val="24"/>
        </w:rPr>
        <w:t>Pulau Pinang merupakan pulau yang beriklim khatulistiwa, di</w:t>
      </w:r>
      <w:r w:rsidR="00DA1FFD">
        <w:rPr>
          <w:rFonts w:ascii="Times New Roman" w:eastAsia="Times New Roman" w:hAnsi="Times New Roman" w:cs="Times New Roman"/>
          <w:color w:val="000000"/>
          <w:position w:val="0"/>
          <w:sz w:val="24"/>
          <w:szCs w:val="24"/>
        </w:rPr>
        <w:t xml:space="preserve"> </w:t>
      </w:r>
      <w:r>
        <w:rPr>
          <w:rFonts w:ascii="Times New Roman" w:eastAsia="Times New Roman" w:hAnsi="Times New Roman" w:cs="Times New Roman"/>
          <w:color w:val="000000"/>
          <w:position w:val="0"/>
          <w:sz w:val="24"/>
          <w:szCs w:val="24"/>
        </w:rPr>
        <w:t>mana ianya panas dan lembap sepanjang tahun. Purata suhu tahunan adalah antara 27 dan 30 ℃. Kelembapan relatif tahunan adalah antara 70 hingga 90 peratus. Purata taburan hujan tahunan adalah sekitar 267 cm, manakala jumlah hujan tahunan kemungkinan boleh mencapai 624 cm (Tan et al., 2011). Musim tengkujuh Timur Laut, musim tengkujuh Barat Daya, dan sistem laut dan angin di sekeliling semuanya memberi kesan kepada sistem iklim Pulau Pinang (Tew et al., 2019).</w:t>
      </w:r>
    </w:p>
    <w:p w14:paraId="3D0C260E" w14:textId="4D0E04CF" w:rsidR="00B027A9" w:rsidRDefault="00AE2895">
      <w:pPr>
        <w:suppressAutoHyphens w:val="0"/>
        <w:spacing w:after="0" w:line="240" w:lineRule="auto"/>
        <w:ind w:leftChars="0" w:left="0" w:firstLineChars="0" w:firstLine="720"/>
        <w:jc w:val="both"/>
        <w:textDirection w:val="lrTb"/>
        <w:textAlignment w:val="auto"/>
        <w:outlineLvl w:val="9"/>
        <w:rPr>
          <w:rFonts w:ascii="Times New Roman" w:eastAsia="Times New Roman" w:hAnsi="Times New Roman" w:cs="Times New Roman"/>
          <w:color w:val="000000"/>
          <w:position w:val="0"/>
          <w:sz w:val="24"/>
          <w:szCs w:val="24"/>
        </w:rPr>
      </w:pPr>
      <w:r>
        <w:rPr>
          <w:rFonts w:ascii="Times New Roman" w:eastAsia="Times New Roman" w:hAnsi="Times New Roman" w:cs="Times New Roman"/>
          <w:color w:val="000000"/>
          <w:position w:val="0"/>
          <w:sz w:val="24"/>
          <w:szCs w:val="24"/>
        </w:rPr>
        <w:t>Georgetown juga tersenarai sebagai Tapak Warisan Dunia UNESCO. Pengiktirafan ini membantu meningkatkan jumlah pelancong ke Pulau Pinang dan menambah baik pelancongan di seluruh Malaysia (Tan et al., 2011). Jadi, negeri ini padat dari segi pembangunan, penduduk dan pembandaran, menjadikannya ideal untuk penyelidikan tentang hubungan antara trend suhu jangka panjang dan pembandaran. Kawasan kajian penyelidikan ini ditunjukkan dalam Rajah 1.</w:t>
      </w:r>
    </w:p>
    <w:p w14:paraId="161CC7AC" w14:textId="77777777" w:rsidR="00B027A9" w:rsidRDefault="00B027A9">
      <w:pPr>
        <w:suppressAutoHyphens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color w:val="000000"/>
          <w:position w:val="0"/>
          <w:sz w:val="24"/>
          <w:szCs w:val="24"/>
        </w:rPr>
      </w:pPr>
    </w:p>
    <w:p w14:paraId="6924CA21" w14:textId="77777777" w:rsidR="00B027A9" w:rsidRDefault="00AE2895">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4"/>
        </w:rPr>
      </w:pPr>
      <w:r>
        <w:rPr>
          <w:rFonts w:ascii="Times New Roman" w:eastAsia="Times New Roman" w:hAnsi="Times New Roman" w:cs="Times New Roman"/>
          <w:noProof/>
          <w:color w:val="000000"/>
          <w:position w:val="0"/>
          <w:sz w:val="20"/>
          <w:szCs w:val="24"/>
          <w:lang w:val="en-MY" w:eastAsia="en-MY"/>
        </w:rPr>
        <w:lastRenderedPageBreak/>
        <w:drawing>
          <wp:inline distT="0" distB="0" distL="0" distR="0" wp14:anchorId="1D265412" wp14:editId="6159D26C">
            <wp:extent cx="5569527" cy="4203865"/>
            <wp:effectExtent l="0" t="0" r="0" b="6350"/>
            <wp:docPr id="1026"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rotWithShape="1">
                    <a:blip r:embed="rId8" cstate="print"/>
                    <a:srcRect t="2822"/>
                    <a:stretch/>
                  </pic:blipFill>
                  <pic:spPr bwMode="auto">
                    <a:xfrm>
                      <a:off x="0" y="0"/>
                      <a:ext cx="5573195" cy="4206634"/>
                    </a:xfrm>
                    <a:prstGeom prst="rect">
                      <a:avLst/>
                    </a:prstGeom>
                    <a:ln>
                      <a:noFill/>
                    </a:ln>
                    <a:extLst>
                      <a:ext uri="{53640926-AAD7-44D8-BBD7-CCE9431645EC}">
                        <a14:shadowObscured xmlns:a14="http://schemas.microsoft.com/office/drawing/2010/main"/>
                      </a:ext>
                    </a:extLst>
                  </pic:spPr>
                </pic:pic>
              </a:graphicData>
            </a:graphic>
          </wp:inline>
        </w:drawing>
      </w:r>
    </w:p>
    <w:p w14:paraId="62AB7310" w14:textId="77777777" w:rsidR="00DA1FFD" w:rsidRDefault="00DA1FFD">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b/>
          <w:color w:val="000000"/>
          <w:position w:val="0"/>
          <w:sz w:val="20"/>
          <w:szCs w:val="24"/>
        </w:rPr>
      </w:pPr>
    </w:p>
    <w:p w14:paraId="436B3A1E" w14:textId="5B54E393" w:rsidR="00B027A9" w:rsidRDefault="00AE2895">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color w:val="000000"/>
          <w:position w:val="0"/>
          <w:sz w:val="20"/>
          <w:szCs w:val="24"/>
        </w:rPr>
      </w:pPr>
      <w:r>
        <w:rPr>
          <w:rFonts w:ascii="Times New Roman" w:eastAsia="Times New Roman" w:hAnsi="Times New Roman" w:cs="Times New Roman"/>
          <w:b/>
          <w:color w:val="000000"/>
          <w:position w:val="0"/>
          <w:sz w:val="20"/>
          <w:szCs w:val="24"/>
        </w:rPr>
        <w:t>Rajah 1.</w:t>
      </w:r>
      <w:r>
        <w:rPr>
          <w:rFonts w:ascii="Times New Roman" w:eastAsia="Times New Roman" w:hAnsi="Times New Roman" w:cs="Times New Roman"/>
          <w:color w:val="000000"/>
          <w:position w:val="0"/>
          <w:sz w:val="20"/>
          <w:szCs w:val="24"/>
        </w:rPr>
        <w:t xml:space="preserve"> Kawasan kajian</w:t>
      </w:r>
    </w:p>
    <w:p w14:paraId="03A15A7B" w14:textId="77777777" w:rsidR="00B027A9" w:rsidRDefault="00B027A9">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4"/>
          <w:szCs w:val="32"/>
        </w:rPr>
      </w:pPr>
    </w:p>
    <w:p w14:paraId="6018E265" w14:textId="77777777" w:rsidR="00B027A9" w:rsidRDefault="00B027A9">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4"/>
          <w:szCs w:val="32"/>
        </w:rPr>
      </w:pPr>
    </w:p>
    <w:p w14:paraId="35B221FF" w14:textId="77777777" w:rsidR="00B027A9" w:rsidRDefault="00AE2895">
      <w:pPr>
        <w:suppressAutoHyphens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b/>
          <w:color w:val="000000"/>
          <w:position w:val="0"/>
          <w:sz w:val="24"/>
          <w:szCs w:val="24"/>
        </w:rPr>
      </w:pPr>
      <w:r>
        <w:rPr>
          <w:rFonts w:ascii="Times New Roman" w:eastAsia="Times New Roman" w:hAnsi="Times New Roman" w:cs="Times New Roman"/>
          <w:b/>
          <w:color w:val="000000"/>
          <w:position w:val="0"/>
          <w:sz w:val="24"/>
          <w:szCs w:val="24"/>
        </w:rPr>
        <w:t>Hasil dan perbincangan</w:t>
      </w:r>
    </w:p>
    <w:p w14:paraId="0DCEFD4B" w14:textId="77777777" w:rsidR="00B027A9" w:rsidRDefault="00B027A9">
      <w:pPr>
        <w:suppressAutoHyphens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b/>
          <w:color w:val="000000"/>
          <w:position w:val="0"/>
          <w:sz w:val="24"/>
          <w:szCs w:val="24"/>
        </w:rPr>
      </w:pPr>
    </w:p>
    <w:p w14:paraId="58D7EEED" w14:textId="77777777" w:rsidR="00B027A9" w:rsidRDefault="00AE2895">
      <w:pPr>
        <w:suppressAutoHyphens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i/>
          <w:color w:val="000000"/>
          <w:position w:val="0"/>
          <w:sz w:val="24"/>
          <w:szCs w:val="24"/>
        </w:rPr>
      </w:pPr>
      <w:r>
        <w:rPr>
          <w:rFonts w:ascii="Times New Roman" w:eastAsia="Times New Roman" w:hAnsi="Times New Roman" w:cs="Times New Roman"/>
          <w:i/>
          <w:color w:val="000000"/>
          <w:position w:val="0"/>
          <w:sz w:val="24"/>
          <w:szCs w:val="24"/>
        </w:rPr>
        <w:t>Kadar perkembangan kawasan bandar di bahagian pula di Pulau Pinang</w:t>
      </w:r>
    </w:p>
    <w:p w14:paraId="6EF5DB47" w14:textId="77777777" w:rsidR="00B027A9" w:rsidRDefault="00B027A9">
      <w:pPr>
        <w:suppressAutoHyphens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i/>
          <w:color w:val="000000"/>
          <w:position w:val="0"/>
          <w:sz w:val="24"/>
          <w:szCs w:val="24"/>
        </w:rPr>
      </w:pPr>
    </w:p>
    <w:p w14:paraId="68EA232F" w14:textId="77777777" w:rsidR="00B027A9" w:rsidRDefault="00AE2895">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4"/>
          <w:szCs w:val="24"/>
        </w:rPr>
      </w:pPr>
      <w:r>
        <w:rPr>
          <w:rFonts w:ascii="Times New Roman" w:hAnsi="Times New Roman" w:cs="Times New Roman"/>
          <w:position w:val="0"/>
          <w:sz w:val="24"/>
          <w:szCs w:val="24"/>
        </w:rPr>
        <w:t xml:space="preserve">Bagi menilai kadar perkembangan kawasan bandar di Pulau Pinang, perubahan guna tanah telah dikenalpasti dengan menggunakan peta guna tanah yang didigitasi bagi tempoh enam tahun (1966, 1974, 1984, 1997, 2008 dan 2015).  Rajah 2 menunjukkan peta guna tanah Pulau Pinang dari tahun 1966 hingga 2015. Jadual 3 menunjukkan keluasan setiap guna tanah. Rajah 3 pula menunjukkan peratusan setiap guna tanah di Pulau Pinang. </w:t>
      </w:r>
    </w:p>
    <w:p w14:paraId="7954AD98" w14:textId="77777777" w:rsidR="00B027A9" w:rsidRDefault="00AE2895">
      <w:pPr>
        <w:suppressAutoHyphens w:val="0"/>
        <w:spacing w:after="0" w:line="240" w:lineRule="auto"/>
        <w:ind w:leftChars="0" w:left="0" w:firstLineChars="0" w:firstLine="720"/>
        <w:jc w:val="both"/>
        <w:textDirection w:val="lrTb"/>
        <w:textAlignment w:val="auto"/>
        <w:outlineLvl w:val="9"/>
        <w:rPr>
          <w:rFonts w:ascii="Times New Roman" w:hAnsi="Times New Roman" w:cs="Times New Roman"/>
          <w:position w:val="0"/>
          <w:sz w:val="24"/>
          <w:szCs w:val="24"/>
        </w:rPr>
      </w:pPr>
      <w:r>
        <w:rPr>
          <w:rFonts w:ascii="Times New Roman" w:hAnsi="Times New Roman" w:cs="Times New Roman"/>
          <w:position w:val="0"/>
          <w:sz w:val="24"/>
          <w:szCs w:val="24"/>
        </w:rPr>
        <w:t xml:space="preserve">Berdasarkan Rajah 2, dapat diperhatikan bahawa kawasan utara dan barat laut bahagian pulau kebanyakannya dilitupi oleh kawasan hutan. Hutan barat laut sebelum ini dikenali sebagai Hutan Simpan Pantai Acheh (HSPA), dan kini diisytiharkan sebagai Taman Negara Pulau Pinang (TNPP) pada April 2003 oleh Perdana Menteri Malaysia ke-5 Tun Abdullah Ahmad Badawi </w:t>
      </w:r>
      <w:r>
        <w:rPr>
          <w:rFonts w:ascii="Times New Roman" w:hAnsi="Times New Roman" w:cs="Times New Roman"/>
          <w:position w:val="0"/>
          <w:sz w:val="24"/>
          <w:szCs w:val="24"/>
        </w:rPr>
        <w:fldChar w:fldCharType="begin"/>
      </w:r>
      <w:r>
        <w:rPr>
          <w:rFonts w:ascii="Times New Roman" w:hAnsi="Times New Roman" w:cs="Times New Roman"/>
          <w:position w:val="0"/>
          <w:sz w:val="24"/>
          <w:szCs w:val="24"/>
        </w:rPr>
        <w:instrText>ADDIN CSL_CITATION {"citationItems":[{"id":"ITEM-1","itemData":{"abstract":"Pulau Pinang adalah salah satu negeri di Malaysia yang sedang pesat membangun dari segi perindustrian dan pembandaran. Oleh itu terdapat keperluan untuk ruang hijau awam. Selepas sekian lama, Hutan Simpan Pantai Acheh akhirnya telah diisytiharkan sebagai taman negara pada April 2003.Taman Negara Pulau Pinang yang terletak di sudut Barat Laut Pulau Pinang, adalah salah satu daripada taman negara terkecil di dunia, Taman Negara Pulau Pinang juga merupakan kawasan pertama yang dilindungi yang diwartakan di bawah Akta Taman Negara 1980. Taman Negara Pulau Pinang mempunyai pelbagai flora dan fauna dengan ciri-ciri eksklusif yang unik seperti tasik meromictic, pantai bersih, pusat penetasan telur penyu serta anak sungai yang bersih. Sejak penubuhannya sebagai taman negara, pemeliharaan taman telah menjadi satu isu. Banyak cabaran yang perlu ditangani untuk memastikan kemampanan semasa serta generasi akan datang. Ancaman dalam Taman Negara Pulau Pinang termasuk hehilangan flora dan fauna, alam sekitar yang sensitif dan juga kekurangan tanah di dalam Pulau Pinang. Cabaran untuk pembangunan lestari Taman Negara Pulau Pinang termasuk cabaran pengurusan khususnya dalam penzonan kawasan di dalam Taman Negara Pulau Pinang.Cabaran dalam pembangunan termasuk meminimakan pembinaan bangunan manakala cabaran politik termasuk pergandingan bahu di antara Perhilitan dan Kerajaan Negeri Pulau Pinang. Cabaran dalam ekonomi pula termasuk menjaga kepentingan masyarakat tempatan untuk pendapatan yang berterusan.Cabaran pengurusan persekitaran merangkumi cara perundangan seperti pemberian lesen manakala yang bukan perundanganmerangkumi pendidikan alam sekitar dan lain-lain","author":[{"dropping-particle":"","family":"Hong","given":"Chern Wern","non-dropping-particle":"","parse-names":false,"suffix":""},{"dropping-particle":"","family":"Chan","given":"Ngai Weng","non-dropping-particle":"","parse-names":false,"suffix":""},{"dropping-particle":"","family":"Mohamed","given":"Badaruddin","non-dropping-particle":"","parse-names":false,"suffix":""}],"container-title":"Prosiding Seminar Serantau Ke-2 Pengurusan Persekitaran di Alam Melayu","id":"ITEM-1","issue":"June","issued":{"date-parts":[["2013"]]},"page":"15-27","title":"Ancaman dan Cabaran Dalam Pembangunan Lestari Taman Negara di Pulau Pinang","type":"article-journal"},"uris":["http://www.mendeley.com/documents/?uuid=4483263a-b819-4b9e-94d2-879163ad40f0"]}],"mendeley":{"formattedCitation":"(Hong et al., 2013)","plainTextFormattedCitation":"(Hong et al., 2013)","previouslyFormattedCitation":"(Hong et al., 2013)"},"properties":{"noteIndex":0},"schema":"https://github.com/citation-style-language/schema/raw/master/csl-citation.json"}</w:instrText>
      </w:r>
      <w:r>
        <w:rPr>
          <w:rFonts w:ascii="Times New Roman" w:hAnsi="Times New Roman" w:cs="Times New Roman"/>
          <w:position w:val="0"/>
          <w:sz w:val="24"/>
          <w:szCs w:val="24"/>
        </w:rPr>
        <w:fldChar w:fldCharType="separate"/>
      </w:r>
      <w:r>
        <w:rPr>
          <w:rFonts w:ascii="Times New Roman" w:hAnsi="Times New Roman" w:cs="Times New Roman"/>
          <w:noProof/>
          <w:position w:val="0"/>
          <w:sz w:val="24"/>
          <w:szCs w:val="24"/>
        </w:rPr>
        <w:t>(Hong et al., 2013)</w:t>
      </w:r>
      <w:r>
        <w:rPr>
          <w:rFonts w:ascii="Times New Roman" w:hAnsi="Times New Roman" w:cs="Times New Roman"/>
          <w:position w:val="0"/>
          <w:sz w:val="24"/>
          <w:szCs w:val="24"/>
        </w:rPr>
        <w:fldChar w:fldCharType="end"/>
      </w:r>
      <w:r>
        <w:rPr>
          <w:rFonts w:ascii="Times New Roman" w:hAnsi="Times New Roman" w:cs="Times New Roman"/>
          <w:position w:val="0"/>
          <w:sz w:val="24"/>
          <w:szCs w:val="24"/>
        </w:rPr>
        <w:t xml:space="preserve">. Seterusnya, kawasan hutan di bahagian utara Pulau Pinang juga merupakan kawasan terpelihara yang terdiri daripada Hutan Simpan Teluk Bahang, Hutan Simpan Bukit Kerajaan, Hutan Simpan Laksamana, Hutan Simpan Penara, dan Hutan Simpan Tanah Tinggi </w:t>
      </w:r>
      <w:r>
        <w:rPr>
          <w:rFonts w:ascii="Times New Roman" w:hAnsi="Times New Roman" w:cs="Times New Roman"/>
          <w:position w:val="0"/>
          <w:sz w:val="24"/>
          <w:szCs w:val="24"/>
        </w:rPr>
        <w:fldChar w:fldCharType="begin"/>
      </w:r>
      <w:r>
        <w:rPr>
          <w:rFonts w:ascii="Times New Roman" w:hAnsi="Times New Roman" w:cs="Times New Roman"/>
          <w:position w:val="0"/>
          <w:sz w:val="24"/>
          <w:szCs w:val="24"/>
        </w:rPr>
        <w:instrText>ADDIN CSL_CITATION {"citationItems":[{"id":"ITEM-1","itemData":{"URL":"https://www.thestar.com.my/metro/metro-news/2020/10/19/on-track-heights-to-scale-new","accessed":{"date-parts":[["2021","6","21"]]},"author":[{"dropping-particle":"","family":"Liew Jia Xian","given":"","non-dropping-particle":"","parse-names":false,"suffix":""}],"container-title":"TheStar","id":"ITEM-1","issued":{"date-parts":[["2020","10","19"]]},"title":"On track heights to scale new | The Star","type":"webpage"},"uris":["http://www.mendeley.com/documents/?uuid=96733c6f-32a0-37dc-8ec2-2051b3c18507"]}],"mendeley":{"formattedCitation":"(Liew Jia Xian, 2020)","plainTextFormattedCitation":"(Liew Jia Xian, 2020)","previouslyFormattedCitation":"(Liew Jia Xian, 2020)"},"properties":{"noteIndex":0},"schema":"https://github.com/citation-style-language/schema/raw/master/csl-citation.json"}</w:instrText>
      </w:r>
      <w:r>
        <w:rPr>
          <w:rFonts w:ascii="Times New Roman" w:hAnsi="Times New Roman" w:cs="Times New Roman"/>
          <w:position w:val="0"/>
          <w:sz w:val="24"/>
          <w:szCs w:val="24"/>
        </w:rPr>
        <w:fldChar w:fldCharType="separate"/>
      </w:r>
      <w:r>
        <w:rPr>
          <w:rFonts w:ascii="Times New Roman" w:hAnsi="Times New Roman" w:cs="Times New Roman"/>
          <w:noProof/>
          <w:position w:val="0"/>
          <w:sz w:val="24"/>
          <w:szCs w:val="24"/>
        </w:rPr>
        <w:t>(Liew, 2020)</w:t>
      </w:r>
      <w:r>
        <w:rPr>
          <w:rFonts w:ascii="Times New Roman" w:hAnsi="Times New Roman" w:cs="Times New Roman"/>
          <w:position w:val="0"/>
          <w:sz w:val="24"/>
          <w:szCs w:val="24"/>
        </w:rPr>
        <w:fldChar w:fldCharType="end"/>
      </w:r>
      <w:r>
        <w:rPr>
          <w:rFonts w:ascii="Times New Roman" w:hAnsi="Times New Roman" w:cs="Times New Roman"/>
          <w:position w:val="0"/>
          <w:sz w:val="24"/>
          <w:szCs w:val="24"/>
        </w:rPr>
        <w:t xml:space="preserve">. Sejak kawasan hutan diisytiharkan sebagai hutan simpanan, tiada perubahan besar yang berlaku pada kawasan hutan di bahagian utara dan barat laut sejak dari tahun 1966 hingga 2015, walaupun pembangunan pesat berlaku di Pulau Pinang. Merujuk Jadual 3, dapat dilihat secara jelas bahawa </w:t>
      </w:r>
      <w:r>
        <w:rPr>
          <w:rFonts w:ascii="Times New Roman" w:hAnsi="Times New Roman" w:cs="Times New Roman"/>
          <w:position w:val="0"/>
          <w:sz w:val="24"/>
          <w:szCs w:val="24"/>
        </w:rPr>
        <w:lastRenderedPageBreak/>
        <w:t>pertambahan kawasan hutan, bermula sejak tahun 1966 iaitu 97.81 km</w:t>
      </w:r>
      <w:r>
        <w:rPr>
          <w:rFonts w:ascii="Times New Roman" w:hAnsi="Times New Roman" w:cs="Times New Roman"/>
          <w:position w:val="0"/>
          <w:sz w:val="24"/>
          <w:szCs w:val="24"/>
          <w:vertAlign w:val="superscript"/>
        </w:rPr>
        <w:t>2</w:t>
      </w:r>
      <w:r>
        <w:rPr>
          <w:rFonts w:ascii="Times New Roman" w:hAnsi="Times New Roman" w:cs="Times New Roman"/>
          <w:position w:val="0"/>
          <w:sz w:val="24"/>
          <w:szCs w:val="24"/>
        </w:rPr>
        <w:t xml:space="preserve"> (32.59%) kepada 113.34 km</w:t>
      </w:r>
      <w:r>
        <w:rPr>
          <w:rFonts w:ascii="Times New Roman" w:hAnsi="Times New Roman" w:cs="Times New Roman"/>
          <w:position w:val="0"/>
          <w:sz w:val="24"/>
          <w:szCs w:val="24"/>
          <w:vertAlign w:val="superscript"/>
        </w:rPr>
        <w:t>2</w:t>
      </w:r>
      <w:r>
        <w:rPr>
          <w:rFonts w:ascii="Times New Roman" w:hAnsi="Times New Roman" w:cs="Times New Roman"/>
          <w:position w:val="0"/>
          <w:sz w:val="24"/>
          <w:szCs w:val="24"/>
        </w:rPr>
        <w:t xml:space="preserve"> (38.20%) pada tahun 1984 dan berkurangan sedikit pada tahun 1997 kepada 96.64 km</w:t>
      </w:r>
      <w:r>
        <w:rPr>
          <w:rFonts w:ascii="Times New Roman" w:hAnsi="Times New Roman" w:cs="Times New Roman"/>
          <w:position w:val="0"/>
          <w:sz w:val="24"/>
          <w:szCs w:val="24"/>
          <w:vertAlign w:val="superscript"/>
        </w:rPr>
        <w:t>2</w:t>
      </w:r>
      <w:r>
        <w:rPr>
          <w:rFonts w:ascii="Times New Roman" w:hAnsi="Times New Roman" w:cs="Times New Roman"/>
          <w:position w:val="0"/>
          <w:sz w:val="24"/>
          <w:szCs w:val="24"/>
        </w:rPr>
        <w:t xml:space="preserve"> (31.65%). Pada tahun 2008, keluasan tanah hutan meningkat lagi menjadi 97.12 km</w:t>
      </w:r>
      <w:r>
        <w:rPr>
          <w:rFonts w:ascii="Times New Roman" w:hAnsi="Times New Roman" w:cs="Times New Roman"/>
          <w:position w:val="0"/>
          <w:sz w:val="24"/>
          <w:szCs w:val="24"/>
          <w:vertAlign w:val="superscript"/>
        </w:rPr>
        <w:t>2</w:t>
      </w:r>
      <w:r>
        <w:rPr>
          <w:rFonts w:ascii="Times New Roman" w:hAnsi="Times New Roman" w:cs="Times New Roman"/>
          <w:position w:val="0"/>
          <w:sz w:val="24"/>
          <w:szCs w:val="24"/>
        </w:rPr>
        <w:t xml:space="preserve"> (31.62%) dan pada tahun 2015 meningkat menjadi 98.67 km</w:t>
      </w:r>
      <w:r>
        <w:rPr>
          <w:rFonts w:ascii="Times New Roman" w:hAnsi="Times New Roman" w:cs="Times New Roman"/>
          <w:position w:val="0"/>
          <w:sz w:val="24"/>
          <w:szCs w:val="24"/>
          <w:vertAlign w:val="superscript"/>
        </w:rPr>
        <w:t>2</w:t>
      </w:r>
      <w:r>
        <w:rPr>
          <w:rFonts w:ascii="Times New Roman" w:hAnsi="Times New Roman" w:cs="Times New Roman"/>
          <w:position w:val="0"/>
          <w:sz w:val="24"/>
          <w:szCs w:val="24"/>
        </w:rPr>
        <w:t xml:space="preserve"> (32.17%). Luas kawasan hutan berkurang sebanyak 13.08% dari tahun 1984 hingga 2015. Mengikut Jadual 3, kadar keseluruhan luas tanah hutan menunjukkan pengurangan dari tahun 1966 (31.59%) kepada 2015 (32.17%). </w:t>
      </w:r>
      <w:r>
        <w:rPr>
          <w:rFonts w:ascii="Times New Roman" w:hAnsi="Times New Roman" w:cs="Times New Roman"/>
          <w:position w:val="0"/>
          <w:sz w:val="24"/>
          <w:szCs w:val="24"/>
        </w:rPr>
        <w:fldChar w:fldCharType="begin"/>
      </w:r>
      <w:r>
        <w:rPr>
          <w:rFonts w:ascii="Times New Roman" w:hAnsi="Times New Roman" w:cs="Times New Roman"/>
          <w:position w:val="0"/>
          <w:sz w:val="24"/>
          <w:szCs w:val="24"/>
        </w:rPr>
        <w:instrText>ADDIN CSL_CITATION {"citationItems":[{"id":"ITEM-1","itemData":{"DOI":"10.1007/s12665-009-0286-z","ISSN":"18666280","abstract":"Land surface temperature (LST) plays an important role in local, regional and global climate studies. LST controls the distribution of the budget for radiation heat between the atmosphere and the earth's surface. Therefore, it is important to evaluate abrupt changes in land use/land cover (LULC). Penang Island, Malaysia has been experiencing a rapid and drastic change in urban expansion over the past two decades due to growth in industrial and residential areas. The aim of this study was to investigate and evaluate the impact of LST with respect to land use changes in Penang Island, Malaysia. Three supervised classification techniques known as maximum likelihood, minimum distance-to-mean and parallelepiped were applied to the images to extract thematic information from the acquired scene by using PCI Geomatica 10.1 image processing software. These remote sensing classification techniques help to examine land-use changes in Penang Island using multi-temporal Landsat data for the period of 1999-2007. Training sites were selected within each scene and seven land cover classes were assigned to each classifier. The relative performance of each technique was evaluated. The accuracy of each classification map was assessed using a reference data set consisting of a large number of samples collected per category. Two Landsat satellite images captured in 1999 and 2007 were chosen to classify the LULC types using the maximum likelihood classification method, determined from visible and near-infrared bands. The study revealed that the maximum likelihood classifier produced superior results and achieved a high degree of accuracy. The LST and normalised difference vegetation index (NDVI) were computed based on changes in LULC. The results showed that the urban (highly built-up) area increased dramatically, and grassland area increased moderately. Inversely, barren land decreased obviously, and forest area decreased moderately. While urban (minimally built-up) area decreased slightly. These changes in LULC caused at significant difference in LST between urban and rural areas. Strong correlation values were observed between LST and NDVI for all LULC classes. The remote sensing technique used in this study was found to be efficient; it reduced the time for the analysis of the urban expansion, and it was found to be a useful tool to evaluate the impact of urbanisation with LST. © 2009 Springer-Verlag.","author":[{"dropping-particle":"","family":"Tan","given":"Kok Chooi","non-dropping-particle":"","parse-names":false,"suffix":""},{"dropping-particle":"","family":"Lim","given":"Hwee San","non-dropping-particle":"","parse-names":false,"suffix":""},{"dropping-particle":"","family":"MatJafri","given":"Mohd Zubir","non-dropping-particle":"","parse-names":false,"suffix":""},{"dropping-particle":"","family":"Abdullah","given":"Khiruddin","non-dropping-particle":"","parse-names":false,"suffix":""}],"container-title":"Environmental Earth Sciences","id":"ITEM-1","issue":"7","issued":{"date-parts":[["2010"]]},"page":"1509-1521","title":"Landsat data to evaluate urban expansion and determine land use/land cover changes in Penang Island, Malaysia","type":"article-journal","volume":"60"},"uris":["http://www.mendeley.com/documents/?uuid=7a373a6f-86aa-4ffa-a58e-bfc3125352d0"]}],"mendeley":{"formattedCitation":"(K. C. Tan et al., 2010)","manualFormatting":"Kok Chooi Tan et al (2010)","plainTextFormattedCitation":"(K. C. Tan et al., 2010)","previouslyFormattedCitation":"(K. C. Tan et al., 2010)"},"properties":{"noteIndex":0},"schema":"https://github.com/citation-style-language/schema/raw/master/csl-citation.json"}</w:instrText>
      </w:r>
      <w:r>
        <w:rPr>
          <w:rFonts w:ascii="Times New Roman" w:hAnsi="Times New Roman" w:cs="Times New Roman"/>
          <w:position w:val="0"/>
          <w:sz w:val="24"/>
          <w:szCs w:val="24"/>
        </w:rPr>
        <w:fldChar w:fldCharType="separate"/>
      </w:r>
      <w:r>
        <w:rPr>
          <w:rFonts w:ascii="Times New Roman" w:hAnsi="Times New Roman" w:cs="Times New Roman"/>
          <w:noProof/>
          <w:position w:val="0"/>
          <w:sz w:val="24"/>
          <w:szCs w:val="24"/>
        </w:rPr>
        <w:t>Kok Chooi Tan et al. (2010)</w:t>
      </w:r>
      <w:r>
        <w:rPr>
          <w:rFonts w:ascii="Times New Roman" w:hAnsi="Times New Roman" w:cs="Times New Roman"/>
          <w:position w:val="0"/>
          <w:sz w:val="24"/>
          <w:szCs w:val="24"/>
        </w:rPr>
        <w:fldChar w:fldCharType="end"/>
      </w:r>
      <w:r>
        <w:rPr>
          <w:rFonts w:ascii="Times New Roman" w:hAnsi="Times New Roman" w:cs="Times New Roman"/>
          <w:position w:val="0"/>
          <w:sz w:val="24"/>
          <w:szCs w:val="24"/>
        </w:rPr>
        <w:t xml:space="preserve"> juga melaporkan bahawa kawasan hutan di Pulau Pinang berkurangan sebanyak 16.89% dari tahun 1999 sehingga 2007. Menurut beliau juga, terdapat peralihan yang ketara dalam kawasan hutan. Sepanjang 18 tahun, dari 1991 hingga 2019, kawasan hutan berkurangan sebanyak 25.76 peratus.</w:t>
      </w:r>
    </w:p>
    <w:p w14:paraId="47935D89" w14:textId="77777777" w:rsidR="00DA1FFD" w:rsidRPr="00DA1FFD" w:rsidRDefault="00DA1FFD">
      <w:pPr>
        <w:suppressAutoHyphens w:val="0"/>
        <w:spacing w:after="0" w:line="240" w:lineRule="auto"/>
        <w:ind w:leftChars="0" w:left="0" w:firstLineChars="0" w:firstLine="720"/>
        <w:jc w:val="both"/>
        <w:textDirection w:val="lrTb"/>
        <w:textAlignment w:val="auto"/>
        <w:outlineLvl w:val="9"/>
        <w:rPr>
          <w:rFonts w:ascii="Times New Roman" w:hAnsi="Times New Roman" w:cs="Times New Roman"/>
          <w:position w:val="0"/>
          <w:sz w:val="16"/>
          <w:szCs w:val="16"/>
        </w:rPr>
      </w:pPr>
    </w:p>
    <w:p w14:paraId="52E0C6C4" w14:textId="77777777" w:rsidR="00B027A9" w:rsidRDefault="00AE2895">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4"/>
          <w:szCs w:val="24"/>
          <w:u w:val="single"/>
        </w:rPr>
      </w:pPr>
      <w:r>
        <w:rPr>
          <w:rFonts w:ascii="Times New Roman" w:hAnsi="Times New Roman" w:cs="Times New Roman"/>
          <w:noProof/>
          <w:position w:val="0"/>
          <w:sz w:val="20"/>
          <w:szCs w:val="20"/>
          <w:lang w:val="en-MY" w:eastAsia="en-MY"/>
        </w:rPr>
        <w:drawing>
          <wp:inline distT="0" distB="0" distL="0" distR="0" wp14:anchorId="16E4EA99" wp14:editId="5157624A">
            <wp:extent cx="4067299" cy="6210794"/>
            <wp:effectExtent l="0" t="0" r="0" b="0"/>
            <wp:docPr id="1027" name="Picture 11" descr="A screenshot of a 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1"/>
                    <pic:cNvPicPr/>
                  </pic:nvPicPr>
                  <pic:blipFill>
                    <a:blip r:embed="rId9" cstate="print"/>
                    <a:srcRect l="5792" t="4272" r="4636" b="3528"/>
                    <a:stretch/>
                  </pic:blipFill>
                  <pic:spPr>
                    <a:xfrm>
                      <a:off x="0" y="0"/>
                      <a:ext cx="4097730" cy="6257263"/>
                    </a:xfrm>
                    <a:prstGeom prst="rect">
                      <a:avLst/>
                    </a:prstGeom>
                    <a:ln>
                      <a:noFill/>
                    </a:ln>
                  </pic:spPr>
                </pic:pic>
              </a:graphicData>
            </a:graphic>
          </wp:inline>
        </w:drawing>
      </w:r>
    </w:p>
    <w:p w14:paraId="14361D9B" w14:textId="77777777" w:rsidR="00B027A9" w:rsidRDefault="00AE2895">
      <w:pPr>
        <w:suppressAutoHyphens w:val="0"/>
        <w:spacing w:after="160" w:line="240" w:lineRule="auto"/>
        <w:ind w:leftChars="0" w:left="0" w:firstLineChars="0" w:firstLine="0"/>
        <w:jc w:val="center"/>
        <w:textDirection w:val="lrTb"/>
        <w:textAlignment w:val="auto"/>
        <w:outlineLvl w:val="9"/>
        <w:rPr>
          <w:rFonts w:ascii="Times New Roman" w:hAnsi="Times New Roman" w:cs="Times New Roman"/>
          <w:position w:val="0"/>
          <w:sz w:val="20"/>
          <w:szCs w:val="24"/>
        </w:rPr>
      </w:pPr>
      <w:r>
        <w:rPr>
          <w:rFonts w:ascii="Times New Roman" w:hAnsi="Times New Roman" w:cs="Times New Roman"/>
          <w:b/>
          <w:position w:val="0"/>
          <w:sz w:val="20"/>
          <w:szCs w:val="24"/>
        </w:rPr>
        <w:t>Rajah 2.</w:t>
      </w:r>
      <w:r>
        <w:rPr>
          <w:rFonts w:ascii="Times New Roman" w:hAnsi="Times New Roman" w:cs="Times New Roman"/>
          <w:position w:val="0"/>
          <w:sz w:val="24"/>
          <w:szCs w:val="24"/>
        </w:rPr>
        <w:t xml:space="preserve"> </w:t>
      </w:r>
      <w:r>
        <w:rPr>
          <w:rFonts w:ascii="Times New Roman" w:hAnsi="Times New Roman" w:cs="Times New Roman"/>
          <w:position w:val="0"/>
          <w:sz w:val="20"/>
          <w:szCs w:val="24"/>
        </w:rPr>
        <w:t xml:space="preserve">Peta guna tanah bagi bahagian pulau, Pulau Pinang dari tahun 1966 hingga 2015 </w:t>
      </w:r>
    </w:p>
    <w:p w14:paraId="18D5F5F7" w14:textId="77777777" w:rsidR="00DA1FFD" w:rsidRDefault="00DA1FFD" w:rsidP="00DA1FFD">
      <w:pPr>
        <w:suppressAutoHyphens w:val="0"/>
        <w:spacing w:after="0" w:line="240" w:lineRule="auto"/>
        <w:ind w:leftChars="0" w:left="0" w:firstLineChars="0" w:firstLine="720"/>
        <w:jc w:val="both"/>
        <w:textDirection w:val="lrTb"/>
        <w:textAlignment w:val="auto"/>
        <w:outlineLvl w:val="9"/>
        <w:rPr>
          <w:rFonts w:ascii="Times New Roman" w:hAnsi="Times New Roman" w:cs="Times New Roman"/>
          <w:position w:val="0"/>
          <w:sz w:val="24"/>
          <w:szCs w:val="24"/>
        </w:rPr>
      </w:pPr>
      <w:r>
        <w:rPr>
          <w:rFonts w:ascii="Times New Roman" w:hAnsi="Times New Roman" w:cs="Times New Roman"/>
          <w:position w:val="0"/>
          <w:sz w:val="24"/>
          <w:szCs w:val="24"/>
        </w:rPr>
        <w:lastRenderedPageBreak/>
        <w:t xml:space="preserve">Berdasarkan peta guna tanah dalam Rajah 2, terdapat dua badan air utama iaitu Empangan Teluk Bahang, yang terletak di bahagian barat laut Pulau dan Empangan Air Itam. Empangan Air Itam dibuka pada tahun 1962, jadi ia boleh dilihat dalam peta guna tanah (Rajah 1) dari tahun 1974 </w:t>
      </w:r>
      <w:r>
        <w:rPr>
          <w:rFonts w:ascii="Times New Roman" w:hAnsi="Times New Roman" w:cs="Times New Roman"/>
          <w:position w:val="0"/>
          <w:sz w:val="24"/>
          <w:szCs w:val="24"/>
        </w:rPr>
        <w:fldChar w:fldCharType="begin"/>
      </w:r>
      <w:r>
        <w:rPr>
          <w:rFonts w:ascii="Times New Roman" w:hAnsi="Times New Roman" w:cs="Times New Roman"/>
          <w:position w:val="0"/>
          <w:sz w:val="24"/>
          <w:szCs w:val="24"/>
        </w:rPr>
        <w:instrText>ADDIN CSL_CITATION {"citationItems":[{"id":"ITEM-1","itemData":{"URL":"https://www.mypenang.gov.my/nature-adventure/directory/50/?lg=en","accessed":{"date-parts":[["2021","6","23"]]},"author":[{"dropping-particle":"","family":"Penang Global Tourism","given":"","non-dropping-particle":"","parse-names":false,"suffix":""}],"container-title":"Penang Global Tourism","id":"ITEM-1","issued":{"date-parts":[["2019"]]},"title":"myPenang","type":"webpage"},"uris":["http://www.mendeley.com/documents/?uuid=6d969d03-cc87-3730-8dff-76e78583e30d"]}],"mendeley":{"formattedCitation":"(Penang Global Tourism, 2019)","plainTextFormattedCitation":"(Penang Global Tourism, 2019)","previouslyFormattedCitation":"(Penang Global Tourism, 2019)"},"properties":{"noteIndex":0},"schema":"https://github.com/citation-style-language/schema/raw/master/csl-citation.json"}</w:instrText>
      </w:r>
      <w:r>
        <w:rPr>
          <w:rFonts w:ascii="Times New Roman" w:hAnsi="Times New Roman" w:cs="Times New Roman"/>
          <w:position w:val="0"/>
          <w:sz w:val="24"/>
          <w:szCs w:val="24"/>
        </w:rPr>
        <w:fldChar w:fldCharType="separate"/>
      </w:r>
      <w:r>
        <w:rPr>
          <w:rFonts w:ascii="Times New Roman" w:hAnsi="Times New Roman" w:cs="Times New Roman"/>
          <w:noProof/>
          <w:position w:val="0"/>
          <w:sz w:val="24"/>
          <w:szCs w:val="24"/>
        </w:rPr>
        <w:t>(Penang Global Tourism, 2019)</w:t>
      </w:r>
      <w:r>
        <w:rPr>
          <w:rFonts w:ascii="Times New Roman" w:hAnsi="Times New Roman" w:cs="Times New Roman"/>
          <w:position w:val="0"/>
          <w:sz w:val="24"/>
          <w:szCs w:val="24"/>
        </w:rPr>
        <w:fldChar w:fldCharType="end"/>
      </w:r>
      <w:r>
        <w:rPr>
          <w:rFonts w:ascii="Times New Roman" w:hAnsi="Times New Roman" w:cs="Times New Roman"/>
          <w:position w:val="0"/>
          <w:sz w:val="24"/>
          <w:szCs w:val="24"/>
        </w:rPr>
        <w:t xml:space="preserve">. Bagaimanapun, Empangan Teluk Bahang dibuka secara rasmi pada tahun 1999, jadi ia hanya boleh dilihat mulai tahun 2008 </w:t>
      </w:r>
      <w:r>
        <w:rPr>
          <w:rFonts w:ascii="Times New Roman" w:hAnsi="Times New Roman" w:cs="Times New Roman"/>
          <w:position w:val="0"/>
          <w:sz w:val="24"/>
          <w:szCs w:val="24"/>
        </w:rPr>
        <w:fldChar w:fldCharType="begin"/>
      </w:r>
      <w:r>
        <w:rPr>
          <w:rFonts w:ascii="Times New Roman" w:hAnsi="Times New Roman" w:cs="Times New Roman"/>
          <w:position w:val="0"/>
          <w:sz w:val="24"/>
          <w:szCs w:val="24"/>
        </w:rPr>
        <w:instrText>ADDIN CSL_CITATION {"citationItems":[{"id":"ITEM-1","itemData":{"URL":"https://pba.com.my/penang-dams-effective-capacity/","accessed":{"date-parts":[["2021","6","23"]]},"author":[{"dropping-particle":"","family":"PBA","given":"","non-dropping-particle":"","parse-names":false,"suffix":""}],"container-title":"Perbadanan Bekalan Air (PBA)","id":"ITEM-1","issued":{"date-parts":[["2020"]]},"title":"Penang Dams &amp; Effective Capacity - Perbadanan Bekalan Air Pulau Pinang","type":"webpage"},"uris":["http://www.mendeley.com/documents/?uuid=cac424f5-4366-33f5-86d7-20a571983173"]}],"mendeley":{"formattedCitation":"(PBA, 2020)","plainTextFormattedCitation":"(PBA, 2020)","previouslyFormattedCitation":"(PBA, 2020)"},"properties":{"noteIndex":0},"schema":"https://github.com/citation-style-language/schema/raw/master/csl-citation.json"}</w:instrText>
      </w:r>
      <w:r>
        <w:rPr>
          <w:rFonts w:ascii="Times New Roman" w:hAnsi="Times New Roman" w:cs="Times New Roman"/>
          <w:position w:val="0"/>
          <w:sz w:val="24"/>
          <w:szCs w:val="24"/>
        </w:rPr>
        <w:fldChar w:fldCharType="separate"/>
      </w:r>
      <w:r>
        <w:rPr>
          <w:rFonts w:ascii="Times New Roman" w:hAnsi="Times New Roman" w:cs="Times New Roman"/>
          <w:noProof/>
          <w:position w:val="0"/>
          <w:sz w:val="24"/>
          <w:szCs w:val="24"/>
        </w:rPr>
        <w:t>(PBA, 2020)</w:t>
      </w:r>
      <w:r>
        <w:rPr>
          <w:rFonts w:ascii="Times New Roman" w:hAnsi="Times New Roman" w:cs="Times New Roman"/>
          <w:position w:val="0"/>
          <w:sz w:val="24"/>
          <w:szCs w:val="24"/>
        </w:rPr>
        <w:fldChar w:fldCharType="end"/>
      </w:r>
      <w:r>
        <w:rPr>
          <w:rFonts w:ascii="Times New Roman" w:hAnsi="Times New Roman" w:cs="Times New Roman"/>
          <w:position w:val="0"/>
          <w:sz w:val="24"/>
          <w:szCs w:val="24"/>
        </w:rPr>
        <w:t>. Luas kawasan badan air berkembang daripada 0.00 km</w:t>
      </w:r>
      <w:r>
        <w:rPr>
          <w:rFonts w:ascii="Times New Roman" w:hAnsi="Times New Roman" w:cs="Times New Roman"/>
          <w:position w:val="0"/>
          <w:sz w:val="24"/>
          <w:szCs w:val="24"/>
          <w:vertAlign w:val="superscript"/>
        </w:rPr>
        <w:t>2</w:t>
      </w:r>
      <w:r>
        <w:rPr>
          <w:rFonts w:ascii="Times New Roman" w:hAnsi="Times New Roman" w:cs="Times New Roman"/>
          <w:position w:val="0"/>
          <w:sz w:val="24"/>
          <w:szCs w:val="24"/>
        </w:rPr>
        <w:t xml:space="preserve"> pada tahun 1966 kepada 1.24 km</w:t>
      </w:r>
      <w:r>
        <w:rPr>
          <w:rFonts w:ascii="Times New Roman" w:hAnsi="Times New Roman" w:cs="Times New Roman"/>
          <w:position w:val="0"/>
          <w:sz w:val="24"/>
          <w:szCs w:val="24"/>
          <w:vertAlign w:val="superscript"/>
        </w:rPr>
        <w:t>2</w:t>
      </w:r>
      <w:r>
        <w:rPr>
          <w:rFonts w:ascii="Times New Roman" w:hAnsi="Times New Roman" w:cs="Times New Roman"/>
          <w:position w:val="0"/>
          <w:sz w:val="24"/>
          <w:szCs w:val="24"/>
        </w:rPr>
        <w:t xml:space="preserve"> pada tahun 2015. Kok Chooi Tan et al (2010) juga melaporkan bahawa kawasan badan air sedikit meningkat dari tahun 1999 hingga 2007.</w:t>
      </w:r>
    </w:p>
    <w:p w14:paraId="6349B3EF" w14:textId="77777777" w:rsidR="00DA1FFD" w:rsidRDefault="00DA1FFD" w:rsidP="00DA1FFD">
      <w:pPr>
        <w:suppressAutoHyphens w:val="0"/>
        <w:spacing w:after="0" w:line="240" w:lineRule="auto"/>
        <w:ind w:leftChars="0" w:left="0" w:firstLineChars="0" w:firstLine="720"/>
        <w:jc w:val="both"/>
        <w:textDirection w:val="lrTb"/>
        <w:textAlignment w:val="auto"/>
        <w:outlineLvl w:val="9"/>
        <w:rPr>
          <w:rFonts w:ascii="Times New Roman" w:hAnsi="Times New Roman" w:cs="Times New Roman"/>
          <w:position w:val="0"/>
          <w:sz w:val="24"/>
          <w:szCs w:val="24"/>
        </w:rPr>
      </w:pPr>
      <w:r>
        <w:rPr>
          <w:rFonts w:ascii="Times New Roman" w:hAnsi="Times New Roman" w:cs="Times New Roman"/>
          <w:position w:val="0"/>
          <w:sz w:val="24"/>
          <w:szCs w:val="24"/>
        </w:rPr>
        <w:t>Kawasan pertanian kebanyakannya meliputi bahagian tengah dan barat daya Pulau Pinang. Terdapat ladang kelapa, getah dan durian secara besar-besaran. Kawasan pertanian bukan sahaja tertumpu kepada perladangan tetapi juga dalam bidang akuakultur. Aktiviti akuakultur kebanyakannya dijalankan di bahagian barat pulau. Pada tahun 1966, luas kawasan pertanian meliputi lebih daripada separuh keluasan bahagian pulau, Pulau Pinang iaitu 162.39 km</w:t>
      </w:r>
      <w:r>
        <w:rPr>
          <w:rFonts w:ascii="Times New Roman" w:hAnsi="Times New Roman" w:cs="Times New Roman"/>
          <w:position w:val="0"/>
          <w:sz w:val="24"/>
          <w:szCs w:val="24"/>
          <w:vertAlign w:val="superscript"/>
        </w:rPr>
        <w:t>2</w:t>
      </w:r>
      <w:r>
        <w:rPr>
          <w:rFonts w:ascii="Times New Roman" w:hAnsi="Times New Roman" w:cs="Times New Roman"/>
          <w:position w:val="0"/>
          <w:sz w:val="24"/>
          <w:szCs w:val="24"/>
        </w:rPr>
        <w:t>. Keluasan tanah pertanian berkurangan dari tahun 1966 hingga 1984 dan meningkat sedikit lagi pada tahun 1997. Namun, ia terus berkurangan pada tahun 2008 (114.02 km</w:t>
      </w:r>
      <w:r>
        <w:rPr>
          <w:rFonts w:ascii="Times New Roman" w:hAnsi="Times New Roman" w:cs="Times New Roman"/>
          <w:position w:val="0"/>
          <w:sz w:val="24"/>
          <w:szCs w:val="24"/>
          <w:vertAlign w:val="superscript"/>
        </w:rPr>
        <w:t>2</w:t>
      </w:r>
      <w:r>
        <w:rPr>
          <w:rFonts w:ascii="Times New Roman" w:hAnsi="Times New Roman" w:cs="Times New Roman"/>
          <w:position w:val="0"/>
          <w:sz w:val="24"/>
          <w:szCs w:val="24"/>
        </w:rPr>
        <w:t>) dan 2015 (112.85 km</w:t>
      </w:r>
      <w:r>
        <w:rPr>
          <w:rFonts w:ascii="Times New Roman" w:hAnsi="Times New Roman" w:cs="Times New Roman"/>
          <w:position w:val="0"/>
          <w:sz w:val="24"/>
          <w:szCs w:val="24"/>
          <w:vertAlign w:val="superscript"/>
        </w:rPr>
        <w:t>2</w:t>
      </w:r>
      <w:r>
        <w:rPr>
          <w:rFonts w:ascii="Times New Roman" w:hAnsi="Times New Roman" w:cs="Times New Roman"/>
          <w:position w:val="0"/>
          <w:sz w:val="24"/>
          <w:szCs w:val="24"/>
        </w:rPr>
        <w:t>). Dalam tempoh 49 tahun, tanah pertanian berkurangan sebanyak 30.5%. Pengurangan guna tanah ini terutamanya berlaku di bahagian tenggara Pulau Pinang. Tew et al. (2019) melaporkan bahawa tanah pertanian telah dikurangkan, kebanyakannya di wilayah berhampiran laluan jambatan kedua.</w:t>
      </w:r>
    </w:p>
    <w:p w14:paraId="40B9354A" w14:textId="77777777" w:rsidR="00B027A9" w:rsidRDefault="00B027A9" w:rsidP="00DA1FFD">
      <w:pPr>
        <w:suppressAutoHyphens w:val="0"/>
        <w:spacing w:after="160" w:line="240" w:lineRule="auto"/>
        <w:ind w:leftChars="0" w:left="0" w:firstLineChars="0" w:firstLine="0"/>
        <w:jc w:val="both"/>
        <w:textDirection w:val="lrTb"/>
        <w:textAlignment w:val="auto"/>
        <w:outlineLvl w:val="9"/>
        <w:rPr>
          <w:rFonts w:ascii="Times New Roman" w:hAnsi="Times New Roman" w:cs="Times New Roman"/>
          <w:position w:val="0"/>
          <w:sz w:val="24"/>
          <w:szCs w:val="24"/>
        </w:rPr>
      </w:pPr>
    </w:p>
    <w:p w14:paraId="1C3E1D58" w14:textId="77777777" w:rsidR="00B027A9" w:rsidRDefault="00AE2895">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4"/>
          <w:szCs w:val="24"/>
        </w:rPr>
      </w:pPr>
      <w:r>
        <w:rPr>
          <w:rFonts w:cs="Times New Roman"/>
          <w:noProof/>
          <w:position w:val="0"/>
          <w:lang w:val="en-MY" w:eastAsia="en-MY"/>
        </w:rPr>
        <w:drawing>
          <wp:inline distT="0" distB="0" distL="114300" distR="114300" wp14:anchorId="532793D1" wp14:editId="0CFF4333">
            <wp:extent cx="5100452" cy="3099460"/>
            <wp:effectExtent l="0" t="0" r="5080" b="5715"/>
            <wp:docPr id="1029"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5F87B0F" w14:textId="77777777" w:rsidR="00B027A9" w:rsidRDefault="00B027A9">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b/>
          <w:position w:val="0"/>
          <w:sz w:val="20"/>
          <w:szCs w:val="20"/>
        </w:rPr>
      </w:pPr>
    </w:p>
    <w:p w14:paraId="7895A9DD" w14:textId="77777777" w:rsidR="00B027A9" w:rsidRDefault="00AE2895">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rPr>
      </w:pPr>
      <w:r>
        <w:rPr>
          <w:rFonts w:ascii="Times New Roman" w:hAnsi="Times New Roman" w:cs="Times New Roman"/>
          <w:b/>
          <w:position w:val="0"/>
          <w:sz w:val="20"/>
          <w:szCs w:val="20"/>
        </w:rPr>
        <w:t>Rajah 3.</w:t>
      </w:r>
      <w:r>
        <w:rPr>
          <w:rFonts w:ascii="Times New Roman" w:hAnsi="Times New Roman" w:cs="Times New Roman"/>
          <w:position w:val="0"/>
          <w:sz w:val="20"/>
          <w:szCs w:val="20"/>
        </w:rPr>
        <w:t xml:space="preserve"> Peratusan luas guna tanah dari tahun 1966 hingga 2015</w:t>
      </w:r>
    </w:p>
    <w:p w14:paraId="20A28510" w14:textId="77777777" w:rsidR="00B027A9" w:rsidRDefault="00B027A9">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4"/>
          <w:szCs w:val="24"/>
        </w:rPr>
      </w:pPr>
    </w:p>
    <w:p w14:paraId="15D7815E" w14:textId="77777777" w:rsidR="00B027A9" w:rsidRDefault="00AE2895">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rPr>
      </w:pPr>
      <w:r>
        <w:rPr>
          <w:rFonts w:ascii="Times New Roman" w:hAnsi="Times New Roman" w:cs="Times New Roman"/>
          <w:b/>
          <w:position w:val="0"/>
          <w:sz w:val="20"/>
          <w:szCs w:val="20"/>
        </w:rPr>
        <w:t>Jadual 3.</w:t>
      </w:r>
      <w:r>
        <w:rPr>
          <w:rFonts w:ascii="Times New Roman" w:hAnsi="Times New Roman" w:cs="Times New Roman"/>
          <w:position w:val="0"/>
          <w:sz w:val="20"/>
          <w:szCs w:val="20"/>
        </w:rPr>
        <w:t xml:space="preserve"> Luas guna tanah di bahagian pulau, Pulau Pinang dari tahun 1966 hingga 2015</w:t>
      </w:r>
    </w:p>
    <w:p w14:paraId="078AC2BA" w14:textId="77777777" w:rsidR="00B027A9" w:rsidRDefault="00B027A9">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rPr>
      </w:pPr>
    </w:p>
    <w:tbl>
      <w:tblPr>
        <w:tblStyle w:val="TableGrid1"/>
        <w:tblW w:w="77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6"/>
        <w:gridCol w:w="883"/>
        <w:gridCol w:w="850"/>
        <w:gridCol w:w="1134"/>
        <w:gridCol w:w="992"/>
        <w:gridCol w:w="993"/>
        <w:gridCol w:w="1134"/>
      </w:tblGrid>
      <w:tr w:rsidR="00B027A9" w14:paraId="78B8F8C2" w14:textId="77777777">
        <w:trPr>
          <w:trHeight w:val="148"/>
          <w:jc w:val="center"/>
        </w:trPr>
        <w:tc>
          <w:tcPr>
            <w:tcW w:w="1806" w:type="dxa"/>
            <w:vMerge w:val="restart"/>
            <w:tcBorders>
              <w:top w:val="single" w:sz="4" w:space="0" w:color="auto"/>
            </w:tcBorders>
            <w:shd w:val="clear" w:color="auto" w:fill="8DB3E2"/>
            <w:hideMark/>
          </w:tcPr>
          <w:p w14:paraId="715D094C" w14:textId="77777777" w:rsidR="00B027A9" w:rsidRDefault="00AE2895">
            <w:pPr>
              <w:suppressAutoHyphens w:val="0"/>
              <w:ind w:leftChars="0" w:left="0" w:firstLineChars="0" w:firstLine="0"/>
              <w:jc w:val="center"/>
              <w:textDirection w:val="lrTb"/>
              <w:textAlignment w:val="auto"/>
              <w:outlineLvl w:val="9"/>
              <w:rPr>
                <w:rFonts w:ascii="Times New Roman" w:hAnsi="Times New Roman"/>
                <w:b/>
                <w:position w:val="0"/>
                <w:sz w:val="20"/>
                <w:szCs w:val="20"/>
              </w:rPr>
            </w:pPr>
            <w:r>
              <w:rPr>
                <w:rFonts w:ascii="Times New Roman" w:eastAsia="Times New Roman" w:hAnsi="Times New Roman"/>
                <w:b/>
                <w:position w:val="0"/>
                <w:sz w:val="20"/>
                <w:szCs w:val="20"/>
              </w:rPr>
              <w:t>Kelas guna tanah</w:t>
            </w:r>
          </w:p>
        </w:tc>
        <w:tc>
          <w:tcPr>
            <w:tcW w:w="5986" w:type="dxa"/>
            <w:gridSpan w:val="6"/>
            <w:tcBorders>
              <w:top w:val="single" w:sz="4" w:space="0" w:color="auto"/>
              <w:bottom w:val="single" w:sz="4" w:space="0" w:color="auto"/>
            </w:tcBorders>
            <w:shd w:val="clear" w:color="auto" w:fill="8DB3E2"/>
            <w:hideMark/>
          </w:tcPr>
          <w:p w14:paraId="193A9D80" w14:textId="77777777" w:rsidR="00B027A9" w:rsidRDefault="00AE2895">
            <w:pPr>
              <w:suppressAutoHyphens w:val="0"/>
              <w:ind w:leftChars="0" w:left="0" w:firstLineChars="0" w:firstLine="0"/>
              <w:jc w:val="center"/>
              <w:textDirection w:val="lrTb"/>
              <w:textAlignment w:val="auto"/>
              <w:outlineLvl w:val="9"/>
              <w:rPr>
                <w:rFonts w:ascii="Times New Roman" w:hAnsi="Times New Roman"/>
                <w:b/>
                <w:position w:val="0"/>
                <w:sz w:val="20"/>
                <w:szCs w:val="20"/>
              </w:rPr>
            </w:pPr>
            <w:r>
              <w:rPr>
                <w:rFonts w:ascii="Times New Roman" w:eastAsia="Times New Roman" w:hAnsi="Times New Roman"/>
                <w:b/>
                <w:position w:val="0"/>
                <w:sz w:val="20"/>
                <w:szCs w:val="20"/>
              </w:rPr>
              <w:t>Luas guna tanah mengikut tahun (km</w:t>
            </w:r>
            <w:r>
              <w:rPr>
                <w:rFonts w:ascii="Times New Roman" w:eastAsia="Times New Roman" w:hAnsi="Times New Roman"/>
                <w:b/>
                <w:position w:val="0"/>
                <w:sz w:val="20"/>
                <w:szCs w:val="20"/>
                <w:vertAlign w:val="superscript"/>
              </w:rPr>
              <w:t>2</w:t>
            </w:r>
            <w:r>
              <w:rPr>
                <w:rFonts w:ascii="Times New Roman" w:eastAsia="Times New Roman" w:hAnsi="Times New Roman"/>
                <w:b/>
                <w:position w:val="0"/>
                <w:sz w:val="20"/>
                <w:szCs w:val="20"/>
              </w:rPr>
              <w:t>)</w:t>
            </w:r>
          </w:p>
        </w:tc>
      </w:tr>
      <w:tr w:rsidR="00B027A9" w14:paraId="22E3825F" w14:textId="77777777">
        <w:trPr>
          <w:trHeight w:val="70"/>
          <w:jc w:val="center"/>
        </w:trPr>
        <w:tc>
          <w:tcPr>
            <w:tcW w:w="0" w:type="auto"/>
            <w:vMerge/>
            <w:tcBorders>
              <w:bottom w:val="single" w:sz="4" w:space="0" w:color="auto"/>
            </w:tcBorders>
            <w:shd w:val="clear" w:color="auto" w:fill="8DB3E2"/>
            <w:hideMark/>
          </w:tcPr>
          <w:p w14:paraId="6B2C32B2" w14:textId="77777777" w:rsidR="00B027A9" w:rsidRDefault="00B027A9">
            <w:pPr>
              <w:suppressAutoHyphens w:val="0"/>
              <w:ind w:leftChars="0" w:left="0" w:firstLineChars="0" w:firstLine="0"/>
              <w:jc w:val="center"/>
              <w:textDirection w:val="lrTb"/>
              <w:textAlignment w:val="auto"/>
              <w:outlineLvl w:val="9"/>
              <w:rPr>
                <w:rFonts w:ascii="Times New Roman" w:hAnsi="Times New Roman"/>
                <w:b/>
                <w:position w:val="0"/>
                <w:sz w:val="20"/>
                <w:szCs w:val="20"/>
              </w:rPr>
            </w:pPr>
          </w:p>
        </w:tc>
        <w:tc>
          <w:tcPr>
            <w:tcW w:w="883" w:type="dxa"/>
            <w:tcBorders>
              <w:top w:val="single" w:sz="4" w:space="0" w:color="auto"/>
              <w:bottom w:val="single" w:sz="4" w:space="0" w:color="auto"/>
            </w:tcBorders>
            <w:shd w:val="clear" w:color="auto" w:fill="8DB3E2"/>
            <w:hideMark/>
          </w:tcPr>
          <w:p w14:paraId="19A1B933" w14:textId="77777777" w:rsidR="00B027A9" w:rsidRDefault="00AE2895">
            <w:pPr>
              <w:suppressAutoHyphens w:val="0"/>
              <w:ind w:leftChars="0" w:left="0" w:firstLineChars="0" w:firstLine="0"/>
              <w:jc w:val="center"/>
              <w:textDirection w:val="lrTb"/>
              <w:textAlignment w:val="auto"/>
              <w:outlineLvl w:val="9"/>
              <w:rPr>
                <w:rFonts w:ascii="Times New Roman" w:hAnsi="Times New Roman"/>
                <w:b/>
                <w:position w:val="0"/>
                <w:sz w:val="20"/>
                <w:szCs w:val="20"/>
              </w:rPr>
            </w:pPr>
            <w:r>
              <w:rPr>
                <w:rFonts w:ascii="Times New Roman" w:hAnsi="Times New Roman"/>
                <w:b/>
                <w:position w:val="0"/>
                <w:sz w:val="20"/>
                <w:szCs w:val="20"/>
              </w:rPr>
              <w:t>1966</w:t>
            </w:r>
          </w:p>
        </w:tc>
        <w:tc>
          <w:tcPr>
            <w:tcW w:w="850" w:type="dxa"/>
            <w:tcBorders>
              <w:top w:val="single" w:sz="4" w:space="0" w:color="auto"/>
              <w:bottom w:val="single" w:sz="4" w:space="0" w:color="auto"/>
            </w:tcBorders>
            <w:shd w:val="clear" w:color="auto" w:fill="8DB3E2"/>
            <w:hideMark/>
          </w:tcPr>
          <w:p w14:paraId="6C4A879B" w14:textId="77777777" w:rsidR="00B027A9" w:rsidRDefault="00AE2895">
            <w:pPr>
              <w:suppressAutoHyphens w:val="0"/>
              <w:ind w:leftChars="0" w:left="0" w:firstLineChars="0" w:firstLine="0"/>
              <w:jc w:val="center"/>
              <w:textDirection w:val="lrTb"/>
              <w:textAlignment w:val="auto"/>
              <w:outlineLvl w:val="9"/>
              <w:rPr>
                <w:rFonts w:ascii="Times New Roman" w:hAnsi="Times New Roman"/>
                <w:b/>
                <w:position w:val="0"/>
                <w:sz w:val="20"/>
                <w:szCs w:val="20"/>
              </w:rPr>
            </w:pPr>
            <w:r>
              <w:rPr>
                <w:rFonts w:ascii="Times New Roman" w:hAnsi="Times New Roman"/>
                <w:b/>
                <w:position w:val="0"/>
                <w:sz w:val="20"/>
                <w:szCs w:val="20"/>
              </w:rPr>
              <w:t>1974</w:t>
            </w:r>
          </w:p>
        </w:tc>
        <w:tc>
          <w:tcPr>
            <w:tcW w:w="1134" w:type="dxa"/>
            <w:tcBorders>
              <w:top w:val="single" w:sz="4" w:space="0" w:color="auto"/>
              <w:bottom w:val="single" w:sz="4" w:space="0" w:color="auto"/>
            </w:tcBorders>
            <w:shd w:val="clear" w:color="auto" w:fill="8DB3E2"/>
            <w:hideMark/>
          </w:tcPr>
          <w:p w14:paraId="02413A5A" w14:textId="77777777" w:rsidR="00B027A9" w:rsidRDefault="00AE2895">
            <w:pPr>
              <w:suppressAutoHyphens w:val="0"/>
              <w:ind w:leftChars="0" w:left="0" w:firstLineChars="0" w:firstLine="0"/>
              <w:jc w:val="center"/>
              <w:textDirection w:val="lrTb"/>
              <w:textAlignment w:val="auto"/>
              <w:outlineLvl w:val="9"/>
              <w:rPr>
                <w:rFonts w:ascii="Times New Roman" w:hAnsi="Times New Roman"/>
                <w:b/>
                <w:position w:val="0"/>
                <w:sz w:val="20"/>
                <w:szCs w:val="20"/>
              </w:rPr>
            </w:pPr>
            <w:r>
              <w:rPr>
                <w:rFonts w:ascii="Times New Roman" w:hAnsi="Times New Roman"/>
                <w:b/>
                <w:position w:val="0"/>
                <w:sz w:val="20"/>
                <w:szCs w:val="20"/>
              </w:rPr>
              <w:t>1984</w:t>
            </w:r>
          </w:p>
        </w:tc>
        <w:tc>
          <w:tcPr>
            <w:tcW w:w="992" w:type="dxa"/>
            <w:tcBorders>
              <w:top w:val="single" w:sz="4" w:space="0" w:color="auto"/>
              <w:bottom w:val="single" w:sz="4" w:space="0" w:color="auto"/>
            </w:tcBorders>
            <w:shd w:val="clear" w:color="auto" w:fill="8DB3E2"/>
            <w:hideMark/>
          </w:tcPr>
          <w:p w14:paraId="1B6837AF" w14:textId="77777777" w:rsidR="00B027A9" w:rsidRDefault="00AE2895">
            <w:pPr>
              <w:suppressAutoHyphens w:val="0"/>
              <w:ind w:leftChars="0" w:left="0" w:firstLineChars="0" w:firstLine="0"/>
              <w:jc w:val="center"/>
              <w:textDirection w:val="lrTb"/>
              <w:textAlignment w:val="auto"/>
              <w:outlineLvl w:val="9"/>
              <w:rPr>
                <w:rFonts w:ascii="Times New Roman" w:hAnsi="Times New Roman"/>
                <w:b/>
                <w:position w:val="0"/>
                <w:sz w:val="20"/>
                <w:szCs w:val="20"/>
              </w:rPr>
            </w:pPr>
            <w:r>
              <w:rPr>
                <w:rFonts w:ascii="Times New Roman" w:hAnsi="Times New Roman"/>
                <w:b/>
                <w:position w:val="0"/>
                <w:sz w:val="20"/>
                <w:szCs w:val="20"/>
              </w:rPr>
              <w:t>1997</w:t>
            </w:r>
          </w:p>
        </w:tc>
        <w:tc>
          <w:tcPr>
            <w:tcW w:w="993" w:type="dxa"/>
            <w:tcBorders>
              <w:top w:val="single" w:sz="4" w:space="0" w:color="auto"/>
              <w:bottom w:val="single" w:sz="4" w:space="0" w:color="auto"/>
            </w:tcBorders>
            <w:shd w:val="clear" w:color="auto" w:fill="8DB3E2"/>
            <w:hideMark/>
          </w:tcPr>
          <w:p w14:paraId="082CF5C5" w14:textId="77777777" w:rsidR="00B027A9" w:rsidRDefault="00AE2895">
            <w:pPr>
              <w:suppressAutoHyphens w:val="0"/>
              <w:ind w:leftChars="0" w:left="0" w:firstLineChars="0" w:firstLine="0"/>
              <w:jc w:val="center"/>
              <w:textDirection w:val="lrTb"/>
              <w:textAlignment w:val="auto"/>
              <w:outlineLvl w:val="9"/>
              <w:rPr>
                <w:rFonts w:ascii="Times New Roman" w:hAnsi="Times New Roman"/>
                <w:b/>
                <w:position w:val="0"/>
                <w:sz w:val="20"/>
                <w:szCs w:val="20"/>
              </w:rPr>
            </w:pPr>
            <w:r>
              <w:rPr>
                <w:rFonts w:ascii="Times New Roman" w:hAnsi="Times New Roman"/>
                <w:b/>
                <w:position w:val="0"/>
                <w:sz w:val="20"/>
                <w:szCs w:val="20"/>
              </w:rPr>
              <w:t>2008</w:t>
            </w:r>
          </w:p>
        </w:tc>
        <w:tc>
          <w:tcPr>
            <w:tcW w:w="1134" w:type="dxa"/>
            <w:tcBorders>
              <w:top w:val="single" w:sz="4" w:space="0" w:color="auto"/>
              <w:bottom w:val="single" w:sz="4" w:space="0" w:color="auto"/>
            </w:tcBorders>
            <w:shd w:val="clear" w:color="auto" w:fill="8DB3E2"/>
            <w:hideMark/>
          </w:tcPr>
          <w:p w14:paraId="3FDD2BBB" w14:textId="77777777" w:rsidR="00B027A9" w:rsidRDefault="00AE2895">
            <w:pPr>
              <w:suppressAutoHyphens w:val="0"/>
              <w:ind w:leftChars="0" w:left="0" w:firstLineChars="0" w:firstLine="0"/>
              <w:jc w:val="center"/>
              <w:textDirection w:val="lrTb"/>
              <w:textAlignment w:val="auto"/>
              <w:outlineLvl w:val="9"/>
              <w:rPr>
                <w:rFonts w:ascii="Times New Roman" w:hAnsi="Times New Roman"/>
                <w:b/>
                <w:position w:val="0"/>
                <w:sz w:val="20"/>
                <w:szCs w:val="20"/>
              </w:rPr>
            </w:pPr>
            <w:r>
              <w:rPr>
                <w:rFonts w:ascii="Times New Roman" w:hAnsi="Times New Roman"/>
                <w:b/>
                <w:position w:val="0"/>
                <w:sz w:val="20"/>
                <w:szCs w:val="20"/>
              </w:rPr>
              <w:t>2015</w:t>
            </w:r>
          </w:p>
        </w:tc>
      </w:tr>
      <w:tr w:rsidR="00B027A9" w14:paraId="7055A53E" w14:textId="77777777">
        <w:trPr>
          <w:trHeight w:val="98"/>
          <w:jc w:val="center"/>
        </w:trPr>
        <w:tc>
          <w:tcPr>
            <w:tcW w:w="1806" w:type="dxa"/>
            <w:tcBorders>
              <w:top w:val="single" w:sz="4" w:space="0" w:color="auto"/>
            </w:tcBorders>
            <w:hideMark/>
          </w:tcPr>
          <w:p w14:paraId="0D0D3D66" w14:textId="77777777" w:rsidR="00B027A9" w:rsidRDefault="00AE2895">
            <w:pPr>
              <w:suppressAutoHyphens w:val="0"/>
              <w:ind w:leftChars="0" w:left="0" w:firstLineChars="0" w:firstLine="0"/>
              <w:jc w:val="center"/>
              <w:textDirection w:val="lrTb"/>
              <w:textAlignment w:val="auto"/>
              <w:outlineLvl w:val="9"/>
              <w:rPr>
                <w:rFonts w:ascii="Times New Roman" w:hAnsi="Times New Roman"/>
                <w:position w:val="0"/>
                <w:sz w:val="20"/>
                <w:szCs w:val="20"/>
              </w:rPr>
            </w:pPr>
            <w:r>
              <w:rPr>
                <w:rFonts w:ascii="Times New Roman" w:eastAsia="Times New Roman" w:hAnsi="Times New Roman"/>
                <w:position w:val="0"/>
                <w:sz w:val="20"/>
                <w:szCs w:val="20"/>
              </w:rPr>
              <w:t>Pertanian</w:t>
            </w:r>
          </w:p>
        </w:tc>
        <w:tc>
          <w:tcPr>
            <w:tcW w:w="883" w:type="dxa"/>
            <w:tcBorders>
              <w:top w:val="single" w:sz="4" w:space="0" w:color="auto"/>
            </w:tcBorders>
            <w:hideMark/>
          </w:tcPr>
          <w:p w14:paraId="4FF91F16" w14:textId="77777777" w:rsidR="00B027A9" w:rsidRDefault="00AE2895">
            <w:pPr>
              <w:suppressAutoHyphens w:val="0"/>
              <w:ind w:leftChars="0" w:left="0" w:firstLineChars="0" w:firstLine="0"/>
              <w:jc w:val="center"/>
              <w:textDirection w:val="lrTb"/>
              <w:textAlignment w:val="auto"/>
              <w:outlineLvl w:val="9"/>
              <w:rPr>
                <w:rFonts w:ascii="Times New Roman" w:hAnsi="Times New Roman"/>
                <w:position w:val="0"/>
                <w:sz w:val="20"/>
                <w:szCs w:val="20"/>
              </w:rPr>
            </w:pPr>
            <w:r>
              <w:rPr>
                <w:rFonts w:ascii="Times New Roman" w:hAnsi="Times New Roman"/>
                <w:position w:val="0"/>
                <w:sz w:val="20"/>
                <w:szCs w:val="20"/>
              </w:rPr>
              <w:t>162.39</w:t>
            </w:r>
          </w:p>
        </w:tc>
        <w:tc>
          <w:tcPr>
            <w:tcW w:w="850" w:type="dxa"/>
            <w:tcBorders>
              <w:top w:val="single" w:sz="4" w:space="0" w:color="auto"/>
            </w:tcBorders>
            <w:hideMark/>
          </w:tcPr>
          <w:p w14:paraId="232A6F34" w14:textId="77777777" w:rsidR="00B027A9" w:rsidRDefault="00AE2895">
            <w:pPr>
              <w:suppressAutoHyphens w:val="0"/>
              <w:ind w:leftChars="0" w:left="0" w:firstLineChars="0" w:firstLine="0"/>
              <w:jc w:val="center"/>
              <w:textDirection w:val="lrTb"/>
              <w:textAlignment w:val="auto"/>
              <w:outlineLvl w:val="9"/>
              <w:rPr>
                <w:rFonts w:ascii="Times New Roman" w:hAnsi="Times New Roman"/>
                <w:position w:val="0"/>
                <w:sz w:val="20"/>
                <w:szCs w:val="20"/>
              </w:rPr>
            </w:pPr>
            <w:r>
              <w:rPr>
                <w:rFonts w:ascii="Times New Roman" w:hAnsi="Times New Roman"/>
                <w:position w:val="0"/>
                <w:sz w:val="20"/>
                <w:szCs w:val="20"/>
              </w:rPr>
              <w:t>148.44</w:t>
            </w:r>
          </w:p>
        </w:tc>
        <w:tc>
          <w:tcPr>
            <w:tcW w:w="1134" w:type="dxa"/>
            <w:tcBorders>
              <w:top w:val="single" w:sz="4" w:space="0" w:color="auto"/>
            </w:tcBorders>
            <w:hideMark/>
          </w:tcPr>
          <w:p w14:paraId="2DF8DA0F" w14:textId="77777777" w:rsidR="00B027A9" w:rsidRDefault="00AE2895">
            <w:pPr>
              <w:suppressAutoHyphens w:val="0"/>
              <w:ind w:leftChars="0" w:left="0" w:firstLineChars="0" w:firstLine="0"/>
              <w:jc w:val="center"/>
              <w:textDirection w:val="lrTb"/>
              <w:textAlignment w:val="auto"/>
              <w:outlineLvl w:val="9"/>
              <w:rPr>
                <w:rFonts w:ascii="Times New Roman" w:hAnsi="Times New Roman"/>
                <w:position w:val="0"/>
                <w:sz w:val="20"/>
                <w:szCs w:val="20"/>
              </w:rPr>
            </w:pPr>
            <w:r>
              <w:rPr>
                <w:rFonts w:ascii="Times New Roman" w:hAnsi="Times New Roman"/>
                <w:position w:val="0"/>
                <w:sz w:val="20"/>
                <w:szCs w:val="20"/>
              </w:rPr>
              <w:t>123.16</w:t>
            </w:r>
          </w:p>
        </w:tc>
        <w:tc>
          <w:tcPr>
            <w:tcW w:w="992" w:type="dxa"/>
            <w:tcBorders>
              <w:top w:val="single" w:sz="4" w:space="0" w:color="auto"/>
            </w:tcBorders>
            <w:hideMark/>
          </w:tcPr>
          <w:p w14:paraId="3ED245D2" w14:textId="77777777" w:rsidR="00B027A9" w:rsidRDefault="00AE2895">
            <w:pPr>
              <w:suppressAutoHyphens w:val="0"/>
              <w:ind w:leftChars="0" w:left="0" w:firstLineChars="0" w:firstLine="0"/>
              <w:jc w:val="center"/>
              <w:textDirection w:val="lrTb"/>
              <w:textAlignment w:val="auto"/>
              <w:outlineLvl w:val="9"/>
              <w:rPr>
                <w:rFonts w:ascii="Times New Roman" w:hAnsi="Times New Roman"/>
                <w:position w:val="0"/>
                <w:sz w:val="20"/>
                <w:szCs w:val="20"/>
              </w:rPr>
            </w:pPr>
            <w:r>
              <w:rPr>
                <w:rFonts w:ascii="Times New Roman" w:hAnsi="Times New Roman"/>
                <w:position w:val="0"/>
                <w:sz w:val="20"/>
                <w:szCs w:val="20"/>
              </w:rPr>
              <w:t>128.29</w:t>
            </w:r>
          </w:p>
        </w:tc>
        <w:tc>
          <w:tcPr>
            <w:tcW w:w="993" w:type="dxa"/>
            <w:tcBorders>
              <w:top w:val="single" w:sz="4" w:space="0" w:color="auto"/>
            </w:tcBorders>
            <w:hideMark/>
          </w:tcPr>
          <w:p w14:paraId="23CD50FF" w14:textId="77777777" w:rsidR="00B027A9" w:rsidRDefault="00AE2895">
            <w:pPr>
              <w:suppressAutoHyphens w:val="0"/>
              <w:ind w:leftChars="0" w:left="0" w:firstLineChars="0" w:firstLine="0"/>
              <w:jc w:val="center"/>
              <w:textDirection w:val="lrTb"/>
              <w:textAlignment w:val="auto"/>
              <w:outlineLvl w:val="9"/>
              <w:rPr>
                <w:rFonts w:ascii="Times New Roman" w:hAnsi="Times New Roman"/>
                <w:position w:val="0"/>
                <w:sz w:val="20"/>
                <w:szCs w:val="20"/>
              </w:rPr>
            </w:pPr>
            <w:r>
              <w:rPr>
                <w:rFonts w:ascii="Times New Roman" w:hAnsi="Times New Roman"/>
                <w:position w:val="0"/>
                <w:sz w:val="20"/>
                <w:szCs w:val="20"/>
              </w:rPr>
              <w:t>114.02</w:t>
            </w:r>
          </w:p>
        </w:tc>
        <w:tc>
          <w:tcPr>
            <w:tcW w:w="1134" w:type="dxa"/>
            <w:tcBorders>
              <w:top w:val="single" w:sz="4" w:space="0" w:color="auto"/>
            </w:tcBorders>
            <w:hideMark/>
          </w:tcPr>
          <w:p w14:paraId="16A919F6" w14:textId="77777777" w:rsidR="00B027A9" w:rsidRDefault="00AE2895">
            <w:pPr>
              <w:suppressAutoHyphens w:val="0"/>
              <w:ind w:leftChars="0" w:left="0" w:firstLineChars="0" w:firstLine="0"/>
              <w:jc w:val="center"/>
              <w:textDirection w:val="lrTb"/>
              <w:textAlignment w:val="auto"/>
              <w:outlineLvl w:val="9"/>
              <w:rPr>
                <w:rFonts w:ascii="Times New Roman" w:hAnsi="Times New Roman"/>
                <w:position w:val="0"/>
                <w:sz w:val="20"/>
                <w:szCs w:val="20"/>
              </w:rPr>
            </w:pPr>
            <w:r>
              <w:rPr>
                <w:rFonts w:ascii="Times New Roman" w:hAnsi="Times New Roman"/>
                <w:position w:val="0"/>
                <w:sz w:val="20"/>
                <w:szCs w:val="20"/>
              </w:rPr>
              <w:t>112.85</w:t>
            </w:r>
          </w:p>
        </w:tc>
      </w:tr>
      <w:tr w:rsidR="00B027A9" w14:paraId="5B30A331" w14:textId="77777777">
        <w:trPr>
          <w:trHeight w:val="143"/>
          <w:jc w:val="center"/>
        </w:trPr>
        <w:tc>
          <w:tcPr>
            <w:tcW w:w="1806" w:type="dxa"/>
            <w:hideMark/>
          </w:tcPr>
          <w:p w14:paraId="20B1222D" w14:textId="77777777" w:rsidR="00B027A9" w:rsidRDefault="00AE2895">
            <w:pPr>
              <w:suppressAutoHyphens w:val="0"/>
              <w:ind w:leftChars="0" w:left="0" w:firstLineChars="0" w:firstLine="0"/>
              <w:jc w:val="center"/>
              <w:textDirection w:val="lrTb"/>
              <w:textAlignment w:val="auto"/>
              <w:outlineLvl w:val="9"/>
              <w:rPr>
                <w:rFonts w:ascii="Times New Roman" w:hAnsi="Times New Roman"/>
                <w:position w:val="0"/>
                <w:sz w:val="20"/>
                <w:szCs w:val="20"/>
              </w:rPr>
            </w:pPr>
            <w:r>
              <w:rPr>
                <w:rFonts w:ascii="Times New Roman" w:eastAsia="Times New Roman" w:hAnsi="Times New Roman"/>
                <w:position w:val="0"/>
                <w:sz w:val="20"/>
                <w:szCs w:val="20"/>
              </w:rPr>
              <w:t>Binaan</w:t>
            </w:r>
          </w:p>
        </w:tc>
        <w:tc>
          <w:tcPr>
            <w:tcW w:w="883" w:type="dxa"/>
            <w:hideMark/>
          </w:tcPr>
          <w:p w14:paraId="4678EC7E" w14:textId="77777777" w:rsidR="00B027A9" w:rsidRDefault="00AE2895">
            <w:pPr>
              <w:suppressAutoHyphens w:val="0"/>
              <w:ind w:leftChars="0" w:left="0" w:firstLineChars="0" w:firstLine="0"/>
              <w:jc w:val="center"/>
              <w:textDirection w:val="lrTb"/>
              <w:textAlignment w:val="auto"/>
              <w:outlineLvl w:val="9"/>
              <w:rPr>
                <w:rFonts w:ascii="Times New Roman" w:hAnsi="Times New Roman"/>
                <w:position w:val="0"/>
                <w:sz w:val="20"/>
                <w:szCs w:val="20"/>
              </w:rPr>
            </w:pPr>
            <w:r>
              <w:rPr>
                <w:rFonts w:ascii="Times New Roman" w:hAnsi="Times New Roman"/>
                <w:position w:val="0"/>
                <w:sz w:val="20"/>
                <w:szCs w:val="20"/>
              </w:rPr>
              <w:t>39.95</w:t>
            </w:r>
          </w:p>
        </w:tc>
        <w:tc>
          <w:tcPr>
            <w:tcW w:w="850" w:type="dxa"/>
            <w:hideMark/>
          </w:tcPr>
          <w:p w14:paraId="281576F1" w14:textId="77777777" w:rsidR="00B027A9" w:rsidRDefault="00AE2895">
            <w:pPr>
              <w:suppressAutoHyphens w:val="0"/>
              <w:ind w:leftChars="0" w:left="0" w:firstLineChars="0" w:firstLine="0"/>
              <w:jc w:val="center"/>
              <w:textDirection w:val="lrTb"/>
              <w:textAlignment w:val="auto"/>
              <w:outlineLvl w:val="9"/>
              <w:rPr>
                <w:rFonts w:ascii="Times New Roman" w:hAnsi="Times New Roman"/>
                <w:position w:val="0"/>
                <w:sz w:val="20"/>
                <w:szCs w:val="20"/>
              </w:rPr>
            </w:pPr>
            <w:r>
              <w:rPr>
                <w:rFonts w:ascii="Times New Roman" w:hAnsi="Times New Roman"/>
                <w:position w:val="0"/>
                <w:sz w:val="20"/>
                <w:szCs w:val="20"/>
              </w:rPr>
              <w:t>47.04</w:t>
            </w:r>
          </w:p>
        </w:tc>
        <w:tc>
          <w:tcPr>
            <w:tcW w:w="1134" w:type="dxa"/>
            <w:hideMark/>
          </w:tcPr>
          <w:p w14:paraId="5A80B4DF" w14:textId="77777777" w:rsidR="00B027A9" w:rsidRDefault="00AE2895">
            <w:pPr>
              <w:suppressAutoHyphens w:val="0"/>
              <w:ind w:leftChars="0" w:left="0" w:firstLineChars="0" w:firstLine="0"/>
              <w:jc w:val="center"/>
              <w:textDirection w:val="lrTb"/>
              <w:textAlignment w:val="auto"/>
              <w:outlineLvl w:val="9"/>
              <w:rPr>
                <w:rFonts w:ascii="Times New Roman" w:hAnsi="Times New Roman"/>
                <w:position w:val="0"/>
                <w:sz w:val="20"/>
                <w:szCs w:val="20"/>
              </w:rPr>
            </w:pPr>
            <w:r>
              <w:rPr>
                <w:rFonts w:ascii="Times New Roman" w:hAnsi="Times New Roman"/>
                <w:position w:val="0"/>
                <w:sz w:val="20"/>
                <w:szCs w:val="20"/>
              </w:rPr>
              <w:t>60.04</w:t>
            </w:r>
          </w:p>
        </w:tc>
        <w:tc>
          <w:tcPr>
            <w:tcW w:w="992" w:type="dxa"/>
            <w:hideMark/>
          </w:tcPr>
          <w:p w14:paraId="16A7A721" w14:textId="77777777" w:rsidR="00B027A9" w:rsidRDefault="00AE2895">
            <w:pPr>
              <w:suppressAutoHyphens w:val="0"/>
              <w:ind w:leftChars="0" w:left="0" w:firstLineChars="0" w:firstLine="0"/>
              <w:jc w:val="center"/>
              <w:textDirection w:val="lrTb"/>
              <w:textAlignment w:val="auto"/>
              <w:outlineLvl w:val="9"/>
              <w:rPr>
                <w:rFonts w:ascii="Times New Roman" w:hAnsi="Times New Roman"/>
                <w:position w:val="0"/>
                <w:sz w:val="20"/>
                <w:szCs w:val="20"/>
              </w:rPr>
            </w:pPr>
            <w:r>
              <w:rPr>
                <w:rFonts w:ascii="Times New Roman" w:hAnsi="Times New Roman"/>
                <w:position w:val="0"/>
                <w:sz w:val="20"/>
                <w:szCs w:val="20"/>
              </w:rPr>
              <w:t>80.22</w:t>
            </w:r>
          </w:p>
        </w:tc>
        <w:tc>
          <w:tcPr>
            <w:tcW w:w="993" w:type="dxa"/>
            <w:hideMark/>
          </w:tcPr>
          <w:p w14:paraId="38C367D8" w14:textId="77777777" w:rsidR="00B027A9" w:rsidRDefault="00AE2895">
            <w:pPr>
              <w:suppressAutoHyphens w:val="0"/>
              <w:ind w:leftChars="0" w:left="0" w:firstLineChars="0" w:firstLine="0"/>
              <w:jc w:val="center"/>
              <w:textDirection w:val="lrTb"/>
              <w:textAlignment w:val="auto"/>
              <w:outlineLvl w:val="9"/>
              <w:rPr>
                <w:rFonts w:ascii="Times New Roman" w:hAnsi="Times New Roman"/>
                <w:position w:val="0"/>
                <w:sz w:val="20"/>
                <w:szCs w:val="20"/>
              </w:rPr>
            </w:pPr>
            <w:r>
              <w:rPr>
                <w:rFonts w:ascii="Times New Roman" w:hAnsi="Times New Roman"/>
                <w:position w:val="0"/>
                <w:sz w:val="20"/>
                <w:szCs w:val="20"/>
              </w:rPr>
              <w:t>94.59</w:t>
            </w:r>
          </w:p>
        </w:tc>
        <w:tc>
          <w:tcPr>
            <w:tcW w:w="1134" w:type="dxa"/>
            <w:hideMark/>
          </w:tcPr>
          <w:p w14:paraId="3B738E8E" w14:textId="77777777" w:rsidR="00B027A9" w:rsidRDefault="00AE2895">
            <w:pPr>
              <w:suppressAutoHyphens w:val="0"/>
              <w:ind w:leftChars="0" w:left="0" w:firstLineChars="0" w:firstLine="0"/>
              <w:jc w:val="center"/>
              <w:textDirection w:val="lrTb"/>
              <w:textAlignment w:val="auto"/>
              <w:outlineLvl w:val="9"/>
              <w:rPr>
                <w:rFonts w:ascii="Times New Roman" w:hAnsi="Times New Roman"/>
                <w:position w:val="0"/>
                <w:sz w:val="20"/>
                <w:szCs w:val="20"/>
              </w:rPr>
            </w:pPr>
            <w:r>
              <w:rPr>
                <w:rFonts w:ascii="Times New Roman" w:hAnsi="Times New Roman"/>
                <w:position w:val="0"/>
                <w:sz w:val="20"/>
                <w:szCs w:val="20"/>
              </w:rPr>
              <w:t>93.57</w:t>
            </w:r>
          </w:p>
        </w:tc>
      </w:tr>
      <w:tr w:rsidR="00B027A9" w14:paraId="77615D9D" w14:textId="77777777">
        <w:trPr>
          <w:trHeight w:val="189"/>
          <w:jc w:val="center"/>
        </w:trPr>
        <w:tc>
          <w:tcPr>
            <w:tcW w:w="1806" w:type="dxa"/>
            <w:hideMark/>
          </w:tcPr>
          <w:p w14:paraId="73F1852F" w14:textId="77777777" w:rsidR="00B027A9" w:rsidRDefault="00AE2895">
            <w:pPr>
              <w:suppressAutoHyphens w:val="0"/>
              <w:ind w:leftChars="0" w:left="0" w:firstLineChars="0" w:firstLine="0"/>
              <w:jc w:val="center"/>
              <w:textDirection w:val="lrTb"/>
              <w:textAlignment w:val="auto"/>
              <w:outlineLvl w:val="9"/>
              <w:rPr>
                <w:rFonts w:ascii="Times New Roman" w:hAnsi="Times New Roman"/>
                <w:position w:val="0"/>
                <w:sz w:val="20"/>
                <w:szCs w:val="20"/>
              </w:rPr>
            </w:pPr>
            <w:r>
              <w:rPr>
                <w:rFonts w:ascii="Times New Roman" w:eastAsia="Times New Roman" w:hAnsi="Times New Roman"/>
                <w:position w:val="0"/>
                <w:sz w:val="20"/>
                <w:szCs w:val="20"/>
              </w:rPr>
              <w:t>Hutan</w:t>
            </w:r>
          </w:p>
        </w:tc>
        <w:tc>
          <w:tcPr>
            <w:tcW w:w="883" w:type="dxa"/>
            <w:hideMark/>
          </w:tcPr>
          <w:p w14:paraId="138F5BFB" w14:textId="77777777" w:rsidR="00B027A9" w:rsidRDefault="00AE2895">
            <w:pPr>
              <w:suppressAutoHyphens w:val="0"/>
              <w:ind w:leftChars="0" w:left="0" w:firstLineChars="0" w:firstLine="0"/>
              <w:jc w:val="center"/>
              <w:textDirection w:val="lrTb"/>
              <w:textAlignment w:val="auto"/>
              <w:outlineLvl w:val="9"/>
              <w:rPr>
                <w:rFonts w:ascii="Times New Roman" w:hAnsi="Times New Roman"/>
                <w:position w:val="0"/>
                <w:sz w:val="20"/>
                <w:szCs w:val="20"/>
              </w:rPr>
            </w:pPr>
            <w:r>
              <w:rPr>
                <w:rFonts w:ascii="Times New Roman" w:hAnsi="Times New Roman"/>
                <w:position w:val="0"/>
                <w:sz w:val="20"/>
                <w:szCs w:val="20"/>
              </w:rPr>
              <w:t>97.81</w:t>
            </w:r>
          </w:p>
        </w:tc>
        <w:tc>
          <w:tcPr>
            <w:tcW w:w="850" w:type="dxa"/>
            <w:hideMark/>
          </w:tcPr>
          <w:p w14:paraId="7DC8620E" w14:textId="77777777" w:rsidR="00B027A9" w:rsidRDefault="00AE2895">
            <w:pPr>
              <w:suppressAutoHyphens w:val="0"/>
              <w:ind w:leftChars="0" w:left="0" w:firstLineChars="0" w:firstLine="0"/>
              <w:jc w:val="center"/>
              <w:textDirection w:val="lrTb"/>
              <w:textAlignment w:val="auto"/>
              <w:outlineLvl w:val="9"/>
              <w:rPr>
                <w:rFonts w:ascii="Times New Roman" w:hAnsi="Times New Roman"/>
                <w:position w:val="0"/>
                <w:sz w:val="20"/>
                <w:szCs w:val="20"/>
              </w:rPr>
            </w:pPr>
            <w:r>
              <w:rPr>
                <w:rFonts w:ascii="Times New Roman" w:hAnsi="Times New Roman"/>
                <w:position w:val="0"/>
                <w:sz w:val="20"/>
                <w:szCs w:val="20"/>
              </w:rPr>
              <w:t>103.53</w:t>
            </w:r>
          </w:p>
        </w:tc>
        <w:tc>
          <w:tcPr>
            <w:tcW w:w="1134" w:type="dxa"/>
            <w:hideMark/>
          </w:tcPr>
          <w:p w14:paraId="0B66A3EE" w14:textId="77777777" w:rsidR="00B027A9" w:rsidRDefault="00AE2895">
            <w:pPr>
              <w:suppressAutoHyphens w:val="0"/>
              <w:ind w:leftChars="0" w:left="0" w:firstLineChars="0" w:firstLine="0"/>
              <w:jc w:val="center"/>
              <w:textDirection w:val="lrTb"/>
              <w:textAlignment w:val="auto"/>
              <w:outlineLvl w:val="9"/>
              <w:rPr>
                <w:rFonts w:ascii="Times New Roman" w:hAnsi="Times New Roman"/>
                <w:position w:val="0"/>
                <w:sz w:val="20"/>
                <w:szCs w:val="20"/>
              </w:rPr>
            </w:pPr>
            <w:r>
              <w:rPr>
                <w:rFonts w:ascii="Times New Roman" w:hAnsi="Times New Roman"/>
                <w:position w:val="0"/>
                <w:sz w:val="20"/>
                <w:szCs w:val="20"/>
              </w:rPr>
              <w:t>113.34</w:t>
            </w:r>
          </w:p>
        </w:tc>
        <w:tc>
          <w:tcPr>
            <w:tcW w:w="992" w:type="dxa"/>
            <w:hideMark/>
          </w:tcPr>
          <w:p w14:paraId="7BABAA37" w14:textId="77777777" w:rsidR="00B027A9" w:rsidRDefault="00AE2895">
            <w:pPr>
              <w:suppressAutoHyphens w:val="0"/>
              <w:ind w:leftChars="0" w:left="0" w:firstLineChars="0" w:firstLine="0"/>
              <w:jc w:val="center"/>
              <w:textDirection w:val="lrTb"/>
              <w:textAlignment w:val="auto"/>
              <w:outlineLvl w:val="9"/>
              <w:rPr>
                <w:rFonts w:ascii="Times New Roman" w:hAnsi="Times New Roman"/>
                <w:position w:val="0"/>
                <w:sz w:val="20"/>
                <w:szCs w:val="20"/>
              </w:rPr>
            </w:pPr>
            <w:r>
              <w:rPr>
                <w:rFonts w:ascii="Times New Roman" w:hAnsi="Times New Roman"/>
                <w:position w:val="0"/>
                <w:sz w:val="20"/>
                <w:szCs w:val="20"/>
              </w:rPr>
              <w:t>96.64</w:t>
            </w:r>
          </w:p>
        </w:tc>
        <w:tc>
          <w:tcPr>
            <w:tcW w:w="993" w:type="dxa"/>
            <w:hideMark/>
          </w:tcPr>
          <w:p w14:paraId="03ADE823" w14:textId="77777777" w:rsidR="00B027A9" w:rsidRDefault="00AE2895">
            <w:pPr>
              <w:suppressAutoHyphens w:val="0"/>
              <w:ind w:leftChars="0" w:left="0" w:firstLineChars="0" w:firstLine="0"/>
              <w:jc w:val="center"/>
              <w:textDirection w:val="lrTb"/>
              <w:textAlignment w:val="auto"/>
              <w:outlineLvl w:val="9"/>
              <w:rPr>
                <w:rFonts w:ascii="Times New Roman" w:hAnsi="Times New Roman"/>
                <w:position w:val="0"/>
                <w:sz w:val="20"/>
                <w:szCs w:val="20"/>
              </w:rPr>
            </w:pPr>
            <w:r>
              <w:rPr>
                <w:rFonts w:ascii="Times New Roman" w:hAnsi="Times New Roman"/>
                <w:position w:val="0"/>
                <w:sz w:val="20"/>
                <w:szCs w:val="20"/>
              </w:rPr>
              <w:t>97.12</w:t>
            </w:r>
          </w:p>
        </w:tc>
        <w:tc>
          <w:tcPr>
            <w:tcW w:w="1134" w:type="dxa"/>
            <w:hideMark/>
          </w:tcPr>
          <w:p w14:paraId="41AF2669" w14:textId="77777777" w:rsidR="00B027A9" w:rsidRDefault="00AE2895">
            <w:pPr>
              <w:suppressAutoHyphens w:val="0"/>
              <w:ind w:leftChars="0" w:left="0" w:firstLineChars="0" w:firstLine="0"/>
              <w:jc w:val="center"/>
              <w:textDirection w:val="lrTb"/>
              <w:textAlignment w:val="auto"/>
              <w:outlineLvl w:val="9"/>
              <w:rPr>
                <w:rFonts w:ascii="Times New Roman" w:hAnsi="Times New Roman"/>
                <w:position w:val="0"/>
                <w:sz w:val="20"/>
                <w:szCs w:val="20"/>
              </w:rPr>
            </w:pPr>
            <w:r>
              <w:rPr>
                <w:rFonts w:ascii="Times New Roman" w:hAnsi="Times New Roman"/>
                <w:position w:val="0"/>
                <w:sz w:val="20"/>
                <w:szCs w:val="20"/>
              </w:rPr>
              <w:t>98.67</w:t>
            </w:r>
          </w:p>
        </w:tc>
      </w:tr>
      <w:tr w:rsidR="00B027A9" w14:paraId="21E5FC28" w14:textId="77777777">
        <w:trPr>
          <w:trHeight w:val="79"/>
          <w:jc w:val="center"/>
        </w:trPr>
        <w:tc>
          <w:tcPr>
            <w:tcW w:w="1806" w:type="dxa"/>
            <w:tcBorders>
              <w:bottom w:val="single" w:sz="4" w:space="0" w:color="auto"/>
            </w:tcBorders>
            <w:hideMark/>
          </w:tcPr>
          <w:p w14:paraId="6D513735" w14:textId="77777777" w:rsidR="00B027A9" w:rsidRDefault="00AE2895">
            <w:pPr>
              <w:suppressAutoHyphens w:val="0"/>
              <w:ind w:leftChars="0" w:left="0" w:firstLineChars="0" w:firstLine="0"/>
              <w:jc w:val="center"/>
              <w:textDirection w:val="lrTb"/>
              <w:textAlignment w:val="auto"/>
              <w:outlineLvl w:val="9"/>
              <w:rPr>
                <w:rFonts w:ascii="Times New Roman" w:hAnsi="Times New Roman"/>
                <w:position w:val="0"/>
                <w:sz w:val="20"/>
                <w:szCs w:val="20"/>
              </w:rPr>
            </w:pPr>
            <w:r>
              <w:rPr>
                <w:rFonts w:ascii="Times New Roman" w:eastAsia="Times New Roman" w:hAnsi="Times New Roman"/>
                <w:position w:val="0"/>
                <w:sz w:val="20"/>
                <w:szCs w:val="20"/>
              </w:rPr>
              <w:t>Badan air</w:t>
            </w:r>
          </w:p>
        </w:tc>
        <w:tc>
          <w:tcPr>
            <w:tcW w:w="883" w:type="dxa"/>
            <w:tcBorders>
              <w:bottom w:val="single" w:sz="4" w:space="0" w:color="auto"/>
            </w:tcBorders>
            <w:hideMark/>
          </w:tcPr>
          <w:p w14:paraId="5FBFF11A" w14:textId="77777777" w:rsidR="00B027A9" w:rsidRDefault="00AE2895">
            <w:pPr>
              <w:suppressAutoHyphens w:val="0"/>
              <w:ind w:leftChars="0" w:left="0" w:firstLineChars="0" w:firstLine="0"/>
              <w:jc w:val="center"/>
              <w:textDirection w:val="lrTb"/>
              <w:textAlignment w:val="auto"/>
              <w:outlineLvl w:val="9"/>
              <w:rPr>
                <w:rFonts w:ascii="Times New Roman" w:hAnsi="Times New Roman"/>
                <w:position w:val="0"/>
                <w:sz w:val="20"/>
                <w:szCs w:val="20"/>
              </w:rPr>
            </w:pPr>
            <w:r>
              <w:rPr>
                <w:rFonts w:ascii="Times New Roman" w:hAnsi="Times New Roman"/>
                <w:position w:val="0"/>
                <w:sz w:val="20"/>
                <w:szCs w:val="20"/>
              </w:rPr>
              <w:t>0.00</w:t>
            </w:r>
          </w:p>
        </w:tc>
        <w:tc>
          <w:tcPr>
            <w:tcW w:w="850" w:type="dxa"/>
            <w:tcBorders>
              <w:bottom w:val="single" w:sz="4" w:space="0" w:color="auto"/>
            </w:tcBorders>
            <w:hideMark/>
          </w:tcPr>
          <w:p w14:paraId="61914E3B" w14:textId="77777777" w:rsidR="00B027A9" w:rsidRDefault="00AE2895">
            <w:pPr>
              <w:suppressAutoHyphens w:val="0"/>
              <w:ind w:leftChars="0" w:left="0" w:firstLineChars="0" w:firstLine="0"/>
              <w:jc w:val="center"/>
              <w:textDirection w:val="lrTb"/>
              <w:textAlignment w:val="auto"/>
              <w:outlineLvl w:val="9"/>
              <w:rPr>
                <w:rFonts w:ascii="Times New Roman" w:hAnsi="Times New Roman"/>
                <w:position w:val="0"/>
                <w:sz w:val="20"/>
                <w:szCs w:val="20"/>
              </w:rPr>
            </w:pPr>
            <w:r>
              <w:rPr>
                <w:rFonts w:ascii="Times New Roman" w:hAnsi="Times New Roman"/>
                <w:position w:val="0"/>
                <w:sz w:val="20"/>
                <w:szCs w:val="20"/>
              </w:rPr>
              <w:t>0.31</w:t>
            </w:r>
          </w:p>
        </w:tc>
        <w:tc>
          <w:tcPr>
            <w:tcW w:w="1134" w:type="dxa"/>
            <w:tcBorders>
              <w:bottom w:val="single" w:sz="4" w:space="0" w:color="auto"/>
            </w:tcBorders>
            <w:hideMark/>
          </w:tcPr>
          <w:p w14:paraId="1E731AD5" w14:textId="77777777" w:rsidR="00B027A9" w:rsidRDefault="00AE2895">
            <w:pPr>
              <w:suppressAutoHyphens w:val="0"/>
              <w:ind w:leftChars="0" w:left="0" w:firstLineChars="0" w:firstLine="0"/>
              <w:jc w:val="center"/>
              <w:textDirection w:val="lrTb"/>
              <w:textAlignment w:val="auto"/>
              <w:outlineLvl w:val="9"/>
              <w:rPr>
                <w:rFonts w:ascii="Times New Roman" w:hAnsi="Times New Roman"/>
                <w:position w:val="0"/>
                <w:sz w:val="20"/>
                <w:szCs w:val="20"/>
              </w:rPr>
            </w:pPr>
            <w:r>
              <w:rPr>
                <w:rFonts w:ascii="Times New Roman" w:hAnsi="Times New Roman"/>
                <w:position w:val="0"/>
                <w:sz w:val="20"/>
                <w:szCs w:val="20"/>
              </w:rPr>
              <w:t>0.14</w:t>
            </w:r>
          </w:p>
        </w:tc>
        <w:tc>
          <w:tcPr>
            <w:tcW w:w="992" w:type="dxa"/>
            <w:tcBorders>
              <w:bottom w:val="single" w:sz="4" w:space="0" w:color="auto"/>
            </w:tcBorders>
            <w:hideMark/>
          </w:tcPr>
          <w:p w14:paraId="40D91859" w14:textId="77777777" w:rsidR="00B027A9" w:rsidRDefault="00AE2895">
            <w:pPr>
              <w:suppressAutoHyphens w:val="0"/>
              <w:ind w:leftChars="0" w:left="0" w:firstLineChars="0" w:firstLine="0"/>
              <w:jc w:val="center"/>
              <w:textDirection w:val="lrTb"/>
              <w:textAlignment w:val="auto"/>
              <w:outlineLvl w:val="9"/>
              <w:rPr>
                <w:rFonts w:ascii="Times New Roman" w:hAnsi="Times New Roman"/>
                <w:position w:val="0"/>
                <w:sz w:val="20"/>
                <w:szCs w:val="20"/>
              </w:rPr>
            </w:pPr>
            <w:r>
              <w:rPr>
                <w:rFonts w:ascii="Times New Roman" w:hAnsi="Times New Roman"/>
                <w:position w:val="0"/>
                <w:sz w:val="20"/>
                <w:szCs w:val="20"/>
              </w:rPr>
              <w:t>0.21</w:t>
            </w:r>
          </w:p>
        </w:tc>
        <w:tc>
          <w:tcPr>
            <w:tcW w:w="993" w:type="dxa"/>
            <w:tcBorders>
              <w:bottom w:val="single" w:sz="4" w:space="0" w:color="auto"/>
            </w:tcBorders>
            <w:hideMark/>
          </w:tcPr>
          <w:p w14:paraId="6387E64C" w14:textId="77777777" w:rsidR="00B027A9" w:rsidRDefault="00AE2895">
            <w:pPr>
              <w:suppressAutoHyphens w:val="0"/>
              <w:ind w:leftChars="0" w:left="0" w:firstLineChars="0" w:firstLine="0"/>
              <w:jc w:val="center"/>
              <w:textDirection w:val="lrTb"/>
              <w:textAlignment w:val="auto"/>
              <w:outlineLvl w:val="9"/>
              <w:rPr>
                <w:rFonts w:ascii="Times New Roman" w:hAnsi="Times New Roman"/>
                <w:position w:val="0"/>
                <w:sz w:val="20"/>
                <w:szCs w:val="20"/>
              </w:rPr>
            </w:pPr>
            <w:r>
              <w:rPr>
                <w:rFonts w:ascii="Times New Roman" w:hAnsi="Times New Roman"/>
                <w:position w:val="0"/>
                <w:sz w:val="20"/>
                <w:szCs w:val="20"/>
              </w:rPr>
              <w:t>1.38</w:t>
            </w:r>
          </w:p>
        </w:tc>
        <w:tc>
          <w:tcPr>
            <w:tcW w:w="1134" w:type="dxa"/>
            <w:tcBorders>
              <w:bottom w:val="single" w:sz="4" w:space="0" w:color="auto"/>
            </w:tcBorders>
            <w:hideMark/>
          </w:tcPr>
          <w:p w14:paraId="6F9AD4E3" w14:textId="77777777" w:rsidR="00B027A9" w:rsidRDefault="00AE2895">
            <w:pPr>
              <w:suppressAutoHyphens w:val="0"/>
              <w:ind w:leftChars="0" w:left="0" w:firstLineChars="0" w:firstLine="0"/>
              <w:jc w:val="center"/>
              <w:textDirection w:val="lrTb"/>
              <w:textAlignment w:val="auto"/>
              <w:outlineLvl w:val="9"/>
              <w:rPr>
                <w:rFonts w:ascii="Times New Roman" w:hAnsi="Times New Roman"/>
                <w:position w:val="0"/>
                <w:sz w:val="20"/>
                <w:szCs w:val="20"/>
              </w:rPr>
            </w:pPr>
            <w:r>
              <w:rPr>
                <w:rFonts w:ascii="Times New Roman" w:hAnsi="Times New Roman"/>
                <w:position w:val="0"/>
                <w:sz w:val="20"/>
                <w:szCs w:val="20"/>
              </w:rPr>
              <w:t>1.24</w:t>
            </w:r>
          </w:p>
        </w:tc>
      </w:tr>
    </w:tbl>
    <w:p w14:paraId="267D8666" w14:textId="5BA4F1E9" w:rsidR="00B027A9" w:rsidRDefault="00AE2895">
      <w:pPr>
        <w:suppressAutoHyphens w:val="0"/>
        <w:spacing w:after="0" w:line="240" w:lineRule="auto"/>
        <w:ind w:leftChars="0" w:left="0" w:firstLineChars="0" w:firstLine="720"/>
        <w:jc w:val="both"/>
        <w:textDirection w:val="lrTb"/>
        <w:textAlignment w:val="auto"/>
        <w:outlineLvl w:val="9"/>
        <w:rPr>
          <w:rFonts w:ascii="Times New Roman" w:hAnsi="Times New Roman" w:cs="Times New Roman"/>
          <w:position w:val="0"/>
          <w:sz w:val="24"/>
          <w:szCs w:val="24"/>
        </w:rPr>
      </w:pPr>
      <w:r>
        <w:rPr>
          <w:rFonts w:ascii="Times New Roman" w:hAnsi="Times New Roman" w:cs="Times New Roman"/>
          <w:position w:val="0"/>
          <w:sz w:val="24"/>
          <w:szCs w:val="24"/>
        </w:rPr>
        <w:lastRenderedPageBreak/>
        <w:t>Kawasan binaan di Pulau Pinang menunjukkan perkembangan pesat dalam tempoh 49 tahun. Luas kawasan binaan meningkat daripada 39.95 km</w:t>
      </w:r>
      <w:r>
        <w:rPr>
          <w:rFonts w:ascii="Times New Roman" w:hAnsi="Times New Roman" w:cs="Times New Roman"/>
          <w:position w:val="0"/>
          <w:sz w:val="24"/>
          <w:szCs w:val="24"/>
          <w:vertAlign w:val="superscript"/>
        </w:rPr>
        <w:t>2</w:t>
      </w:r>
      <w:r>
        <w:rPr>
          <w:rFonts w:ascii="Times New Roman" w:hAnsi="Times New Roman" w:cs="Times New Roman"/>
          <w:position w:val="0"/>
          <w:sz w:val="24"/>
          <w:szCs w:val="24"/>
        </w:rPr>
        <w:t xml:space="preserve"> (13.31%) pada 1966 kepada 93.57 km</w:t>
      </w:r>
      <w:r>
        <w:rPr>
          <w:rFonts w:ascii="Times New Roman" w:hAnsi="Times New Roman" w:cs="Times New Roman"/>
          <w:position w:val="0"/>
          <w:sz w:val="24"/>
          <w:szCs w:val="24"/>
          <w:vertAlign w:val="superscript"/>
        </w:rPr>
        <w:t>2</w:t>
      </w:r>
      <w:r>
        <w:rPr>
          <w:rFonts w:ascii="Times New Roman" w:hAnsi="Times New Roman" w:cs="Times New Roman"/>
          <w:position w:val="0"/>
          <w:sz w:val="24"/>
          <w:szCs w:val="24"/>
        </w:rPr>
        <w:t xml:space="preserve"> (30.66%) pada 2015, dengan purata perkembangan 1.09 km</w:t>
      </w:r>
      <w:r>
        <w:rPr>
          <w:rFonts w:ascii="Times New Roman" w:hAnsi="Times New Roman" w:cs="Times New Roman"/>
          <w:position w:val="0"/>
          <w:sz w:val="24"/>
          <w:szCs w:val="24"/>
          <w:vertAlign w:val="superscript"/>
        </w:rPr>
        <w:t>2</w:t>
      </w:r>
      <w:r>
        <w:rPr>
          <w:rFonts w:ascii="Times New Roman" w:hAnsi="Times New Roman" w:cs="Times New Roman"/>
          <w:position w:val="0"/>
          <w:sz w:val="24"/>
          <w:szCs w:val="24"/>
        </w:rPr>
        <w:t xml:space="preserve"> setahun. Berdasarkan Rajah 2, kawasan binaan mengalami perkembangan pesat pada bahagian timur pulau. Pada tahun 1966, tanah binaan kebanyakannya meliputi bahagian timur laut pulau, terutamanya di kawasan Georgetown. Hal ini demikian kerana, Georgetown berfungsi sebagai penghubung antara ekonomi tempatan dan global selama lebih dari 500 tahun, dan ia merupakan hab komersial antara timur dan barat. </w:t>
      </w:r>
      <w:r w:rsidR="00A41C67">
        <w:rPr>
          <w:rFonts w:ascii="Times New Roman" w:hAnsi="Times New Roman" w:cs="Times New Roman"/>
          <w:position w:val="0"/>
          <w:sz w:val="24"/>
          <w:szCs w:val="24"/>
        </w:rPr>
        <w:t>D</w:t>
      </w:r>
      <w:r>
        <w:rPr>
          <w:rFonts w:ascii="Times New Roman" w:hAnsi="Times New Roman" w:cs="Times New Roman"/>
          <w:position w:val="0"/>
          <w:sz w:val="24"/>
          <w:szCs w:val="24"/>
        </w:rPr>
        <w:t>engan kedatangan kuasa kolonial, bandar George Town, yang dibina sepenuhnya dengan pembangunan ekonomi era penjajah dan pengumpulan kekayaan, telah berkembang secara progresif menjadi hab komersial serantau. Jadi, pembandaran pada tahun 1966 kebanyakannya tertumpu di bahagian timur laut Pulau Pinang (Zhao et al., 2019).</w:t>
      </w:r>
    </w:p>
    <w:p w14:paraId="3899AD14" w14:textId="77777777" w:rsidR="00B027A9" w:rsidRDefault="00AE2895">
      <w:pPr>
        <w:suppressAutoHyphens w:val="0"/>
        <w:spacing w:after="0" w:line="240" w:lineRule="auto"/>
        <w:ind w:leftChars="0" w:left="0" w:firstLineChars="0" w:firstLine="720"/>
        <w:jc w:val="both"/>
        <w:textDirection w:val="lrTb"/>
        <w:textAlignment w:val="auto"/>
        <w:outlineLvl w:val="9"/>
        <w:rPr>
          <w:rFonts w:ascii="Times New Roman" w:hAnsi="Times New Roman" w:cs="Times New Roman"/>
          <w:position w:val="0"/>
          <w:sz w:val="24"/>
          <w:szCs w:val="24"/>
        </w:rPr>
      </w:pPr>
      <w:r>
        <w:rPr>
          <w:rFonts w:ascii="Times New Roman" w:hAnsi="Times New Roman" w:cs="Times New Roman"/>
          <w:position w:val="0"/>
          <w:sz w:val="24"/>
          <w:szCs w:val="24"/>
        </w:rPr>
        <w:t>Keluasan tanah binaan pada tahun 1966 adalah kira-kira 39.95 km</w:t>
      </w:r>
      <w:r>
        <w:rPr>
          <w:rFonts w:ascii="Times New Roman" w:hAnsi="Times New Roman" w:cs="Times New Roman"/>
          <w:position w:val="0"/>
          <w:sz w:val="24"/>
          <w:szCs w:val="24"/>
          <w:vertAlign w:val="superscript"/>
        </w:rPr>
        <w:t>2</w:t>
      </w:r>
      <w:r>
        <w:rPr>
          <w:rFonts w:ascii="Times New Roman" w:hAnsi="Times New Roman" w:cs="Times New Roman"/>
          <w:position w:val="0"/>
          <w:sz w:val="24"/>
          <w:szCs w:val="24"/>
        </w:rPr>
        <w:t xml:space="preserve">, dan ia terus meningkat sehingga ke tahun 2008 dan berkurangan sedikit pada tahun 2015 (93.57 km2). Terdapat pengurangan dalam kadar pengembangan kawasan binaan dari 2008 hingga 2015. Hal ini kemungkinan berkaitan dengan Georgetown, ibu kota Pulau Pinang, yang ditetapkan sebagai Tapak Warisan Dunia pada 2008. Akreditasi ini meningkatkan pelancongan di negeri ini, menyebabkan perancangan semasa dan pembangunan ditumpukan sepenuhnya kepada pembangunan infrastruktur bagi memenuhi objektif 2030 untuk menjadi sebuah bandar yang mampan (Tew et al., 2019). Oleh itu, Pulau Pinang sering dibanjiri pelancong, yang terkenal dengan perniagaan pelancongan yang besar </w:t>
      </w:r>
      <w:r>
        <w:rPr>
          <w:rFonts w:ascii="Times New Roman" w:hAnsi="Times New Roman" w:cs="Times New Roman"/>
          <w:position w:val="0"/>
          <w:sz w:val="24"/>
          <w:szCs w:val="24"/>
        </w:rPr>
        <w:fldChar w:fldCharType="begin"/>
      </w:r>
      <w:r>
        <w:rPr>
          <w:rFonts w:ascii="Times New Roman" w:hAnsi="Times New Roman" w:cs="Times New Roman"/>
          <w:position w:val="0"/>
          <w:sz w:val="24"/>
          <w:szCs w:val="24"/>
        </w:rPr>
        <w:instrText>ADDIN CSL_CITATION {"citationItems":[{"id":"ITEM-1","itemData":{"URL":"https://futuresoutheastasia.com/future-penang/","accessed":{"date-parts":[["2021","6","25"]]},"author":[{"dropping-particle":"","family":"James Clark","given":"","non-dropping-particle":"","parse-names":false,"suffix":""}],"container-title":"Future Southeast Asia","id":"ITEM-1","issued":{"date-parts":[["2018","4","9"]]},"title":"Future Penang – current and proposed construction projects in Penang","type":"webpage"},"uris":["http://www.mendeley.com/documents/?uuid=54bad375-3fe5-312f-9a8a-cd8e03bb68ea"]}],"mendeley":{"formattedCitation":"(James Clark, 2018)","plainTextFormattedCitation":"(James Clark, 2018)","previouslyFormattedCitation":"(James Clark, 2018)"},"properties":{"noteIndex":0},"schema":"https://github.com/citation-style-language/schema/raw/master/csl-citation.json"}</w:instrText>
      </w:r>
      <w:r>
        <w:rPr>
          <w:rFonts w:ascii="Times New Roman" w:hAnsi="Times New Roman" w:cs="Times New Roman"/>
          <w:position w:val="0"/>
          <w:sz w:val="24"/>
          <w:szCs w:val="24"/>
        </w:rPr>
        <w:fldChar w:fldCharType="separate"/>
      </w:r>
      <w:r>
        <w:rPr>
          <w:rFonts w:ascii="Times New Roman" w:hAnsi="Times New Roman" w:cs="Times New Roman"/>
          <w:noProof/>
          <w:position w:val="0"/>
          <w:sz w:val="24"/>
          <w:szCs w:val="24"/>
        </w:rPr>
        <w:t>(James Clark, 2018)</w:t>
      </w:r>
      <w:r>
        <w:rPr>
          <w:rFonts w:ascii="Times New Roman" w:hAnsi="Times New Roman" w:cs="Times New Roman"/>
          <w:position w:val="0"/>
          <w:sz w:val="24"/>
          <w:szCs w:val="24"/>
        </w:rPr>
        <w:fldChar w:fldCharType="end"/>
      </w:r>
      <w:r>
        <w:rPr>
          <w:rFonts w:ascii="Times New Roman" w:hAnsi="Times New Roman" w:cs="Times New Roman"/>
          <w:position w:val="0"/>
          <w:sz w:val="24"/>
          <w:szCs w:val="24"/>
        </w:rPr>
        <w:t>. Kadar keseluruhan perkembangan luas kawasan binaan pulau (Pulau Pinang) dari 1966 hingga 2015 ialah 134.22%. Kok Chooi Tan et al. (2010) juga melaporkan dalam penyelidikan mereka bahawa jelas bahawa terdapat peralihan yang ketara di kawasan bandar (kawasan yang sangat maju), yang telah meningkat sebanyak 109.03% dalam tempoh lapan tahun yang lalu iaitu dari tahun 1999 hingga 2007.</w:t>
      </w:r>
    </w:p>
    <w:p w14:paraId="7A91B0AE" w14:textId="087A5B43" w:rsidR="00B027A9" w:rsidRDefault="00BD5D0A">
      <w:pPr>
        <w:suppressAutoHyphens w:val="0"/>
        <w:spacing w:after="0" w:line="240" w:lineRule="auto"/>
        <w:ind w:leftChars="0" w:left="0" w:firstLineChars="0" w:firstLine="720"/>
        <w:jc w:val="both"/>
        <w:textDirection w:val="lrTb"/>
        <w:textAlignment w:val="auto"/>
        <w:outlineLvl w:val="9"/>
        <w:rPr>
          <w:rFonts w:ascii="Times New Roman" w:hAnsi="Times New Roman" w:cs="Times New Roman"/>
          <w:position w:val="0"/>
          <w:sz w:val="24"/>
          <w:szCs w:val="24"/>
        </w:rPr>
      </w:pPr>
      <w:r>
        <w:rPr>
          <w:rFonts w:ascii="Times New Roman" w:hAnsi="Times New Roman" w:cs="Times New Roman"/>
          <w:position w:val="0"/>
          <w:sz w:val="24"/>
          <w:szCs w:val="24"/>
        </w:rPr>
        <w:t xml:space="preserve">Berdasarkan Rajah 2, kawasan binaan berkembang pesat sehingga menutup bahagian timur dan tenggara Pulau Pinang dari tahun 1966 hingga 2015. Peluasan drastik kawasan binaan mungkin disebabkan oleh pembangunan ekonomi yang pesat di pulau itu. Menurut penyelidikan, kawasan binaan telah berkembang di atas tanah pertanian, terutamanya di bahagian tenggara. </w:t>
      </w:r>
      <w:r>
        <w:rPr>
          <w:rFonts w:ascii="Times New Roman" w:hAnsi="Times New Roman" w:cs="Times New Roman"/>
          <w:position w:val="0"/>
          <w:sz w:val="24"/>
          <w:szCs w:val="24"/>
        </w:rPr>
        <w:fldChar w:fldCharType="begin"/>
      </w:r>
      <w:r>
        <w:rPr>
          <w:rFonts w:ascii="Times New Roman" w:hAnsi="Times New Roman" w:cs="Times New Roman"/>
          <w:position w:val="0"/>
          <w:sz w:val="24"/>
          <w:szCs w:val="24"/>
        </w:rPr>
        <w:instrText>ADDIN CSL_CITATION {"citationItems":[{"id":"ITEM-1","itemData":{"abstract":"Currently, Malaysia like other Asian countries has experienced rapid expansion of urbanization due to economic development, industrialization, massive migrations as well as natural population growth. This expansion particularly unplanned consumed a huge amount of arable land in the urban milieu and in its surrounding areas. This paper aims to measure arable land loss due to massive urbanization in Balik Pulau region of Penang State, Malaysia. Landsat TM (Thematic Mapper) images of 1992 and 2002 at the resolution of 30 m and Landsat ETM (Enhanced Thematic Mapper) 2010 have been used to measure the rate of urban expansion and its impact on agricult ural land. The integration of Remote Sensing and Geographical information system GIS were used to quantify the conversion of arable land to built - up areas in Penang State. The result reveals that built - up areas have expanded rapidly during the last four de cades at the expense of agricultural land in Balik Pulau Region. Built - up areas had increased from 1793.22 ha in 1992 to 3235.38 ha in 2002, while agricultural areas decreased from 6171.32 to 4727.83 ha during the same period. The expansion of Built - up are a is directed towards low - lying areas with less topographical barrier causing heavy loss in productive land and environmental degradation. In order to safeguard the environment and maintain arable land, urbanization should be controlled and rationalized th rough legislative measures, wise policy and public awareness. More attention should be given to the areas that have witnessed massive urbanization and coordination between various sectors involved in development is a mus","author":[{"dropping-particle":"","family":"Mohammed","given":"Khalid Sabbar","non-dropping-particle":"","parse-names":false,"suffix":""},{"dropping-particle":"","family":"Elhadary","given":"Yasin","non-dropping-particle":"","parse-names":false,"suffix":""},{"dropping-particle":"","family":"Samat","given":"Narimah","non-dropping-particle":"","parse-names":false,"suffix":""},{"dropping-particle":"","family":"Omar","given":"Najat Qader","non-dropping-particle":"","parse-names":false,"suffix":""}],"container-title":"Asian Journal of Agriculture and Rural Development","id":"ITEM-1","issue":"March","issued":{"date-parts":[["2015"]]},"title":"GIS and remote sensing techniques for measuring agriculture land loss in Balik Pulau region of Penang state, Malaysia","type":"article-journal"},"uris":["http://www.mendeley.com/documents/?uuid=c275bde1-e7d8-4aaf-a8d5-e222e3d59bf1"]}],"mendeley":{"formattedCitation":"(Mohammed et al., 2015)","manualFormatting":"Mohammed et al (2015)","plainTextFormattedCitation":"(Mohammed et al., 2015)","previouslyFormattedCitation":"(Mohammed et al., 2015)"},"properties":{"noteIndex":0},"schema":"https://github.com/citation-style-language/schema/raw/master/csl-citation.json"}</w:instrText>
      </w:r>
      <w:r>
        <w:rPr>
          <w:rFonts w:ascii="Times New Roman" w:hAnsi="Times New Roman" w:cs="Times New Roman"/>
          <w:position w:val="0"/>
          <w:sz w:val="24"/>
          <w:szCs w:val="24"/>
        </w:rPr>
        <w:fldChar w:fldCharType="separate"/>
      </w:r>
      <w:r>
        <w:rPr>
          <w:rFonts w:ascii="Times New Roman" w:hAnsi="Times New Roman" w:cs="Times New Roman"/>
          <w:noProof/>
          <w:position w:val="0"/>
          <w:sz w:val="24"/>
          <w:szCs w:val="24"/>
        </w:rPr>
        <w:t>Mohammed et al. (2015)</w:t>
      </w:r>
      <w:r>
        <w:rPr>
          <w:rFonts w:ascii="Times New Roman" w:hAnsi="Times New Roman" w:cs="Times New Roman"/>
          <w:position w:val="0"/>
          <w:sz w:val="24"/>
          <w:szCs w:val="24"/>
        </w:rPr>
        <w:fldChar w:fldCharType="end"/>
      </w:r>
      <w:r>
        <w:rPr>
          <w:rFonts w:ascii="Times New Roman" w:hAnsi="Times New Roman" w:cs="Times New Roman"/>
          <w:position w:val="0"/>
          <w:sz w:val="24"/>
          <w:szCs w:val="24"/>
        </w:rPr>
        <w:t>, juga melaporkan bahawa 20% daripada tanah pertanian Pulau Pinang telah diubah kepada zon perindustrian dan kediaman. Selain itu, antara tahun 2008 sehingga 2015, kawasan binaan di bahagian utara Pulau Pinang meningkat pada kadar yang sedikit. Pembinaan kompleks kediaman mewah di Teluk Batu Feringghi kemungkinan mencetuskan kecenderungan ini. Pembangunan penempatan mewah itu menjadi sebahagian daripada strategi pertumbuhan pintar kerajaan tempatan untuk menghebahkan Pulau Pinang sebagai destinasi persaraan yang diingini dengan pemandangan semula jadi berhampiran bandar (Tew et al., 2019).</w:t>
      </w:r>
    </w:p>
    <w:p w14:paraId="4233E9F0" w14:textId="4E17A700" w:rsidR="00B027A9" w:rsidRDefault="00AE2895">
      <w:pPr>
        <w:suppressAutoHyphens w:val="0"/>
        <w:spacing w:after="0" w:line="240" w:lineRule="auto"/>
        <w:ind w:leftChars="0" w:left="0" w:firstLineChars="0" w:firstLine="720"/>
        <w:jc w:val="both"/>
        <w:textDirection w:val="lrTb"/>
        <w:textAlignment w:val="auto"/>
        <w:outlineLvl w:val="9"/>
        <w:rPr>
          <w:rFonts w:ascii="Times New Roman" w:hAnsi="Times New Roman" w:cs="Times New Roman"/>
          <w:position w:val="0"/>
          <w:sz w:val="24"/>
          <w:szCs w:val="24"/>
        </w:rPr>
      </w:pPr>
      <w:r>
        <w:rPr>
          <w:rFonts w:ascii="Times New Roman" w:hAnsi="Times New Roman" w:cs="Times New Roman"/>
          <w:position w:val="0"/>
          <w:sz w:val="24"/>
          <w:szCs w:val="24"/>
        </w:rPr>
        <w:t xml:space="preserve">Pulau Pinang juga telah beralih daripada kawasan perumahan kepada kawasan perindustrian akibat kemasukan para pelabur. Sebagai contoh, Bayan Lepas telah menjadi lokasi yang paling terkenal untuk beberapa industri. Bayan Lepas memiliki lapangan terbang antarabangsa. Lapangan terbang yang terletak di pulau kecil ini dihubungkan dengan beberapa negara. </w:t>
      </w:r>
      <w:r w:rsidR="00A41C67">
        <w:rPr>
          <w:rFonts w:ascii="Times New Roman" w:hAnsi="Times New Roman" w:cs="Times New Roman"/>
          <w:position w:val="0"/>
          <w:sz w:val="24"/>
          <w:szCs w:val="24"/>
        </w:rPr>
        <w:t>P</w:t>
      </w:r>
      <w:r>
        <w:rPr>
          <w:rFonts w:ascii="Times New Roman" w:hAnsi="Times New Roman" w:cs="Times New Roman"/>
          <w:position w:val="0"/>
          <w:sz w:val="24"/>
          <w:szCs w:val="24"/>
        </w:rPr>
        <w:t xml:space="preserve">erkembangan bandar Pulau Pinang terutamanya adalah perindustrian, seperti yang dilihat oleh kelulusan 169 projek pada 2014 (Tew et al., 2019). Oleh sebab itu, pelabur antarabangsa mula mewujudkan kemudahan di Pulau Pinang, mengubah bandar itu menjadi hab pengeluaran elektronik di Malaysia. Peluang pekerjaan juga meningkat berikutan urbanisasi yang pesat dan pertumbuhan pasaran di Pulau Pinang. Oleh itu, penghijrahan buruh ke bahagian pulau meningkat. Akibatnya, pembandaran di Pulau Pinang adalah perlu untuk meneruskan pertumbuhan ekonomi </w:t>
      </w:r>
      <w:r>
        <w:rPr>
          <w:rFonts w:ascii="Times New Roman" w:hAnsi="Times New Roman" w:cs="Times New Roman"/>
          <w:position w:val="0"/>
          <w:sz w:val="24"/>
          <w:szCs w:val="24"/>
        </w:rPr>
        <w:lastRenderedPageBreak/>
        <w:t xml:space="preserve">Malaysia. </w:t>
      </w:r>
      <w:r>
        <w:rPr>
          <w:rFonts w:ascii="Times New Roman" w:hAnsi="Times New Roman" w:cs="Times New Roman"/>
          <w:position w:val="0"/>
          <w:sz w:val="24"/>
          <w:szCs w:val="24"/>
        </w:rPr>
        <w:fldChar w:fldCharType="begin"/>
      </w:r>
      <w:r>
        <w:rPr>
          <w:rFonts w:ascii="Times New Roman" w:hAnsi="Times New Roman" w:cs="Times New Roman"/>
          <w:position w:val="0"/>
          <w:sz w:val="24"/>
          <w:szCs w:val="24"/>
        </w:rPr>
        <w:instrText>ADDIN CSL_CITATION {"citationItems":[{"id":"ITEM-1","itemData":{"DOI":"10.1016/j.envc.2021.100190","ISSN":"26670100","abstract":"Rises in land surface temperature (LST) significantly impacted by land use/land cover (LULC) changes. The increase in LST massively impacted the urban biodiversity, ecosystem and population health. This study aims to estimate the changes in LULC classes and identify their impacts on LST in Dhaka city, Bangladesh using Landsat satellite images from 2000 to 2020. Based on the past estimated change maps of LULC and LST, the study finally predicted the future LULC and LST scenario for the year 2030. The support vector machine algorithm was applied to perform the LULC classification. Artificial neural network and cellular automata algorithms were used to predict the LST and LULC changes for 2030. Results suggested a significant reduction in vegetation cover (5%) and an increase in built-up area (14%) from 2000 to 2020. Due to this massive increase in built-up areas, the LST increment took place by 7.24 °C in the last two decades. The maximum temperature was recorded in built-up areas (34 °C), and water bodies (19 °C) exhibited minimum temperature. A strong positive correlation was found between LST and Normalized Difference Built-up Index (NDBI), where negative relation estimated between LST and Normalized Difference Vegetation Index (NDVI) and Normalized Difference Water Index (NDWI). The predicted results for 2030 also exhibit significant loss of urban green cover areas by 13% and rises in built-up areas by 21%. The maximum LST will likely be increased by 9.29 °C in the predicted year. For ensuring sustainable urban development and minimizing the urban heat island effects, this study will play a significant role by providing effective guidelines for urban planners, policymakers and respective authorities of Dhaka city.","author":[{"dropping-particle":"Al","family":"Kafy","given":"Abdulla","non-dropping-particle":"","parse-names":false,"suffix":""},{"dropping-particle":"","family":"Dey","given":"Nataraj Narayan","non-dropping-particle":"","parse-names":false,"suffix":""},{"dropping-particle":"","family":"Rakib","given":"Abdullah","non-dropping-particle":"Al","parse-names":false,"suffix":""},{"dropping-particle":"","family":"Rahaman","given":"Zullyadini A.","non-dropping-particle":"","parse-names":false,"suffix":""},{"dropping-particle":"","family":"Nasher","given":"N. M.Refat","non-dropping-particle":"","parse-names":false,"suffix":""},{"dropping-particle":"","family":"Bhatt","given":"Abhishek","non-dropping-particle":"","parse-names":false,"suffix":""}],"container-title":"Environmental Challenges","id":"ITEM-1","issue":"June","issued":{"date-parts":[["2021"]]},"page":"100190","publisher":"Elsevier B.V.","title":"Modeling the relationship between land use/land cover and land surface temperature in Dhaka, Bangladesh using CA-ANN algorithm","type":"article-journal","volume":"4"},"uris":["http://www.mendeley.com/documents/?uuid=a24d146e-591b-46f2-ae59-2fe5e7bcbaa7"]}],"mendeley":{"formattedCitation":"(Kafy et al., 2021)","manualFormatting":"Kafy et al (2021)","plainTextFormattedCitation":"(Kafy et al., 2021)","previouslyFormattedCitation":"(Kafy et al., 2021)"},"properties":{"noteIndex":0},"schema":"https://github.com/citation-style-language/schema/raw/master/csl-citation.json"}</w:instrText>
      </w:r>
      <w:r>
        <w:rPr>
          <w:rFonts w:ascii="Times New Roman" w:hAnsi="Times New Roman" w:cs="Times New Roman"/>
          <w:position w:val="0"/>
          <w:sz w:val="24"/>
          <w:szCs w:val="24"/>
        </w:rPr>
        <w:fldChar w:fldCharType="separate"/>
      </w:r>
      <w:r>
        <w:rPr>
          <w:rFonts w:ascii="Times New Roman" w:hAnsi="Times New Roman" w:cs="Times New Roman"/>
          <w:noProof/>
          <w:position w:val="0"/>
          <w:sz w:val="24"/>
          <w:szCs w:val="24"/>
        </w:rPr>
        <w:t>Kafy et al. (2021)</w:t>
      </w:r>
      <w:r>
        <w:rPr>
          <w:rFonts w:ascii="Times New Roman" w:hAnsi="Times New Roman" w:cs="Times New Roman"/>
          <w:position w:val="0"/>
          <w:sz w:val="24"/>
          <w:szCs w:val="24"/>
        </w:rPr>
        <w:fldChar w:fldCharType="end"/>
      </w:r>
      <w:r>
        <w:rPr>
          <w:rFonts w:ascii="Times New Roman" w:hAnsi="Times New Roman" w:cs="Times New Roman"/>
          <w:position w:val="0"/>
          <w:sz w:val="24"/>
          <w:szCs w:val="24"/>
        </w:rPr>
        <w:t xml:space="preserve">, juga berpendapat bahawa migrasi dari luar bandar ke kawasan bandar, peningkatan populasi penduduk dan pembangunan infrastruktur menjadi faktor pendorong kepada perkembangan kawasan bandar yang pesat.  Samat et al. (2020) meramalkan bahawa kawasan binaan di Pulau Pinang akan terus berkembang ke arah bahagian utara dan tengah Georgetown. Hal ini bermakna kawasan binaan akan terus berkembang berbanding penggunaan tanah lain, terutamanya kawasan pertanian dan kawasan hutan di Pulau Pinang.  Kenyataan ini dapat dibuktikan lagi dengan dapatan yang ditunjukkan oleh </w:t>
      </w:r>
      <w:r>
        <w:rPr>
          <w:rFonts w:ascii="Times New Roman" w:hAnsi="Times New Roman" w:cs="Times New Roman"/>
          <w:position w:val="0"/>
          <w:sz w:val="24"/>
          <w:szCs w:val="24"/>
        </w:rPr>
        <w:fldChar w:fldCharType="begin"/>
      </w:r>
      <w:r>
        <w:rPr>
          <w:rFonts w:ascii="Times New Roman" w:hAnsi="Times New Roman" w:cs="Times New Roman"/>
          <w:position w:val="0"/>
          <w:sz w:val="24"/>
          <w:szCs w:val="24"/>
        </w:rPr>
        <w:instrText>ADDIN CSL_CITATION {"citationItems":[{"id":"ITEM-1","itemData":{"DOI":"10.1038/s41598-022-25560-0","ISBN":"0123456789","ISSN":"20452322","PMID":"36481770","abstract":"The ecological changes in vegetation and land of an area can be monitored and managed through the assessment of its past and present land use and land cover (LULC). In this study, we assessed the changes in the LULC of Penang Island between 2010 and 2021. We also determined the corresponding impacts on the land surface temperature (LST) and vegetation index in the form of normalized difference vegetation index (NDVI). Landsat-5 and Landsat-8 were selected for the study. The LULC types were classified using both supervised and unsupervised multivariate maximum likelihood techniques. The LULC change analysis revealed a considerable increase in the urbanized areas (45.71%), a slight increase in the forests (1.57%) and a sizeable reduction in the agricultural/herbaceous areas (− 33.49) of the city within the stipulated period. The urbanized areas were observed to have the highest LST in 2010 and 2021 (28.75–34.0 °C) followed by the bare land (29.76–29 °C). The increase in temperature could have been driven by the reduction in the greenness of the city coupled with the openness of vegetation cover. Similarly, strong positive correlations were observed between the LST and NDVI in the urbanized areas (R2 = 0.92), and bare lands (R2 = 0.86). We, therefore, hypothesize that urbanization is the main driver of the LULC changes on Penang Island.","author":[{"dropping-particle":"","family":"Akomolafe","given":"Gbenga F.","non-dropping-particle":"","parse-names":false,"suffix":""},{"dropping-particle":"","family":"Rosazlina","given":"Rusly","non-dropping-particle":"","parse-names":false,"suffix":""}],"container-title":"Scientific Reports","id":"ITEM-1","issue":"1","issued":{"date-parts":[["2022"]]},"page":"1-15","publisher":"Nature Publishing Group UK","title":"Land use and land cover changes influence the land surface temperature and vegetation in Penang Island, Peninsular Malaysia","type":"article-journal","volume":"12"},"uris":["http://www.mendeley.com/documents/?uuid=12855c97-62b9-4194-ae82-fe1713d8a7ff"]}],"mendeley":{"formattedCitation":"(Akomolafe &amp; Rosazlina, 2022)","manualFormatting":"Akomolafe dan Rosazlina (2022)","plainTextFormattedCitation":"(Akomolafe &amp; Rosazlina, 2022)","previouslyFormattedCitation":"(Akomolafe &amp; Rosazlina, 2022)"},"properties":{"noteIndex":0},"schema":"https://github.com/citation-style-language/schema/raw/master/csl-citation.json"}</w:instrText>
      </w:r>
      <w:r>
        <w:rPr>
          <w:rFonts w:ascii="Times New Roman" w:hAnsi="Times New Roman" w:cs="Times New Roman"/>
          <w:position w:val="0"/>
          <w:sz w:val="24"/>
          <w:szCs w:val="24"/>
        </w:rPr>
        <w:fldChar w:fldCharType="separate"/>
      </w:r>
      <w:r>
        <w:rPr>
          <w:rFonts w:ascii="Times New Roman" w:hAnsi="Times New Roman" w:cs="Times New Roman"/>
          <w:noProof/>
          <w:position w:val="0"/>
          <w:sz w:val="24"/>
          <w:szCs w:val="24"/>
        </w:rPr>
        <w:t>Akomolafe dan Rosazlina (2022)</w:t>
      </w:r>
      <w:r>
        <w:rPr>
          <w:rFonts w:ascii="Times New Roman" w:hAnsi="Times New Roman" w:cs="Times New Roman"/>
          <w:position w:val="0"/>
          <w:sz w:val="24"/>
          <w:szCs w:val="24"/>
        </w:rPr>
        <w:fldChar w:fldCharType="end"/>
      </w:r>
      <w:r>
        <w:rPr>
          <w:rFonts w:ascii="Times New Roman" w:hAnsi="Times New Roman" w:cs="Times New Roman"/>
          <w:position w:val="0"/>
          <w:sz w:val="24"/>
          <w:szCs w:val="24"/>
        </w:rPr>
        <w:t>, di</w:t>
      </w:r>
      <w:r w:rsidR="00BD5D0A">
        <w:rPr>
          <w:rFonts w:ascii="Times New Roman" w:hAnsi="Times New Roman" w:cs="Times New Roman"/>
          <w:position w:val="0"/>
          <w:sz w:val="24"/>
          <w:szCs w:val="24"/>
        </w:rPr>
        <w:t xml:space="preserve"> </w:t>
      </w:r>
      <w:r>
        <w:rPr>
          <w:rFonts w:ascii="Times New Roman" w:hAnsi="Times New Roman" w:cs="Times New Roman"/>
          <w:position w:val="0"/>
          <w:sz w:val="24"/>
          <w:szCs w:val="24"/>
        </w:rPr>
        <w:t xml:space="preserve">mana luas kawasan pertanian berkurang kepada 6954.51 hektar berbanding kawasan binaan (8905.43 hektar) pada tahun 2021.  </w:t>
      </w:r>
    </w:p>
    <w:p w14:paraId="5CA27739" w14:textId="77777777" w:rsidR="00B027A9" w:rsidRDefault="00B027A9">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4"/>
        </w:rPr>
      </w:pPr>
    </w:p>
    <w:p w14:paraId="5FC4BA25" w14:textId="77777777" w:rsidR="00B027A9" w:rsidRDefault="00AE2895">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i/>
          <w:position w:val="0"/>
          <w:sz w:val="24"/>
          <w:szCs w:val="24"/>
        </w:rPr>
      </w:pPr>
      <w:r>
        <w:rPr>
          <w:rFonts w:ascii="Times New Roman" w:hAnsi="Times New Roman" w:cs="Times New Roman"/>
          <w:i/>
          <w:position w:val="0"/>
          <w:sz w:val="24"/>
          <w:szCs w:val="24"/>
        </w:rPr>
        <w:t>Trend suhu pada bahagian pulau, Pulau Pinang sejak tahun 1980 sehingga 2018</w:t>
      </w:r>
    </w:p>
    <w:p w14:paraId="192601A0" w14:textId="77777777" w:rsidR="00B027A9" w:rsidRDefault="00B027A9">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4"/>
          <w:szCs w:val="24"/>
        </w:rPr>
      </w:pPr>
    </w:p>
    <w:p w14:paraId="621904FB" w14:textId="77777777" w:rsidR="00B027A9" w:rsidRDefault="00AE2895">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4"/>
          <w:szCs w:val="24"/>
        </w:rPr>
      </w:pPr>
      <w:r>
        <w:rPr>
          <w:rFonts w:ascii="Times New Roman" w:hAnsi="Times New Roman" w:cs="Times New Roman"/>
          <w:position w:val="0"/>
          <w:sz w:val="24"/>
          <w:szCs w:val="24"/>
        </w:rPr>
        <w:t xml:space="preserve">Analisis data suhu adalah penting dalam kajian ini untuk mengetahui trend suhu jangka masa panjang di Pulau Pinang. Oleh itu, arah aliran suhu jangka panjang di Pulau Pinang dikaji dari tahun 1980 hingga 2018. Data yang digunakan untuk mengkaji arah aliran suhu ialah data purata hujan tahunan, data purata suhu minimum (Tmin), data purata suhu maksimum (Tmax), dan purata suhu min (Tmean). Kesemua data ini diperolehi daripada Stesen Cuaca Bayan Lepas. Sama seperti kawasan tropika lain, Pulau Pinang juga panas sepanjang tahun dan mempunyai perubahan yang kecil dalam julat suhu tahunan </w:t>
      </w:r>
      <w:r>
        <w:rPr>
          <w:rFonts w:ascii="Times New Roman" w:hAnsi="Times New Roman" w:cs="Times New Roman"/>
          <w:position w:val="0"/>
          <w:sz w:val="24"/>
          <w:szCs w:val="24"/>
        </w:rPr>
        <w:fldChar w:fldCharType="begin"/>
      </w:r>
      <w:r>
        <w:rPr>
          <w:rFonts w:ascii="Times New Roman" w:hAnsi="Times New Roman" w:cs="Times New Roman"/>
          <w:position w:val="0"/>
          <w:sz w:val="24"/>
          <w:szCs w:val="24"/>
        </w:rPr>
        <w:instrText>ADDIN CSL_CITATION {"citationItems":[{"id":"ITEM-1","itemData":{"DOI":"10.2166/ws.2022.140","ISSN":"16070798","abstract":"This study aims to analyze the spatial and temporal variability of precipitation, temperature and drought in Penang from 1985 to 2020. The trend and magnitude changes in climate series were tested using the Mann-Kendall test and Sens' slope methods. A significant increasing trend of annual precipitation was detected in the middle and northern parts of Penang mainland by 21.38 and 35.01 mm/decade. Annual mean maximum temperature increased significantly on Penang Island and the middle of Penang mainland at the rates of 0.25 and 0.34 °C/ decade, while annual mean minimum temperature increased significantly for all stations from 0.36 to 0.52 °C/decade, showing increases of warm nights in the past few years. Extreme drought events (SPI-3._2) over Penang were mostly occurred during the strong El Niño years, e.g. 1988-1989, 1997-1998, 2010-2011 and 2014-2016. The number of drought events is higher during the 2001-2010 (4-11 events) period as compared to the 1991-2000 (6-9 events) and 2011-2020 (7-8 events). Interestingly, the 2011-2020 period tends to have a shorter drought duration, but more intense droughts have been observed, particularly on Penang Island and the northern and southern parts of Penang mainland.","author":[{"dropping-particle":"","family":"Tan","given":"Mou Leong","non-dropping-particle":"","parse-names":false,"suffix":""},{"dropping-particle":"","family":"Zhang","given":"Fei","non-dropping-particle":"","parse-names":false,"suffix":""},{"dropping-particle":"","family":"Derek","given":"Chan Juinn Chieh","non-dropping-particle":"","parse-names":false,"suffix":""},{"dropping-particle":"","family":"Yu","given":"Kok Hwa","non-dropping-particle":"","parse-names":false,"suffix":""},{"dropping-particle":"","family":"Shaharudin","given":"Shazlyn Milleana","non-dropping-particle":"","parse-names":false,"suffix":""},{"dropping-particle":"","family":"Chan","given":"Ngai Weng","non-dropping-particle":"","parse-names":false,"suffix":""},{"dropping-particle":"","family":"Asyirah","given":"Abdul Rahim","non-dropping-particle":"","parse-names":false,"suffix":""}],"container-title":"Water Supply","id":"ITEM-1","issue":"5","issued":{"date-parts":[["2022"]]},"page":"4757-4768","title":"Spatio-temporal analysis of precipitation, temperature and drought from 1985 to 2020 in Penang, Malaysia","type":"article-journal","volume":"22"},"uris":["http://www.mendeley.com/documents/?uuid=903962ce-c515-42a0-94e8-c56c551a7c62"]}],"mendeley":{"formattedCitation":"(M. L. Tan et al., 2022)","plainTextFormattedCitation":"(M. L. Tan et al., 2022)","previouslyFormattedCitation":"(M. L. Tan et al., 2022)"},"properties":{"noteIndex":0},"schema":"https://github.com/citation-style-language/schema/raw/master/csl-citation.json"}</w:instrText>
      </w:r>
      <w:r>
        <w:rPr>
          <w:rFonts w:ascii="Times New Roman" w:hAnsi="Times New Roman" w:cs="Times New Roman"/>
          <w:position w:val="0"/>
          <w:sz w:val="24"/>
          <w:szCs w:val="24"/>
        </w:rPr>
        <w:fldChar w:fldCharType="separate"/>
      </w:r>
      <w:r>
        <w:rPr>
          <w:rFonts w:ascii="Times New Roman" w:hAnsi="Times New Roman" w:cs="Times New Roman"/>
          <w:noProof/>
          <w:position w:val="0"/>
          <w:sz w:val="24"/>
          <w:szCs w:val="24"/>
        </w:rPr>
        <w:t>(Tan et al., 2022)</w:t>
      </w:r>
      <w:r>
        <w:rPr>
          <w:rFonts w:ascii="Times New Roman" w:hAnsi="Times New Roman" w:cs="Times New Roman"/>
          <w:position w:val="0"/>
          <w:sz w:val="24"/>
          <w:szCs w:val="24"/>
        </w:rPr>
        <w:fldChar w:fldCharType="end"/>
      </w:r>
      <w:r>
        <w:rPr>
          <w:rFonts w:ascii="Times New Roman" w:hAnsi="Times New Roman" w:cs="Times New Roman"/>
          <w:position w:val="0"/>
          <w:sz w:val="24"/>
          <w:szCs w:val="24"/>
        </w:rPr>
        <w:t xml:space="preserve">. Tambahan pula, kajian ini juga menggunakan imej satelit yang memaparkan data suhu permukaan tanah bagi memperkukuhkan dan bagi mendapatkan hasil kajian yang tepat. Data hujan tahunan digunakan dalam kajian ini kerana suhu dan kerpasan adalah ukuran utama yang digunakan untuk menggambarkan iklim </w:t>
      </w:r>
      <w:r>
        <w:rPr>
          <w:rFonts w:ascii="Times New Roman" w:hAnsi="Times New Roman" w:cs="Times New Roman"/>
          <w:position w:val="0"/>
          <w:sz w:val="24"/>
          <w:szCs w:val="24"/>
        </w:rPr>
        <w:fldChar w:fldCharType="begin"/>
      </w:r>
      <w:r>
        <w:rPr>
          <w:rFonts w:ascii="Times New Roman" w:hAnsi="Times New Roman" w:cs="Times New Roman"/>
          <w:position w:val="0"/>
          <w:sz w:val="24"/>
          <w:szCs w:val="24"/>
        </w:rPr>
        <w:instrText>ADDIN CSL_CITATION {"citationItems":[{"id":"ITEM-1","itemData":{"DOI":"10.4159/9780674056206-012","author":[{"dropping-particle":"","family":"Brook","given":"Timothy","non-dropping-particle":"","parse-names":false,"suffix":""}],"container-title":"The Troubled Empire","id":"ITEM-1","issued":{"date-parts":[["2015"]]},"page":"269-269","title":"Temperature and Precipitation Extremes","type":"article-journal"},"uris":["http://www.mendeley.com/documents/?uuid=6ccd6e8a-f048-4b49-9984-8ed5bca624a6"]}],"mendeley":{"formattedCitation":"(Brook, 2015)","plainTextFormattedCitation":"(Brook, 2015)","previouslyFormattedCitation":"(Brook, 2015)"},"properties":{"noteIndex":0},"schema":"https://github.com/citation-style-language/schema/raw/master/csl-citation.json"}</w:instrText>
      </w:r>
      <w:r>
        <w:rPr>
          <w:rFonts w:ascii="Times New Roman" w:hAnsi="Times New Roman" w:cs="Times New Roman"/>
          <w:position w:val="0"/>
          <w:sz w:val="24"/>
          <w:szCs w:val="24"/>
        </w:rPr>
        <w:fldChar w:fldCharType="separate"/>
      </w:r>
      <w:r>
        <w:rPr>
          <w:rFonts w:ascii="Times New Roman" w:hAnsi="Times New Roman" w:cs="Times New Roman"/>
          <w:noProof/>
          <w:position w:val="0"/>
          <w:sz w:val="24"/>
          <w:szCs w:val="24"/>
        </w:rPr>
        <w:t>(Brook, 2015)</w:t>
      </w:r>
      <w:r>
        <w:rPr>
          <w:rFonts w:ascii="Times New Roman" w:hAnsi="Times New Roman" w:cs="Times New Roman"/>
          <w:position w:val="0"/>
          <w:sz w:val="24"/>
          <w:szCs w:val="24"/>
        </w:rPr>
        <w:fldChar w:fldCharType="end"/>
      </w:r>
      <w:r>
        <w:rPr>
          <w:rFonts w:ascii="Times New Roman" w:hAnsi="Times New Roman" w:cs="Times New Roman"/>
          <w:position w:val="0"/>
          <w:sz w:val="24"/>
          <w:szCs w:val="24"/>
        </w:rPr>
        <w:t>. Jadi, adalah penting untuk menganalisis data hujan tahunan untuk analisis keadaan iklim yang lebih baik. Jadual 4 menunjukkan trend hujan, Tmax, Tmin, Tmean dari tahun 1980 hingga 2018.</w:t>
      </w:r>
    </w:p>
    <w:p w14:paraId="74E0F150" w14:textId="3377F716" w:rsidR="00B027A9" w:rsidRDefault="00AE2895">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4"/>
          <w:szCs w:val="24"/>
        </w:rPr>
      </w:pPr>
      <w:r>
        <w:rPr>
          <w:rFonts w:ascii="Times New Roman" w:hAnsi="Times New Roman" w:cs="Times New Roman"/>
          <w:position w:val="0"/>
          <w:sz w:val="24"/>
          <w:szCs w:val="24"/>
        </w:rPr>
        <w:t xml:space="preserve">Menurut kajian yang dijalankan oleh </w:t>
      </w:r>
      <w:r>
        <w:rPr>
          <w:rFonts w:ascii="Times New Roman" w:hAnsi="Times New Roman" w:cs="Times New Roman"/>
          <w:position w:val="0"/>
          <w:sz w:val="24"/>
          <w:szCs w:val="24"/>
        </w:rPr>
        <w:fldChar w:fldCharType="begin"/>
      </w:r>
      <w:r>
        <w:rPr>
          <w:rFonts w:ascii="Times New Roman" w:hAnsi="Times New Roman" w:cs="Times New Roman"/>
          <w:position w:val="0"/>
          <w:sz w:val="24"/>
          <w:szCs w:val="24"/>
        </w:rPr>
        <w:instrText>ADDIN CSL_CITATION {"citationItems":[{"id":"ITEM-1","itemData":{"abstract":"The predominantly hilly terrain of Penang Island combined with average maximum daily temperatures ranging between 27-35oC and peak rainfall as high as 647 cm makes the overall area potentially susceptible to landslips. Over the recent past construction industry has shown a rapid growth mainly due to increase in the inflow of international tourists and other economic reasons. Eventually, the magnitude of disaster associated with landslides has also increased and that is one of the major concerns of engineering geologists and geotechnical engineers. With this background this paper attempts to characterize the largely granitic residual soils of Penang Island by discussing the nature, structural features, engineering behavior and field properties of soil samples extracted from 8 sites. These sites are distinctly chosen from a database of 31 sites for they are located over different prime geological formations. The mean values of various design properties at different depths are calculated and plotted to identify the property trend with depth and important behavioral features relevant to landslides are discussed. Similarly, compression index values are plotted against initial void ratio and liquid limit separately and resulting correlations are compared with the established ones. Correlations given by Azzous are found to hold good. Lastly, in the light of the lessons learnt from the past landslides and the current characterization results some improvements regarding slope instability problem are discussed.","author":[{"dropping-particle":"","family":"Ahmad","given":"Fauziah","non-dropping-particle":"","parse-names":false,"suffix":""},{"dropping-particle":"","family":"Yahaya","given":"Ahmad Shukri","non-dropping-particle":"","parse-names":false,"suffix":""},{"dropping-particle":"","family":"Farooqi","given":"Mohd Ahmadullah","non-dropping-particle":"","parse-names":false,"suffix":""},{"dropping-particle":"","family":"Tebal","given":"Nibong","non-dropping-particle":"","parse-names":false,"suffix":""}],"container-title":"American Journal of Environmental Sciences","id":"ITEM-1","issue":"4","issued":{"date-parts":[["2006"]]},"page":"121-128","title":"Characterization and Geotechnical Properties of Penang Residual Soils with Emphasis on Landslides PhD . Student Universiti Sains Malaysia , Penang , 14300 Nibong Tebal , Penang , Malaysia","type":"article-journal","volume":"2"},"uris":["http://www.mendeley.com/documents/?uuid=82e766d6-721e-4cd0-8093-4c53dde22a6d"]}],"mendeley":{"formattedCitation":"(Ahmad et al., 2006)","manualFormatting":"Ahmad et al (2006)","plainTextFormattedCitation":"(Ahmad et al., 2006)","previouslyFormattedCitation":"(Ahmad et al., 2006)"},"properties":{"noteIndex":0},"schema":"https://github.com/citation-style-language/schema/raw/master/csl-citation.json"}</w:instrText>
      </w:r>
      <w:r>
        <w:rPr>
          <w:rFonts w:ascii="Times New Roman" w:hAnsi="Times New Roman" w:cs="Times New Roman"/>
          <w:position w:val="0"/>
          <w:sz w:val="24"/>
          <w:szCs w:val="24"/>
        </w:rPr>
        <w:fldChar w:fldCharType="separate"/>
      </w:r>
      <w:r>
        <w:rPr>
          <w:rFonts w:ascii="Times New Roman" w:hAnsi="Times New Roman" w:cs="Times New Roman"/>
          <w:noProof/>
          <w:position w:val="0"/>
          <w:sz w:val="24"/>
          <w:szCs w:val="24"/>
        </w:rPr>
        <w:t>Ahmad et al. (2006)</w:t>
      </w:r>
      <w:r>
        <w:rPr>
          <w:rFonts w:ascii="Times New Roman" w:hAnsi="Times New Roman" w:cs="Times New Roman"/>
          <w:position w:val="0"/>
          <w:sz w:val="24"/>
          <w:szCs w:val="24"/>
        </w:rPr>
        <w:fldChar w:fldCharType="end"/>
      </w:r>
      <w:r>
        <w:rPr>
          <w:rFonts w:ascii="Times New Roman" w:hAnsi="Times New Roman" w:cs="Times New Roman"/>
          <w:position w:val="0"/>
          <w:sz w:val="24"/>
          <w:szCs w:val="24"/>
        </w:rPr>
        <w:t xml:space="preserve">, bahagian pulau (Pulau Pinang), adalah beriklim tropika dengan purata suhu harian kira-kira 27℃ dan min suhu maksimum dan minimum harian ialah sebanyak 31℃ dan 23.5 ℃. Jadi, sebagai pulau tropika, Pulau Pinang sentiasa panas sepanjang tahun. Rajah 4 menunjukkan purata Tmin Pulau Pinang dari tahun 1980 hingga 2018.  Tmin meningkat daripada 23.67 ℃ pada tahun 1980 kepada 28.23 ℃ (2018). Purata Tmin tertinggi dicatatkan pada tahun 2014 dengan 28.27 ℃. </w:t>
      </w:r>
      <w:r w:rsidR="00BD5D0A">
        <w:rPr>
          <w:rFonts w:ascii="Times New Roman" w:hAnsi="Times New Roman" w:cs="Times New Roman"/>
          <w:position w:val="0"/>
          <w:sz w:val="24"/>
          <w:szCs w:val="24"/>
        </w:rPr>
        <w:t>Manakala</w:t>
      </w:r>
      <w:r>
        <w:rPr>
          <w:rFonts w:ascii="Times New Roman" w:hAnsi="Times New Roman" w:cs="Times New Roman"/>
          <w:position w:val="0"/>
          <w:sz w:val="24"/>
          <w:szCs w:val="24"/>
        </w:rPr>
        <w:t xml:space="preserve"> purata Tmin terendah dicatatkan pada tahun 1985 iaitu 23.26 ℃. Peningkatan drastik dalam purata Tmin telah dikesan dari tahun 2007 (24.62 ℃) hingga 2008 (27.55 ℃), yang meningkat sebanyak 2.93 ℃. Sebaliknya, suhu maksimum (Tmax) juga menunjukkan trend meningkat yang ketara. Menurut Rajah 5, nilai purata Tmax tertinggi dicatatkan pada tahun 2002 (32.44 ℃) dan terendah pada tahun 1984 iaitu kira-kira 30.74 ℃. Tmean meningkat dengan ketara dari 1980 hingga 2018. Pada tahun 1980, purata Tmean ialah 26.96 ℃ dan ia meningkat kira-kira 5.28 ℃ dalam tempoh 38 tahun kepada 32.24 ℃ pada 2018. </w:t>
      </w:r>
      <w:r w:rsidR="00BD5D0A">
        <w:rPr>
          <w:rFonts w:ascii="Times New Roman" w:hAnsi="Times New Roman" w:cs="Times New Roman"/>
          <w:position w:val="0"/>
          <w:sz w:val="24"/>
          <w:szCs w:val="24"/>
        </w:rPr>
        <w:t>H</w:t>
      </w:r>
      <w:r>
        <w:rPr>
          <w:rFonts w:ascii="Times New Roman" w:hAnsi="Times New Roman" w:cs="Times New Roman"/>
          <w:position w:val="0"/>
          <w:sz w:val="24"/>
          <w:szCs w:val="24"/>
        </w:rPr>
        <w:t>ujan tahunan juga menunjukkan trend peningkatan dari tahun 1980 hingga 2018 iaitu peningkatan 1 mm setahun (10mm/dekad). Jumlah hujan tahunan pada tahun 1980 ialah 2765.8 mm dan 2478 mm pada tahun 2018. Pemendakan tahunan terendah dicatatkan pada tahun 1997 iaitu 1516.8 mm manakala tertinggi pada tahun 1999 (3231.6 mm).</w:t>
      </w:r>
    </w:p>
    <w:p w14:paraId="74968BFC" w14:textId="3383EDB2" w:rsidR="00B027A9" w:rsidRDefault="00AE2895">
      <w:pPr>
        <w:suppressAutoHyphens w:val="0"/>
        <w:spacing w:after="0" w:line="240" w:lineRule="auto"/>
        <w:ind w:leftChars="0" w:left="0" w:firstLineChars="0" w:firstLine="720"/>
        <w:jc w:val="both"/>
        <w:textDirection w:val="lrTb"/>
        <w:textAlignment w:val="auto"/>
        <w:outlineLvl w:val="9"/>
        <w:rPr>
          <w:rFonts w:ascii="Times New Roman" w:hAnsi="Times New Roman" w:cs="Times New Roman"/>
          <w:position w:val="0"/>
          <w:sz w:val="24"/>
          <w:szCs w:val="24"/>
        </w:rPr>
      </w:pPr>
      <w:r>
        <w:rPr>
          <w:rFonts w:ascii="Times New Roman" w:hAnsi="Times New Roman" w:cs="Times New Roman"/>
          <w:position w:val="0"/>
          <w:sz w:val="24"/>
          <w:szCs w:val="24"/>
        </w:rPr>
        <w:t xml:space="preserve">Jadi, aliran suhu keseluruhan (Tmin, Tmax dan Tmean) bagi Pulau Pinang menunjukkan trend peningkatan yang ketara pada tahap keertian 0.001 dari tahun 1980 hingga 2018 kecuali hujan yang menunjukkan aliran meningkat tetapi tidak ketara. Tmax, Tmin dan Tmean meningkat dengan ketara pada kadar 0.19 ℃/dekad, 1.2 ℃/dekad dan 0.3 ℃/dekad, masing-masing. Berbanding dengan Tmax (0.19 °C/dekad) dan Tmean (0.3 °C/dekad), Tmin menunjukkan anjakan magnitud 1.2 °C/dekad. Tan et al., 2020 juga melaporkan bahawa sebagai bandar utama Semenanjung Malaysia, Pulau Pinang mempunyai trend meningkat yang ketara dalam TNmean, </w:t>
      </w:r>
      <w:r>
        <w:rPr>
          <w:rFonts w:ascii="Times New Roman" w:hAnsi="Times New Roman" w:cs="Times New Roman"/>
          <w:position w:val="0"/>
          <w:sz w:val="24"/>
          <w:szCs w:val="24"/>
        </w:rPr>
        <w:lastRenderedPageBreak/>
        <w:t>TXmean, dan TMmean dengan magnitud perubahan yang lebih besar dan ini mungkin disebabkan oleh kesan pulau haba bandar. Fenomena ini berlaku antara jam 7 pagi hingga 10 malam di Pulau Pinang terutamanya di kawasan yang sesak dan juga pada waktu puncak (Hanafiah, 2019). Terdapat pelbagai faktor yang menyebabkan fenomena ini seperti perindustrian, pembangunan pesat, pertambahan penduduk dan kenderaan.</w:t>
      </w:r>
      <w:r>
        <w:rPr>
          <w:rFonts w:ascii="Times New Roman" w:hAnsi="Times New Roman" w:cs="Times New Roman"/>
          <w:position w:val="0"/>
          <w:sz w:val="24"/>
          <w:szCs w:val="24"/>
        </w:rPr>
        <w:fldChar w:fldCharType="begin"/>
      </w:r>
      <w:r>
        <w:rPr>
          <w:rFonts w:ascii="Times New Roman" w:hAnsi="Times New Roman" w:cs="Times New Roman"/>
          <w:position w:val="0"/>
          <w:sz w:val="24"/>
          <w:szCs w:val="24"/>
        </w:rPr>
        <w:instrText>ADDIN CSL_CITATION {"citationItems":[{"id":"ITEM-1","itemData":{"DOI":"10.1002/joc.6864","ISSN":"10970088","abstract":"Understanding the changes in temperature extremes is important for managing and coping with the risks associated with regional climate change. However, the climatological characteristics of temperature extremes and their variabilities is still not adequately studies in Malaysia. This study evaluates the spatial and temporal variations of temperature extremes over Malaysia for the period 1985–2018. This study includes four phases: (a) collection, quality control and homogeneity analysis of temperature data; (b) general (TXmean, TNmean, TMmean and DTR), warm (TXx, TNx, TX90p and TN90p) and cool (TXn, TNn, TX10p and TN10p) temperature extreme indices calculations; (c) trend analysis of temperature extremes using the Mann-Kendall and Sens's slope test; and (d) analyses of correlations between temperature extremes and El Niño-Southern Oscillation (ENSO). The results indicate a warming of surface temperature across Malaysia, particularly in Peninsular Malaysia. In general, TXmean, TNmean and TMmean increased significantly at 5% significance level by 0.12°C/decade, 0.27°C/decade and 0.17°C/decade, respectively. A significant decreasing trend in DTR by 0.12°C/decade is seen, which is related to the higher increasing rate of TNmean. All of the warm extreme indices, TXx, TNx, TX90p and TN90p presents significant increasing trends by 0.19°C/decade, 0.28°C/decade, 2.86%/decade and 3.08%/decade, respectively. For the cool extreme indices, TX10p and TN10p decreased significantly by 0.95%/decade and 3.18%/decade, respectively, though the trend in TXn by 0.11°C/decade is not statistically significant. The only cool index presenting a significant increasing trend is TNn by 0.44°C/decade, indicating a reduction of cool nights. Besides that, major cities in the northern and western parts of Peninsular Malaysia generally exhibit a higher warming trend compared to rural and highland area. These are possibly related to the intensified urban heat island effect under the rapid urbanization. This study also found that the ENSO affected warm extreme indices much stronger than cool extreme indices in Malaysia.","author":[{"dropping-particle":"","family":"Tan","given":"Mou Leong","non-dropping-particle":"","parse-names":false,"suffix":""},{"dropping-particle":"","family":"Juneng","given":"Liew","non-dropping-particle":"","parse-names":false,"suffix":""},{"dropping-particle":"","family":"Tangang","given":"Fredolin T.","non-dropping-particle":"","parse-names":false,"suffix":""},{"dropping-particle":"","family":"Chung","given":"Jing Xiang","non-dropping-particle":"","parse-names":false,"suffix":""},{"dropping-particle":"","family":"Radin Firdaus","given":"R. B.","non-dropping-particle":"","parse-names":false,"suffix":""}],"container-title":"International Journal of Climatology","id":"ITEM-1","issue":"S1","issued":{"date-parts":[["2020"]]},"page":"E2564-E2580","title":"Changes in temperature extremes and their relationship with ENSO in Malaysia from 1985 to 2018","type":"article-journal","volume":"41"},"uris":["http://www.mendeley.com/documents/?uuid=d4d95be2-36e4-4481-bc38-df8ad1f6a913"]}],"mendeley":{"formattedCitation":"(M. L. Tan et al., 2020)","manualFormatting":" Tan et al (2020)","plainTextFormattedCitation":"(M. L. Tan et al., 2020)","previouslyFormattedCitation":"(M. L. Tan et al., 2020)"},"properties":{"noteIndex":0},"schema":"https://github.com/citation-style-language/schema/raw/master/csl-citation.json"}</w:instrText>
      </w:r>
      <w:r>
        <w:rPr>
          <w:rFonts w:ascii="Times New Roman" w:hAnsi="Times New Roman" w:cs="Times New Roman"/>
          <w:position w:val="0"/>
          <w:sz w:val="24"/>
          <w:szCs w:val="24"/>
        </w:rPr>
        <w:fldChar w:fldCharType="separate"/>
      </w:r>
      <w:r>
        <w:rPr>
          <w:rFonts w:ascii="Times New Roman" w:hAnsi="Times New Roman" w:cs="Times New Roman"/>
          <w:noProof/>
          <w:position w:val="0"/>
          <w:sz w:val="24"/>
          <w:szCs w:val="24"/>
        </w:rPr>
        <w:t xml:space="preserve"> Tan et al. (2020)</w:t>
      </w:r>
      <w:r>
        <w:rPr>
          <w:rFonts w:ascii="Times New Roman" w:hAnsi="Times New Roman" w:cs="Times New Roman"/>
          <w:position w:val="0"/>
          <w:sz w:val="24"/>
          <w:szCs w:val="24"/>
        </w:rPr>
        <w:fldChar w:fldCharType="end"/>
      </w:r>
      <w:r>
        <w:rPr>
          <w:rFonts w:ascii="Times New Roman" w:hAnsi="Times New Roman" w:cs="Times New Roman"/>
          <w:position w:val="0"/>
          <w:sz w:val="24"/>
          <w:szCs w:val="24"/>
        </w:rPr>
        <w:t xml:space="preserve"> juga melaporkan bahawa kebolehubahan iklim tempatan juga salah satu sebab pulau haba bandar.</w:t>
      </w:r>
    </w:p>
    <w:p w14:paraId="4E85418D" w14:textId="1C4ED226" w:rsidR="00B027A9" w:rsidRDefault="00BD5D0A">
      <w:pPr>
        <w:suppressAutoHyphens w:val="0"/>
        <w:spacing w:after="0" w:line="240" w:lineRule="auto"/>
        <w:ind w:leftChars="0" w:left="0" w:firstLineChars="0" w:firstLine="720"/>
        <w:jc w:val="both"/>
        <w:textDirection w:val="lrTb"/>
        <w:textAlignment w:val="auto"/>
        <w:outlineLvl w:val="9"/>
        <w:rPr>
          <w:rFonts w:ascii="Times New Roman" w:hAnsi="Times New Roman" w:cs="Times New Roman"/>
          <w:position w:val="0"/>
          <w:sz w:val="24"/>
          <w:szCs w:val="24"/>
        </w:rPr>
      </w:pPr>
      <w:r>
        <w:rPr>
          <w:rFonts w:ascii="Times New Roman" w:hAnsi="Times New Roman" w:cs="Times New Roman"/>
          <w:position w:val="0"/>
          <w:sz w:val="24"/>
          <w:szCs w:val="24"/>
        </w:rPr>
        <w:t xml:space="preserve">Manakala nilai terendah bagi purata indeks suhu (Tmin, Tmax dan Tmean), terutamanya direkodkan pada tahun 1984 dan 1985. Suhu terendah dicatatkan pada tahun 1980-an kerana La Nina. Kenyataan ini juga dinyatakan oleh Tan et al (2020) dalam kajian mereka, di mana indeks suhu ekstrem mencapai mata terendah pada tahun 1980-an, kebanyakannya semasa fenomena La Nina. Mahmud (2006) melaporkan bahawa terdapat hujan lebat yang direkodkan di Semenanjung Malaysia pada tahun 1999 juga kerana La Nina. Oleh itu, jumlah hujan tertinggi juga dicatatkan pada tahun 1999, dan boleh disimpulkan bahawa La Niña menjadi faktor kepada situasi ini. Sebaliknya El-Niño juga memberi kesan kepada suhu Malaysia. Menurut </w:t>
      </w:r>
      <w:r>
        <w:rPr>
          <w:rFonts w:ascii="Times New Roman" w:hAnsi="Times New Roman" w:cs="Times New Roman"/>
          <w:position w:val="0"/>
          <w:sz w:val="24"/>
          <w:szCs w:val="24"/>
        </w:rPr>
        <w:fldChar w:fldCharType="begin"/>
      </w:r>
      <w:r>
        <w:rPr>
          <w:rFonts w:ascii="Times New Roman" w:hAnsi="Times New Roman" w:cs="Times New Roman"/>
          <w:position w:val="0"/>
          <w:sz w:val="24"/>
          <w:szCs w:val="24"/>
        </w:rPr>
        <w:instrText>ADDIN CSL_CITATION {"citationItems":[{"id":"ITEM-1","itemData":{"DOI":"10.1007/s00704-006-0263-3","ISSN":"14344483","abstract":"This paper investigates the warming trend and interannual variability of surface air temperatures in the Malaysian region during the period 1961-2002. The trend analyses show that most regions in Malaysia experience warming over the period at comparable rates to those in regions surrounding the Bay of Bengal. The regions of Peninsular Malaysia and northern Borneo experience warming rates of between 2.7-4.0 °C/100 years. However, the warming rates are lower in the south-western region of Borneo. The interannual variability of Malaysian temperature is largely dominated by the El Niño-Southern Oscillation (ENSO). Regardless of the warming trends, all regions in Malaysia experience uniform warming during an El Niño event, particularly during the October-November-December (OND) and the January-February-March (JFM) periods. This uniform warming is associated with the latent heat released from the central eastern Pacific region and forced adiabatic subsidence in the Maritime Continent during an El Niño event. During its early development period i.e. during the July-August-September (JAS) season, the El Niñ's impact on the Malaysian temperatures is relatively weak compare to its influence during the OND and JFM seasons. However, the warming continues to the April-May-June (AMJ) season although during this period the anomalous conditions in the eastern central Pacific have begun or have returned to normal. The Indian Ocean Dipole (IOD) mode exerts an influence on Malaysian temperatures. When it co-occurs with ENSO, it tends to weaken the ENSO influence particularly during an OND period. However, it appears to have an appreciable influence only during an AMJ period when it occurs in the absence of an ENSO event. Despite the strong influence of the ENSO, the warming rates during the 42-year period appears to be least affected by interannual variability. © Springer-Verlag 2006.","author":[{"dropping-particle":"","family":"Tangang","given":"Fredolin T.","non-dropping-particle":"","parse-names":false,"suffix":""},{"dropping-particle":"","family":"Juneng","given":"Liew","non-dropping-particle":"","parse-names":false,"suffix":""},{"dropping-particle":"","family":"Ahmad","given":"Shahruddin","non-dropping-particle":"","parse-names":false,"suffix":""}],"container-title":"Theoretical and Applied Climatology","id":"ITEM-1","issue":"3-4","issued":{"date-parts":[["2007"]]},"page":"127-141","title":"Trend and interannual variability of temperature in Malaysia: 1961-2002","type":"article-journal","volume":"89"},"uris":["http://www.mendeley.com/documents/?uuid=fd3a00f0-1045-4c86-8338-b289c2686430"]}],"mendeley":{"formattedCitation":"(Tangang et al., 2007)","manualFormatting":"Tangang et al (2007)","plainTextFormattedCitation":"(Tangang et al., 2007)","previouslyFormattedCitation":"(Tangang et al., 2007)"},"properties":{"noteIndex":0},"schema":"https://github.com/citation-style-language/schema/raw/master/csl-citation.json"}</w:instrText>
      </w:r>
      <w:r>
        <w:rPr>
          <w:rFonts w:ascii="Times New Roman" w:hAnsi="Times New Roman" w:cs="Times New Roman"/>
          <w:position w:val="0"/>
          <w:sz w:val="24"/>
          <w:szCs w:val="24"/>
        </w:rPr>
        <w:fldChar w:fldCharType="separate"/>
      </w:r>
      <w:r>
        <w:rPr>
          <w:rFonts w:ascii="Times New Roman" w:hAnsi="Times New Roman" w:cs="Times New Roman"/>
          <w:noProof/>
          <w:position w:val="0"/>
          <w:sz w:val="24"/>
          <w:szCs w:val="24"/>
        </w:rPr>
        <w:t>Tangang et al. (2007)</w:t>
      </w:r>
      <w:r>
        <w:rPr>
          <w:rFonts w:ascii="Times New Roman" w:hAnsi="Times New Roman" w:cs="Times New Roman"/>
          <w:position w:val="0"/>
          <w:sz w:val="24"/>
          <w:szCs w:val="24"/>
        </w:rPr>
        <w:fldChar w:fldCharType="end"/>
      </w:r>
      <w:r>
        <w:rPr>
          <w:rFonts w:ascii="Times New Roman" w:hAnsi="Times New Roman" w:cs="Times New Roman"/>
          <w:position w:val="0"/>
          <w:sz w:val="24"/>
          <w:szCs w:val="24"/>
        </w:rPr>
        <w:t xml:space="preserve">, El Niño–Southern Oscillation (ENSO) mempunyai impak yang besar terhadap kebolehubahan iklim Malaysia. Terdapat peningkatan pada purata suhu Tmin, purata suhu Tmax dan purata suhu Tmean pada tahun 1998 akibat fenomena El Nino iaitu 25.16 ℃, 32.01 ℃, dan 28.18 ℃ masing-masing. Tan et al. (2020) juga melaporkan dalam kajian mereka pada tahun 1998, terutamanya semasa fenomena El Niño yang sangat kuat, terdapat nilai TXmean, TNmean, dan TMmean yang agak tinggi dicatatkan di Semenanjung Malaysia dan ini menunjukkan bahawa El Niño mempunyai kesan yang besar terhadap pemanasan Malaysia. </w:t>
      </w:r>
      <w:r>
        <w:rPr>
          <w:rFonts w:ascii="Times New Roman" w:hAnsi="Times New Roman" w:cs="Times New Roman"/>
          <w:position w:val="0"/>
          <w:sz w:val="24"/>
          <w:szCs w:val="24"/>
        </w:rPr>
        <w:fldChar w:fldCharType="begin"/>
      </w:r>
      <w:r>
        <w:rPr>
          <w:rFonts w:ascii="Times New Roman" w:hAnsi="Times New Roman" w:cs="Times New Roman"/>
          <w:position w:val="0"/>
          <w:sz w:val="24"/>
          <w:szCs w:val="24"/>
        </w:rPr>
        <w:instrText>ADDIN CSL_CITATION {"citationItems":[{"id":"ITEM-1","itemData":{"DOI":"10.47405/mjssh.v6i1.602","abstract":"The El Niño–Southern Oscillation (ENSO) event is a climate event that has an impact on the world climate. The effects of ENSO are often associated with prolonged droughts and floods since 1980 following global climate change. In addition to causing flooding and drought. Indirectly, the occurrence of ENSO causes health problems, environmental destruction, affecting economic activities such as agriculture and fisheries. Many studies on ENSO have been conducted. However, there is still a lack of research on the effect of ENSO on temperature in local knowledge areas, especially urban areas because the urban environment especially building materials that can absorb and release heat. In addition, previous studies have focused on large-scale areas. Beside that there still gap to understand and increase knowledge about the effect of ENSO on local temperatures, especially in urban areas. This study uses meteorological data and Oceanic Nino Index (ONI) from 1988 to 2019. This study found that the occurrence of ENSO has an effect on the value of daily temperature but differs based on the value of the ONI index. In addition, this study uses linear regression in predicting the effect of ENSO on temperature. The results of this study are useful to those responsible for understanding the impact of ENSO on temperature in urban areas to provide infrastructure in reducing the impact of ENSO as well as adjustment measures during the occurrence of ENSO.","author":[{"dropping-particle":"","family":"Kemarau","given":"Ricky Anak","non-dropping-particle":"","parse-names":false,"suffix":""},{"dropping-particle":"","family":"Eboy","given":"Oliver Valentine","non-dropping-particle":"","parse-names":false,"suffix":""}],"container-title":"Malaysian Journal of Social Sciences and Humanities (MJSSH)","id":"ITEM-1","issue":"1","issued":{"date-parts":[["2021"]]},"page":"289-297","title":"The Impact of El Niño–Southern Oscillation (ENSO) on Temperature: A Case Study in Kuching, Sarawak","type":"article-journal","volume":"6"},"uris":["http://www.mendeley.com/documents/?uuid=d9c6037b-9d18-4909-8c4c-81b6d8329243"]}],"mendeley":{"formattedCitation":"(Kemarau &amp; Eboy, 2021)","manualFormatting":"Kemarau dan Eboy (2021)","plainTextFormattedCitation":"(Kemarau &amp; Eboy, 2021)","previouslyFormattedCitation":"(Kemarau &amp; Eboy, 2021)"},"properties":{"noteIndex":0},"schema":"https://github.com/citation-style-language/schema/raw/master/csl-citation.json"}</w:instrText>
      </w:r>
      <w:r>
        <w:rPr>
          <w:rFonts w:ascii="Times New Roman" w:hAnsi="Times New Roman" w:cs="Times New Roman"/>
          <w:position w:val="0"/>
          <w:sz w:val="24"/>
          <w:szCs w:val="24"/>
        </w:rPr>
        <w:fldChar w:fldCharType="separate"/>
      </w:r>
      <w:r>
        <w:rPr>
          <w:rFonts w:ascii="Times New Roman" w:hAnsi="Times New Roman" w:cs="Times New Roman"/>
          <w:noProof/>
          <w:position w:val="0"/>
          <w:sz w:val="24"/>
          <w:szCs w:val="24"/>
        </w:rPr>
        <w:t>Kemarau dan Eboy (2021)</w:t>
      </w:r>
      <w:r>
        <w:rPr>
          <w:rFonts w:ascii="Times New Roman" w:hAnsi="Times New Roman" w:cs="Times New Roman"/>
          <w:position w:val="0"/>
          <w:sz w:val="24"/>
          <w:szCs w:val="24"/>
        </w:rPr>
        <w:fldChar w:fldCharType="end"/>
      </w:r>
      <w:r>
        <w:rPr>
          <w:rFonts w:ascii="Times New Roman" w:hAnsi="Times New Roman" w:cs="Times New Roman"/>
          <w:position w:val="0"/>
          <w:sz w:val="24"/>
          <w:szCs w:val="24"/>
        </w:rPr>
        <w:t>, juga mengatakan bahawa ENSO memberikan kesan yang ketara terhadap suhu tempatan terutamanya pada kawasan bandar. Suhu permukaan tanah yang dianalisis melalui imej satelit yang dirakam pada tahun 1984-1997, 2008 dan 2015 juga menunjukkan trend peningkatan suhu. Berdasarkan Rajah 8, suhu maksimum yang direkodkan pada tahun 1984 hingga 1997 ialah 21-27 ℃ dan darjah suhu meningkat kepada 36-41 ℃ pada tahun 2015. Suhu minimum juga menunjukkan peningkatan yang ketara di mana ianya meningkat dari 8.8-14 ℃ (1984-1997) kepada 14-15 ℃ pada tahun 2015. Jadi, trend suhu bagi Pulau Pinang menunjukkan trend meningkat yang ketara dari tahun 1980 hingga 2018. Hujan juga menunjukkan trend meningkat dari tahun 1980 hingga 2018 tetapi tidak ketara. Namun, pada tahun 2008, suhu maksimum dan minimum menunjukkan penurunan berbanding tempoh tahun 1984-1997. Mengikut kajian-kajian lepas, terdapat pelbagai faktor yang boleh mempengaruhi trend suhu, seperti pembangunan pesat, penambahan bilangan kenderaan, populasi dan juga El Niño dan La Niña.</w:t>
      </w:r>
    </w:p>
    <w:p w14:paraId="69309390" w14:textId="77777777" w:rsidR="00B027A9" w:rsidRPr="00BD5D0A" w:rsidRDefault="00B027A9">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0"/>
          <w:szCs w:val="20"/>
        </w:rPr>
      </w:pPr>
    </w:p>
    <w:p w14:paraId="0799F73F" w14:textId="77777777" w:rsidR="00B027A9" w:rsidRDefault="00AE2895">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rPr>
      </w:pPr>
      <w:r>
        <w:rPr>
          <w:rFonts w:ascii="Times New Roman" w:hAnsi="Times New Roman" w:cs="Times New Roman"/>
          <w:noProof/>
          <w:position w:val="0"/>
          <w:sz w:val="20"/>
          <w:szCs w:val="20"/>
          <w:lang w:val="en-MY" w:eastAsia="en-MY"/>
        </w:rPr>
        <w:drawing>
          <wp:inline distT="0" distB="0" distL="114300" distR="114300" wp14:anchorId="37E652BA" wp14:editId="623BA57E">
            <wp:extent cx="4800600" cy="1965367"/>
            <wp:effectExtent l="0" t="0" r="0" b="15875"/>
            <wp:docPr id="1031"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8AEEFFF" w14:textId="77777777" w:rsidR="00B027A9" w:rsidRPr="00BD5D0A" w:rsidRDefault="00B027A9">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bCs/>
          <w:position w:val="0"/>
          <w:sz w:val="20"/>
          <w:szCs w:val="20"/>
        </w:rPr>
      </w:pPr>
    </w:p>
    <w:p w14:paraId="2A39E7C0" w14:textId="06057165" w:rsidR="00B027A9" w:rsidRDefault="00AE2895">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rPr>
      </w:pPr>
      <w:r>
        <w:rPr>
          <w:rFonts w:ascii="Times New Roman" w:hAnsi="Times New Roman" w:cs="Times New Roman"/>
          <w:b/>
          <w:position w:val="0"/>
          <w:sz w:val="20"/>
          <w:szCs w:val="20"/>
        </w:rPr>
        <w:t>Rajah 4.</w:t>
      </w:r>
      <w:r>
        <w:rPr>
          <w:rFonts w:ascii="Times New Roman" w:hAnsi="Times New Roman" w:cs="Times New Roman"/>
          <w:position w:val="0"/>
          <w:sz w:val="20"/>
          <w:szCs w:val="20"/>
        </w:rPr>
        <w:t xml:space="preserve"> Purata suhu minim</w:t>
      </w:r>
      <w:r w:rsidR="00BD5D0A">
        <w:rPr>
          <w:rFonts w:ascii="Times New Roman" w:hAnsi="Times New Roman" w:cs="Times New Roman"/>
          <w:position w:val="0"/>
          <w:sz w:val="20"/>
          <w:szCs w:val="20"/>
        </w:rPr>
        <w:t>u</w:t>
      </w:r>
      <w:r>
        <w:rPr>
          <w:rFonts w:ascii="Times New Roman" w:hAnsi="Times New Roman" w:cs="Times New Roman"/>
          <w:position w:val="0"/>
          <w:sz w:val="20"/>
          <w:szCs w:val="20"/>
        </w:rPr>
        <w:t>m</w:t>
      </w:r>
      <w:r w:rsidR="00BD5D0A">
        <w:rPr>
          <w:rFonts w:ascii="Times New Roman" w:hAnsi="Times New Roman" w:cs="Times New Roman"/>
          <w:position w:val="0"/>
          <w:sz w:val="20"/>
          <w:szCs w:val="20"/>
        </w:rPr>
        <w:t xml:space="preserve"> (Tmin)</w:t>
      </w:r>
      <w:r>
        <w:rPr>
          <w:rFonts w:ascii="Times New Roman" w:hAnsi="Times New Roman" w:cs="Times New Roman"/>
          <w:position w:val="0"/>
          <w:sz w:val="20"/>
          <w:szCs w:val="20"/>
        </w:rPr>
        <w:t xml:space="preserve"> tahunan bagi pulau, Pulau Pinang dari tahun 1980 hingga 2018</w:t>
      </w:r>
    </w:p>
    <w:p w14:paraId="61ECCD6E" w14:textId="77777777" w:rsidR="00B027A9" w:rsidRDefault="00AE2895">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rPr>
      </w:pPr>
      <w:r>
        <w:rPr>
          <w:rFonts w:ascii="Times New Roman" w:hAnsi="Times New Roman" w:cs="Times New Roman"/>
          <w:noProof/>
          <w:position w:val="0"/>
          <w:sz w:val="20"/>
          <w:szCs w:val="20"/>
          <w:lang w:val="en-MY" w:eastAsia="en-MY"/>
        </w:rPr>
        <w:lastRenderedPageBreak/>
        <w:drawing>
          <wp:inline distT="0" distB="0" distL="114300" distR="114300" wp14:anchorId="2202F634" wp14:editId="68146B7D">
            <wp:extent cx="4897755" cy="2047874"/>
            <wp:effectExtent l="0" t="0" r="17145" b="10160"/>
            <wp:docPr id="1033"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491D88A" w14:textId="77777777" w:rsidR="00B027A9" w:rsidRDefault="00B027A9">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b/>
          <w:position w:val="0"/>
          <w:sz w:val="20"/>
          <w:szCs w:val="20"/>
        </w:rPr>
      </w:pPr>
    </w:p>
    <w:p w14:paraId="7A2D0F54" w14:textId="2467C469" w:rsidR="00B027A9" w:rsidRDefault="00AE2895">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rPr>
      </w:pPr>
      <w:r>
        <w:rPr>
          <w:rFonts w:ascii="Times New Roman" w:hAnsi="Times New Roman" w:cs="Times New Roman"/>
          <w:b/>
          <w:position w:val="0"/>
          <w:sz w:val="20"/>
          <w:szCs w:val="20"/>
        </w:rPr>
        <w:t>Rajah 5.</w:t>
      </w:r>
      <w:r>
        <w:rPr>
          <w:rFonts w:ascii="Times New Roman" w:hAnsi="Times New Roman" w:cs="Times New Roman"/>
          <w:position w:val="0"/>
          <w:sz w:val="20"/>
          <w:szCs w:val="20"/>
        </w:rPr>
        <w:t xml:space="preserve"> Purata suhu maksimum </w:t>
      </w:r>
      <w:r w:rsidR="004B73B0">
        <w:rPr>
          <w:rFonts w:ascii="Times New Roman" w:hAnsi="Times New Roman" w:cs="Times New Roman"/>
          <w:position w:val="0"/>
          <w:sz w:val="20"/>
          <w:szCs w:val="20"/>
        </w:rPr>
        <w:t xml:space="preserve">(Tmax) </w:t>
      </w:r>
      <w:r>
        <w:rPr>
          <w:rFonts w:ascii="Times New Roman" w:hAnsi="Times New Roman" w:cs="Times New Roman"/>
          <w:position w:val="0"/>
          <w:sz w:val="20"/>
          <w:szCs w:val="20"/>
        </w:rPr>
        <w:t>tahunan pulau, Pulau Pinang dari tahun 1980 hingga 2018</w:t>
      </w:r>
    </w:p>
    <w:p w14:paraId="5F3081A1" w14:textId="77777777" w:rsidR="004B73B0" w:rsidRDefault="004B73B0">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rPr>
      </w:pPr>
    </w:p>
    <w:p w14:paraId="43495CE8" w14:textId="77777777" w:rsidR="004B73B0" w:rsidRDefault="004B73B0">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rPr>
      </w:pPr>
    </w:p>
    <w:p w14:paraId="2DB20A9E" w14:textId="77777777" w:rsidR="00B027A9" w:rsidRDefault="00AE2895">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rPr>
      </w:pPr>
      <w:r>
        <w:rPr>
          <w:rFonts w:ascii="Times New Roman" w:hAnsi="Times New Roman" w:cs="Times New Roman"/>
          <w:noProof/>
          <w:position w:val="0"/>
          <w:sz w:val="20"/>
          <w:szCs w:val="20"/>
          <w:lang w:val="en-MY" w:eastAsia="en-MY"/>
        </w:rPr>
        <w:drawing>
          <wp:inline distT="0" distB="0" distL="114300" distR="114300" wp14:anchorId="6F143B90" wp14:editId="58EB534E">
            <wp:extent cx="4928235" cy="2220685"/>
            <wp:effectExtent l="0" t="0" r="5715" b="8255"/>
            <wp:docPr id="1035"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24E280A" w14:textId="77777777" w:rsidR="00B027A9" w:rsidRDefault="00B027A9">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b/>
          <w:position w:val="0"/>
          <w:sz w:val="20"/>
          <w:szCs w:val="20"/>
        </w:rPr>
      </w:pPr>
    </w:p>
    <w:p w14:paraId="2B62DCE7" w14:textId="28B36B96" w:rsidR="00B027A9" w:rsidRDefault="00AE2895">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rPr>
      </w:pPr>
      <w:r>
        <w:rPr>
          <w:rFonts w:ascii="Times New Roman" w:hAnsi="Times New Roman" w:cs="Times New Roman"/>
          <w:b/>
          <w:position w:val="0"/>
          <w:sz w:val="20"/>
          <w:szCs w:val="20"/>
        </w:rPr>
        <w:t>Rajah 6.</w:t>
      </w:r>
      <w:r>
        <w:rPr>
          <w:rFonts w:ascii="Times New Roman" w:hAnsi="Times New Roman" w:cs="Times New Roman"/>
          <w:position w:val="0"/>
          <w:sz w:val="20"/>
          <w:szCs w:val="20"/>
        </w:rPr>
        <w:t xml:space="preserve"> Purata suhu mean </w:t>
      </w:r>
      <w:r w:rsidR="004B73B0">
        <w:rPr>
          <w:rFonts w:ascii="Times New Roman" w:hAnsi="Times New Roman" w:cs="Times New Roman"/>
          <w:position w:val="0"/>
          <w:sz w:val="20"/>
          <w:szCs w:val="20"/>
        </w:rPr>
        <w:t xml:space="preserve">(Tmean) </w:t>
      </w:r>
      <w:r>
        <w:rPr>
          <w:rFonts w:ascii="Times New Roman" w:hAnsi="Times New Roman" w:cs="Times New Roman"/>
          <w:position w:val="0"/>
          <w:sz w:val="20"/>
          <w:szCs w:val="20"/>
        </w:rPr>
        <w:t>tahunan pulau, Pulau Pinang dari tahun 1980 hingga 2018</w:t>
      </w:r>
    </w:p>
    <w:p w14:paraId="0AC15885" w14:textId="77777777" w:rsidR="00B027A9" w:rsidRDefault="00B027A9">
      <w:pPr>
        <w:suppressAutoHyphens w:val="0"/>
        <w:spacing w:after="0" w:line="240" w:lineRule="auto"/>
        <w:ind w:leftChars="0" w:left="0" w:firstLineChars="0" w:firstLine="0"/>
        <w:textDirection w:val="lrTb"/>
        <w:textAlignment w:val="auto"/>
        <w:outlineLvl w:val="9"/>
        <w:rPr>
          <w:rFonts w:ascii="Times New Roman" w:hAnsi="Times New Roman" w:cs="Times New Roman"/>
          <w:position w:val="0"/>
          <w:sz w:val="24"/>
          <w:szCs w:val="32"/>
        </w:rPr>
      </w:pPr>
    </w:p>
    <w:p w14:paraId="49778199" w14:textId="77777777" w:rsidR="004B73B0" w:rsidRDefault="004B73B0">
      <w:pPr>
        <w:suppressAutoHyphens w:val="0"/>
        <w:spacing w:after="0" w:line="240" w:lineRule="auto"/>
        <w:ind w:leftChars="0" w:left="0" w:firstLineChars="0" w:firstLine="0"/>
        <w:textDirection w:val="lrTb"/>
        <w:textAlignment w:val="auto"/>
        <w:outlineLvl w:val="9"/>
        <w:rPr>
          <w:rFonts w:ascii="Times New Roman" w:hAnsi="Times New Roman" w:cs="Times New Roman"/>
          <w:position w:val="0"/>
          <w:sz w:val="24"/>
          <w:szCs w:val="32"/>
        </w:rPr>
      </w:pPr>
    </w:p>
    <w:p w14:paraId="366DAE8C" w14:textId="77777777" w:rsidR="00B027A9" w:rsidRDefault="00AE2895">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4"/>
          <w:szCs w:val="24"/>
        </w:rPr>
      </w:pPr>
      <w:r>
        <w:rPr>
          <w:rFonts w:ascii="Times New Roman" w:hAnsi="Times New Roman" w:cs="Times New Roman"/>
          <w:noProof/>
          <w:position w:val="0"/>
          <w:sz w:val="24"/>
          <w:szCs w:val="24"/>
          <w:lang w:val="en-MY" w:eastAsia="en-MY"/>
        </w:rPr>
        <w:drawing>
          <wp:inline distT="0" distB="0" distL="114300" distR="114300" wp14:anchorId="3FD841A4" wp14:editId="7DF6F01C">
            <wp:extent cx="5017324" cy="2200910"/>
            <wp:effectExtent l="0" t="0" r="12065" b="8890"/>
            <wp:docPr id="1037"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8CE0E99" w14:textId="77777777" w:rsidR="00B027A9" w:rsidRDefault="00B027A9">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b/>
          <w:position w:val="0"/>
          <w:sz w:val="20"/>
          <w:szCs w:val="24"/>
        </w:rPr>
      </w:pPr>
    </w:p>
    <w:p w14:paraId="0412BFFA" w14:textId="77777777" w:rsidR="00B027A9" w:rsidRDefault="00AE2895">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4"/>
        </w:rPr>
      </w:pPr>
      <w:r>
        <w:rPr>
          <w:rFonts w:ascii="Times New Roman" w:hAnsi="Times New Roman" w:cs="Times New Roman"/>
          <w:b/>
          <w:position w:val="0"/>
          <w:sz w:val="20"/>
          <w:szCs w:val="24"/>
        </w:rPr>
        <w:t>Rajah 7.</w:t>
      </w:r>
      <w:r>
        <w:rPr>
          <w:rFonts w:ascii="Times New Roman" w:hAnsi="Times New Roman" w:cs="Times New Roman"/>
          <w:position w:val="0"/>
          <w:sz w:val="20"/>
          <w:szCs w:val="24"/>
        </w:rPr>
        <w:t xml:space="preserve"> Purata hujan tahunan pulau, Pulau Pinang dari tahun 1980 hingga 2018</w:t>
      </w:r>
    </w:p>
    <w:p w14:paraId="5E5B9CBB" w14:textId="77777777" w:rsidR="00B027A9" w:rsidRDefault="00B027A9">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4"/>
          <w:szCs w:val="32"/>
        </w:rPr>
      </w:pPr>
      <w:bookmarkStart w:id="0" w:name="_GoBack"/>
    </w:p>
    <w:bookmarkEnd w:id="0"/>
    <w:p w14:paraId="7B9893A3" w14:textId="77777777" w:rsidR="00B027A9" w:rsidRDefault="00AE2895">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4"/>
        </w:rPr>
      </w:pPr>
      <w:r>
        <w:rPr>
          <w:rFonts w:ascii="Times New Roman" w:hAnsi="Times New Roman" w:cs="Times New Roman"/>
          <w:b/>
          <w:position w:val="0"/>
          <w:sz w:val="20"/>
          <w:szCs w:val="24"/>
        </w:rPr>
        <w:lastRenderedPageBreak/>
        <w:t xml:space="preserve"> Jadual 4.</w:t>
      </w:r>
      <w:r>
        <w:rPr>
          <w:rFonts w:ascii="Times New Roman" w:hAnsi="Times New Roman" w:cs="Times New Roman"/>
          <w:position w:val="0"/>
          <w:sz w:val="20"/>
          <w:szCs w:val="24"/>
        </w:rPr>
        <w:t xml:space="preserve">  Trend hujan, suhu Tmax, Tmin dan Tmean </w:t>
      </w:r>
    </w:p>
    <w:p w14:paraId="2764CF06" w14:textId="5D922AE1" w:rsidR="00B027A9" w:rsidRDefault="00B027A9">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4"/>
        </w:rPr>
      </w:pPr>
    </w:p>
    <w:tbl>
      <w:tblPr>
        <w:tblStyle w:val="TableGrid1"/>
        <w:tblW w:w="6095" w:type="dxa"/>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985"/>
        <w:gridCol w:w="1202"/>
        <w:gridCol w:w="1207"/>
      </w:tblGrid>
      <w:tr w:rsidR="00B027A9" w14:paraId="174B362C" w14:textId="77777777">
        <w:trPr>
          <w:trHeight w:val="76"/>
        </w:trPr>
        <w:tc>
          <w:tcPr>
            <w:tcW w:w="1701" w:type="dxa"/>
            <w:tcBorders>
              <w:top w:val="single" w:sz="4" w:space="0" w:color="auto"/>
              <w:bottom w:val="single" w:sz="4" w:space="0" w:color="auto"/>
            </w:tcBorders>
            <w:shd w:val="clear" w:color="auto" w:fill="8DB3E2"/>
          </w:tcPr>
          <w:p w14:paraId="6166E7ED" w14:textId="77777777" w:rsidR="00B027A9" w:rsidRDefault="00B027A9">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p>
        </w:tc>
        <w:tc>
          <w:tcPr>
            <w:tcW w:w="1985" w:type="dxa"/>
            <w:tcBorders>
              <w:top w:val="single" w:sz="4" w:space="0" w:color="auto"/>
              <w:bottom w:val="single" w:sz="4" w:space="0" w:color="auto"/>
            </w:tcBorders>
            <w:shd w:val="clear" w:color="auto" w:fill="8DB3E2"/>
            <w:hideMark/>
          </w:tcPr>
          <w:p w14:paraId="43DC6BA1" w14:textId="77777777" w:rsidR="00B027A9" w:rsidRDefault="00AE2895">
            <w:pPr>
              <w:suppressAutoHyphens w:val="0"/>
              <w:ind w:leftChars="0" w:left="0" w:firstLineChars="0" w:firstLine="0"/>
              <w:jc w:val="center"/>
              <w:textDirection w:val="lrTb"/>
              <w:textAlignment w:val="auto"/>
              <w:outlineLvl w:val="9"/>
              <w:rPr>
                <w:rFonts w:ascii="Times New Roman" w:hAnsi="Times New Roman" w:cs="Times New Roman"/>
                <w:b/>
                <w:bCs/>
                <w:i/>
                <w:iCs/>
                <w:position w:val="0"/>
                <w:sz w:val="20"/>
                <w:szCs w:val="20"/>
              </w:rPr>
            </w:pPr>
            <w:r>
              <w:rPr>
                <w:rFonts w:ascii="Times New Roman" w:eastAsia="Times New Roman" w:hAnsi="Times New Roman" w:cs="Times New Roman"/>
                <w:b/>
                <w:bCs/>
                <w:position w:val="0"/>
                <w:sz w:val="20"/>
                <w:szCs w:val="20"/>
              </w:rPr>
              <w:t>Ujian Z</w:t>
            </w:r>
          </w:p>
        </w:tc>
        <w:tc>
          <w:tcPr>
            <w:tcW w:w="1202" w:type="dxa"/>
            <w:tcBorders>
              <w:top w:val="single" w:sz="4" w:space="0" w:color="auto"/>
              <w:bottom w:val="single" w:sz="4" w:space="0" w:color="auto"/>
            </w:tcBorders>
            <w:shd w:val="clear" w:color="auto" w:fill="8DB3E2"/>
            <w:hideMark/>
          </w:tcPr>
          <w:p w14:paraId="7A19D4FA" w14:textId="77777777" w:rsidR="00B027A9" w:rsidRDefault="00AE2895">
            <w:pPr>
              <w:suppressAutoHyphens w:val="0"/>
              <w:ind w:leftChars="0" w:left="0" w:firstLineChars="0" w:firstLine="0"/>
              <w:jc w:val="center"/>
              <w:textDirection w:val="lrTb"/>
              <w:textAlignment w:val="auto"/>
              <w:outlineLvl w:val="9"/>
              <w:rPr>
                <w:rFonts w:ascii="Times New Roman" w:hAnsi="Times New Roman" w:cs="Times New Roman"/>
                <w:b/>
                <w:bCs/>
                <w:i/>
                <w:iCs/>
                <w:position w:val="0"/>
                <w:sz w:val="20"/>
                <w:szCs w:val="20"/>
              </w:rPr>
            </w:pPr>
            <w:r>
              <w:rPr>
                <w:rFonts w:ascii="Times New Roman" w:eastAsia="Times New Roman" w:hAnsi="Times New Roman" w:cs="Times New Roman"/>
                <w:b/>
                <w:bCs/>
                <w:position w:val="0"/>
                <w:sz w:val="20"/>
                <w:szCs w:val="20"/>
              </w:rPr>
              <w:t>Signifikan</w:t>
            </w:r>
          </w:p>
        </w:tc>
        <w:tc>
          <w:tcPr>
            <w:tcW w:w="1207" w:type="dxa"/>
            <w:tcBorders>
              <w:top w:val="single" w:sz="4" w:space="0" w:color="auto"/>
              <w:bottom w:val="single" w:sz="4" w:space="0" w:color="auto"/>
            </w:tcBorders>
            <w:shd w:val="clear" w:color="auto" w:fill="8DB3E2"/>
            <w:hideMark/>
          </w:tcPr>
          <w:p w14:paraId="4C0C84B0" w14:textId="77777777" w:rsidR="00B027A9" w:rsidRDefault="00AE2895">
            <w:pPr>
              <w:suppressAutoHyphens w:val="0"/>
              <w:ind w:leftChars="0" w:left="0" w:firstLineChars="0" w:firstLine="0"/>
              <w:jc w:val="center"/>
              <w:textDirection w:val="lrTb"/>
              <w:textAlignment w:val="auto"/>
              <w:outlineLvl w:val="9"/>
              <w:rPr>
                <w:rFonts w:ascii="Times New Roman" w:hAnsi="Times New Roman" w:cs="Times New Roman"/>
                <w:b/>
                <w:bCs/>
                <w:position w:val="0"/>
                <w:sz w:val="20"/>
                <w:szCs w:val="20"/>
              </w:rPr>
            </w:pPr>
            <w:r>
              <w:rPr>
                <w:rFonts w:ascii="Times New Roman" w:eastAsia="Times New Roman" w:hAnsi="Times New Roman" w:cs="Times New Roman"/>
                <w:b/>
                <w:bCs/>
                <w:position w:val="0"/>
                <w:sz w:val="20"/>
                <w:szCs w:val="20"/>
              </w:rPr>
              <w:t>Q</w:t>
            </w:r>
          </w:p>
        </w:tc>
      </w:tr>
      <w:tr w:rsidR="00B027A9" w14:paraId="7492BFC1" w14:textId="77777777">
        <w:trPr>
          <w:trHeight w:val="121"/>
        </w:trPr>
        <w:tc>
          <w:tcPr>
            <w:tcW w:w="1701" w:type="dxa"/>
            <w:tcBorders>
              <w:top w:val="single" w:sz="4" w:space="0" w:color="auto"/>
            </w:tcBorders>
            <w:hideMark/>
          </w:tcPr>
          <w:p w14:paraId="3B69EE7B" w14:textId="77777777" w:rsidR="00B027A9" w:rsidRDefault="00AE2895">
            <w:pPr>
              <w:suppressAutoHyphens w:val="0"/>
              <w:ind w:leftChars="0" w:left="0" w:firstLineChars="0" w:firstLine="0"/>
              <w:jc w:val="center"/>
              <w:textDirection w:val="lrTb"/>
              <w:textAlignment w:val="auto"/>
              <w:outlineLvl w:val="9"/>
              <w:rPr>
                <w:rFonts w:ascii="Times New Roman" w:hAnsi="Times New Roman" w:cs="Times New Roman"/>
                <w:i/>
                <w:iCs/>
                <w:position w:val="0"/>
                <w:sz w:val="20"/>
                <w:szCs w:val="20"/>
              </w:rPr>
            </w:pPr>
            <w:r>
              <w:rPr>
                <w:rFonts w:ascii="Times New Roman" w:eastAsia="Times New Roman" w:hAnsi="Times New Roman" w:cs="Times New Roman"/>
                <w:position w:val="0"/>
                <w:sz w:val="20"/>
                <w:szCs w:val="20"/>
              </w:rPr>
              <w:t>Hujan</w:t>
            </w:r>
          </w:p>
        </w:tc>
        <w:tc>
          <w:tcPr>
            <w:tcW w:w="1985" w:type="dxa"/>
            <w:tcBorders>
              <w:top w:val="single" w:sz="4" w:space="0" w:color="auto"/>
            </w:tcBorders>
            <w:hideMark/>
          </w:tcPr>
          <w:p w14:paraId="69EEBCDF" w14:textId="77777777" w:rsidR="00B027A9" w:rsidRDefault="00AE2895">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Pr>
                <w:rFonts w:ascii="Times New Roman" w:hAnsi="Times New Roman" w:cs="Times New Roman"/>
                <w:position w:val="0"/>
                <w:sz w:val="20"/>
                <w:szCs w:val="20"/>
              </w:rPr>
              <w:t>0.15</w:t>
            </w:r>
          </w:p>
        </w:tc>
        <w:tc>
          <w:tcPr>
            <w:tcW w:w="1202" w:type="dxa"/>
            <w:tcBorders>
              <w:top w:val="single" w:sz="4" w:space="0" w:color="auto"/>
            </w:tcBorders>
          </w:tcPr>
          <w:p w14:paraId="06D0AF33" w14:textId="77777777" w:rsidR="00B027A9" w:rsidRDefault="00B027A9">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p>
        </w:tc>
        <w:tc>
          <w:tcPr>
            <w:tcW w:w="1207" w:type="dxa"/>
            <w:tcBorders>
              <w:top w:val="single" w:sz="4" w:space="0" w:color="auto"/>
            </w:tcBorders>
            <w:hideMark/>
          </w:tcPr>
          <w:p w14:paraId="0EDDF87E" w14:textId="77777777" w:rsidR="00B027A9" w:rsidRDefault="00AE2895">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Pr>
                <w:rFonts w:ascii="Times New Roman" w:hAnsi="Times New Roman" w:cs="Times New Roman"/>
                <w:position w:val="0"/>
                <w:sz w:val="20"/>
                <w:szCs w:val="20"/>
              </w:rPr>
              <w:t>1.095</w:t>
            </w:r>
          </w:p>
        </w:tc>
      </w:tr>
      <w:tr w:rsidR="00B027A9" w14:paraId="5FD83759" w14:textId="77777777">
        <w:trPr>
          <w:trHeight w:val="168"/>
        </w:trPr>
        <w:tc>
          <w:tcPr>
            <w:tcW w:w="1701" w:type="dxa"/>
            <w:hideMark/>
          </w:tcPr>
          <w:p w14:paraId="3CD341FB" w14:textId="77777777" w:rsidR="00B027A9" w:rsidRDefault="00AE2895">
            <w:pPr>
              <w:suppressAutoHyphens w:val="0"/>
              <w:ind w:leftChars="0" w:left="0" w:firstLineChars="0" w:firstLine="0"/>
              <w:jc w:val="center"/>
              <w:textDirection w:val="lrTb"/>
              <w:textAlignment w:val="auto"/>
              <w:outlineLvl w:val="9"/>
              <w:rPr>
                <w:rFonts w:ascii="Times New Roman" w:hAnsi="Times New Roman" w:cs="Times New Roman"/>
                <w:i/>
                <w:iCs/>
                <w:position w:val="0"/>
                <w:sz w:val="20"/>
                <w:szCs w:val="20"/>
              </w:rPr>
            </w:pPr>
            <w:r>
              <w:rPr>
                <w:rFonts w:ascii="Times New Roman" w:eastAsia="Times New Roman" w:hAnsi="Times New Roman" w:cs="Times New Roman"/>
                <w:position w:val="0"/>
                <w:sz w:val="20"/>
                <w:szCs w:val="20"/>
              </w:rPr>
              <w:t>Tmax</w:t>
            </w:r>
          </w:p>
        </w:tc>
        <w:tc>
          <w:tcPr>
            <w:tcW w:w="1985" w:type="dxa"/>
            <w:hideMark/>
          </w:tcPr>
          <w:p w14:paraId="0F96FF32" w14:textId="77777777" w:rsidR="00B027A9" w:rsidRDefault="00AE2895">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Pr>
                <w:rFonts w:ascii="Times New Roman" w:hAnsi="Times New Roman" w:cs="Times New Roman"/>
                <w:position w:val="0"/>
                <w:sz w:val="20"/>
                <w:szCs w:val="20"/>
              </w:rPr>
              <w:t>3.90</w:t>
            </w:r>
          </w:p>
        </w:tc>
        <w:tc>
          <w:tcPr>
            <w:tcW w:w="1202" w:type="dxa"/>
            <w:hideMark/>
          </w:tcPr>
          <w:p w14:paraId="2EC8DFCE" w14:textId="77777777" w:rsidR="00B027A9" w:rsidRDefault="00AE2895">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Pr>
                <w:rFonts w:ascii="Times New Roman" w:hAnsi="Times New Roman" w:cs="Times New Roman"/>
                <w:position w:val="0"/>
                <w:sz w:val="20"/>
                <w:szCs w:val="20"/>
              </w:rPr>
              <w:t>***</w:t>
            </w:r>
          </w:p>
        </w:tc>
        <w:tc>
          <w:tcPr>
            <w:tcW w:w="1207" w:type="dxa"/>
            <w:hideMark/>
          </w:tcPr>
          <w:p w14:paraId="6B3EB5FA" w14:textId="77777777" w:rsidR="00B027A9" w:rsidRDefault="00AE2895">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Pr>
                <w:rFonts w:ascii="Times New Roman" w:hAnsi="Times New Roman" w:cs="Times New Roman"/>
                <w:position w:val="0"/>
                <w:sz w:val="20"/>
                <w:szCs w:val="20"/>
              </w:rPr>
              <w:t>0.019</w:t>
            </w:r>
          </w:p>
        </w:tc>
      </w:tr>
      <w:tr w:rsidR="00B027A9" w14:paraId="7D698F23" w14:textId="77777777">
        <w:trPr>
          <w:trHeight w:val="71"/>
        </w:trPr>
        <w:tc>
          <w:tcPr>
            <w:tcW w:w="1701" w:type="dxa"/>
            <w:hideMark/>
          </w:tcPr>
          <w:p w14:paraId="04D0312B" w14:textId="77777777" w:rsidR="00B027A9" w:rsidRDefault="00AE2895">
            <w:pPr>
              <w:suppressAutoHyphens w:val="0"/>
              <w:ind w:leftChars="0" w:left="0" w:firstLineChars="0" w:firstLine="0"/>
              <w:jc w:val="center"/>
              <w:textDirection w:val="lrTb"/>
              <w:textAlignment w:val="auto"/>
              <w:outlineLvl w:val="9"/>
              <w:rPr>
                <w:rFonts w:ascii="Times New Roman" w:hAnsi="Times New Roman" w:cs="Times New Roman"/>
                <w:i/>
                <w:iCs/>
                <w:position w:val="0"/>
                <w:sz w:val="20"/>
                <w:szCs w:val="20"/>
              </w:rPr>
            </w:pPr>
            <w:r>
              <w:rPr>
                <w:rFonts w:ascii="Times New Roman" w:eastAsia="Times New Roman" w:hAnsi="Times New Roman" w:cs="Times New Roman"/>
                <w:position w:val="0"/>
                <w:sz w:val="20"/>
                <w:szCs w:val="20"/>
              </w:rPr>
              <w:t>Tmin</w:t>
            </w:r>
          </w:p>
        </w:tc>
        <w:tc>
          <w:tcPr>
            <w:tcW w:w="1985" w:type="dxa"/>
            <w:hideMark/>
          </w:tcPr>
          <w:p w14:paraId="41FAFE4F" w14:textId="77777777" w:rsidR="00B027A9" w:rsidRDefault="00AE2895">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Pr>
                <w:rFonts w:ascii="Times New Roman" w:hAnsi="Times New Roman" w:cs="Times New Roman"/>
                <w:position w:val="0"/>
                <w:sz w:val="20"/>
                <w:szCs w:val="20"/>
              </w:rPr>
              <w:t>7.14</w:t>
            </w:r>
          </w:p>
        </w:tc>
        <w:tc>
          <w:tcPr>
            <w:tcW w:w="1202" w:type="dxa"/>
            <w:hideMark/>
          </w:tcPr>
          <w:p w14:paraId="54FB05AC" w14:textId="77777777" w:rsidR="00B027A9" w:rsidRDefault="00AE2895">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Pr>
                <w:rFonts w:ascii="Times New Roman" w:hAnsi="Times New Roman" w:cs="Times New Roman"/>
                <w:position w:val="0"/>
                <w:sz w:val="20"/>
                <w:szCs w:val="20"/>
              </w:rPr>
              <w:t>***</w:t>
            </w:r>
          </w:p>
        </w:tc>
        <w:tc>
          <w:tcPr>
            <w:tcW w:w="1207" w:type="dxa"/>
            <w:hideMark/>
          </w:tcPr>
          <w:p w14:paraId="3D1583AE" w14:textId="77777777" w:rsidR="00B027A9" w:rsidRDefault="00AE2895">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Pr>
                <w:rFonts w:ascii="Times New Roman" w:hAnsi="Times New Roman" w:cs="Times New Roman"/>
                <w:position w:val="0"/>
                <w:sz w:val="20"/>
                <w:szCs w:val="20"/>
              </w:rPr>
              <w:t>0.120</w:t>
            </w:r>
          </w:p>
        </w:tc>
      </w:tr>
      <w:tr w:rsidR="00B027A9" w14:paraId="64920F99" w14:textId="77777777">
        <w:trPr>
          <w:trHeight w:val="104"/>
        </w:trPr>
        <w:tc>
          <w:tcPr>
            <w:tcW w:w="1701" w:type="dxa"/>
            <w:tcBorders>
              <w:bottom w:val="single" w:sz="4" w:space="0" w:color="auto"/>
            </w:tcBorders>
            <w:hideMark/>
          </w:tcPr>
          <w:p w14:paraId="55A52541" w14:textId="77777777" w:rsidR="00B027A9" w:rsidRDefault="00AE2895">
            <w:pPr>
              <w:suppressAutoHyphens w:val="0"/>
              <w:ind w:leftChars="0" w:left="0" w:firstLineChars="0" w:firstLine="0"/>
              <w:jc w:val="center"/>
              <w:textDirection w:val="lrTb"/>
              <w:textAlignment w:val="auto"/>
              <w:outlineLvl w:val="9"/>
              <w:rPr>
                <w:rFonts w:ascii="Times New Roman" w:hAnsi="Times New Roman" w:cs="Times New Roman"/>
                <w:i/>
                <w:iCs/>
                <w:position w:val="0"/>
                <w:sz w:val="20"/>
                <w:szCs w:val="20"/>
              </w:rPr>
            </w:pPr>
            <w:r>
              <w:rPr>
                <w:rFonts w:ascii="Times New Roman" w:eastAsia="Times New Roman" w:hAnsi="Times New Roman" w:cs="Times New Roman"/>
                <w:position w:val="0"/>
                <w:sz w:val="20"/>
                <w:szCs w:val="20"/>
              </w:rPr>
              <w:t>Tmean</w:t>
            </w:r>
          </w:p>
        </w:tc>
        <w:tc>
          <w:tcPr>
            <w:tcW w:w="1985" w:type="dxa"/>
            <w:tcBorders>
              <w:bottom w:val="single" w:sz="4" w:space="0" w:color="auto"/>
            </w:tcBorders>
            <w:hideMark/>
          </w:tcPr>
          <w:p w14:paraId="3B930C0D" w14:textId="77777777" w:rsidR="00B027A9" w:rsidRDefault="00AE2895">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Pr>
                <w:rFonts w:ascii="Times New Roman" w:hAnsi="Times New Roman" w:cs="Times New Roman"/>
                <w:position w:val="0"/>
                <w:sz w:val="20"/>
                <w:szCs w:val="20"/>
              </w:rPr>
              <w:t>5.44</w:t>
            </w:r>
          </w:p>
        </w:tc>
        <w:tc>
          <w:tcPr>
            <w:tcW w:w="1202" w:type="dxa"/>
            <w:tcBorders>
              <w:bottom w:val="single" w:sz="4" w:space="0" w:color="auto"/>
            </w:tcBorders>
            <w:hideMark/>
          </w:tcPr>
          <w:p w14:paraId="1342159C" w14:textId="77777777" w:rsidR="00B027A9" w:rsidRDefault="00AE2895">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Pr>
                <w:rFonts w:ascii="Times New Roman" w:hAnsi="Times New Roman" w:cs="Times New Roman"/>
                <w:position w:val="0"/>
                <w:sz w:val="20"/>
                <w:szCs w:val="20"/>
              </w:rPr>
              <w:t>***</w:t>
            </w:r>
          </w:p>
        </w:tc>
        <w:tc>
          <w:tcPr>
            <w:tcW w:w="1207" w:type="dxa"/>
            <w:tcBorders>
              <w:bottom w:val="single" w:sz="4" w:space="0" w:color="auto"/>
            </w:tcBorders>
            <w:hideMark/>
          </w:tcPr>
          <w:p w14:paraId="6943AEB4" w14:textId="77777777" w:rsidR="00B027A9" w:rsidRDefault="00AE2895">
            <w:pPr>
              <w:suppressAutoHyphens w:val="0"/>
              <w:ind w:leftChars="0" w:left="0" w:firstLineChars="0" w:firstLine="0"/>
              <w:jc w:val="center"/>
              <w:textDirection w:val="lrTb"/>
              <w:textAlignment w:val="auto"/>
              <w:outlineLvl w:val="9"/>
              <w:rPr>
                <w:rFonts w:ascii="Times New Roman" w:hAnsi="Times New Roman" w:cs="Times New Roman"/>
                <w:position w:val="0"/>
                <w:sz w:val="20"/>
                <w:szCs w:val="20"/>
              </w:rPr>
            </w:pPr>
            <w:r>
              <w:rPr>
                <w:rFonts w:ascii="Times New Roman" w:hAnsi="Times New Roman" w:cs="Times New Roman"/>
                <w:position w:val="0"/>
                <w:sz w:val="20"/>
                <w:szCs w:val="20"/>
              </w:rPr>
              <w:t>0.030</w:t>
            </w:r>
          </w:p>
        </w:tc>
      </w:tr>
    </w:tbl>
    <w:p w14:paraId="526D431D" w14:textId="1F0A6919" w:rsidR="00B027A9" w:rsidRDefault="00B027A9">
      <w:pPr>
        <w:suppressAutoHyphens w:val="0"/>
        <w:spacing w:after="0" w:line="240" w:lineRule="auto"/>
        <w:ind w:leftChars="0" w:left="0" w:firstLineChars="0" w:firstLine="0"/>
        <w:textDirection w:val="lrTb"/>
        <w:textAlignment w:val="auto"/>
        <w:outlineLvl w:val="9"/>
        <w:rPr>
          <w:rFonts w:ascii="Times New Roman" w:hAnsi="Times New Roman" w:cs="Times New Roman"/>
          <w:position w:val="0"/>
          <w:sz w:val="24"/>
          <w:szCs w:val="24"/>
        </w:rPr>
      </w:pPr>
    </w:p>
    <w:p w14:paraId="5C3522FC" w14:textId="213A50A9" w:rsidR="00B027A9" w:rsidRDefault="003A5A32">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4"/>
          <w:szCs w:val="24"/>
        </w:rPr>
      </w:pPr>
      <w:r>
        <w:rPr>
          <w:rFonts w:ascii="Times New Roman" w:hAnsi="Times New Roman" w:cs="Times New Roman"/>
          <w:noProof/>
          <w:position w:val="0"/>
          <w:sz w:val="20"/>
          <w:szCs w:val="20"/>
        </w:rPr>
        <w:object w:dxaOrig="9655" w:dyaOrig="13654" w14:anchorId="108D8B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38" o:spid="_x0000_i1055" type="#_x0000_t75" alt="A screenshot of a map&#10;&#10;Description automatically generated" style="width:398.75pt;height:518.4pt;visibility:visible;mso-wrap-distance-left:0;mso-wrap-distance-right:0" o:ole="">
            <v:fill rotate="t"/>
            <v:imagedata r:id="rId15" o:title="" croptop="706f" cropbottom="10523f" cropleft="3111f" cropright="3406f" embosscolor="white"/>
          </v:shape>
          <o:OLEObject Type="Embed" ProgID="Excel.Sheet.8" ShapeID="1038" DrawAspect="Content" ObjectID="_1762852073" r:id="rId16"/>
        </w:object>
      </w:r>
    </w:p>
    <w:p w14:paraId="02640BAD" w14:textId="77777777" w:rsidR="00B027A9" w:rsidRDefault="00AE2895" w:rsidP="004D60B8">
      <w:pPr>
        <w:suppressAutoHyphens w:val="0"/>
        <w:spacing w:before="120"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0"/>
        </w:rPr>
      </w:pPr>
      <w:r>
        <w:rPr>
          <w:rFonts w:ascii="Times New Roman" w:hAnsi="Times New Roman" w:cs="Times New Roman"/>
          <w:b/>
          <w:bCs/>
          <w:position w:val="0"/>
          <w:sz w:val="20"/>
          <w:szCs w:val="20"/>
        </w:rPr>
        <w:t>Rajah 8.</w:t>
      </w:r>
      <w:r>
        <w:rPr>
          <w:rFonts w:ascii="Times New Roman" w:hAnsi="Times New Roman" w:cs="Times New Roman"/>
          <w:position w:val="0"/>
          <w:sz w:val="20"/>
          <w:szCs w:val="20"/>
        </w:rPr>
        <w:t xml:space="preserve"> Suhu permukaan tanah Pulau Pinang yang dianalisis pada tahun (a) 1984 hingga 1997; (b) Suhu permukaan tanah 2008 dan (c) Suhu permukaan tanah 2015 </w:t>
      </w:r>
    </w:p>
    <w:p w14:paraId="277B6E96" w14:textId="721F8565" w:rsidR="00B027A9" w:rsidRDefault="00AE2895">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i/>
          <w:position w:val="0"/>
          <w:sz w:val="24"/>
          <w:szCs w:val="24"/>
        </w:rPr>
      </w:pPr>
      <w:r>
        <w:rPr>
          <w:rFonts w:ascii="Times New Roman" w:hAnsi="Times New Roman" w:cs="Times New Roman"/>
          <w:i/>
          <w:position w:val="0"/>
          <w:sz w:val="24"/>
          <w:szCs w:val="24"/>
        </w:rPr>
        <w:lastRenderedPageBreak/>
        <w:t xml:space="preserve">Hubungan antara suhu dengan perkembangan kawasan bandar di bahagian </w:t>
      </w:r>
      <w:r w:rsidR="004D60B8">
        <w:rPr>
          <w:rFonts w:ascii="Times New Roman" w:hAnsi="Times New Roman" w:cs="Times New Roman"/>
          <w:i/>
          <w:position w:val="0"/>
          <w:sz w:val="24"/>
          <w:szCs w:val="24"/>
        </w:rPr>
        <w:t>p</w:t>
      </w:r>
      <w:r>
        <w:rPr>
          <w:rFonts w:ascii="Times New Roman" w:hAnsi="Times New Roman" w:cs="Times New Roman"/>
          <w:i/>
          <w:position w:val="0"/>
          <w:sz w:val="24"/>
          <w:szCs w:val="24"/>
        </w:rPr>
        <w:t>ula</w:t>
      </w:r>
      <w:r w:rsidR="004D60B8">
        <w:rPr>
          <w:rFonts w:ascii="Times New Roman" w:hAnsi="Times New Roman" w:cs="Times New Roman"/>
          <w:i/>
          <w:position w:val="0"/>
          <w:sz w:val="24"/>
          <w:szCs w:val="24"/>
        </w:rPr>
        <w:t>u</w:t>
      </w:r>
      <w:r>
        <w:rPr>
          <w:rFonts w:ascii="Times New Roman" w:hAnsi="Times New Roman" w:cs="Times New Roman"/>
          <w:i/>
          <w:position w:val="0"/>
          <w:sz w:val="24"/>
          <w:szCs w:val="24"/>
        </w:rPr>
        <w:t>, Pulau Pinang</w:t>
      </w:r>
    </w:p>
    <w:p w14:paraId="454E283D" w14:textId="77777777" w:rsidR="00B027A9" w:rsidRDefault="00B027A9">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i/>
          <w:position w:val="0"/>
          <w:sz w:val="24"/>
          <w:szCs w:val="24"/>
        </w:rPr>
      </w:pPr>
    </w:p>
    <w:p w14:paraId="626A8B64" w14:textId="6FD85A77" w:rsidR="00B027A9" w:rsidRDefault="00AE2895">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4"/>
          <w:szCs w:val="24"/>
        </w:rPr>
      </w:pPr>
      <w:r>
        <w:rPr>
          <w:rFonts w:ascii="Times New Roman" w:hAnsi="Times New Roman" w:cs="Times New Roman"/>
          <w:position w:val="0"/>
          <w:sz w:val="24"/>
          <w:szCs w:val="24"/>
        </w:rPr>
        <w:t xml:space="preserve">Kawasan binaan bagi Pulau Pinang menunjukkan perkembangan pesat dari tahun 1966 hingga 2015. Kadar keseluruhan pengembangan bandar bagi Pulau Pinang dari tahun 1966 hingga 2015 adalah kira-kira 134.22%. </w:t>
      </w:r>
      <w:r w:rsidR="00A41C67">
        <w:rPr>
          <w:rFonts w:ascii="Times New Roman" w:hAnsi="Times New Roman" w:cs="Times New Roman"/>
          <w:position w:val="0"/>
          <w:sz w:val="24"/>
          <w:szCs w:val="24"/>
        </w:rPr>
        <w:t>S</w:t>
      </w:r>
      <w:r>
        <w:rPr>
          <w:rFonts w:ascii="Times New Roman" w:hAnsi="Times New Roman" w:cs="Times New Roman"/>
          <w:position w:val="0"/>
          <w:sz w:val="24"/>
          <w:szCs w:val="24"/>
        </w:rPr>
        <w:t>uhu Pulau Pinang juga menunjukkan trend peningkatan yang ketara dari tahun 1980 hingga 2018. Berdasarkan kajian lepas, pembandaran merupakan salah satu faktor peningkatan suhu tempatan. Justeru, analisis korelasi telah dijalankan untuk mengenal pasti hubungan antara suhu dan pengembangan bandar. Jadual 5 menunjukkan hasil analisis korelasi bagi data guna tanah dan iklim (curahan hujan, Tmin, Tmax, dan Tmean).</w:t>
      </w:r>
    </w:p>
    <w:p w14:paraId="2C72765D" w14:textId="430C717C" w:rsidR="00B027A9" w:rsidRDefault="00AE2895">
      <w:pPr>
        <w:suppressAutoHyphens w:val="0"/>
        <w:spacing w:after="0" w:line="240" w:lineRule="auto"/>
        <w:ind w:leftChars="0" w:left="0" w:firstLineChars="0" w:firstLine="720"/>
        <w:jc w:val="both"/>
        <w:textDirection w:val="lrTb"/>
        <w:textAlignment w:val="auto"/>
        <w:outlineLvl w:val="9"/>
        <w:rPr>
          <w:rFonts w:ascii="Times New Roman" w:hAnsi="Times New Roman" w:cs="Times New Roman"/>
          <w:position w:val="0"/>
          <w:sz w:val="24"/>
          <w:szCs w:val="24"/>
        </w:rPr>
      </w:pPr>
      <w:r>
        <w:rPr>
          <w:rFonts w:ascii="Times New Roman" w:hAnsi="Times New Roman" w:cs="Times New Roman"/>
          <w:position w:val="0"/>
          <w:sz w:val="24"/>
          <w:szCs w:val="24"/>
        </w:rPr>
        <w:t xml:space="preserve">Pembandaran yang pesat di Pulau Pinang menyebabkan peningkatan beberapa sektor ekonomi terutamanya sektor perindustrian. Justeru, dalam kajian-kajian lepas ada dinyatakan bahawa Pulau Pinang telah beralih daripada kawasan perumahan kepada kawasan perindustrian. Hal ini kerana, Pulau Pinang merupakan ibu kota kepada industri pembuatan Malaysia, serta hab pembangunan wilayah itu. Pada 2007, Pulau Pinang mempunyai 200 perniagaan multinasional dengan aktiviti berskala besar, menjadikannya pusat pertumbuhan kedua terbesar di Malaysia selepas Lembah Klang. Pembuatan produk elektrik dan elektronik telah menjadi sumber dinamik selama 25 tahun sebelumnya, mengekalkan pertumbuhan KDNK Pulau Pinang melebihi purata nasional, pada lebih 7% antara 1970 dan 2005 </w:t>
      </w:r>
      <w:r>
        <w:rPr>
          <w:rFonts w:ascii="Times New Roman" w:hAnsi="Times New Roman" w:cs="Times New Roman"/>
          <w:position w:val="0"/>
          <w:sz w:val="24"/>
          <w:szCs w:val="24"/>
        </w:rPr>
        <w:fldChar w:fldCharType="begin"/>
      </w:r>
      <w:r>
        <w:rPr>
          <w:rFonts w:ascii="Times New Roman" w:hAnsi="Times New Roman" w:cs="Times New Roman"/>
          <w:position w:val="0"/>
          <w:sz w:val="24"/>
          <w:szCs w:val="24"/>
        </w:rPr>
        <w:instrText>ADDIN CSL_CITATION {"citationItems":[{"id":"ITEM-1","itemData":{"ISBN":"9789264089457","author":[{"dropping-particle":"","family":"OECD","given":"","non-dropping-particle":"","parse-names":false,"suffix":""}],"id":"ITEM-1","issued":{"date-parts":[["2011"]]},"title":"State of Penang, Malaysia","type":"patent"},"uris":["http://www.mendeley.com/documents/?uuid=ff4864cf-1887-47c4-8694-e73fdd1249be"]}],"mendeley":{"formattedCitation":"(OECD, 2011)","plainTextFormattedCitation":"(OECD, 2011)","previouslyFormattedCitation":"(OECD, 2011)"},"properties":{"noteIndex":0},"schema":"https://github.com/citation-style-language/schema/raw/master/csl-citation.json"}</w:instrText>
      </w:r>
      <w:r>
        <w:rPr>
          <w:rFonts w:ascii="Times New Roman" w:hAnsi="Times New Roman" w:cs="Times New Roman"/>
          <w:position w:val="0"/>
          <w:sz w:val="24"/>
          <w:szCs w:val="24"/>
        </w:rPr>
        <w:fldChar w:fldCharType="separate"/>
      </w:r>
      <w:r>
        <w:rPr>
          <w:rFonts w:ascii="Times New Roman" w:hAnsi="Times New Roman" w:cs="Times New Roman"/>
          <w:noProof/>
          <w:position w:val="0"/>
          <w:sz w:val="24"/>
          <w:szCs w:val="24"/>
        </w:rPr>
        <w:t>(OECD, 2011)</w:t>
      </w:r>
      <w:r>
        <w:rPr>
          <w:rFonts w:ascii="Times New Roman" w:hAnsi="Times New Roman" w:cs="Times New Roman"/>
          <w:position w:val="0"/>
          <w:sz w:val="24"/>
          <w:szCs w:val="24"/>
        </w:rPr>
        <w:fldChar w:fldCharType="end"/>
      </w:r>
      <w:r>
        <w:rPr>
          <w:rFonts w:ascii="Times New Roman" w:hAnsi="Times New Roman" w:cs="Times New Roman"/>
          <w:position w:val="0"/>
          <w:sz w:val="24"/>
          <w:szCs w:val="24"/>
        </w:rPr>
        <w:t xml:space="preserve">. </w:t>
      </w:r>
      <w:r w:rsidR="004D60B8">
        <w:rPr>
          <w:rFonts w:ascii="Times New Roman" w:hAnsi="Times New Roman" w:cs="Times New Roman"/>
          <w:position w:val="0"/>
          <w:sz w:val="24"/>
          <w:szCs w:val="24"/>
        </w:rPr>
        <w:t>S</w:t>
      </w:r>
      <w:r>
        <w:rPr>
          <w:rFonts w:ascii="Times New Roman" w:hAnsi="Times New Roman" w:cs="Times New Roman"/>
          <w:position w:val="0"/>
          <w:sz w:val="24"/>
          <w:szCs w:val="24"/>
        </w:rPr>
        <w:t>ejak awal abad kesembilan belas, Pulau Pinang telah menjadi lokasi yang strategik dan pusat komersial antarabangsa yang terkenal (Tan et al., 2010). Sebagai contoh, Bayan Lepas telah menjadi kawasan perindustrian yang paling terkenal di Pulau Pinang. Bayan Lepas mempunyai lapangan terbang antarabangsa, yang membuatkan pelabur antarabangsa mula mewujudkan kemudahan di Pulau Pinang, mengubah bandar itu menjadi hab pengeluaran elektronik di Malaysia. Tambahan pula, ia membolehkan pengangkutan import dan eksport yang cekap dan sesuai untuk perdagangan global (Tan et al., 2010). Pertambahan kawasan perindustrian juga menyebabkan bilangan kenderaan bertambah.</w:t>
      </w:r>
    </w:p>
    <w:p w14:paraId="3E338B01" w14:textId="77777777" w:rsidR="00B027A9" w:rsidRDefault="00AE2895">
      <w:pPr>
        <w:suppressAutoHyphens w:val="0"/>
        <w:spacing w:after="0" w:line="240" w:lineRule="auto"/>
        <w:ind w:leftChars="0" w:left="0" w:firstLineChars="0" w:firstLine="720"/>
        <w:jc w:val="both"/>
        <w:textDirection w:val="lrTb"/>
        <w:textAlignment w:val="auto"/>
        <w:outlineLvl w:val="9"/>
        <w:rPr>
          <w:rFonts w:ascii="Times New Roman" w:hAnsi="Times New Roman" w:cs="Times New Roman"/>
          <w:position w:val="0"/>
          <w:sz w:val="24"/>
          <w:szCs w:val="24"/>
        </w:rPr>
      </w:pPr>
      <w:r>
        <w:rPr>
          <w:rFonts w:ascii="Times New Roman" w:hAnsi="Times New Roman" w:cs="Times New Roman"/>
          <w:position w:val="0"/>
          <w:sz w:val="24"/>
          <w:szCs w:val="24"/>
        </w:rPr>
        <w:t xml:space="preserve">Berdasarkan laporan Jabatan Pengangkutan Jalan Malaysia, jumlah kenderaan berdaftar di Pulau Pinang meningkat 18.42 peratus daripada 1,897,752 pada 2008 kepada 2,326,216 pada 2012 </w:t>
      </w:r>
      <w:r>
        <w:rPr>
          <w:rFonts w:ascii="Times New Roman" w:hAnsi="Times New Roman" w:cs="Times New Roman"/>
          <w:position w:val="0"/>
          <w:sz w:val="24"/>
          <w:szCs w:val="24"/>
        </w:rPr>
        <w:fldChar w:fldCharType="begin"/>
      </w:r>
      <w:r>
        <w:rPr>
          <w:rFonts w:ascii="Times New Roman" w:hAnsi="Times New Roman" w:cs="Times New Roman"/>
          <w:position w:val="0"/>
          <w:sz w:val="24"/>
          <w:szCs w:val="24"/>
        </w:rPr>
        <w:instrText>ADDIN CSL_CITATION {"citationItems":[{"id":"ITEM-1","itemData":{"DOI":"10.30880/ijie.2019.11.08.022","ISSN":"2229838X","abstract":"Penang is one of the rapidly developed states in Malaysia with large numbers of population industrial activities, motor vehicles density and development projects. The concentrations of air pollution parameters in Penang were investigated and analyzed together with meteorological parameters in order to determine their characteristics and contributions to air pollution in Penang using factor analysis (FA). The air pollution parameters include ground level ozone (O3), carbon monoxide (CO), nitrogen dioxide (NO2), sulphur dioxide (SO2) and particulate matters of less than 10 microns in size (PM10) while the meteorological parameters include relative humidity, wind speed and temperature. The data was obtained from the Department of Environment (DOE) for the Universiti Sains Malaysia (USM) monitoring station for the period of 10 years from 2004 to 2013. In this study, concentrations of PM10 was found to be the highest among the air pollutants and the concentrations was at its highest between the months of June to September for almost all years of observation due to the southwest monsoon. As for the source contributions of air pollutions, O3 and meteorological parameters were found to be the largest contributor to air pollutions in Penang, followed by the traffic emissions and industrial activities.","author":[{"dropping-particle":"","family":"Jamil","given":"Mohd Shahiran","non-dropping-particle":"","parse-names":false,"suffix":""},{"dropping-particle":"","family":"Ul-Saufie","given":"Ahmad Zia","non-dropping-particle":"","parse-names":false,"suffix":""},{"dropping-particle":"","family":"Abu Bakar","given":"Amalina Amirah","non-dropping-particle":"","parse-names":false,"suffix":""},{"dropping-particle":"","family":"Ali","given":"Khairul Ammar Muhammad","non-dropping-particle":"","parse-names":false,"suffix":""},{"dropping-particle":"","family":"Ahmat","given":"Hasfazilah","non-dropping-particle":"","parse-names":false,"suffix":""}],"container-title":"International Journal of Integrated Engineering","id":"ITEM-1","issue":"8","issued":{"date-parts":[["2019"]]},"page":"221-228","title":"Identification of source contributions to air pollution in penang using factor analysis","type":"article-journal","volume":"11"},"uris":["http://www.mendeley.com/documents/?uuid=201af432-1836-4d40-85ea-6bcf7a85e834"]}],"mendeley":{"formattedCitation":"(Jamil et al., 2019)","plainTextFormattedCitation":"(Jamil et al., 2019)","previouslyFormattedCitation":"(Jamil et al., 2019)"},"properties":{"noteIndex":0},"schema":"https://github.com/citation-style-language/schema/raw/master/csl-citation.json"}</w:instrText>
      </w:r>
      <w:r>
        <w:rPr>
          <w:rFonts w:ascii="Times New Roman" w:hAnsi="Times New Roman" w:cs="Times New Roman"/>
          <w:position w:val="0"/>
          <w:sz w:val="24"/>
          <w:szCs w:val="24"/>
        </w:rPr>
        <w:fldChar w:fldCharType="separate"/>
      </w:r>
      <w:r>
        <w:rPr>
          <w:rFonts w:ascii="Times New Roman" w:hAnsi="Times New Roman" w:cs="Times New Roman"/>
          <w:noProof/>
          <w:position w:val="0"/>
          <w:sz w:val="24"/>
          <w:szCs w:val="24"/>
        </w:rPr>
        <w:t>(Jamil et al., 2019)</w:t>
      </w:r>
      <w:r>
        <w:rPr>
          <w:rFonts w:ascii="Times New Roman" w:hAnsi="Times New Roman" w:cs="Times New Roman"/>
          <w:position w:val="0"/>
          <w:sz w:val="24"/>
          <w:szCs w:val="24"/>
        </w:rPr>
        <w:fldChar w:fldCharType="end"/>
      </w:r>
      <w:r>
        <w:rPr>
          <w:rFonts w:ascii="Times New Roman" w:hAnsi="Times New Roman" w:cs="Times New Roman"/>
          <w:position w:val="0"/>
          <w:sz w:val="24"/>
          <w:szCs w:val="24"/>
        </w:rPr>
        <w:t>. Pertambahan di kawasan perindustrian terutamanya kereta dan bilangan kenderaan meningkatkan kadar bahan pencemar udara seperti karbon monoksida (CO), nitrogen oksida (NO</w:t>
      </w:r>
      <w:r w:rsidRPr="004D60B8">
        <w:rPr>
          <w:rFonts w:ascii="Times New Roman" w:hAnsi="Times New Roman" w:cs="Times New Roman"/>
          <w:position w:val="0"/>
          <w:sz w:val="24"/>
          <w:szCs w:val="24"/>
          <w:vertAlign w:val="subscript"/>
        </w:rPr>
        <w:t>2</w:t>
      </w:r>
      <w:r>
        <w:rPr>
          <w:rFonts w:ascii="Times New Roman" w:hAnsi="Times New Roman" w:cs="Times New Roman"/>
          <w:position w:val="0"/>
          <w:sz w:val="24"/>
          <w:szCs w:val="24"/>
        </w:rPr>
        <w:t>), dan sulfur dioksida (SO</w:t>
      </w:r>
      <w:r w:rsidRPr="004D60B8">
        <w:rPr>
          <w:rFonts w:ascii="Times New Roman" w:hAnsi="Times New Roman" w:cs="Times New Roman"/>
          <w:position w:val="0"/>
          <w:sz w:val="24"/>
          <w:szCs w:val="24"/>
          <w:vertAlign w:val="subscript"/>
        </w:rPr>
        <w:t>2</w:t>
      </w:r>
      <w:r>
        <w:rPr>
          <w:rFonts w:ascii="Times New Roman" w:hAnsi="Times New Roman" w:cs="Times New Roman"/>
          <w:position w:val="0"/>
          <w:sz w:val="24"/>
          <w:szCs w:val="24"/>
        </w:rPr>
        <w:t>). Oleh itu, hal ini menjejaskan suhu Pulau Pinang. Mengikut analisis korelasi antara kawasan bandar dan indeks suhu (Tmin dan Tmean) menunjukkan penentuan pekali kuat yang signifikan dengan nilai r, 0.91 dan 0.86 dengan tahap keyakinan 95%. Ini bermakna, kawasan pembandaran telah mempengaruhi suhu tempatan Pulau Pinang dengan kuat. Jadi, suhu minimum dan min meningkat dengan ketara pada kadar 1.2 ℃/dekad dan 0.3 ℃/dekad, masing-masing.</w:t>
      </w:r>
    </w:p>
    <w:p w14:paraId="5A686833" w14:textId="72E777CF" w:rsidR="00B027A9" w:rsidRDefault="00AE2895">
      <w:pPr>
        <w:suppressAutoHyphens w:val="0"/>
        <w:spacing w:after="0" w:line="240" w:lineRule="auto"/>
        <w:ind w:leftChars="0" w:left="0" w:firstLineChars="0" w:firstLine="720"/>
        <w:jc w:val="both"/>
        <w:textDirection w:val="lrTb"/>
        <w:textAlignment w:val="auto"/>
        <w:outlineLvl w:val="9"/>
        <w:rPr>
          <w:rFonts w:ascii="Times New Roman" w:hAnsi="Times New Roman" w:cs="Times New Roman"/>
          <w:position w:val="0"/>
          <w:sz w:val="24"/>
          <w:szCs w:val="24"/>
        </w:rPr>
      </w:pPr>
      <w:r>
        <w:rPr>
          <w:rFonts w:ascii="Times New Roman" w:hAnsi="Times New Roman" w:cs="Times New Roman"/>
          <w:position w:val="0"/>
          <w:sz w:val="24"/>
          <w:szCs w:val="24"/>
        </w:rPr>
        <w:t xml:space="preserve">Hasil analisis ini secara umumnya konsisten dengan kajian yang dijalankan oleh Tan et al. (2010) di mana kawasan binaan di Pulau Pinang menunjukkan korelasi yang signifikan pada tahun 1999 (0.661) dan pada tahun 2007 (0.724) dengan suhu permukaan tanah. </w:t>
      </w:r>
      <w:r w:rsidR="004D60B8">
        <w:rPr>
          <w:rFonts w:ascii="Times New Roman" w:hAnsi="Times New Roman" w:cs="Times New Roman"/>
          <w:position w:val="0"/>
          <w:sz w:val="24"/>
          <w:szCs w:val="24"/>
        </w:rPr>
        <w:t>Berdasarkan</w:t>
      </w:r>
      <w:r>
        <w:rPr>
          <w:rFonts w:ascii="Times New Roman" w:hAnsi="Times New Roman" w:cs="Times New Roman"/>
          <w:position w:val="0"/>
          <w:sz w:val="24"/>
          <w:szCs w:val="24"/>
        </w:rPr>
        <w:t xml:space="preserve"> Jadual 5 dan 6, hanya kawasan binaan mempunyai korelasi kuat yang signifikan dengan indeks suhu, Tmin dan Tmean berbanding kelas guna tanah yang lain. Korelasi negatif dicatatkan antara data iklim dan kawasan pertanian dan tanah hutan. Tan et al (2010), juga menyebut dalam kajian mereka bahawa kawasan hutan di Pulau Pinang mempunyai pekali korelasi negatif yang paling besar, </w:t>
      </w:r>
      <w:r w:rsidR="004D60B8">
        <w:rPr>
          <w:rFonts w:ascii="Times New Roman" w:hAnsi="Times New Roman" w:cs="Times New Roman"/>
          <w:position w:val="0"/>
          <w:sz w:val="24"/>
          <w:szCs w:val="24"/>
        </w:rPr>
        <w:t xml:space="preserve">          -</w:t>
      </w:r>
      <w:r>
        <w:rPr>
          <w:rFonts w:ascii="Times New Roman" w:hAnsi="Times New Roman" w:cs="Times New Roman"/>
          <w:position w:val="0"/>
          <w:sz w:val="24"/>
          <w:szCs w:val="24"/>
        </w:rPr>
        <w:t xml:space="preserve">0.81 pada tahun 1999 dan -0.84 pada tahun 2007. Badan air mempunyai hubungan yang positif dengan data iklim dan mempunyai hubungan yang signifikan dengan Tmin.  Tambahan pula, Rajah 8 juga menunjukkan bahawa kebanyakkan kawasan bandar mencatatkan suhu maksimum. Jadi, boleh dikatakan pembandaran menjadi antara faktor peningkatan suhu di Pulau Pinang. Hal ini </w:t>
      </w:r>
      <w:r>
        <w:rPr>
          <w:rFonts w:ascii="Times New Roman" w:hAnsi="Times New Roman" w:cs="Times New Roman"/>
          <w:position w:val="0"/>
          <w:sz w:val="24"/>
          <w:szCs w:val="24"/>
        </w:rPr>
        <w:lastRenderedPageBreak/>
        <w:t xml:space="preserve">dikatakan demikian kerana, faktor yang sama yang turut menyebabkan kenaikan suhu di bandar Beijing, China. </w:t>
      </w:r>
      <w:r>
        <w:rPr>
          <w:rFonts w:ascii="Times New Roman" w:hAnsi="Times New Roman" w:cs="Times New Roman"/>
          <w:position w:val="0"/>
          <w:sz w:val="24"/>
          <w:szCs w:val="24"/>
        </w:rPr>
        <w:fldChar w:fldCharType="begin"/>
      </w:r>
      <w:r>
        <w:rPr>
          <w:rFonts w:ascii="Times New Roman" w:hAnsi="Times New Roman" w:cs="Times New Roman"/>
          <w:position w:val="0"/>
          <w:sz w:val="24"/>
          <w:szCs w:val="24"/>
        </w:rPr>
        <w:instrText>ADDIN CSL_CITATION {"citationItems":[{"id":"ITEM-1","itemData":{"DOI":"10.3389/fenvs.2022.1058009","ISSN":"2296665X","abstract":"The severity of haze pollution has increased along with the growth of the economy and urbanization. Studying the relationship between urbanization and environmental pollution is extremely important from a practical standpoint in the context of encouraging new urbanization development in China. In this paper, we explore the impact mechanism of urbanization on air pollution, using a spatial Durbin model (SDM) build on panel data of 277 cities from 2010 to 2019. The findings demonstrate that urbanization significantly inhibits haze pollution across the country, with energy consumption structure and industrial structure upgrading acting as mediating factors. Moreover, economic growth, population aggregation, and openness to foreign investment aggravate pollution, whereas transportation facilities, urban vegetation areas, and wind speed reduce air pollution. Furthermore, foreign direct investment increases pollution nationwide while alleviating haze pollution in the eastern region. According to analysis of regional heterogeneity, there is a nonlinear relationship between urbanization and pollution in the central and western cities, while development and pollution in the eastern cities show a tendency to decouple. On this basis, this paper puts forward some policy recommendations to attenuate the vicious linkage between urbanization and pollution in order to promote high-quality urbanization development.","author":[{"dropping-particle":"","family":"Zhang","given":"Li","non-dropping-particle":"","parse-names":false,"suffix":""},{"dropping-particle":"","family":"You","given":"Shibing","non-dropping-particle":"","parse-names":false,"suffix":""},{"dropping-particle":"","family":"Zhang","given":"Miao","non-dropping-particle":"","parse-names":false,"suffix":""},{"dropping-particle":"","family":"Zhang","given":"Shiwen","non-dropping-particle":"","parse-names":false,"suffix":""},{"dropping-particle":"","family":"Yi","given":"Shuaixiang","non-dropping-particle":"","parse-names":false,"suffix":""},{"dropping-particle":"","family":"Zhou","given":"Baokang","non-dropping-particle":"","parse-names":false,"suffix":""}],"container-title":"Frontiers in Environmental Science","id":"ITEM-1","issue":"November","issued":{"date-parts":[["2022"]]},"title":"The effects of urbanization on air pollution based on a spatial perspective: Evidence from China","type":"article-journal","volume":"10"},"uris":["http://www.mendeley.com/documents/?uuid=dd755f81-f893-4f4d-8aad-d4ed22c2412c"]}],"mendeley":{"formattedCitation":"(Zhang et al., 2022)","manualFormatting":"Zhang et al (2022)","plainTextFormattedCitation":"(Zhang et al., 2022)","previouslyFormattedCitation":"(Zhang et al., 2022)"},"properties":{"noteIndex":0},"schema":"https://github.com/citation-style-language/schema/raw/master/csl-citation.json"}</w:instrText>
      </w:r>
      <w:r>
        <w:rPr>
          <w:rFonts w:ascii="Times New Roman" w:hAnsi="Times New Roman" w:cs="Times New Roman"/>
          <w:position w:val="0"/>
          <w:sz w:val="24"/>
          <w:szCs w:val="24"/>
        </w:rPr>
        <w:fldChar w:fldCharType="separate"/>
      </w:r>
      <w:r>
        <w:rPr>
          <w:rFonts w:ascii="Times New Roman" w:hAnsi="Times New Roman" w:cs="Times New Roman"/>
          <w:noProof/>
          <w:position w:val="0"/>
          <w:sz w:val="24"/>
          <w:szCs w:val="24"/>
        </w:rPr>
        <w:t>Zhang et al. (2022)</w:t>
      </w:r>
      <w:r>
        <w:rPr>
          <w:rFonts w:ascii="Times New Roman" w:hAnsi="Times New Roman" w:cs="Times New Roman"/>
          <w:position w:val="0"/>
          <w:sz w:val="24"/>
          <w:szCs w:val="24"/>
        </w:rPr>
        <w:fldChar w:fldCharType="end"/>
      </w:r>
      <w:r>
        <w:rPr>
          <w:rFonts w:ascii="Times New Roman" w:hAnsi="Times New Roman" w:cs="Times New Roman"/>
          <w:position w:val="0"/>
          <w:sz w:val="24"/>
          <w:szCs w:val="24"/>
        </w:rPr>
        <w:t xml:space="preserve">, melaporkan bahawa pembandaran telah mengakibatkan peningkatan dalam pencemaran udara, kesesakan lalu lintas, penggunaan tenaga industri, pemanasan domestik, dan pengurangan dalam tanah hijau serta permukaan air telah ditunjukkan bahawa pembangunan bandar mengubah keadaan terma bandar dalam pelbagai cara, menjejaskan suhu tempatan. Kebanyakan penyelidikan mendedahkan bahawa suhu Beijing telah meningkat dengan ketara sepanjang setengah abad yang lalu (Wang et al., 2014).  </w:t>
      </w:r>
      <w:r>
        <w:rPr>
          <w:rFonts w:ascii="Times New Roman" w:hAnsi="Times New Roman" w:cs="Times New Roman"/>
          <w:position w:val="0"/>
          <w:sz w:val="24"/>
          <w:szCs w:val="24"/>
        </w:rPr>
        <w:fldChar w:fldCharType="begin"/>
      </w:r>
      <w:r>
        <w:rPr>
          <w:rFonts w:ascii="Times New Roman" w:hAnsi="Times New Roman" w:cs="Times New Roman"/>
          <w:position w:val="0"/>
          <w:sz w:val="24"/>
          <w:szCs w:val="24"/>
        </w:rPr>
        <w:instrText>ADDIN CSL_CITATION {"citationItems":[{"id":"ITEM-1","itemData":{"author":[{"dropping-particle":"","family":"Kim","given":"Minjun","non-dropping-particle":"","parse-names":false,"suffix":""},{"dropping-particle":"","family":"Kim","given":"Dongbeom","non-dropping-particle":"","parse-names":false,"suffix":""},{"dropping-particle":"","family":"Kim","given":"Geunhan","non-dropping-particle":"","parse-names":false,"suffix":""}],"container-title":"Environmental Research and Public Health","id":"ITEM-1","issue":"15926","issued":{"date-parts":[["2022"]]},"page":"1-16","title":"Examining the Relationship between Land Use / Land Cover ( LULC ) and Land Surface Temperature ( LST ) Using Explainable Artificial Intelligence ( XAI ) Models : A Case Study of Seoul , South Korea","type":"article-journal","volume":"19"},"uris":["http://www.mendeley.com/documents/?uuid=d656140a-9950-4999-9f0d-691575dc2f3e"]}],"mendeley":{"formattedCitation":"(Kim et al., 2022)","manualFormatting":"Kim et al (2022)","plainTextFormattedCitation":"(Kim et al., 2022)","previouslyFormattedCitation":"(Kim et al., 2022)"},"properties":{"noteIndex":0},"schema":"https://github.com/citation-style-language/schema/raw/master/csl-citation.json"}</w:instrText>
      </w:r>
      <w:r>
        <w:rPr>
          <w:rFonts w:ascii="Times New Roman" w:hAnsi="Times New Roman" w:cs="Times New Roman"/>
          <w:position w:val="0"/>
          <w:sz w:val="24"/>
          <w:szCs w:val="24"/>
        </w:rPr>
        <w:fldChar w:fldCharType="separate"/>
      </w:r>
      <w:r>
        <w:rPr>
          <w:rFonts w:ascii="Times New Roman" w:hAnsi="Times New Roman" w:cs="Times New Roman"/>
          <w:noProof/>
          <w:position w:val="0"/>
          <w:sz w:val="24"/>
          <w:szCs w:val="24"/>
        </w:rPr>
        <w:t>Kim et al. (2022)</w:t>
      </w:r>
      <w:r>
        <w:rPr>
          <w:rFonts w:ascii="Times New Roman" w:hAnsi="Times New Roman" w:cs="Times New Roman"/>
          <w:position w:val="0"/>
          <w:sz w:val="24"/>
          <w:szCs w:val="24"/>
        </w:rPr>
        <w:fldChar w:fldCharType="end"/>
      </w:r>
      <w:r>
        <w:rPr>
          <w:rFonts w:ascii="Times New Roman" w:hAnsi="Times New Roman" w:cs="Times New Roman"/>
          <w:position w:val="0"/>
          <w:sz w:val="24"/>
          <w:szCs w:val="24"/>
        </w:rPr>
        <w:t xml:space="preserve"> juga menyatakan dalam kajian mereka bahawa kawasan bandar mempunyai pengaruh yang kuat dalam meningkatkan suhu permukaan dan penukaran kawasan bandar kepada kawasan hijau mampu mengurangkan suhu.</w:t>
      </w:r>
    </w:p>
    <w:p w14:paraId="72724743" w14:textId="6A81F158" w:rsidR="00B027A9" w:rsidRDefault="00AE2895">
      <w:pPr>
        <w:suppressAutoHyphens w:val="0"/>
        <w:spacing w:after="0" w:line="240" w:lineRule="auto"/>
        <w:ind w:leftChars="0" w:left="0" w:firstLineChars="0" w:firstLine="720"/>
        <w:jc w:val="both"/>
        <w:textDirection w:val="lrTb"/>
        <w:textAlignment w:val="auto"/>
        <w:outlineLvl w:val="9"/>
        <w:rPr>
          <w:rFonts w:ascii="Times New Roman" w:hAnsi="Times New Roman" w:cs="Times New Roman"/>
          <w:position w:val="0"/>
          <w:sz w:val="24"/>
          <w:szCs w:val="24"/>
        </w:rPr>
      </w:pPr>
      <w:r>
        <w:rPr>
          <w:rFonts w:ascii="Times New Roman" w:hAnsi="Times New Roman" w:cs="Times New Roman"/>
          <w:position w:val="0"/>
          <w:sz w:val="24"/>
          <w:szCs w:val="24"/>
        </w:rPr>
        <w:t>Oleh itu, boleh membuat kesimpulan bahawa terdapat hubungan yang kuat dan signifikan antara pengembangan bandar dan trend suhu jangka panjang namun terdapat faktor lain juga yang mengakibatkan peningkatan suhu di bahagian pulau.  Hal ini dikatakan demikian kerana, sekiranya dilihat secara teliti pada dapatan kajian, didapati bahawa perkembangan kawasan binaan menjadi perlahan sejak tahun 2008 hingga ke 2015, namun suhu Tmin, Tmax dan Tmean masih menunjukkan trend meningkat. Imej satelit pada Rajah 8, juga menunjukkan bahawa suhu yang dicatatkan pada tahun 2008 adalah rendah berbanding 2015. Oleh itu, boleh dikatakan bahawa walaupun pengembangan kawasan bandar mengakibatkan peningkatan suhu, namun terdapat faktor lain juga yang menyumbang kepada isu ini. Oleh itu, dapat dikatakan bahawa, kenaikan suhu di bahagian pulau, Pulau Pinang bukannya hanya disebabkan oleh perubahan guna tanah, malah terdapat juga sebab-sebab lain seperti faktor perubahan iklim dunia. Menurut laporan ‘</w:t>
      </w:r>
      <w:r>
        <w:rPr>
          <w:rFonts w:ascii="Times New Roman" w:hAnsi="Times New Roman" w:cs="Times New Roman"/>
          <w:i/>
          <w:iCs/>
          <w:position w:val="0"/>
          <w:sz w:val="24"/>
          <w:szCs w:val="24"/>
        </w:rPr>
        <w:t>Penang Green Council</w:t>
      </w:r>
      <w:r>
        <w:rPr>
          <w:rFonts w:ascii="Times New Roman" w:hAnsi="Times New Roman" w:cs="Times New Roman"/>
          <w:position w:val="0"/>
          <w:sz w:val="24"/>
          <w:szCs w:val="24"/>
        </w:rPr>
        <w:t>’, Panel Antara Kerajaan tentang Perubahan Iklim (IPCC) mengatakan bahawa dunia akan mengalami peningkatan suhu sebanyak 2-3 ℃ menjelang akhir abad akibat daripada perubahan iklim yang kritikal. Oleh itu, diramalkan bahawa Pulau Pinang akan mengalami gelombang haba di</w:t>
      </w:r>
      <w:r w:rsidR="004D60B8">
        <w:rPr>
          <w:rFonts w:ascii="Times New Roman" w:hAnsi="Times New Roman" w:cs="Times New Roman"/>
          <w:position w:val="0"/>
          <w:sz w:val="24"/>
          <w:szCs w:val="24"/>
        </w:rPr>
        <w:t xml:space="preserve"> </w:t>
      </w:r>
      <w:r>
        <w:rPr>
          <w:rFonts w:ascii="Times New Roman" w:hAnsi="Times New Roman" w:cs="Times New Roman"/>
          <w:position w:val="0"/>
          <w:sz w:val="24"/>
          <w:szCs w:val="24"/>
        </w:rPr>
        <w:t xml:space="preserve">mana lebih daripada 240 hari dalam setahun, suhunya akan mencecah 35 ℃ menjelang tahun 2050  </w:t>
      </w:r>
      <w:r>
        <w:rPr>
          <w:rFonts w:ascii="Times New Roman" w:hAnsi="Times New Roman" w:cs="Times New Roman"/>
          <w:position w:val="0"/>
          <w:sz w:val="24"/>
          <w:szCs w:val="24"/>
        </w:rPr>
        <w:fldChar w:fldCharType="begin"/>
      </w:r>
      <w:r>
        <w:rPr>
          <w:rFonts w:ascii="Times New Roman" w:hAnsi="Times New Roman" w:cs="Times New Roman"/>
          <w:position w:val="0"/>
          <w:sz w:val="24"/>
          <w:szCs w:val="24"/>
        </w:rPr>
        <w:instrText>ADDIN CSL_CITATION {"citationItems":[{"id":"ITEM-1","itemData":{"abstract":"Over the last two decades, scanning transmission electron microscopy (STEM) has become a very popular and widespread technique, with the number of publications and presentations making use of STEM techniques increasing by about an order of magnitude. Although the strengths of the technique for providing high-resolution structural and analytical information have been known and understood for much longer than that, the key to its more recent popularity has undoubtedly been the availability of STEM modes on instruments available from the major TEM manufacturers. Gone are the days when researchers want- ing the unique capabilities of high-resolution STEM had to undertake the task of keeping a VG dedicated STEM instrument operating. Given the current interest in the technique, we felt that the time was right to review the current state of knowledge about STEM and STEM-related techniques and their application to a range of materials problems. The purpose of this volume is both to educate those who wish to deepen their understanding of STEM and to inform those who are seeking a review of the latest applications and methods associated with STEM. We are delighted that so many of our colleagues accepted our invitation to contribute to this volume, and we are indebted to them for their efforts in creating such excellent contributions. The follow- ing chapters illustrate how close STEM has brought us to the ultimate materials characterisation challenge of analysing materials atom by atom. We hope that the following chapters demonstrate the spectacular results that can be achieved when performing the relatively simple experiment of focusing a beam of electrons down to an atomic scale and measuring the scattering that results. Stephen","author":[{"dropping-particle":"","family":"Othman","given":"Melawani","non-dropping-particle":"","parse-names":false,"suffix":""},{"dropping-particle":"","family":"Ahrasan","given":"Naventhan","non-dropping-particle":"","parse-names":false,"suffix":""},{"dropping-particle":"","family":"Thung","given":"Tan","non-dropping-particle":"","parse-names":false,"suffix":""}],"container-title":"Penang Green Council","id":"ITEM-1","issued":{"date-parts":[["2021"]]},"number-of-pages":"2","title":"Report on Climate Change Impacts in Penang","type":"report"},"uris":["http://www.mendeley.com/documents/?uuid=3e87326c-0e95-4d79-8e48-156ed08b14b6"]}],"mendeley":{"formattedCitation":"(Othman et al., 2021)","plainTextFormattedCitation":"(Othman et al., 2021)"},"properties":{"noteIndex":0},"schema":"https://github.com/citation-style-language/schema/raw/master/csl-citation.json"}</w:instrText>
      </w:r>
      <w:r>
        <w:rPr>
          <w:rFonts w:ascii="Times New Roman" w:hAnsi="Times New Roman" w:cs="Times New Roman"/>
          <w:position w:val="0"/>
          <w:sz w:val="24"/>
          <w:szCs w:val="24"/>
        </w:rPr>
        <w:fldChar w:fldCharType="separate"/>
      </w:r>
      <w:r>
        <w:rPr>
          <w:rFonts w:ascii="Times New Roman" w:hAnsi="Times New Roman" w:cs="Times New Roman"/>
          <w:noProof/>
          <w:position w:val="0"/>
          <w:sz w:val="24"/>
          <w:szCs w:val="24"/>
        </w:rPr>
        <w:t>(Othman et al., 2021)</w:t>
      </w:r>
      <w:r>
        <w:rPr>
          <w:rFonts w:ascii="Times New Roman" w:hAnsi="Times New Roman" w:cs="Times New Roman"/>
          <w:position w:val="0"/>
          <w:sz w:val="24"/>
          <w:szCs w:val="24"/>
        </w:rPr>
        <w:fldChar w:fldCharType="end"/>
      </w:r>
      <w:r>
        <w:rPr>
          <w:rFonts w:ascii="Times New Roman" w:hAnsi="Times New Roman" w:cs="Times New Roman"/>
          <w:position w:val="0"/>
          <w:sz w:val="24"/>
          <w:szCs w:val="24"/>
        </w:rPr>
        <w:t>.</w:t>
      </w:r>
    </w:p>
    <w:p w14:paraId="2524D445" w14:textId="77777777" w:rsidR="00B027A9" w:rsidRDefault="00B027A9">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4"/>
          <w:szCs w:val="24"/>
        </w:rPr>
      </w:pPr>
    </w:p>
    <w:p w14:paraId="10F02985" w14:textId="77777777" w:rsidR="00B027A9" w:rsidRDefault="00AE2895">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4"/>
        </w:rPr>
      </w:pPr>
      <w:r>
        <w:rPr>
          <w:rFonts w:ascii="Times New Roman" w:hAnsi="Times New Roman" w:cs="Times New Roman"/>
          <w:b/>
          <w:position w:val="0"/>
          <w:sz w:val="20"/>
          <w:szCs w:val="24"/>
        </w:rPr>
        <w:t xml:space="preserve">Jadual 5. </w:t>
      </w:r>
      <w:r>
        <w:rPr>
          <w:rFonts w:ascii="Times New Roman" w:hAnsi="Times New Roman" w:cs="Times New Roman"/>
          <w:position w:val="0"/>
          <w:sz w:val="20"/>
          <w:szCs w:val="24"/>
        </w:rPr>
        <w:t>Analisis korelasi bagi guna tanah dan data hujan</w:t>
      </w:r>
    </w:p>
    <w:p w14:paraId="68758D9C" w14:textId="77777777" w:rsidR="00B027A9" w:rsidRDefault="00B027A9">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4"/>
        </w:rPr>
      </w:pPr>
    </w:p>
    <w:tbl>
      <w:tblPr>
        <w:tblStyle w:val="TableGrid1"/>
        <w:tblW w:w="56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6"/>
        <w:gridCol w:w="1061"/>
        <w:gridCol w:w="844"/>
        <w:gridCol w:w="850"/>
        <w:gridCol w:w="1134"/>
      </w:tblGrid>
      <w:tr w:rsidR="00B027A9" w14:paraId="50C19944" w14:textId="77777777">
        <w:trPr>
          <w:trHeight w:val="129"/>
          <w:jc w:val="center"/>
        </w:trPr>
        <w:tc>
          <w:tcPr>
            <w:tcW w:w="1776" w:type="dxa"/>
            <w:tcBorders>
              <w:top w:val="single" w:sz="4" w:space="0" w:color="auto"/>
              <w:bottom w:val="single" w:sz="4" w:space="0" w:color="auto"/>
            </w:tcBorders>
            <w:shd w:val="clear" w:color="auto" w:fill="8DB3E2"/>
            <w:noWrap/>
            <w:hideMark/>
          </w:tcPr>
          <w:p w14:paraId="00C67FA7" w14:textId="77777777" w:rsidR="00B027A9" w:rsidRDefault="00AE2895">
            <w:pPr>
              <w:suppressAutoHyphens w:val="0"/>
              <w:ind w:leftChars="0" w:left="0" w:firstLineChars="0" w:firstLine="0"/>
              <w:jc w:val="center"/>
              <w:textDirection w:val="lrTb"/>
              <w:textAlignment w:val="auto"/>
              <w:outlineLvl w:val="9"/>
              <w:rPr>
                <w:rFonts w:ascii="Times New Roman" w:hAnsi="Times New Roman"/>
                <w:b/>
                <w:color w:val="000000"/>
                <w:position w:val="0"/>
                <w:sz w:val="20"/>
                <w:szCs w:val="20"/>
              </w:rPr>
            </w:pPr>
            <w:r>
              <w:rPr>
                <w:rFonts w:ascii="Times New Roman" w:eastAsia="Times New Roman" w:hAnsi="Times New Roman"/>
                <w:b/>
                <w:color w:val="000000"/>
                <w:position w:val="0"/>
                <w:sz w:val="20"/>
                <w:szCs w:val="20"/>
              </w:rPr>
              <w:t>Kelas guna tanah</w:t>
            </w:r>
          </w:p>
        </w:tc>
        <w:tc>
          <w:tcPr>
            <w:tcW w:w="1061" w:type="dxa"/>
            <w:tcBorders>
              <w:top w:val="single" w:sz="4" w:space="0" w:color="auto"/>
              <w:bottom w:val="single" w:sz="4" w:space="0" w:color="auto"/>
            </w:tcBorders>
            <w:shd w:val="clear" w:color="auto" w:fill="8DB3E2"/>
            <w:noWrap/>
            <w:hideMark/>
          </w:tcPr>
          <w:p w14:paraId="5A1BE54F" w14:textId="77777777" w:rsidR="00B027A9" w:rsidRDefault="00AE2895">
            <w:pPr>
              <w:suppressAutoHyphens w:val="0"/>
              <w:ind w:leftChars="0" w:left="0" w:firstLineChars="0" w:firstLine="0"/>
              <w:jc w:val="center"/>
              <w:textDirection w:val="lrTb"/>
              <w:textAlignment w:val="auto"/>
              <w:outlineLvl w:val="9"/>
              <w:rPr>
                <w:rFonts w:ascii="Times New Roman" w:hAnsi="Times New Roman"/>
                <w:b/>
                <w:color w:val="000000"/>
                <w:position w:val="0"/>
                <w:sz w:val="20"/>
                <w:szCs w:val="20"/>
              </w:rPr>
            </w:pPr>
            <w:r>
              <w:rPr>
                <w:rFonts w:ascii="Times New Roman" w:eastAsia="Times New Roman" w:hAnsi="Times New Roman"/>
                <w:b/>
                <w:color w:val="000000"/>
                <w:position w:val="0"/>
                <w:sz w:val="20"/>
                <w:szCs w:val="20"/>
              </w:rPr>
              <w:t>Pertanian</w:t>
            </w:r>
          </w:p>
        </w:tc>
        <w:tc>
          <w:tcPr>
            <w:tcW w:w="844" w:type="dxa"/>
            <w:tcBorders>
              <w:top w:val="single" w:sz="4" w:space="0" w:color="auto"/>
              <w:bottom w:val="single" w:sz="4" w:space="0" w:color="auto"/>
            </w:tcBorders>
            <w:shd w:val="clear" w:color="auto" w:fill="8DB3E2"/>
            <w:noWrap/>
            <w:hideMark/>
          </w:tcPr>
          <w:p w14:paraId="7B38F804" w14:textId="77777777" w:rsidR="00B027A9" w:rsidRDefault="00AE2895">
            <w:pPr>
              <w:suppressAutoHyphens w:val="0"/>
              <w:ind w:leftChars="0" w:left="0" w:firstLineChars="0" w:firstLine="0"/>
              <w:jc w:val="center"/>
              <w:textDirection w:val="lrTb"/>
              <w:textAlignment w:val="auto"/>
              <w:outlineLvl w:val="9"/>
              <w:rPr>
                <w:rFonts w:ascii="Times New Roman" w:hAnsi="Times New Roman"/>
                <w:b/>
                <w:color w:val="000000"/>
                <w:position w:val="0"/>
                <w:sz w:val="20"/>
                <w:szCs w:val="20"/>
              </w:rPr>
            </w:pPr>
            <w:r>
              <w:rPr>
                <w:rFonts w:ascii="Times New Roman" w:eastAsia="Times New Roman" w:hAnsi="Times New Roman"/>
                <w:b/>
                <w:color w:val="000000"/>
                <w:position w:val="0"/>
                <w:sz w:val="20"/>
                <w:szCs w:val="20"/>
              </w:rPr>
              <w:t>Binaan</w:t>
            </w:r>
          </w:p>
        </w:tc>
        <w:tc>
          <w:tcPr>
            <w:tcW w:w="850" w:type="dxa"/>
            <w:tcBorders>
              <w:top w:val="single" w:sz="4" w:space="0" w:color="auto"/>
              <w:bottom w:val="single" w:sz="4" w:space="0" w:color="auto"/>
            </w:tcBorders>
            <w:shd w:val="clear" w:color="auto" w:fill="8DB3E2"/>
            <w:noWrap/>
            <w:hideMark/>
          </w:tcPr>
          <w:p w14:paraId="538FA178" w14:textId="77777777" w:rsidR="00B027A9" w:rsidRDefault="00AE2895">
            <w:pPr>
              <w:suppressAutoHyphens w:val="0"/>
              <w:ind w:leftChars="0" w:left="0" w:firstLineChars="0" w:firstLine="0"/>
              <w:jc w:val="center"/>
              <w:textDirection w:val="lrTb"/>
              <w:textAlignment w:val="auto"/>
              <w:outlineLvl w:val="9"/>
              <w:rPr>
                <w:rFonts w:ascii="Times New Roman" w:hAnsi="Times New Roman"/>
                <w:b/>
                <w:color w:val="000000"/>
                <w:position w:val="0"/>
                <w:sz w:val="20"/>
                <w:szCs w:val="20"/>
              </w:rPr>
            </w:pPr>
            <w:r>
              <w:rPr>
                <w:rFonts w:ascii="Times New Roman" w:eastAsia="Times New Roman" w:hAnsi="Times New Roman"/>
                <w:b/>
                <w:color w:val="000000"/>
                <w:position w:val="0"/>
                <w:sz w:val="20"/>
                <w:szCs w:val="20"/>
              </w:rPr>
              <w:t>Hutan</w:t>
            </w:r>
          </w:p>
        </w:tc>
        <w:tc>
          <w:tcPr>
            <w:tcW w:w="1134" w:type="dxa"/>
            <w:tcBorders>
              <w:top w:val="single" w:sz="4" w:space="0" w:color="auto"/>
              <w:bottom w:val="single" w:sz="4" w:space="0" w:color="auto"/>
            </w:tcBorders>
            <w:shd w:val="clear" w:color="auto" w:fill="8DB3E2"/>
            <w:noWrap/>
            <w:hideMark/>
          </w:tcPr>
          <w:p w14:paraId="483267B6" w14:textId="77777777" w:rsidR="00B027A9" w:rsidRDefault="00AE2895">
            <w:pPr>
              <w:suppressAutoHyphens w:val="0"/>
              <w:ind w:leftChars="0" w:left="0" w:firstLineChars="0" w:firstLine="0"/>
              <w:jc w:val="center"/>
              <w:textDirection w:val="lrTb"/>
              <w:textAlignment w:val="auto"/>
              <w:outlineLvl w:val="9"/>
              <w:rPr>
                <w:rFonts w:ascii="Times New Roman" w:hAnsi="Times New Roman"/>
                <w:b/>
                <w:color w:val="000000"/>
                <w:position w:val="0"/>
                <w:sz w:val="20"/>
                <w:szCs w:val="20"/>
              </w:rPr>
            </w:pPr>
            <w:r>
              <w:rPr>
                <w:rFonts w:ascii="Times New Roman" w:eastAsia="Times New Roman" w:hAnsi="Times New Roman"/>
                <w:b/>
                <w:color w:val="000000"/>
                <w:position w:val="0"/>
                <w:sz w:val="20"/>
                <w:szCs w:val="20"/>
              </w:rPr>
              <w:t>Badan air</w:t>
            </w:r>
          </w:p>
        </w:tc>
      </w:tr>
      <w:tr w:rsidR="00B027A9" w14:paraId="116507AD" w14:textId="77777777">
        <w:trPr>
          <w:trHeight w:val="175"/>
          <w:jc w:val="center"/>
        </w:trPr>
        <w:tc>
          <w:tcPr>
            <w:tcW w:w="1776" w:type="dxa"/>
            <w:tcBorders>
              <w:top w:val="single" w:sz="4" w:space="0" w:color="auto"/>
            </w:tcBorders>
            <w:noWrap/>
            <w:hideMark/>
          </w:tcPr>
          <w:p w14:paraId="2E21B1FA" w14:textId="77777777" w:rsidR="00B027A9" w:rsidRDefault="00AE2895">
            <w:pPr>
              <w:suppressAutoHyphens w:val="0"/>
              <w:ind w:leftChars="0" w:left="0" w:firstLineChars="0" w:firstLine="0"/>
              <w:jc w:val="center"/>
              <w:textDirection w:val="lrTb"/>
              <w:textAlignment w:val="auto"/>
              <w:outlineLvl w:val="9"/>
              <w:rPr>
                <w:rFonts w:ascii="Times New Roman" w:hAnsi="Times New Roman"/>
                <w:color w:val="000000"/>
                <w:position w:val="0"/>
                <w:sz w:val="20"/>
                <w:szCs w:val="20"/>
              </w:rPr>
            </w:pPr>
            <w:r>
              <w:rPr>
                <w:rFonts w:ascii="Times New Roman" w:eastAsia="Times New Roman" w:hAnsi="Times New Roman"/>
                <w:color w:val="000000"/>
                <w:position w:val="0"/>
                <w:sz w:val="20"/>
                <w:szCs w:val="20"/>
              </w:rPr>
              <w:t>Hujan</w:t>
            </w:r>
          </w:p>
        </w:tc>
        <w:tc>
          <w:tcPr>
            <w:tcW w:w="1061" w:type="dxa"/>
            <w:tcBorders>
              <w:top w:val="single" w:sz="4" w:space="0" w:color="auto"/>
            </w:tcBorders>
            <w:noWrap/>
            <w:hideMark/>
          </w:tcPr>
          <w:p w14:paraId="5DB5895A" w14:textId="77777777" w:rsidR="00B027A9" w:rsidRDefault="00AE2895">
            <w:pPr>
              <w:suppressAutoHyphens w:val="0"/>
              <w:ind w:leftChars="0" w:left="0" w:firstLineChars="0" w:firstLine="0"/>
              <w:jc w:val="center"/>
              <w:textDirection w:val="lrTb"/>
              <w:textAlignment w:val="auto"/>
              <w:outlineLvl w:val="9"/>
              <w:rPr>
                <w:rFonts w:ascii="Times New Roman" w:eastAsia="Times New Roman" w:hAnsi="Times New Roman"/>
                <w:color w:val="000000"/>
                <w:position w:val="0"/>
                <w:sz w:val="20"/>
                <w:szCs w:val="20"/>
              </w:rPr>
            </w:pPr>
            <w:r>
              <w:rPr>
                <w:rFonts w:ascii="Times New Roman" w:eastAsia="Times New Roman" w:hAnsi="Times New Roman"/>
                <w:color w:val="000000"/>
                <w:position w:val="0"/>
                <w:sz w:val="20"/>
                <w:szCs w:val="20"/>
              </w:rPr>
              <w:t>-0.40</w:t>
            </w:r>
          </w:p>
        </w:tc>
        <w:tc>
          <w:tcPr>
            <w:tcW w:w="844" w:type="dxa"/>
            <w:tcBorders>
              <w:top w:val="single" w:sz="4" w:space="0" w:color="auto"/>
            </w:tcBorders>
            <w:noWrap/>
            <w:hideMark/>
          </w:tcPr>
          <w:p w14:paraId="1863311E" w14:textId="77777777" w:rsidR="00B027A9" w:rsidRDefault="00AE2895">
            <w:pPr>
              <w:suppressAutoHyphens w:val="0"/>
              <w:ind w:leftChars="0" w:left="0" w:firstLineChars="0" w:firstLine="0"/>
              <w:jc w:val="center"/>
              <w:textDirection w:val="lrTb"/>
              <w:textAlignment w:val="auto"/>
              <w:outlineLvl w:val="9"/>
              <w:rPr>
                <w:rFonts w:ascii="Times New Roman" w:eastAsia="Times New Roman" w:hAnsi="Times New Roman"/>
                <w:color w:val="000000"/>
                <w:position w:val="0"/>
                <w:sz w:val="20"/>
                <w:szCs w:val="20"/>
              </w:rPr>
            </w:pPr>
            <w:r>
              <w:rPr>
                <w:rFonts w:ascii="Times New Roman" w:eastAsia="Times New Roman" w:hAnsi="Times New Roman"/>
                <w:color w:val="000000"/>
                <w:position w:val="0"/>
                <w:sz w:val="20"/>
                <w:szCs w:val="20"/>
              </w:rPr>
              <w:t>0.39</w:t>
            </w:r>
          </w:p>
        </w:tc>
        <w:tc>
          <w:tcPr>
            <w:tcW w:w="850" w:type="dxa"/>
            <w:tcBorders>
              <w:top w:val="single" w:sz="4" w:space="0" w:color="auto"/>
            </w:tcBorders>
            <w:noWrap/>
            <w:hideMark/>
          </w:tcPr>
          <w:p w14:paraId="30600332" w14:textId="77777777" w:rsidR="00B027A9" w:rsidRDefault="00AE2895">
            <w:pPr>
              <w:suppressAutoHyphens w:val="0"/>
              <w:ind w:leftChars="0" w:left="0" w:firstLineChars="0" w:firstLine="0"/>
              <w:jc w:val="center"/>
              <w:textDirection w:val="lrTb"/>
              <w:textAlignment w:val="auto"/>
              <w:outlineLvl w:val="9"/>
              <w:rPr>
                <w:rFonts w:ascii="Times New Roman" w:eastAsia="Times New Roman" w:hAnsi="Times New Roman"/>
                <w:color w:val="000000"/>
                <w:position w:val="0"/>
                <w:sz w:val="20"/>
                <w:szCs w:val="20"/>
              </w:rPr>
            </w:pPr>
            <w:r>
              <w:rPr>
                <w:rFonts w:ascii="Times New Roman" w:eastAsia="Times New Roman" w:hAnsi="Times New Roman"/>
                <w:color w:val="000000"/>
                <w:position w:val="0"/>
                <w:sz w:val="20"/>
                <w:szCs w:val="20"/>
              </w:rPr>
              <w:t>-0.07</w:t>
            </w:r>
          </w:p>
        </w:tc>
        <w:tc>
          <w:tcPr>
            <w:tcW w:w="1134" w:type="dxa"/>
            <w:tcBorders>
              <w:top w:val="single" w:sz="4" w:space="0" w:color="auto"/>
            </w:tcBorders>
            <w:noWrap/>
            <w:hideMark/>
          </w:tcPr>
          <w:p w14:paraId="6E6770F3" w14:textId="77777777" w:rsidR="00B027A9" w:rsidRDefault="00AE2895">
            <w:pPr>
              <w:suppressAutoHyphens w:val="0"/>
              <w:ind w:leftChars="0" w:left="0" w:firstLineChars="0" w:firstLine="0"/>
              <w:jc w:val="center"/>
              <w:textDirection w:val="lrTb"/>
              <w:textAlignment w:val="auto"/>
              <w:outlineLvl w:val="9"/>
              <w:rPr>
                <w:rFonts w:ascii="Times New Roman" w:eastAsia="Times New Roman" w:hAnsi="Times New Roman"/>
                <w:color w:val="000000"/>
                <w:position w:val="0"/>
                <w:sz w:val="20"/>
                <w:szCs w:val="20"/>
              </w:rPr>
            </w:pPr>
            <w:r>
              <w:rPr>
                <w:rFonts w:ascii="Times New Roman" w:eastAsia="Times New Roman" w:hAnsi="Times New Roman"/>
                <w:color w:val="000000"/>
                <w:position w:val="0"/>
                <w:sz w:val="20"/>
                <w:szCs w:val="20"/>
              </w:rPr>
              <w:t>0.71</w:t>
            </w:r>
          </w:p>
        </w:tc>
      </w:tr>
      <w:tr w:rsidR="00B027A9" w14:paraId="235DC7E5" w14:textId="77777777">
        <w:trPr>
          <w:trHeight w:val="207"/>
          <w:jc w:val="center"/>
        </w:trPr>
        <w:tc>
          <w:tcPr>
            <w:tcW w:w="1776" w:type="dxa"/>
            <w:noWrap/>
            <w:hideMark/>
          </w:tcPr>
          <w:p w14:paraId="6BE432D0" w14:textId="77777777" w:rsidR="00B027A9" w:rsidRDefault="00AE2895">
            <w:pPr>
              <w:suppressAutoHyphens w:val="0"/>
              <w:ind w:leftChars="0" w:left="0" w:firstLineChars="0" w:firstLine="0"/>
              <w:jc w:val="center"/>
              <w:textDirection w:val="lrTb"/>
              <w:textAlignment w:val="auto"/>
              <w:outlineLvl w:val="9"/>
              <w:rPr>
                <w:rFonts w:ascii="Times New Roman" w:hAnsi="Times New Roman"/>
                <w:color w:val="000000"/>
                <w:position w:val="0"/>
                <w:sz w:val="20"/>
                <w:szCs w:val="20"/>
              </w:rPr>
            </w:pPr>
            <w:r>
              <w:rPr>
                <w:rFonts w:ascii="Times New Roman" w:eastAsia="Times New Roman" w:hAnsi="Times New Roman"/>
                <w:color w:val="000000"/>
                <w:position w:val="0"/>
                <w:sz w:val="20"/>
                <w:szCs w:val="20"/>
              </w:rPr>
              <w:t>Tmax</w:t>
            </w:r>
          </w:p>
        </w:tc>
        <w:tc>
          <w:tcPr>
            <w:tcW w:w="1061" w:type="dxa"/>
            <w:noWrap/>
            <w:hideMark/>
          </w:tcPr>
          <w:p w14:paraId="2C7E53E5" w14:textId="77777777" w:rsidR="00B027A9" w:rsidRDefault="00AE2895">
            <w:pPr>
              <w:suppressAutoHyphens w:val="0"/>
              <w:ind w:leftChars="0" w:left="0" w:firstLineChars="0" w:firstLine="0"/>
              <w:jc w:val="center"/>
              <w:textDirection w:val="lrTb"/>
              <w:textAlignment w:val="auto"/>
              <w:outlineLvl w:val="9"/>
              <w:rPr>
                <w:rFonts w:ascii="Times New Roman" w:eastAsia="Times New Roman" w:hAnsi="Times New Roman"/>
                <w:color w:val="000000"/>
                <w:position w:val="0"/>
                <w:sz w:val="20"/>
                <w:szCs w:val="20"/>
              </w:rPr>
            </w:pPr>
            <w:r>
              <w:rPr>
                <w:rFonts w:ascii="Times New Roman" w:eastAsia="Times New Roman" w:hAnsi="Times New Roman"/>
                <w:color w:val="000000"/>
                <w:position w:val="0"/>
                <w:sz w:val="20"/>
                <w:szCs w:val="20"/>
              </w:rPr>
              <w:t>-0.41</w:t>
            </w:r>
          </w:p>
        </w:tc>
        <w:tc>
          <w:tcPr>
            <w:tcW w:w="844" w:type="dxa"/>
            <w:noWrap/>
            <w:hideMark/>
          </w:tcPr>
          <w:p w14:paraId="05653543" w14:textId="77777777" w:rsidR="00B027A9" w:rsidRDefault="00AE2895">
            <w:pPr>
              <w:suppressAutoHyphens w:val="0"/>
              <w:ind w:leftChars="0" w:left="0" w:firstLineChars="0" w:firstLine="0"/>
              <w:jc w:val="center"/>
              <w:textDirection w:val="lrTb"/>
              <w:textAlignment w:val="auto"/>
              <w:outlineLvl w:val="9"/>
              <w:rPr>
                <w:rFonts w:ascii="Times New Roman" w:eastAsia="Times New Roman" w:hAnsi="Times New Roman"/>
                <w:color w:val="000000"/>
                <w:position w:val="0"/>
                <w:sz w:val="20"/>
                <w:szCs w:val="20"/>
              </w:rPr>
            </w:pPr>
            <w:r>
              <w:rPr>
                <w:rFonts w:ascii="Times New Roman" w:eastAsia="Times New Roman" w:hAnsi="Times New Roman"/>
                <w:color w:val="000000"/>
                <w:position w:val="0"/>
                <w:sz w:val="20"/>
                <w:szCs w:val="20"/>
              </w:rPr>
              <w:t>0.68</w:t>
            </w:r>
          </w:p>
        </w:tc>
        <w:tc>
          <w:tcPr>
            <w:tcW w:w="850" w:type="dxa"/>
            <w:noWrap/>
            <w:hideMark/>
          </w:tcPr>
          <w:p w14:paraId="16B9003E" w14:textId="77777777" w:rsidR="00B027A9" w:rsidRDefault="00AE2895">
            <w:pPr>
              <w:suppressAutoHyphens w:val="0"/>
              <w:ind w:leftChars="0" w:left="0" w:firstLineChars="0" w:firstLine="0"/>
              <w:jc w:val="center"/>
              <w:textDirection w:val="lrTb"/>
              <w:textAlignment w:val="auto"/>
              <w:outlineLvl w:val="9"/>
              <w:rPr>
                <w:rFonts w:ascii="Times New Roman" w:eastAsia="Times New Roman" w:hAnsi="Times New Roman"/>
                <w:color w:val="000000"/>
                <w:position w:val="0"/>
                <w:sz w:val="20"/>
                <w:szCs w:val="20"/>
              </w:rPr>
            </w:pPr>
            <w:r>
              <w:rPr>
                <w:rFonts w:ascii="Times New Roman" w:eastAsia="Times New Roman" w:hAnsi="Times New Roman"/>
                <w:color w:val="000000"/>
                <w:position w:val="0"/>
                <w:sz w:val="20"/>
                <w:szCs w:val="20"/>
              </w:rPr>
              <w:t>-0.70</w:t>
            </w:r>
          </w:p>
        </w:tc>
        <w:tc>
          <w:tcPr>
            <w:tcW w:w="1134" w:type="dxa"/>
            <w:noWrap/>
            <w:hideMark/>
          </w:tcPr>
          <w:p w14:paraId="524B0724" w14:textId="77777777" w:rsidR="00B027A9" w:rsidRDefault="00AE2895">
            <w:pPr>
              <w:suppressAutoHyphens w:val="0"/>
              <w:ind w:leftChars="0" w:left="0" w:firstLineChars="0" w:firstLine="0"/>
              <w:jc w:val="center"/>
              <w:textDirection w:val="lrTb"/>
              <w:textAlignment w:val="auto"/>
              <w:outlineLvl w:val="9"/>
              <w:rPr>
                <w:rFonts w:ascii="Times New Roman" w:eastAsia="Times New Roman" w:hAnsi="Times New Roman"/>
                <w:color w:val="000000"/>
                <w:position w:val="0"/>
                <w:sz w:val="20"/>
                <w:szCs w:val="20"/>
              </w:rPr>
            </w:pPr>
            <w:r>
              <w:rPr>
                <w:rFonts w:ascii="Times New Roman" w:eastAsia="Times New Roman" w:hAnsi="Times New Roman"/>
                <w:color w:val="000000"/>
                <w:position w:val="0"/>
                <w:sz w:val="20"/>
                <w:szCs w:val="20"/>
              </w:rPr>
              <w:t>0.40</w:t>
            </w:r>
          </w:p>
        </w:tc>
      </w:tr>
      <w:tr w:rsidR="00B027A9" w14:paraId="7237D5EA" w14:textId="77777777">
        <w:trPr>
          <w:trHeight w:val="111"/>
          <w:jc w:val="center"/>
        </w:trPr>
        <w:tc>
          <w:tcPr>
            <w:tcW w:w="1776" w:type="dxa"/>
            <w:noWrap/>
            <w:hideMark/>
          </w:tcPr>
          <w:p w14:paraId="5FCA7188" w14:textId="77777777" w:rsidR="00B027A9" w:rsidRDefault="00AE2895">
            <w:pPr>
              <w:suppressAutoHyphens w:val="0"/>
              <w:ind w:leftChars="0" w:left="0" w:firstLineChars="0" w:firstLine="0"/>
              <w:jc w:val="center"/>
              <w:textDirection w:val="lrTb"/>
              <w:textAlignment w:val="auto"/>
              <w:outlineLvl w:val="9"/>
              <w:rPr>
                <w:rFonts w:ascii="Times New Roman" w:hAnsi="Times New Roman"/>
                <w:color w:val="000000"/>
                <w:position w:val="0"/>
                <w:sz w:val="20"/>
                <w:szCs w:val="20"/>
              </w:rPr>
            </w:pPr>
            <w:r>
              <w:rPr>
                <w:rFonts w:ascii="Times New Roman" w:eastAsia="Times New Roman" w:hAnsi="Times New Roman"/>
                <w:color w:val="000000"/>
                <w:position w:val="0"/>
                <w:sz w:val="20"/>
                <w:szCs w:val="20"/>
              </w:rPr>
              <w:t>Tmin</w:t>
            </w:r>
          </w:p>
        </w:tc>
        <w:tc>
          <w:tcPr>
            <w:tcW w:w="1061" w:type="dxa"/>
            <w:noWrap/>
            <w:hideMark/>
          </w:tcPr>
          <w:p w14:paraId="74726A56" w14:textId="77777777" w:rsidR="00B027A9" w:rsidRDefault="00AE2895">
            <w:pPr>
              <w:suppressAutoHyphens w:val="0"/>
              <w:ind w:leftChars="0" w:left="0" w:firstLineChars="0" w:firstLine="0"/>
              <w:jc w:val="center"/>
              <w:textDirection w:val="lrTb"/>
              <w:textAlignment w:val="auto"/>
              <w:outlineLvl w:val="9"/>
              <w:rPr>
                <w:rFonts w:ascii="Times New Roman" w:eastAsia="Times New Roman" w:hAnsi="Times New Roman"/>
                <w:color w:val="000000"/>
                <w:position w:val="0"/>
                <w:sz w:val="20"/>
                <w:szCs w:val="20"/>
              </w:rPr>
            </w:pPr>
            <w:r>
              <w:rPr>
                <w:rFonts w:ascii="Times New Roman" w:eastAsia="Times New Roman" w:hAnsi="Times New Roman"/>
                <w:color w:val="000000"/>
                <w:position w:val="0"/>
                <w:sz w:val="20"/>
                <w:szCs w:val="20"/>
              </w:rPr>
              <w:t>-0.74</w:t>
            </w:r>
          </w:p>
        </w:tc>
        <w:tc>
          <w:tcPr>
            <w:tcW w:w="844" w:type="dxa"/>
            <w:noWrap/>
            <w:hideMark/>
          </w:tcPr>
          <w:p w14:paraId="64664FB7" w14:textId="77777777" w:rsidR="00B027A9" w:rsidRDefault="00AE2895">
            <w:pPr>
              <w:suppressAutoHyphens w:val="0"/>
              <w:ind w:leftChars="0" w:left="0" w:firstLineChars="0" w:firstLine="0"/>
              <w:jc w:val="center"/>
              <w:textDirection w:val="lrTb"/>
              <w:textAlignment w:val="auto"/>
              <w:outlineLvl w:val="9"/>
              <w:rPr>
                <w:rFonts w:ascii="Times New Roman" w:eastAsia="Times New Roman" w:hAnsi="Times New Roman"/>
                <w:color w:val="000000"/>
                <w:position w:val="0"/>
                <w:sz w:val="20"/>
                <w:szCs w:val="20"/>
              </w:rPr>
            </w:pPr>
            <w:r>
              <w:rPr>
                <w:rFonts w:ascii="Times New Roman" w:eastAsia="Times New Roman" w:hAnsi="Times New Roman"/>
                <w:color w:val="000000"/>
                <w:position w:val="0"/>
                <w:sz w:val="20"/>
                <w:szCs w:val="20"/>
              </w:rPr>
              <w:t>0.91</w:t>
            </w:r>
          </w:p>
        </w:tc>
        <w:tc>
          <w:tcPr>
            <w:tcW w:w="850" w:type="dxa"/>
            <w:noWrap/>
            <w:hideMark/>
          </w:tcPr>
          <w:p w14:paraId="440CFDAA" w14:textId="77777777" w:rsidR="00B027A9" w:rsidRDefault="00AE2895">
            <w:pPr>
              <w:suppressAutoHyphens w:val="0"/>
              <w:ind w:leftChars="0" w:left="0" w:firstLineChars="0" w:firstLine="0"/>
              <w:jc w:val="center"/>
              <w:textDirection w:val="lrTb"/>
              <w:textAlignment w:val="auto"/>
              <w:outlineLvl w:val="9"/>
              <w:rPr>
                <w:rFonts w:ascii="Times New Roman" w:eastAsia="Times New Roman" w:hAnsi="Times New Roman"/>
                <w:color w:val="000000"/>
                <w:position w:val="0"/>
                <w:sz w:val="20"/>
                <w:szCs w:val="20"/>
              </w:rPr>
            </w:pPr>
            <w:r>
              <w:rPr>
                <w:rFonts w:ascii="Times New Roman" w:eastAsia="Times New Roman" w:hAnsi="Times New Roman"/>
                <w:color w:val="000000"/>
                <w:position w:val="0"/>
                <w:sz w:val="20"/>
                <w:szCs w:val="20"/>
              </w:rPr>
              <w:t>-0.52</w:t>
            </w:r>
          </w:p>
        </w:tc>
        <w:tc>
          <w:tcPr>
            <w:tcW w:w="1134" w:type="dxa"/>
            <w:noWrap/>
            <w:hideMark/>
          </w:tcPr>
          <w:p w14:paraId="416C48F6" w14:textId="77777777" w:rsidR="00B027A9" w:rsidRDefault="00AE2895">
            <w:pPr>
              <w:suppressAutoHyphens w:val="0"/>
              <w:ind w:leftChars="0" w:left="0" w:firstLineChars="0" w:firstLine="0"/>
              <w:jc w:val="center"/>
              <w:textDirection w:val="lrTb"/>
              <w:textAlignment w:val="auto"/>
              <w:outlineLvl w:val="9"/>
              <w:rPr>
                <w:rFonts w:ascii="Times New Roman" w:eastAsia="Times New Roman" w:hAnsi="Times New Roman"/>
                <w:color w:val="000000"/>
                <w:position w:val="0"/>
                <w:sz w:val="20"/>
                <w:szCs w:val="20"/>
              </w:rPr>
            </w:pPr>
            <w:r>
              <w:rPr>
                <w:rFonts w:ascii="Times New Roman" w:eastAsia="Times New Roman" w:hAnsi="Times New Roman"/>
                <w:color w:val="000000"/>
                <w:position w:val="0"/>
                <w:sz w:val="20"/>
                <w:szCs w:val="20"/>
              </w:rPr>
              <w:t>0.95</w:t>
            </w:r>
          </w:p>
        </w:tc>
      </w:tr>
      <w:tr w:rsidR="00B027A9" w14:paraId="36ED53F0" w14:textId="77777777">
        <w:trPr>
          <w:trHeight w:val="157"/>
          <w:jc w:val="center"/>
        </w:trPr>
        <w:tc>
          <w:tcPr>
            <w:tcW w:w="1776" w:type="dxa"/>
            <w:tcBorders>
              <w:bottom w:val="single" w:sz="4" w:space="0" w:color="auto"/>
            </w:tcBorders>
            <w:noWrap/>
            <w:hideMark/>
          </w:tcPr>
          <w:p w14:paraId="631655F6" w14:textId="77777777" w:rsidR="00B027A9" w:rsidRDefault="00AE2895">
            <w:pPr>
              <w:suppressAutoHyphens w:val="0"/>
              <w:ind w:leftChars="0" w:left="0" w:firstLineChars="0" w:firstLine="0"/>
              <w:jc w:val="center"/>
              <w:textDirection w:val="lrTb"/>
              <w:textAlignment w:val="auto"/>
              <w:outlineLvl w:val="9"/>
              <w:rPr>
                <w:rFonts w:ascii="Times New Roman" w:hAnsi="Times New Roman"/>
                <w:color w:val="000000"/>
                <w:position w:val="0"/>
                <w:sz w:val="20"/>
                <w:szCs w:val="20"/>
              </w:rPr>
            </w:pPr>
            <w:r>
              <w:rPr>
                <w:rFonts w:ascii="Times New Roman" w:eastAsia="Times New Roman" w:hAnsi="Times New Roman"/>
                <w:color w:val="000000"/>
                <w:position w:val="0"/>
                <w:sz w:val="20"/>
                <w:szCs w:val="20"/>
              </w:rPr>
              <w:t>Tmean</w:t>
            </w:r>
          </w:p>
        </w:tc>
        <w:tc>
          <w:tcPr>
            <w:tcW w:w="1061" w:type="dxa"/>
            <w:tcBorders>
              <w:bottom w:val="single" w:sz="4" w:space="0" w:color="auto"/>
            </w:tcBorders>
            <w:noWrap/>
            <w:hideMark/>
          </w:tcPr>
          <w:p w14:paraId="6AECA431" w14:textId="77777777" w:rsidR="00B027A9" w:rsidRDefault="00AE2895">
            <w:pPr>
              <w:suppressAutoHyphens w:val="0"/>
              <w:ind w:leftChars="0" w:left="0" w:firstLineChars="0" w:firstLine="0"/>
              <w:jc w:val="center"/>
              <w:textDirection w:val="lrTb"/>
              <w:textAlignment w:val="auto"/>
              <w:outlineLvl w:val="9"/>
              <w:rPr>
                <w:rFonts w:ascii="Times New Roman" w:eastAsia="Times New Roman" w:hAnsi="Times New Roman"/>
                <w:color w:val="000000"/>
                <w:position w:val="0"/>
                <w:sz w:val="20"/>
                <w:szCs w:val="20"/>
              </w:rPr>
            </w:pPr>
            <w:r>
              <w:rPr>
                <w:rFonts w:ascii="Times New Roman" w:eastAsia="Times New Roman" w:hAnsi="Times New Roman"/>
                <w:color w:val="000000"/>
                <w:position w:val="0"/>
                <w:sz w:val="20"/>
                <w:szCs w:val="20"/>
              </w:rPr>
              <w:t>-0.60</w:t>
            </w:r>
          </w:p>
        </w:tc>
        <w:tc>
          <w:tcPr>
            <w:tcW w:w="844" w:type="dxa"/>
            <w:tcBorders>
              <w:bottom w:val="single" w:sz="4" w:space="0" w:color="auto"/>
            </w:tcBorders>
            <w:noWrap/>
            <w:hideMark/>
          </w:tcPr>
          <w:p w14:paraId="1363E63D" w14:textId="77777777" w:rsidR="00B027A9" w:rsidRDefault="00AE2895">
            <w:pPr>
              <w:suppressAutoHyphens w:val="0"/>
              <w:ind w:leftChars="0" w:left="0" w:firstLineChars="0" w:firstLine="0"/>
              <w:jc w:val="center"/>
              <w:textDirection w:val="lrTb"/>
              <w:textAlignment w:val="auto"/>
              <w:outlineLvl w:val="9"/>
              <w:rPr>
                <w:rFonts w:ascii="Times New Roman" w:eastAsia="Times New Roman" w:hAnsi="Times New Roman"/>
                <w:color w:val="000000"/>
                <w:position w:val="0"/>
                <w:sz w:val="20"/>
                <w:szCs w:val="20"/>
              </w:rPr>
            </w:pPr>
            <w:r>
              <w:rPr>
                <w:rFonts w:ascii="Times New Roman" w:eastAsia="Times New Roman" w:hAnsi="Times New Roman"/>
                <w:color w:val="000000"/>
                <w:position w:val="0"/>
                <w:sz w:val="20"/>
                <w:szCs w:val="20"/>
              </w:rPr>
              <w:t>0.86</w:t>
            </w:r>
          </w:p>
        </w:tc>
        <w:tc>
          <w:tcPr>
            <w:tcW w:w="850" w:type="dxa"/>
            <w:tcBorders>
              <w:bottom w:val="single" w:sz="4" w:space="0" w:color="auto"/>
            </w:tcBorders>
            <w:noWrap/>
            <w:hideMark/>
          </w:tcPr>
          <w:p w14:paraId="7A845E24" w14:textId="77777777" w:rsidR="00B027A9" w:rsidRDefault="00AE2895">
            <w:pPr>
              <w:suppressAutoHyphens w:val="0"/>
              <w:ind w:leftChars="0" w:left="0" w:firstLineChars="0" w:firstLine="0"/>
              <w:jc w:val="center"/>
              <w:textDirection w:val="lrTb"/>
              <w:textAlignment w:val="auto"/>
              <w:outlineLvl w:val="9"/>
              <w:rPr>
                <w:rFonts w:ascii="Times New Roman" w:eastAsia="Times New Roman" w:hAnsi="Times New Roman"/>
                <w:color w:val="000000"/>
                <w:position w:val="0"/>
                <w:sz w:val="20"/>
                <w:szCs w:val="20"/>
              </w:rPr>
            </w:pPr>
            <w:r>
              <w:rPr>
                <w:rFonts w:ascii="Times New Roman" w:eastAsia="Times New Roman" w:hAnsi="Times New Roman"/>
                <w:color w:val="000000"/>
                <w:position w:val="0"/>
                <w:sz w:val="20"/>
                <w:szCs w:val="20"/>
              </w:rPr>
              <w:t>0.92</w:t>
            </w:r>
          </w:p>
        </w:tc>
        <w:tc>
          <w:tcPr>
            <w:tcW w:w="1134" w:type="dxa"/>
            <w:tcBorders>
              <w:bottom w:val="single" w:sz="4" w:space="0" w:color="auto"/>
            </w:tcBorders>
            <w:noWrap/>
            <w:hideMark/>
          </w:tcPr>
          <w:p w14:paraId="431C7CD2" w14:textId="77777777" w:rsidR="00B027A9" w:rsidRDefault="00AE2895">
            <w:pPr>
              <w:suppressAutoHyphens w:val="0"/>
              <w:ind w:leftChars="0" w:left="0" w:firstLineChars="0" w:firstLine="0"/>
              <w:jc w:val="center"/>
              <w:textDirection w:val="lrTb"/>
              <w:textAlignment w:val="auto"/>
              <w:outlineLvl w:val="9"/>
              <w:rPr>
                <w:rFonts w:ascii="Times New Roman" w:eastAsia="Times New Roman" w:hAnsi="Times New Roman"/>
                <w:color w:val="000000"/>
                <w:position w:val="0"/>
                <w:sz w:val="20"/>
                <w:szCs w:val="20"/>
              </w:rPr>
            </w:pPr>
            <w:r>
              <w:rPr>
                <w:rFonts w:ascii="Times New Roman" w:eastAsia="Times New Roman" w:hAnsi="Times New Roman"/>
                <w:color w:val="000000"/>
                <w:position w:val="0"/>
                <w:sz w:val="20"/>
                <w:szCs w:val="20"/>
              </w:rPr>
              <w:t>0.61</w:t>
            </w:r>
          </w:p>
        </w:tc>
      </w:tr>
    </w:tbl>
    <w:p w14:paraId="49B9FB40" w14:textId="77777777" w:rsidR="00B027A9" w:rsidRDefault="00B027A9">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4"/>
          <w:szCs w:val="24"/>
        </w:rPr>
      </w:pPr>
    </w:p>
    <w:p w14:paraId="7EE890A6" w14:textId="77777777" w:rsidR="00B027A9" w:rsidRDefault="00AE2895">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4"/>
        </w:rPr>
      </w:pPr>
      <w:r>
        <w:rPr>
          <w:rFonts w:ascii="Times New Roman" w:hAnsi="Times New Roman" w:cs="Times New Roman"/>
          <w:b/>
          <w:position w:val="0"/>
          <w:sz w:val="20"/>
          <w:szCs w:val="24"/>
        </w:rPr>
        <w:t>Jadual 6.</w:t>
      </w:r>
      <w:r>
        <w:rPr>
          <w:rFonts w:ascii="Times New Roman" w:hAnsi="Times New Roman" w:cs="Times New Roman"/>
          <w:position w:val="0"/>
          <w:sz w:val="20"/>
          <w:szCs w:val="24"/>
        </w:rPr>
        <w:t xml:space="preserve"> Analisis signifikan bagi korelasi guna tanah dan data hujan</w:t>
      </w:r>
    </w:p>
    <w:p w14:paraId="3B023EAB" w14:textId="77777777" w:rsidR="00B027A9" w:rsidRDefault="00B027A9">
      <w:pPr>
        <w:suppressAutoHyphens w:val="0"/>
        <w:spacing w:after="0" w:line="240" w:lineRule="auto"/>
        <w:ind w:leftChars="0" w:left="0" w:firstLineChars="0" w:firstLine="0"/>
        <w:jc w:val="center"/>
        <w:textDirection w:val="lrTb"/>
        <w:textAlignment w:val="auto"/>
        <w:outlineLvl w:val="9"/>
        <w:rPr>
          <w:rFonts w:ascii="Times New Roman" w:hAnsi="Times New Roman" w:cs="Times New Roman"/>
          <w:position w:val="0"/>
          <w:sz w:val="20"/>
          <w:szCs w:val="24"/>
        </w:rPr>
      </w:pPr>
    </w:p>
    <w:tbl>
      <w:tblPr>
        <w:tblStyle w:val="TableGrid1"/>
        <w:tblW w:w="56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6"/>
        <w:gridCol w:w="1061"/>
        <w:gridCol w:w="844"/>
        <w:gridCol w:w="850"/>
        <w:gridCol w:w="1134"/>
      </w:tblGrid>
      <w:tr w:rsidR="00B027A9" w14:paraId="4E95AC06" w14:textId="77777777">
        <w:trPr>
          <w:trHeight w:val="129"/>
          <w:jc w:val="center"/>
        </w:trPr>
        <w:tc>
          <w:tcPr>
            <w:tcW w:w="1776" w:type="dxa"/>
            <w:tcBorders>
              <w:top w:val="single" w:sz="4" w:space="0" w:color="auto"/>
              <w:bottom w:val="single" w:sz="4" w:space="0" w:color="auto"/>
            </w:tcBorders>
            <w:shd w:val="clear" w:color="auto" w:fill="8DB3E2"/>
            <w:noWrap/>
            <w:hideMark/>
          </w:tcPr>
          <w:p w14:paraId="602B0474" w14:textId="77777777" w:rsidR="00B027A9" w:rsidRDefault="00AE2895">
            <w:pPr>
              <w:suppressAutoHyphens w:val="0"/>
              <w:ind w:leftChars="0" w:left="0" w:firstLineChars="0" w:firstLine="0"/>
              <w:jc w:val="center"/>
              <w:textDirection w:val="lrTb"/>
              <w:textAlignment w:val="auto"/>
              <w:outlineLvl w:val="9"/>
              <w:rPr>
                <w:rFonts w:ascii="Times New Roman" w:hAnsi="Times New Roman"/>
                <w:b/>
                <w:color w:val="000000"/>
                <w:position w:val="0"/>
                <w:sz w:val="20"/>
                <w:szCs w:val="20"/>
              </w:rPr>
            </w:pPr>
            <w:r>
              <w:rPr>
                <w:rFonts w:ascii="Times New Roman" w:eastAsia="Times New Roman" w:hAnsi="Times New Roman"/>
                <w:b/>
                <w:color w:val="000000"/>
                <w:position w:val="0"/>
                <w:sz w:val="20"/>
                <w:szCs w:val="20"/>
              </w:rPr>
              <w:t>Kelas guna tanah</w:t>
            </w:r>
          </w:p>
        </w:tc>
        <w:tc>
          <w:tcPr>
            <w:tcW w:w="1061" w:type="dxa"/>
            <w:tcBorders>
              <w:top w:val="single" w:sz="4" w:space="0" w:color="auto"/>
              <w:bottom w:val="single" w:sz="4" w:space="0" w:color="auto"/>
            </w:tcBorders>
            <w:shd w:val="clear" w:color="auto" w:fill="8DB3E2"/>
            <w:noWrap/>
            <w:hideMark/>
          </w:tcPr>
          <w:p w14:paraId="6D56CA47" w14:textId="77777777" w:rsidR="00B027A9" w:rsidRDefault="00AE2895">
            <w:pPr>
              <w:suppressAutoHyphens w:val="0"/>
              <w:ind w:leftChars="0" w:left="0" w:firstLineChars="0" w:firstLine="0"/>
              <w:jc w:val="center"/>
              <w:textDirection w:val="lrTb"/>
              <w:textAlignment w:val="auto"/>
              <w:outlineLvl w:val="9"/>
              <w:rPr>
                <w:rFonts w:ascii="Times New Roman" w:hAnsi="Times New Roman"/>
                <w:b/>
                <w:color w:val="000000"/>
                <w:position w:val="0"/>
                <w:sz w:val="20"/>
                <w:szCs w:val="20"/>
              </w:rPr>
            </w:pPr>
            <w:r>
              <w:rPr>
                <w:rFonts w:ascii="Times New Roman" w:eastAsia="Times New Roman" w:hAnsi="Times New Roman"/>
                <w:b/>
                <w:color w:val="000000"/>
                <w:position w:val="0"/>
                <w:sz w:val="20"/>
                <w:szCs w:val="20"/>
              </w:rPr>
              <w:t>Pertanian</w:t>
            </w:r>
          </w:p>
        </w:tc>
        <w:tc>
          <w:tcPr>
            <w:tcW w:w="844" w:type="dxa"/>
            <w:tcBorders>
              <w:top w:val="single" w:sz="4" w:space="0" w:color="auto"/>
              <w:bottom w:val="single" w:sz="4" w:space="0" w:color="auto"/>
            </w:tcBorders>
            <w:shd w:val="clear" w:color="auto" w:fill="8DB3E2"/>
            <w:noWrap/>
            <w:hideMark/>
          </w:tcPr>
          <w:p w14:paraId="359AF477" w14:textId="77777777" w:rsidR="00B027A9" w:rsidRDefault="00AE2895">
            <w:pPr>
              <w:suppressAutoHyphens w:val="0"/>
              <w:ind w:leftChars="0" w:left="0" w:firstLineChars="0" w:firstLine="0"/>
              <w:jc w:val="center"/>
              <w:textDirection w:val="lrTb"/>
              <w:textAlignment w:val="auto"/>
              <w:outlineLvl w:val="9"/>
              <w:rPr>
                <w:rFonts w:ascii="Times New Roman" w:hAnsi="Times New Roman"/>
                <w:b/>
                <w:color w:val="000000"/>
                <w:position w:val="0"/>
                <w:sz w:val="20"/>
                <w:szCs w:val="20"/>
              </w:rPr>
            </w:pPr>
            <w:r>
              <w:rPr>
                <w:rFonts w:ascii="Times New Roman" w:eastAsia="Times New Roman" w:hAnsi="Times New Roman"/>
                <w:b/>
                <w:color w:val="000000"/>
                <w:position w:val="0"/>
                <w:sz w:val="20"/>
                <w:szCs w:val="20"/>
              </w:rPr>
              <w:t>Binaan</w:t>
            </w:r>
          </w:p>
        </w:tc>
        <w:tc>
          <w:tcPr>
            <w:tcW w:w="850" w:type="dxa"/>
            <w:tcBorders>
              <w:top w:val="single" w:sz="4" w:space="0" w:color="auto"/>
              <w:bottom w:val="single" w:sz="4" w:space="0" w:color="auto"/>
            </w:tcBorders>
            <w:shd w:val="clear" w:color="auto" w:fill="8DB3E2"/>
            <w:noWrap/>
            <w:hideMark/>
          </w:tcPr>
          <w:p w14:paraId="14A137A6" w14:textId="77777777" w:rsidR="00B027A9" w:rsidRDefault="00AE2895">
            <w:pPr>
              <w:suppressAutoHyphens w:val="0"/>
              <w:ind w:leftChars="0" w:left="0" w:firstLineChars="0" w:firstLine="0"/>
              <w:jc w:val="center"/>
              <w:textDirection w:val="lrTb"/>
              <w:textAlignment w:val="auto"/>
              <w:outlineLvl w:val="9"/>
              <w:rPr>
                <w:rFonts w:ascii="Times New Roman" w:hAnsi="Times New Roman"/>
                <w:b/>
                <w:color w:val="000000"/>
                <w:position w:val="0"/>
                <w:sz w:val="20"/>
                <w:szCs w:val="20"/>
              </w:rPr>
            </w:pPr>
            <w:r>
              <w:rPr>
                <w:rFonts w:ascii="Times New Roman" w:eastAsia="Times New Roman" w:hAnsi="Times New Roman"/>
                <w:b/>
                <w:color w:val="000000"/>
                <w:position w:val="0"/>
                <w:sz w:val="20"/>
                <w:szCs w:val="20"/>
              </w:rPr>
              <w:t>Hutan</w:t>
            </w:r>
          </w:p>
        </w:tc>
        <w:tc>
          <w:tcPr>
            <w:tcW w:w="1134" w:type="dxa"/>
            <w:tcBorders>
              <w:top w:val="single" w:sz="4" w:space="0" w:color="auto"/>
              <w:bottom w:val="single" w:sz="4" w:space="0" w:color="auto"/>
            </w:tcBorders>
            <w:shd w:val="clear" w:color="auto" w:fill="8DB3E2"/>
            <w:noWrap/>
            <w:hideMark/>
          </w:tcPr>
          <w:p w14:paraId="07E09A8C" w14:textId="77777777" w:rsidR="00B027A9" w:rsidRDefault="00AE2895">
            <w:pPr>
              <w:suppressAutoHyphens w:val="0"/>
              <w:ind w:leftChars="0" w:left="0" w:firstLineChars="0" w:firstLine="0"/>
              <w:jc w:val="center"/>
              <w:textDirection w:val="lrTb"/>
              <w:textAlignment w:val="auto"/>
              <w:outlineLvl w:val="9"/>
              <w:rPr>
                <w:rFonts w:ascii="Times New Roman" w:hAnsi="Times New Roman"/>
                <w:b/>
                <w:color w:val="000000"/>
                <w:position w:val="0"/>
                <w:sz w:val="20"/>
                <w:szCs w:val="20"/>
              </w:rPr>
            </w:pPr>
            <w:r>
              <w:rPr>
                <w:rFonts w:ascii="Times New Roman" w:eastAsia="Times New Roman" w:hAnsi="Times New Roman"/>
                <w:b/>
                <w:color w:val="000000"/>
                <w:position w:val="0"/>
                <w:sz w:val="20"/>
                <w:szCs w:val="20"/>
              </w:rPr>
              <w:t>Badan air</w:t>
            </w:r>
          </w:p>
        </w:tc>
      </w:tr>
      <w:tr w:rsidR="00B027A9" w14:paraId="437B2109" w14:textId="77777777">
        <w:trPr>
          <w:trHeight w:val="175"/>
          <w:jc w:val="center"/>
        </w:trPr>
        <w:tc>
          <w:tcPr>
            <w:tcW w:w="1776" w:type="dxa"/>
            <w:tcBorders>
              <w:top w:val="single" w:sz="4" w:space="0" w:color="auto"/>
            </w:tcBorders>
            <w:noWrap/>
            <w:hideMark/>
          </w:tcPr>
          <w:p w14:paraId="5EF540BD" w14:textId="77777777" w:rsidR="00B027A9" w:rsidRDefault="00AE2895">
            <w:pPr>
              <w:suppressAutoHyphens w:val="0"/>
              <w:ind w:leftChars="0" w:left="0" w:firstLineChars="0" w:firstLine="0"/>
              <w:jc w:val="center"/>
              <w:textDirection w:val="lrTb"/>
              <w:textAlignment w:val="auto"/>
              <w:outlineLvl w:val="9"/>
              <w:rPr>
                <w:rFonts w:ascii="Times New Roman" w:hAnsi="Times New Roman"/>
                <w:color w:val="000000"/>
                <w:position w:val="0"/>
                <w:sz w:val="20"/>
                <w:szCs w:val="20"/>
              </w:rPr>
            </w:pPr>
            <w:r>
              <w:rPr>
                <w:rFonts w:ascii="Times New Roman" w:eastAsia="Times New Roman" w:hAnsi="Times New Roman"/>
                <w:color w:val="000000"/>
                <w:position w:val="0"/>
                <w:sz w:val="20"/>
                <w:szCs w:val="20"/>
              </w:rPr>
              <w:t>Hujan</w:t>
            </w:r>
          </w:p>
        </w:tc>
        <w:tc>
          <w:tcPr>
            <w:tcW w:w="1061" w:type="dxa"/>
            <w:tcBorders>
              <w:top w:val="single" w:sz="4" w:space="0" w:color="auto"/>
            </w:tcBorders>
            <w:noWrap/>
            <w:hideMark/>
          </w:tcPr>
          <w:p w14:paraId="01C17558" w14:textId="77777777" w:rsidR="00B027A9" w:rsidRDefault="00AE2895">
            <w:pPr>
              <w:suppressAutoHyphens w:val="0"/>
              <w:ind w:leftChars="0" w:left="0" w:firstLineChars="0" w:firstLine="0"/>
              <w:jc w:val="center"/>
              <w:textDirection w:val="lrTb"/>
              <w:textAlignment w:val="auto"/>
              <w:outlineLvl w:val="9"/>
              <w:rPr>
                <w:rFonts w:ascii="Times New Roman" w:eastAsia="Times New Roman" w:hAnsi="Times New Roman"/>
                <w:color w:val="000000"/>
                <w:position w:val="0"/>
                <w:sz w:val="20"/>
                <w:szCs w:val="20"/>
              </w:rPr>
            </w:pPr>
            <w:r>
              <w:rPr>
                <w:rFonts w:ascii="Times New Roman" w:eastAsia="Times New Roman" w:hAnsi="Times New Roman"/>
                <w:color w:val="000000"/>
                <w:position w:val="0"/>
                <w:sz w:val="20"/>
                <w:szCs w:val="24"/>
              </w:rPr>
              <w:t>0.43</w:t>
            </w:r>
          </w:p>
        </w:tc>
        <w:tc>
          <w:tcPr>
            <w:tcW w:w="844" w:type="dxa"/>
            <w:tcBorders>
              <w:top w:val="single" w:sz="4" w:space="0" w:color="auto"/>
            </w:tcBorders>
            <w:noWrap/>
            <w:hideMark/>
          </w:tcPr>
          <w:p w14:paraId="75BF6CE9" w14:textId="77777777" w:rsidR="00B027A9" w:rsidRDefault="00AE2895">
            <w:pPr>
              <w:suppressAutoHyphens w:val="0"/>
              <w:ind w:leftChars="0" w:left="0" w:firstLineChars="0" w:firstLine="0"/>
              <w:jc w:val="center"/>
              <w:textDirection w:val="lrTb"/>
              <w:textAlignment w:val="auto"/>
              <w:outlineLvl w:val="9"/>
              <w:rPr>
                <w:rFonts w:ascii="Times New Roman" w:eastAsia="Times New Roman" w:hAnsi="Times New Roman"/>
                <w:color w:val="000000"/>
                <w:position w:val="0"/>
                <w:sz w:val="20"/>
                <w:szCs w:val="20"/>
              </w:rPr>
            </w:pPr>
            <w:r>
              <w:rPr>
                <w:rFonts w:ascii="Times New Roman" w:eastAsia="Times New Roman" w:hAnsi="Times New Roman"/>
                <w:color w:val="000000"/>
                <w:position w:val="0"/>
                <w:sz w:val="20"/>
                <w:szCs w:val="24"/>
              </w:rPr>
              <w:t>0.44</w:t>
            </w:r>
          </w:p>
        </w:tc>
        <w:tc>
          <w:tcPr>
            <w:tcW w:w="850" w:type="dxa"/>
            <w:tcBorders>
              <w:top w:val="single" w:sz="4" w:space="0" w:color="auto"/>
            </w:tcBorders>
            <w:noWrap/>
            <w:hideMark/>
          </w:tcPr>
          <w:p w14:paraId="4BC20C79" w14:textId="77777777" w:rsidR="00B027A9" w:rsidRDefault="00AE2895">
            <w:pPr>
              <w:suppressAutoHyphens w:val="0"/>
              <w:ind w:leftChars="0" w:left="0" w:firstLineChars="0" w:firstLine="0"/>
              <w:jc w:val="center"/>
              <w:textDirection w:val="lrTb"/>
              <w:textAlignment w:val="auto"/>
              <w:outlineLvl w:val="9"/>
              <w:rPr>
                <w:rFonts w:ascii="Times New Roman" w:eastAsia="Times New Roman" w:hAnsi="Times New Roman"/>
                <w:color w:val="000000"/>
                <w:position w:val="0"/>
                <w:sz w:val="20"/>
                <w:szCs w:val="20"/>
              </w:rPr>
            </w:pPr>
            <w:r>
              <w:rPr>
                <w:rFonts w:ascii="Times New Roman" w:eastAsia="Times New Roman" w:hAnsi="Times New Roman"/>
                <w:color w:val="000000"/>
                <w:position w:val="0"/>
                <w:sz w:val="20"/>
                <w:szCs w:val="24"/>
              </w:rPr>
              <w:t>0.90</w:t>
            </w:r>
          </w:p>
        </w:tc>
        <w:tc>
          <w:tcPr>
            <w:tcW w:w="1134" w:type="dxa"/>
            <w:tcBorders>
              <w:top w:val="single" w:sz="4" w:space="0" w:color="auto"/>
            </w:tcBorders>
            <w:noWrap/>
            <w:hideMark/>
          </w:tcPr>
          <w:p w14:paraId="6E656907" w14:textId="77777777" w:rsidR="00B027A9" w:rsidRDefault="00AE2895">
            <w:pPr>
              <w:suppressAutoHyphens w:val="0"/>
              <w:ind w:leftChars="0" w:left="0" w:firstLineChars="0" w:firstLine="0"/>
              <w:jc w:val="center"/>
              <w:textDirection w:val="lrTb"/>
              <w:textAlignment w:val="auto"/>
              <w:outlineLvl w:val="9"/>
              <w:rPr>
                <w:rFonts w:ascii="Times New Roman" w:eastAsia="Times New Roman" w:hAnsi="Times New Roman"/>
                <w:color w:val="000000"/>
                <w:position w:val="0"/>
                <w:sz w:val="20"/>
                <w:szCs w:val="20"/>
              </w:rPr>
            </w:pPr>
            <w:r>
              <w:rPr>
                <w:rFonts w:ascii="Times New Roman" w:eastAsia="Times New Roman" w:hAnsi="Times New Roman"/>
                <w:color w:val="000000"/>
                <w:position w:val="0"/>
                <w:sz w:val="20"/>
                <w:szCs w:val="24"/>
              </w:rPr>
              <w:t>0.12</w:t>
            </w:r>
          </w:p>
        </w:tc>
      </w:tr>
      <w:tr w:rsidR="00B027A9" w14:paraId="306DB175" w14:textId="77777777">
        <w:trPr>
          <w:trHeight w:val="207"/>
          <w:jc w:val="center"/>
        </w:trPr>
        <w:tc>
          <w:tcPr>
            <w:tcW w:w="1776" w:type="dxa"/>
            <w:noWrap/>
            <w:hideMark/>
          </w:tcPr>
          <w:p w14:paraId="65AF3AE5" w14:textId="77777777" w:rsidR="00B027A9" w:rsidRDefault="00AE2895">
            <w:pPr>
              <w:suppressAutoHyphens w:val="0"/>
              <w:ind w:leftChars="0" w:left="0" w:firstLineChars="0" w:firstLine="0"/>
              <w:jc w:val="center"/>
              <w:textDirection w:val="lrTb"/>
              <w:textAlignment w:val="auto"/>
              <w:outlineLvl w:val="9"/>
              <w:rPr>
                <w:rFonts w:ascii="Times New Roman" w:hAnsi="Times New Roman"/>
                <w:color w:val="000000"/>
                <w:position w:val="0"/>
                <w:sz w:val="20"/>
                <w:szCs w:val="20"/>
              </w:rPr>
            </w:pPr>
            <w:r>
              <w:rPr>
                <w:rFonts w:ascii="Times New Roman" w:eastAsia="Times New Roman" w:hAnsi="Times New Roman"/>
                <w:color w:val="000000"/>
                <w:position w:val="0"/>
                <w:sz w:val="20"/>
                <w:szCs w:val="20"/>
              </w:rPr>
              <w:t>Tmax</w:t>
            </w:r>
          </w:p>
        </w:tc>
        <w:tc>
          <w:tcPr>
            <w:tcW w:w="1061" w:type="dxa"/>
            <w:noWrap/>
            <w:hideMark/>
          </w:tcPr>
          <w:p w14:paraId="0E736139" w14:textId="77777777" w:rsidR="00B027A9" w:rsidRDefault="00AE2895">
            <w:pPr>
              <w:suppressAutoHyphens w:val="0"/>
              <w:ind w:leftChars="0" w:left="0" w:firstLineChars="0" w:firstLine="0"/>
              <w:jc w:val="center"/>
              <w:textDirection w:val="lrTb"/>
              <w:textAlignment w:val="auto"/>
              <w:outlineLvl w:val="9"/>
              <w:rPr>
                <w:rFonts w:ascii="Times New Roman" w:eastAsia="Times New Roman" w:hAnsi="Times New Roman"/>
                <w:color w:val="000000"/>
                <w:position w:val="0"/>
                <w:sz w:val="20"/>
                <w:szCs w:val="20"/>
              </w:rPr>
            </w:pPr>
            <w:r>
              <w:rPr>
                <w:rFonts w:ascii="Times New Roman" w:eastAsia="Times New Roman" w:hAnsi="Times New Roman"/>
                <w:color w:val="000000"/>
                <w:position w:val="0"/>
                <w:sz w:val="20"/>
                <w:szCs w:val="24"/>
              </w:rPr>
              <w:t>0.41</w:t>
            </w:r>
          </w:p>
        </w:tc>
        <w:tc>
          <w:tcPr>
            <w:tcW w:w="844" w:type="dxa"/>
            <w:noWrap/>
            <w:hideMark/>
          </w:tcPr>
          <w:p w14:paraId="7B658F1C" w14:textId="77777777" w:rsidR="00B027A9" w:rsidRDefault="00AE2895">
            <w:pPr>
              <w:suppressAutoHyphens w:val="0"/>
              <w:ind w:leftChars="0" w:left="0" w:firstLineChars="0" w:firstLine="0"/>
              <w:jc w:val="center"/>
              <w:textDirection w:val="lrTb"/>
              <w:textAlignment w:val="auto"/>
              <w:outlineLvl w:val="9"/>
              <w:rPr>
                <w:rFonts w:ascii="Times New Roman" w:eastAsia="Times New Roman" w:hAnsi="Times New Roman"/>
                <w:color w:val="000000"/>
                <w:position w:val="0"/>
                <w:sz w:val="20"/>
                <w:szCs w:val="20"/>
              </w:rPr>
            </w:pPr>
            <w:r>
              <w:rPr>
                <w:rFonts w:ascii="Times New Roman" w:eastAsia="Times New Roman" w:hAnsi="Times New Roman"/>
                <w:color w:val="000000"/>
                <w:position w:val="0"/>
                <w:sz w:val="20"/>
                <w:szCs w:val="24"/>
              </w:rPr>
              <w:t>0.14</w:t>
            </w:r>
          </w:p>
        </w:tc>
        <w:tc>
          <w:tcPr>
            <w:tcW w:w="850" w:type="dxa"/>
            <w:noWrap/>
            <w:hideMark/>
          </w:tcPr>
          <w:p w14:paraId="02302959" w14:textId="77777777" w:rsidR="00B027A9" w:rsidRDefault="00AE2895">
            <w:pPr>
              <w:suppressAutoHyphens w:val="0"/>
              <w:ind w:leftChars="0" w:left="0" w:firstLineChars="0" w:firstLine="0"/>
              <w:jc w:val="center"/>
              <w:textDirection w:val="lrTb"/>
              <w:textAlignment w:val="auto"/>
              <w:outlineLvl w:val="9"/>
              <w:rPr>
                <w:rFonts w:ascii="Times New Roman" w:eastAsia="Times New Roman" w:hAnsi="Times New Roman"/>
                <w:color w:val="000000"/>
                <w:position w:val="0"/>
                <w:sz w:val="20"/>
                <w:szCs w:val="20"/>
              </w:rPr>
            </w:pPr>
            <w:r>
              <w:rPr>
                <w:rFonts w:ascii="Times New Roman" w:eastAsia="Times New Roman" w:hAnsi="Times New Roman"/>
                <w:color w:val="000000"/>
                <w:position w:val="0"/>
                <w:sz w:val="20"/>
                <w:szCs w:val="24"/>
              </w:rPr>
              <w:t>0.12</w:t>
            </w:r>
          </w:p>
        </w:tc>
        <w:tc>
          <w:tcPr>
            <w:tcW w:w="1134" w:type="dxa"/>
            <w:noWrap/>
            <w:hideMark/>
          </w:tcPr>
          <w:p w14:paraId="0CAEFEB2" w14:textId="77777777" w:rsidR="00B027A9" w:rsidRDefault="00AE2895">
            <w:pPr>
              <w:suppressAutoHyphens w:val="0"/>
              <w:ind w:leftChars="0" w:left="0" w:firstLineChars="0" w:firstLine="0"/>
              <w:jc w:val="center"/>
              <w:textDirection w:val="lrTb"/>
              <w:textAlignment w:val="auto"/>
              <w:outlineLvl w:val="9"/>
              <w:rPr>
                <w:rFonts w:ascii="Times New Roman" w:eastAsia="Times New Roman" w:hAnsi="Times New Roman"/>
                <w:color w:val="000000"/>
                <w:position w:val="0"/>
                <w:sz w:val="20"/>
                <w:szCs w:val="20"/>
              </w:rPr>
            </w:pPr>
            <w:r>
              <w:rPr>
                <w:rFonts w:ascii="Times New Roman" w:eastAsia="Times New Roman" w:hAnsi="Times New Roman"/>
                <w:color w:val="000000"/>
                <w:position w:val="0"/>
                <w:sz w:val="20"/>
                <w:szCs w:val="24"/>
              </w:rPr>
              <w:t>0.44</w:t>
            </w:r>
          </w:p>
        </w:tc>
      </w:tr>
      <w:tr w:rsidR="00B027A9" w14:paraId="63869005" w14:textId="77777777">
        <w:trPr>
          <w:trHeight w:val="111"/>
          <w:jc w:val="center"/>
        </w:trPr>
        <w:tc>
          <w:tcPr>
            <w:tcW w:w="1776" w:type="dxa"/>
            <w:noWrap/>
            <w:hideMark/>
          </w:tcPr>
          <w:p w14:paraId="7B3DA836" w14:textId="77777777" w:rsidR="00B027A9" w:rsidRDefault="00AE2895">
            <w:pPr>
              <w:suppressAutoHyphens w:val="0"/>
              <w:ind w:leftChars="0" w:left="0" w:firstLineChars="0" w:firstLine="0"/>
              <w:jc w:val="center"/>
              <w:textDirection w:val="lrTb"/>
              <w:textAlignment w:val="auto"/>
              <w:outlineLvl w:val="9"/>
              <w:rPr>
                <w:rFonts w:ascii="Times New Roman" w:hAnsi="Times New Roman"/>
                <w:color w:val="000000"/>
                <w:position w:val="0"/>
                <w:sz w:val="20"/>
                <w:szCs w:val="20"/>
              </w:rPr>
            </w:pPr>
            <w:r>
              <w:rPr>
                <w:rFonts w:ascii="Times New Roman" w:eastAsia="Times New Roman" w:hAnsi="Times New Roman"/>
                <w:color w:val="000000"/>
                <w:position w:val="0"/>
                <w:sz w:val="20"/>
                <w:szCs w:val="20"/>
              </w:rPr>
              <w:t>Tmin</w:t>
            </w:r>
          </w:p>
        </w:tc>
        <w:tc>
          <w:tcPr>
            <w:tcW w:w="1061" w:type="dxa"/>
            <w:noWrap/>
            <w:hideMark/>
          </w:tcPr>
          <w:p w14:paraId="076B24F5" w14:textId="77777777" w:rsidR="00B027A9" w:rsidRDefault="00AE2895">
            <w:pPr>
              <w:suppressAutoHyphens w:val="0"/>
              <w:ind w:leftChars="0" w:left="0" w:firstLineChars="0" w:firstLine="0"/>
              <w:jc w:val="center"/>
              <w:textDirection w:val="lrTb"/>
              <w:textAlignment w:val="auto"/>
              <w:outlineLvl w:val="9"/>
              <w:rPr>
                <w:rFonts w:ascii="Times New Roman" w:eastAsia="Times New Roman" w:hAnsi="Times New Roman"/>
                <w:color w:val="000000"/>
                <w:position w:val="0"/>
                <w:sz w:val="20"/>
                <w:szCs w:val="20"/>
              </w:rPr>
            </w:pPr>
            <w:r>
              <w:rPr>
                <w:rFonts w:ascii="Times New Roman" w:eastAsia="Times New Roman" w:hAnsi="Times New Roman"/>
                <w:color w:val="000000"/>
                <w:position w:val="0"/>
                <w:sz w:val="20"/>
                <w:szCs w:val="24"/>
              </w:rPr>
              <w:t>0.09</w:t>
            </w:r>
          </w:p>
        </w:tc>
        <w:tc>
          <w:tcPr>
            <w:tcW w:w="844" w:type="dxa"/>
            <w:noWrap/>
            <w:hideMark/>
          </w:tcPr>
          <w:p w14:paraId="34757424" w14:textId="77777777" w:rsidR="00B027A9" w:rsidRDefault="00AE2895">
            <w:pPr>
              <w:suppressAutoHyphens w:val="0"/>
              <w:ind w:leftChars="0" w:left="0" w:firstLineChars="0" w:firstLine="0"/>
              <w:jc w:val="center"/>
              <w:textDirection w:val="lrTb"/>
              <w:textAlignment w:val="auto"/>
              <w:outlineLvl w:val="9"/>
              <w:rPr>
                <w:rFonts w:ascii="Times New Roman" w:eastAsia="Times New Roman" w:hAnsi="Times New Roman"/>
                <w:color w:val="000000"/>
                <w:position w:val="0"/>
                <w:sz w:val="20"/>
                <w:szCs w:val="20"/>
              </w:rPr>
            </w:pPr>
            <w:r>
              <w:rPr>
                <w:rFonts w:ascii="Times New Roman" w:eastAsia="Times New Roman" w:hAnsi="Times New Roman"/>
                <w:color w:val="000000"/>
                <w:position w:val="0"/>
                <w:sz w:val="20"/>
                <w:szCs w:val="24"/>
              </w:rPr>
              <w:t>0.01</w:t>
            </w:r>
          </w:p>
        </w:tc>
        <w:tc>
          <w:tcPr>
            <w:tcW w:w="850" w:type="dxa"/>
            <w:noWrap/>
            <w:hideMark/>
          </w:tcPr>
          <w:p w14:paraId="18F55835" w14:textId="77777777" w:rsidR="00B027A9" w:rsidRDefault="00AE2895">
            <w:pPr>
              <w:suppressAutoHyphens w:val="0"/>
              <w:ind w:leftChars="0" w:left="0" w:firstLineChars="0" w:firstLine="0"/>
              <w:jc w:val="center"/>
              <w:textDirection w:val="lrTb"/>
              <w:textAlignment w:val="auto"/>
              <w:outlineLvl w:val="9"/>
              <w:rPr>
                <w:rFonts w:ascii="Times New Roman" w:eastAsia="Times New Roman" w:hAnsi="Times New Roman"/>
                <w:color w:val="000000"/>
                <w:position w:val="0"/>
                <w:sz w:val="20"/>
                <w:szCs w:val="20"/>
              </w:rPr>
            </w:pPr>
            <w:r>
              <w:rPr>
                <w:rFonts w:ascii="Times New Roman" w:eastAsia="Times New Roman" w:hAnsi="Times New Roman"/>
                <w:color w:val="000000"/>
                <w:position w:val="0"/>
                <w:sz w:val="20"/>
                <w:szCs w:val="24"/>
              </w:rPr>
              <w:t>0.29</w:t>
            </w:r>
          </w:p>
        </w:tc>
        <w:tc>
          <w:tcPr>
            <w:tcW w:w="1134" w:type="dxa"/>
            <w:noWrap/>
            <w:hideMark/>
          </w:tcPr>
          <w:p w14:paraId="1745958A" w14:textId="77777777" w:rsidR="00B027A9" w:rsidRDefault="00AE2895">
            <w:pPr>
              <w:suppressAutoHyphens w:val="0"/>
              <w:ind w:leftChars="0" w:left="0" w:firstLineChars="0" w:firstLine="0"/>
              <w:jc w:val="center"/>
              <w:textDirection w:val="lrTb"/>
              <w:textAlignment w:val="auto"/>
              <w:outlineLvl w:val="9"/>
              <w:rPr>
                <w:rFonts w:ascii="Times New Roman" w:eastAsia="Times New Roman" w:hAnsi="Times New Roman"/>
                <w:color w:val="000000"/>
                <w:position w:val="0"/>
                <w:sz w:val="20"/>
                <w:szCs w:val="20"/>
              </w:rPr>
            </w:pPr>
            <w:r>
              <w:rPr>
                <w:rFonts w:ascii="Times New Roman" w:eastAsia="Times New Roman" w:hAnsi="Times New Roman"/>
                <w:color w:val="000000"/>
                <w:position w:val="0"/>
                <w:sz w:val="20"/>
                <w:szCs w:val="24"/>
              </w:rPr>
              <w:t>0.00</w:t>
            </w:r>
          </w:p>
        </w:tc>
      </w:tr>
      <w:tr w:rsidR="00B027A9" w14:paraId="68A2E520" w14:textId="77777777">
        <w:trPr>
          <w:trHeight w:val="157"/>
          <w:jc w:val="center"/>
        </w:trPr>
        <w:tc>
          <w:tcPr>
            <w:tcW w:w="1776" w:type="dxa"/>
            <w:tcBorders>
              <w:bottom w:val="single" w:sz="4" w:space="0" w:color="auto"/>
            </w:tcBorders>
            <w:noWrap/>
            <w:hideMark/>
          </w:tcPr>
          <w:p w14:paraId="3C4FF532" w14:textId="77777777" w:rsidR="00B027A9" w:rsidRDefault="00AE2895">
            <w:pPr>
              <w:suppressAutoHyphens w:val="0"/>
              <w:ind w:leftChars="0" w:left="0" w:firstLineChars="0" w:firstLine="0"/>
              <w:jc w:val="center"/>
              <w:textDirection w:val="lrTb"/>
              <w:textAlignment w:val="auto"/>
              <w:outlineLvl w:val="9"/>
              <w:rPr>
                <w:rFonts w:ascii="Times New Roman" w:hAnsi="Times New Roman"/>
                <w:color w:val="000000"/>
                <w:position w:val="0"/>
                <w:sz w:val="20"/>
                <w:szCs w:val="20"/>
              </w:rPr>
            </w:pPr>
            <w:r>
              <w:rPr>
                <w:rFonts w:ascii="Times New Roman" w:eastAsia="Times New Roman" w:hAnsi="Times New Roman"/>
                <w:color w:val="000000"/>
                <w:position w:val="0"/>
                <w:sz w:val="20"/>
                <w:szCs w:val="20"/>
              </w:rPr>
              <w:t>Tmean</w:t>
            </w:r>
          </w:p>
        </w:tc>
        <w:tc>
          <w:tcPr>
            <w:tcW w:w="1061" w:type="dxa"/>
            <w:tcBorders>
              <w:bottom w:val="single" w:sz="4" w:space="0" w:color="auto"/>
            </w:tcBorders>
            <w:noWrap/>
            <w:hideMark/>
          </w:tcPr>
          <w:p w14:paraId="627E4FC9" w14:textId="77777777" w:rsidR="00B027A9" w:rsidRDefault="00AE2895">
            <w:pPr>
              <w:suppressAutoHyphens w:val="0"/>
              <w:ind w:leftChars="0" w:left="0" w:firstLineChars="0" w:firstLine="0"/>
              <w:jc w:val="center"/>
              <w:textDirection w:val="lrTb"/>
              <w:textAlignment w:val="auto"/>
              <w:outlineLvl w:val="9"/>
              <w:rPr>
                <w:rFonts w:ascii="Times New Roman" w:eastAsia="Times New Roman" w:hAnsi="Times New Roman"/>
                <w:color w:val="000000"/>
                <w:position w:val="0"/>
                <w:sz w:val="20"/>
                <w:szCs w:val="20"/>
              </w:rPr>
            </w:pPr>
            <w:r>
              <w:rPr>
                <w:rFonts w:ascii="Times New Roman" w:eastAsia="Times New Roman" w:hAnsi="Times New Roman"/>
                <w:color w:val="000000"/>
                <w:position w:val="0"/>
                <w:sz w:val="20"/>
                <w:szCs w:val="24"/>
              </w:rPr>
              <w:t>0.19</w:t>
            </w:r>
          </w:p>
        </w:tc>
        <w:tc>
          <w:tcPr>
            <w:tcW w:w="844" w:type="dxa"/>
            <w:tcBorders>
              <w:bottom w:val="single" w:sz="4" w:space="0" w:color="auto"/>
            </w:tcBorders>
            <w:noWrap/>
            <w:hideMark/>
          </w:tcPr>
          <w:p w14:paraId="22C7BCF2" w14:textId="77777777" w:rsidR="00B027A9" w:rsidRDefault="00AE2895">
            <w:pPr>
              <w:suppressAutoHyphens w:val="0"/>
              <w:ind w:leftChars="0" w:left="0" w:firstLineChars="0" w:firstLine="0"/>
              <w:jc w:val="center"/>
              <w:textDirection w:val="lrTb"/>
              <w:textAlignment w:val="auto"/>
              <w:outlineLvl w:val="9"/>
              <w:rPr>
                <w:rFonts w:ascii="Times New Roman" w:eastAsia="Times New Roman" w:hAnsi="Times New Roman"/>
                <w:color w:val="000000"/>
                <w:position w:val="0"/>
                <w:sz w:val="20"/>
                <w:szCs w:val="20"/>
              </w:rPr>
            </w:pPr>
            <w:r>
              <w:rPr>
                <w:rFonts w:ascii="Times New Roman" w:eastAsia="Times New Roman" w:hAnsi="Times New Roman"/>
                <w:color w:val="000000"/>
                <w:position w:val="0"/>
                <w:sz w:val="20"/>
                <w:szCs w:val="24"/>
              </w:rPr>
              <w:t>0.02</w:t>
            </w:r>
          </w:p>
        </w:tc>
        <w:tc>
          <w:tcPr>
            <w:tcW w:w="850" w:type="dxa"/>
            <w:tcBorders>
              <w:bottom w:val="single" w:sz="4" w:space="0" w:color="auto"/>
            </w:tcBorders>
            <w:noWrap/>
            <w:hideMark/>
          </w:tcPr>
          <w:p w14:paraId="63A84B1B" w14:textId="77777777" w:rsidR="00B027A9" w:rsidRDefault="00AE2895">
            <w:pPr>
              <w:suppressAutoHyphens w:val="0"/>
              <w:ind w:leftChars="0" w:left="0" w:firstLineChars="0" w:firstLine="0"/>
              <w:jc w:val="center"/>
              <w:textDirection w:val="lrTb"/>
              <w:textAlignment w:val="auto"/>
              <w:outlineLvl w:val="9"/>
              <w:rPr>
                <w:rFonts w:ascii="Times New Roman" w:eastAsia="Times New Roman" w:hAnsi="Times New Roman"/>
                <w:color w:val="000000"/>
                <w:position w:val="0"/>
                <w:sz w:val="20"/>
                <w:szCs w:val="20"/>
              </w:rPr>
            </w:pPr>
            <w:r>
              <w:rPr>
                <w:rFonts w:ascii="Times New Roman" w:eastAsia="Times New Roman" w:hAnsi="Times New Roman"/>
                <w:color w:val="000000"/>
                <w:position w:val="0"/>
                <w:sz w:val="20"/>
                <w:szCs w:val="24"/>
              </w:rPr>
              <w:t>0.11</w:t>
            </w:r>
          </w:p>
        </w:tc>
        <w:tc>
          <w:tcPr>
            <w:tcW w:w="1134" w:type="dxa"/>
            <w:tcBorders>
              <w:bottom w:val="single" w:sz="4" w:space="0" w:color="auto"/>
            </w:tcBorders>
            <w:noWrap/>
            <w:hideMark/>
          </w:tcPr>
          <w:p w14:paraId="4A5637AE" w14:textId="77777777" w:rsidR="00B027A9" w:rsidRDefault="00AE2895">
            <w:pPr>
              <w:suppressAutoHyphens w:val="0"/>
              <w:ind w:leftChars="0" w:left="0" w:firstLineChars="0" w:firstLine="0"/>
              <w:jc w:val="center"/>
              <w:textDirection w:val="lrTb"/>
              <w:textAlignment w:val="auto"/>
              <w:outlineLvl w:val="9"/>
              <w:rPr>
                <w:rFonts w:ascii="Times New Roman" w:eastAsia="Times New Roman" w:hAnsi="Times New Roman"/>
                <w:color w:val="000000"/>
                <w:position w:val="0"/>
                <w:sz w:val="20"/>
                <w:szCs w:val="20"/>
              </w:rPr>
            </w:pPr>
            <w:r>
              <w:rPr>
                <w:rFonts w:ascii="Times New Roman" w:eastAsia="Times New Roman" w:hAnsi="Times New Roman"/>
                <w:color w:val="000000"/>
                <w:position w:val="0"/>
                <w:sz w:val="20"/>
                <w:szCs w:val="24"/>
              </w:rPr>
              <w:t>0.18</w:t>
            </w:r>
          </w:p>
        </w:tc>
      </w:tr>
    </w:tbl>
    <w:p w14:paraId="4C3CF170" w14:textId="77777777" w:rsidR="00B027A9" w:rsidRDefault="00B027A9">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b/>
          <w:position w:val="0"/>
          <w:sz w:val="24"/>
          <w:szCs w:val="24"/>
        </w:rPr>
      </w:pPr>
    </w:p>
    <w:p w14:paraId="59073658" w14:textId="77777777" w:rsidR="00B027A9" w:rsidRDefault="00B027A9">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b/>
          <w:position w:val="0"/>
          <w:sz w:val="24"/>
          <w:szCs w:val="24"/>
        </w:rPr>
      </w:pPr>
    </w:p>
    <w:p w14:paraId="04BCB3F3" w14:textId="77777777" w:rsidR="00B027A9" w:rsidRDefault="00AE2895">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b/>
          <w:position w:val="0"/>
          <w:sz w:val="24"/>
          <w:szCs w:val="24"/>
        </w:rPr>
      </w:pPr>
      <w:r>
        <w:rPr>
          <w:rFonts w:ascii="Times New Roman" w:hAnsi="Times New Roman" w:cs="Times New Roman"/>
          <w:b/>
          <w:position w:val="0"/>
          <w:sz w:val="24"/>
          <w:szCs w:val="24"/>
        </w:rPr>
        <w:t>Kesimpulan</w:t>
      </w:r>
    </w:p>
    <w:p w14:paraId="56502CEB" w14:textId="77777777" w:rsidR="00B027A9" w:rsidRDefault="00B027A9">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4"/>
          <w:szCs w:val="24"/>
        </w:rPr>
      </w:pPr>
    </w:p>
    <w:p w14:paraId="5CD823B0" w14:textId="18096499" w:rsidR="00B027A9" w:rsidRDefault="00AE2895">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4"/>
          <w:szCs w:val="24"/>
        </w:rPr>
      </w:pPr>
      <w:r>
        <w:rPr>
          <w:rFonts w:ascii="Times New Roman" w:hAnsi="Times New Roman" w:cs="Times New Roman"/>
          <w:position w:val="0"/>
          <w:sz w:val="24"/>
          <w:szCs w:val="24"/>
        </w:rPr>
        <w:t xml:space="preserve">Kajian ini bertujuan untuk menganalisis hubungan antara suhu dan pengembangan bandar di Pulau Pinang. Keputusan menunjukkan Pulau Pinang mengalami peluasan bandar yang drastik dari tahun 1966 hingga 2015. Kadar keseluruhan perluasan kawasan bandar bagi </w:t>
      </w:r>
      <w:r w:rsidR="004D60B8">
        <w:rPr>
          <w:rFonts w:ascii="Times New Roman" w:hAnsi="Times New Roman" w:cs="Times New Roman"/>
          <w:position w:val="0"/>
          <w:sz w:val="24"/>
          <w:szCs w:val="24"/>
        </w:rPr>
        <w:t xml:space="preserve">bahagian </w:t>
      </w:r>
      <w:r>
        <w:rPr>
          <w:rFonts w:ascii="Times New Roman" w:hAnsi="Times New Roman" w:cs="Times New Roman"/>
          <w:position w:val="0"/>
          <w:sz w:val="24"/>
          <w:szCs w:val="24"/>
        </w:rPr>
        <w:t xml:space="preserve">pulau, Pulau </w:t>
      </w:r>
      <w:r>
        <w:rPr>
          <w:rFonts w:ascii="Times New Roman" w:hAnsi="Times New Roman" w:cs="Times New Roman"/>
          <w:position w:val="0"/>
          <w:sz w:val="24"/>
          <w:szCs w:val="24"/>
        </w:rPr>
        <w:lastRenderedPageBreak/>
        <w:t xml:space="preserve">Pinang dari tahun 1966 hingga 2015 adalah 134.22%. Perbandaran yang pesat berlaku terutamanya di bahagian timur Pulau Pinang. Kawasan bandar diperluaskan secara drastik berbanding kelas guna tanah yang lain seperti tanah pertanian. </w:t>
      </w:r>
      <w:r w:rsidR="004D60B8">
        <w:rPr>
          <w:rFonts w:ascii="Times New Roman" w:hAnsi="Times New Roman" w:cs="Times New Roman"/>
          <w:position w:val="0"/>
          <w:sz w:val="24"/>
          <w:szCs w:val="24"/>
        </w:rPr>
        <w:t>A</w:t>
      </w:r>
      <w:r>
        <w:rPr>
          <w:rFonts w:ascii="Times New Roman" w:hAnsi="Times New Roman" w:cs="Times New Roman"/>
          <w:position w:val="0"/>
          <w:sz w:val="24"/>
          <w:szCs w:val="24"/>
        </w:rPr>
        <w:t xml:space="preserve">liran suhu keseluruhan (Tmin, Tmax, dan Tmean) bagi Pulau Pinang menunjukkan trend peningkatan yang ketara pada tahap keertian 0.001 dari tahun 1980 hingga 2018 kecuali hujan yang menunjukkan aliran meningkat tetapi tidak ketara. Tmax, Tmin dan Tmean meningkat dengan ketara pada kadar 0.19 ℃/dekad, 1.2 ℃/dekad dan 0.3 ℃/dekad, masing-masing. Berbanding dengan Tmax (0.19 °C/dekad) dan Tmean (0.3 °C/dekad), Tmin menunjukkan anjakan magnitud 1.2 °C/dekad. </w:t>
      </w:r>
      <w:r w:rsidR="004D60B8">
        <w:rPr>
          <w:rFonts w:ascii="Times New Roman" w:hAnsi="Times New Roman" w:cs="Times New Roman"/>
          <w:position w:val="0"/>
          <w:sz w:val="24"/>
          <w:szCs w:val="24"/>
        </w:rPr>
        <w:t>T</w:t>
      </w:r>
      <w:r>
        <w:rPr>
          <w:rFonts w:ascii="Times New Roman" w:hAnsi="Times New Roman" w:cs="Times New Roman"/>
          <w:position w:val="0"/>
          <w:sz w:val="24"/>
          <w:szCs w:val="24"/>
        </w:rPr>
        <w:t>erdapat hubungan kuat yang signifikan dicata</w:t>
      </w:r>
      <w:r w:rsidR="004D60B8">
        <w:rPr>
          <w:rFonts w:ascii="Times New Roman" w:hAnsi="Times New Roman" w:cs="Times New Roman"/>
          <w:position w:val="0"/>
          <w:sz w:val="24"/>
          <w:szCs w:val="24"/>
        </w:rPr>
        <w:t>t</w:t>
      </w:r>
      <w:r>
        <w:rPr>
          <w:rFonts w:ascii="Times New Roman" w:hAnsi="Times New Roman" w:cs="Times New Roman"/>
          <w:position w:val="0"/>
          <w:sz w:val="24"/>
          <w:szCs w:val="24"/>
        </w:rPr>
        <w:t>kan antara perkembangan bandar dan trend suhu. Tmin dan Tmean telah meningkat dengan ketara pada kadar 1.2 ℃/dekad dan 0.3 ℃/dekad, masing-masing. Imej satelit yang diproses juga menunjukkan peningkatan suhu sejak tahun 1984 hingga 2015, namun masih terdapat sedikit penurunan dari segi suhu inimum dan maksimum pada tahun 2008.  Hal ini bermakna, peningkatan dalam kawasan tanah bandar juga menyumbang kepada peningkatan suhu Pulau Pinang. Namun, pembangunan kawasan binaan menjadi perlahan sejak tahun 2008 sehingga 2015 dan catatan rekod suhu menunjukkan kenaikan yang drastik. Perubahan iklim dunia juga boleh menjadi penyebab kepada kenaikan suhu Pulau Pinang. Dapatan kajian ini boleh digunakan sebagai maklumat penting untuk membuat keputusan dalam pengurusan tanah dan membuat dasar bagi mencapai matlamat untuk menjadi sebuah bandar raya yang mampan menjelang 2030. Kerajaan Pulau Pinang perlulah menggalakkan pihak berkuasa dan rakyat mereka untuk melakukan 'Green Roofing '. Bumbung hijau yang sering dikenali sebagai bumbung taman, adalah teknik yang agak baru yang membantu mengurangkan pulau haba bandar. Bumbung hijau ialah kawasan hijau yang dibina di atas struktur bumbung biasa dengan melapiskan media pertumbuhan dan tumbuhan. Tumbuhan adalah salah satu komponen terpenting dalam bandar yang mampan.</w:t>
      </w:r>
      <w:r w:rsidR="004D60B8">
        <w:rPr>
          <w:rFonts w:ascii="Times New Roman" w:hAnsi="Times New Roman" w:cs="Times New Roman"/>
          <w:position w:val="0"/>
          <w:sz w:val="24"/>
          <w:szCs w:val="24"/>
        </w:rPr>
        <w:t xml:space="preserve"> </w:t>
      </w:r>
      <w:r>
        <w:rPr>
          <w:rFonts w:ascii="Times New Roman" w:hAnsi="Times New Roman" w:cs="Times New Roman"/>
          <w:position w:val="0"/>
          <w:sz w:val="24"/>
          <w:szCs w:val="24"/>
        </w:rPr>
        <w:t>Kaedah penyesuaian ini akan menjadi salah satu cara yang berkesan untuk mengurangkan haba bandar bagi mencapai matlamat untuk menjadi bandar lestari menjelang tahun 2030.</w:t>
      </w:r>
    </w:p>
    <w:p w14:paraId="6ADDFB7D" w14:textId="77777777" w:rsidR="00B027A9" w:rsidRDefault="00B027A9">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4"/>
          <w:szCs w:val="24"/>
        </w:rPr>
      </w:pPr>
    </w:p>
    <w:p w14:paraId="6105E178" w14:textId="77777777" w:rsidR="00B027A9" w:rsidRDefault="00B027A9">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4"/>
          <w:szCs w:val="24"/>
        </w:rPr>
      </w:pPr>
    </w:p>
    <w:p w14:paraId="39A7AA8F" w14:textId="77777777" w:rsidR="00B027A9" w:rsidRDefault="00AE2895">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b/>
          <w:position w:val="0"/>
          <w:sz w:val="24"/>
          <w:szCs w:val="24"/>
        </w:rPr>
      </w:pPr>
      <w:r>
        <w:rPr>
          <w:rFonts w:ascii="Times New Roman" w:hAnsi="Times New Roman" w:cs="Times New Roman"/>
          <w:b/>
          <w:position w:val="0"/>
          <w:sz w:val="24"/>
          <w:szCs w:val="24"/>
        </w:rPr>
        <w:t>Rujukan</w:t>
      </w:r>
    </w:p>
    <w:p w14:paraId="7047145A" w14:textId="77777777" w:rsidR="00B027A9" w:rsidRDefault="00B027A9">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b/>
          <w:position w:val="0"/>
          <w:sz w:val="24"/>
          <w:szCs w:val="24"/>
        </w:rPr>
      </w:pPr>
    </w:p>
    <w:p w14:paraId="71E4A9D1" w14:textId="77777777" w:rsidR="00B027A9" w:rsidRDefault="00AE2895">
      <w:pPr>
        <w:widowControl w:val="0"/>
        <w:suppressAutoHyphens w:val="0"/>
        <w:autoSpaceDE w:val="0"/>
        <w:autoSpaceDN w:val="0"/>
        <w:adjustRightInd w:val="0"/>
        <w:spacing w:after="0" w:line="240" w:lineRule="auto"/>
        <w:ind w:leftChars="0" w:left="0" w:firstLineChars="0" w:firstLine="0"/>
        <w:jc w:val="both"/>
        <w:textDirection w:val="lrTb"/>
        <w:textAlignment w:val="auto"/>
        <w:outlineLvl w:val="9"/>
        <w:rPr>
          <w:rFonts w:ascii="Times New Roman" w:hAnsi="Times New Roman" w:cs="Times New Roman"/>
          <w:noProof/>
          <w:position w:val="0"/>
          <w:sz w:val="24"/>
          <w:szCs w:val="24"/>
        </w:rPr>
      </w:pPr>
      <w:r>
        <w:rPr>
          <w:rFonts w:ascii="Times New Roman" w:hAnsi="Times New Roman" w:cs="Times New Roman"/>
          <w:b/>
          <w:position w:val="0"/>
          <w:sz w:val="24"/>
          <w:szCs w:val="24"/>
          <w:highlight w:val="yellow"/>
        </w:rPr>
        <w:fldChar w:fldCharType="begin"/>
      </w:r>
      <w:r>
        <w:rPr>
          <w:rFonts w:ascii="Times New Roman" w:hAnsi="Times New Roman" w:cs="Times New Roman"/>
          <w:b/>
          <w:position w:val="0"/>
          <w:sz w:val="24"/>
          <w:szCs w:val="24"/>
          <w:highlight w:val="yellow"/>
        </w:rPr>
        <w:instrText xml:space="preserve">ADDIN Mendeley Bibliography CSL_BIBLIOGRAPHY </w:instrText>
      </w:r>
      <w:r>
        <w:rPr>
          <w:rFonts w:ascii="Times New Roman" w:hAnsi="Times New Roman" w:cs="Times New Roman"/>
          <w:b/>
          <w:position w:val="0"/>
          <w:sz w:val="24"/>
          <w:szCs w:val="24"/>
          <w:highlight w:val="yellow"/>
        </w:rPr>
        <w:fldChar w:fldCharType="separate"/>
      </w:r>
      <w:r>
        <w:rPr>
          <w:rFonts w:ascii="Times New Roman" w:hAnsi="Times New Roman" w:cs="Times New Roman"/>
          <w:noProof/>
          <w:position w:val="0"/>
          <w:sz w:val="24"/>
          <w:szCs w:val="24"/>
        </w:rPr>
        <w:t xml:space="preserve">Ahmad, F., Yahaya, A. S., Farooqi, M. A., &amp; Tebal, N. (2006). Characterization and geotechnical </w:t>
      </w:r>
      <w:r>
        <w:rPr>
          <w:rFonts w:ascii="Times New Roman" w:hAnsi="Times New Roman" w:cs="Times New Roman"/>
          <w:noProof/>
          <w:position w:val="0"/>
          <w:sz w:val="24"/>
          <w:szCs w:val="24"/>
        </w:rPr>
        <w:tab/>
        <w:t xml:space="preserve">properties of Penang residual soils with emphasis on landslides. </w:t>
      </w:r>
      <w:r>
        <w:rPr>
          <w:rFonts w:ascii="Times New Roman" w:hAnsi="Times New Roman" w:cs="Times New Roman"/>
          <w:i/>
          <w:iCs/>
          <w:noProof/>
          <w:position w:val="0"/>
          <w:sz w:val="24"/>
          <w:szCs w:val="24"/>
        </w:rPr>
        <w:t xml:space="preserve">American Journal of </w:t>
      </w:r>
      <w:r>
        <w:rPr>
          <w:rFonts w:ascii="Times New Roman" w:hAnsi="Times New Roman" w:cs="Times New Roman"/>
          <w:i/>
          <w:iCs/>
          <w:noProof/>
          <w:position w:val="0"/>
          <w:sz w:val="24"/>
          <w:szCs w:val="24"/>
        </w:rPr>
        <w:tab/>
        <w:t>Environmental Sciences</w:t>
      </w:r>
      <w:r>
        <w:rPr>
          <w:rFonts w:ascii="Times New Roman" w:hAnsi="Times New Roman" w:cs="Times New Roman"/>
          <w:noProof/>
          <w:position w:val="0"/>
          <w:sz w:val="24"/>
          <w:szCs w:val="24"/>
        </w:rPr>
        <w:t xml:space="preserve">, </w:t>
      </w:r>
      <w:r>
        <w:rPr>
          <w:rFonts w:ascii="Times New Roman" w:hAnsi="Times New Roman" w:cs="Times New Roman"/>
          <w:i/>
          <w:iCs/>
          <w:noProof/>
          <w:position w:val="0"/>
          <w:sz w:val="24"/>
          <w:szCs w:val="24"/>
        </w:rPr>
        <w:t>2</w:t>
      </w:r>
      <w:r>
        <w:rPr>
          <w:rFonts w:ascii="Times New Roman" w:hAnsi="Times New Roman" w:cs="Times New Roman"/>
          <w:noProof/>
          <w:position w:val="0"/>
          <w:sz w:val="24"/>
          <w:szCs w:val="24"/>
        </w:rPr>
        <w:t>(4), 121–128.</w:t>
      </w:r>
    </w:p>
    <w:p w14:paraId="6C53B122" w14:textId="6CE78F04" w:rsidR="00B027A9" w:rsidRDefault="00AE2895">
      <w:pPr>
        <w:widowControl w:val="0"/>
        <w:suppressAutoHyphens w:val="0"/>
        <w:autoSpaceDE w:val="0"/>
        <w:autoSpaceDN w:val="0"/>
        <w:adjustRightInd w:val="0"/>
        <w:spacing w:after="0" w:line="240" w:lineRule="auto"/>
        <w:ind w:leftChars="0" w:left="0" w:firstLineChars="0" w:firstLine="0"/>
        <w:jc w:val="both"/>
        <w:textDirection w:val="lrTb"/>
        <w:textAlignment w:val="auto"/>
        <w:outlineLvl w:val="9"/>
        <w:rPr>
          <w:rFonts w:ascii="Times New Roman" w:hAnsi="Times New Roman" w:cs="Times New Roman"/>
          <w:noProof/>
          <w:position w:val="0"/>
          <w:sz w:val="24"/>
          <w:szCs w:val="24"/>
        </w:rPr>
      </w:pPr>
      <w:r>
        <w:rPr>
          <w:rFonts w:ascii="Times New Roman" w:hAnsi="Times New Roman" w:cs="Times New Roman"/>
          <w:noProof/>
          <w:position w:val="0"/>
          <w:sz w:val="24"/>
          <w:szCs w:val="24"/>
        </w:rPr>
        <w:t xml:space="preserve">Akomolafe, G. F., &amp; Rosazlina, R. (2022). Land use and land cover changes influence the land </w:t>
      </w:r>
      <w:r>
        <w:rPr>
          <w:rFonts w:ascii="Times New Roman" w:hAnsi="Times New Roman" w:cs="Times New Roman"/>
          <w:noProof/>
          <w:position w:val="0"/>
          <w:sz w:val="24"/>
          <w:szCs w:val="24"/>
        </w:rPr>
        <w:tab/>
        <w:t xml:space="preserve">surface temperature and vegetation in Penang Island, Peninsular Malaysia. </w:t>
      </w:r>
      <w:r>
        <w:rPr>
          <w:rFonts w:ascii="Times New Roman" w:hAnsi="Times New Roman" w:cs="Times New Roman"/>
          <w:i/>
          <w:iCs/>
          <w:noProof/>
          <w:position w:val="0"/>
          <w:sz w:val="24"/>
          <w:szCs w:val="24"/>
        </w:rPr>
        <w:t xml:space="preserve">Scientific </w:t>
      </w:r>
      <w:r>
        <w:rPr>
          <w:rFonts w:ascii="Times New Roman" w:hAnsi="Times New Roman" w:cs="Times New Roman"/>
          <w:i/>
          <w:iCs/>
          <w:noProof/>
          <w:position w:val="0"/>
          <w:sz w:val="24"/>
          <w:szCs w:val="24"/>
        </w:rPr>
        <w:tab/>
        <w:t>Reports</w:t>
      </w:r>
      <w:r>
        <w:rPr>
          <w:rFonts w:ascii="Times New Roman" w:hAnsi="Times New Roman" w:cs="Times New Roman"/>
          <w:noProof/>
          <w:position w:val="0"/>
          <w:sz w:val="24"/>
          <w:szCs w:val="24"/>
        </w:rPr>
        <w:t xml:space="preserve">, </w:t>
      </w:r>
      <w:r>
        <w:rPr>
          <w:rFonts w:ascii="Times New Roman" w:hAnsi="Times New Roman" w:cs="Times New Roman"/>
          <w:i/>
          <w:iCs/>
          <w:noProof/>
          <w:position w:val="0"/>
          <w:sz w:val="24"/>
          <w:szCs w:val="24"/>
        </w:rPr>
        <w:t>12</w:t>
      </w:r>
      <w:r>
        <w:rPr>
          <w:rFonts w:ascii="Times New Roman" w:hAnsi="Times New Roman" w:cs="Times New Roman"/>
          <w:noProof/>
          <w:position w:val="0"/>
          <w:sz w:val="24"/>
          <w:szCs w:val="24"/>
        </w:rPr>
        <w:t>, 21250. https://doi.org/10.1038/s41598-022-25560-0</w:t>
      </w:r>
    </w:p>
    <w:p w14:paraId="61BF4914" w14:textId="7546CC25" w:rsidR="00B027A9" w:rsidRDefault="00AE2895" w:rsidP="00145184">
      <w:pPr>
        <w:widowControl w:val="0"/>
        <w:suppressAutoHyphens w:val="0"/>
        <w:autoSpaceDE w:val="0"/>
        <w:autoSpaceDN w:val="0"/>
        <w:adjustRightInd w:val="0"/>
        <w:spacing w:after="0" w:line="240" w:lineRule="auto"/>
        <w:ind w:leftChars="0" w:left="720" w:firstLineChars="0" w:hanging="720"/>
        <w:jc w:val="both"/>
        <w:textDirection w:val="lrTb"/>
        <w:textAlignment w:val="auto"/>
        <w:outlineLvl w:val="9"/>
        <w:rPr>
          <w:rFonts w:ascii="Times New Roman" w:hAnsi="Times New Roman" w:cs="Times New Roman"/>
          <w:noProof/>
          <w:position w:val="0"/>
          <w:sz w:val="24"/>
          <w:szCs w:val="24"/>
        </w:rPr>
      </w:pPr>
      <w:r>
        <w:rPr>
          <w:rFonts w:ascii="Times New Roman" w:hAnsi="Times New Roman" w:cs="Times New Roman"/>
          <w:noProof/>
          <w:position w:val="0"/>
          <w:sz w:val="24"/>
          <w:szCs w:val="24"/>
        </w:rPr>
        <w:t>Balasubramanian, P. A. (2006). Categories of land use. Country-wide Class room Educational TV programme-Gyan Darshan, MYSORE, University of Mysore.</w:t>
      </w:r>
      <w:r w:rsidR="00145184">
        <w:rPr>
          <w:rFonts w:ascii="Times New Roman" w:hAnsi="Times New Roman" w:cs="Times New Roman"/>
          <w:noProof/>
          <w:position w:val="0"/>
          <w:sz w:val="24"/>
          <w:szCs w:val="24"/>
        </w:rPr>
        <w:t xml:space="preserve"> </w:t>
      </w:r>
      <w:r>
        <w:rPr>
          <w:rFonts w:ascii="Times New Roman" w:hAnsi="Times New Roman" w:cs="Times New Roman"/>
          <w:noProof/>
          <w:position w:val="0"/>
          <w:sz w:val="24"/>
          <w:szCs w:val="24"/>
        </w:rPr>
        <w:t>https://doi.org/10.13140/</w:t>
      </w:r>
      <w:r w:rsidR="00145184">
        <w:rPr>
          <w:rFonts w:ascii="Times New Roman" w:hAnsi="Times New Roman" w:cs="Times New Roman"/>
          <w:noProof/>
          <w:position w:val="0"/>
          <w:sz w:val="24"/>
          <w:szCs w:val="24"/>
        </w:rPr>
        <w:t xml:space="preserve"> </w:t>
      </w:r>
      <w:r>
        <w:rPr>
          <w:rFonts w:ascii="Times New Roman" w:hAnsi="Times New Roman" w:cs="Times New Roman"/>
          <w:noProof/>
          <w:position w:val="0"/>
          <w:sz w:val="24"/>
          <w:szCs w:val="24"/>
        </w:rPr>
        <w:t>RG.2.2.22403.09763</w:t>
      </w:r>
    </w:p>
    <w:p w14:paraId="02637B7B" w14:textId="5AB3F1C7" w:rsidR="00B027A9" w:rsidRDefault="00AE2895">
      <w:pPr>
        <w:widowControl w:val="0"/>
        <w:suppressAutoHyphens w:val="0"/>
        <w:autoSpaceDE w:val="0"/>
        <w:autoSpaceDN w:val="0"/>
        <w:adjustRightInd w:val="0"/>
        <w:spacing w:after="0" w:line="240" w:lineRule="auto"/>
        <w:ind w:leftChars="0" w:left="0" w:firstLineChars="0" w:firstLine="0"/>
        <w:jc w:val="both"/>
        <w:textDirection w:val="lrTb"/>
        <w:textAlignment w:val="auto"/>
        <w:outlineLvl w:val="9"/>
        <w:rPr>
          <w:rFonts w:ascii="Times New Roman" w:hAnsi="Times New Roman" w:cs="Times New Roman"/>
          <w:noProof/>
          <w:position w:val="0"/>
          <w:sz w:val="24"/>
          <w:szCs w:val="24"/>
        </w:rPr>
      </w:pPr>
      <w:r>
        <w:rPr>
          <w:rFonts w:ascii="Times New Roman" w:hAnsi="Times New Roman" w:cs="Times New Roman"/>
          <w:noProof/>
          <w:position w:val="0"/>
          <w:sz w:val="24"/>
          <w:szCs w:val="24"/>
        </w:rPr>
        <w:t xml:space="preserve">Bronselaer, B., Winton, M., Griffies, S. M., Hurlin, W. J., Rodgers, K. B., Sergienko, O. V., </w:t>
      </w:r>
      <w:r>
        <w:rPr>
          <w:rFonts w:ascii="Times New Roman" w:hAnsi="Times New Roman" w:cs="Times New Roman"/>
          <w:noProof/>
          <w:position w:val="0"/>
          <w:sz w:val="24"/>
          <w:szCs w:val="24"/>
        </w:rPr>
        <w:tab/>
        <w:t xml:space="preserve">Stouffer, R. J., &amp; Russell, J. L. (2018). Change in future climate due to Antarctic meltwater. </w:t>
      </w:r>
      <w:r>
        <w:rPr>
          <w:rFonts w:ascii="Times New Roman" w:hAnsi="Times New Roman" w:cs="Times New Roman"/>
          <w:noProof/>
          <w:position w:val="0"/>
          <w:sz w:val="24"/>
          <w:szCs w:val="24"/>
        </w:rPr>
        <w:tab/>
      </w:r>
      <w:r>
        <w:rPr>
          <w:rFonts w:ascii="Times New Roman" w:hAnsi="Times New Roman" w:cs="Times New Roman"/>
          <w:i/>
          <w:iCs/>
          <w:noProof/>
          <w:position w:val="0"/>
          <w:sz w:val="24"/>
          <w:szCs w:val="24"/>
        </w:rPr>
        <w:t>Nature</w:t>
      </w:r>
      <w:r>
        <w:rPr>
          <w:rFonts w:ascii="Times New Roman" w:hAnsi="Times New Roman" w:cs="Times New Roman"/>
          <w:noProof/>
          <w:position w:val="0"/>
          <w:sz w:val="24"/>
          <w:szCs w:val="24"/>
        </w:rPr>
        <w:t xml:space="preserve">, </w:t>
      </w:r>
      <w:r>
        <w:rPr>
          <w:rFonts w:ascii="Times New Roman" w:hAnsi="Times New Roman" w:cs="Times New Roman"/>
          <w:i/>
          <w:iCs/>
          <w:noProof/>
          <w:position w:val="0"/>
          <w:sz w:val="24"/>
          <w:szCs w:val="24"/>
        </w:rPr>
        <w:t>564</w:t>
      </w:r>
      <w:r>
        <w:rPr>
          <w:rFonts w:ascii="Times New Roman" w:hAnsi="Times New Roman" w:cs="Times New Roman"/>
          <w:noProof/>
          <w:position w:val="0"/>
          <w:sz w:val="24"/>
          <w:szCs w:val="24"/>
        </w:rPr>
        <w:t>(7734), 53–58. https://doi.org/10.1038/S41586-018-0712-Z</w:t>
      </w:r>
    </w:p>
    <w:p w14:paraId="3D84D0C9" w14:textId="09C8821C" w:rsidR="00B027A9" w:rsidRDefault="00AE2895" w:rsidP="00145184">
      <w:pPr>
        <w:widowControl w:val="0"/>
        <w:suppressAutoHyphens w:val="0"/>
        <w:autoSpaceDE w:val="0"/>
        <w:autoSpaceDN w:val="0"/>
        <w:adjustRightInd w:val="0"/>
        <w:spacing w:after="0" w:line="240" w:lineRule="auto"/>
        <w:ind w:leftChars="0" w:left="720" w:firstLineChars="0" w:hanging="720"/>
        <w:jc w:val="both"/>
        <w:textDirection w:val="lrTb"/>
        <w:textAlignment w:val="auto"/>
        <w:outlineLvl w:val="9"/>
        <w:rPr>
          <w:rFonts w:ascii="Times New Roman" w:hAnsi="Times New Roman" w:cs="Times New Roman"/>
          <w:noProof/>
          <w:position w:val="0"/>
          <w:sz w:val="24"/>
          <w:szCs w:val="24"/>
        </w:rPr>
      </w:pPr>
      <w:r>
        <w:rPr>
          <w:rFonts w:ascii="Times New Roman" w:hAnsi="Times New Roman" w:cs="Times New Roman"/>
          <w:noProof/>
          <w:position w:val="0"/>
          <w:sz w:val="24"/>
          <w:szCs w:val="24"/>
        </w:rPr>
        <w:t xml:space="preserve">Brook, T. (2015). Temperature and precipitation extremes. In Brook, T. </w:t>
      </w:r>
      <w:r>
        <w:rPr>
          <w:rFonts w:ascii="Times New Roman" w:hAnsi="Times New Roman" w:cs="Times New Roman"/>
          <w:i/>
          <w:iCs/>
          <w:noProof/>
          <w:position w:val="0"/>
          <w:sz w:val="24"/>
          <w:szCs w:val="24"/>
        </w:rPr>
        <w:t>The Troubled Empire</w:t>
      </w:r>
      <w:r>
        <w:rPr>
          <w:rFonts w:ascii="Times New Roman" w:hAnsi="Times New Roman" w:cs="Times New Roman"/>
          <w:noProof/>
          <w:position w:val="0"/>
          <w:sz w:val="24"/>
          <w:szCs w:val="24"/>
        </w:rPr>
        <w:t>: China in the Yuan and Ming Dynasties (pp. 269–269). Harvard University Press. https://doi.org/10.4159/9780674056206-012</w:t>
      </w:r>
    </w:p>
    <w:p w14:paraId="2B4A8438" w14:textId="3891E304" w:rsidR="00B027A9" w:rsidRDefault="00AE2895">
      <w:pPr>
        <w:widowControl w:val="0"/>
        <w:suppressAutoHyphens w:val="0"/>
        <w:autoSpaceDE w:val="0"/>
        <w:autoSpaceDN w:val="0"/>
        <w:adjustRightInd w:val="0"/>
        <w:spacing w:after="0" w:line="240" w:lineRule="auto"/>
        <w:ind w:leftChars="0" w:left="0" w:firstLineChars="0" w:firstLine="0"/>
        <w:jc w:val="both"/>
        <w:textDirection w:val="lrTb"/>
        <w:textAlignment w:val="auto"/>
        <w:outlineLvl w:val="9"/>
        <w:rPr>
          <w:rFonts w:ascii="Times New Roman" w:hAnsi="Times New Roman" w:cs="Times New Roman"/>
          <w:noProof/>
          <w:position w:val="0"/>
          <w:sz w:val="24"/>
          <w:szCs w:val="24"/>
        </w:rPr>
      </w:pPr>
      <w:r>
        <w:rPr>
          <w:rFonts w:ascii="Times New Roman" w:hAnsi="Times New Roman" w:cs="Times New Roman"/>
          <w:noProof/>
          <w:position w:val="0"/>
          <w:sz w:val="24"/>
          <w:szCs w:val="24"/>
        </w:rPr>
        <w:t xml:space="preserve">Chen, L., Ren, C., Zhang, B., Wang, Z., &amp; Liu, M. (2018). Quantifying urban land sprawl and its </w:t>
      </w:r>
      <w:r>
        <w:rPr>
          <w:rFonts w:ascii="Times New Roman" w:hAnsi="Times New Roman" w:cs="Times New Roman"/>
          <w:noProof/>
          <w:position w:val="0"/>
          <w:sz w:val="24"/>
          <w:szCs w:val="24"/>
        </w:rPr>
        <w:tab/>
        <w:t xml:space="preserve">driving forces in Northeast China from 1990 to 2015. </w:t>
      </w:r>
      <w:r>
        <w:rPr>
          <w:rFonts w:ascii="Times New Roman" w:hAnsi="Times New Roman" w:cs="Times New Roman"/>
          <w:i/>
          <w:iCs/>
          <w:noProof/>
          <w:position w:val="0"/>
          <w:sz w:val="24"/>
          <w:szCs w:val="24"/>
        </w:rPr>
        <w:t>Sustainability</w:t>
      </w:r>
      <w:r>
        <w:rPr>
          <w:rFonts w:ascii="Times New Roman" w:hAnsi="Times New Roman" w:cs="Times New Roman"/>
          <w:noProof/>
          <w:position w:val="0"/>
          <w:sz w:val="24"/>
          <w:szCs w:val="24"/>
        </w:rPr>
        <w:t xml:space="preserve">, </w:t>
      </w:r>
      <w:r>
        <w:rPr>
          <w:rFonts w:ascii="Times New Roman" w:hAnsi="Times New Roman" w:cs="Times New Roman"/>
          <w:i/>
          <w:iCs/>
          <w:noProof/>
          <w:position w:val="0"/>
          <w:sz w:val="24"/>
          <w:szCs w:val="24"/>
        </w:rPr>
        <w:t>10</w:t>
      </w:r>
      <w:r>
        <w:rPr>
          <w:rFonts w:ascii="Times New Roman" w:hAnsi="Times New Roman" w:cs="Times New Roman"/>
          <w:noProof/>
          <w:position w:val="0"/>
          <w:sz w:val="24"/>
          <w:szCs w:val="24"/>
        </w:rPr>
        <w:t xml:space="preserve">(1), 188. </w:t>
      </w:r>
      <w:r>
        <w:rPr>
          <w:rFonts w:ascii="Times New Roman" w:hAnsi="Times New Roman" w:cs="Times New Roman"/>
          <w:noProof/>
          <w:position w:val="0"/>
          <w:sz w:val="24"/>
          <w:szCs w:val="24"/>
        </w:rPr>
        <w:lastRenderedPageBreak/>
        <w:tab/>
        <w:t>https://doi.org/10.3390/su10010188</w:t>
      </w:r>
    </w:p>
    <w:p w14:paraId="64BF109D" w14:textId="77777777" w:rsidR="00B027A9" w:rsidRDefault="00AE2895">
      <w:pPr>
        <w:widowControl w:val="0"/>
        <w:suppressAutoHyphens w:val="0"/>
        <w:autoSpaceDE w:val="0"/>
        <w:autoSpaceDN w:val="0"/>
        <w:adjustRightInd w:val="0"/>
        <w:spacing w:after="0" w:line="240" w:lineRule="auto"/>
        <w:ind w:leftChars="0" w:left="0" w:firstLineChars="0" w:firstLine="0"/>
        <w:jc w:val="both"/>
        <w:textDirection w:val="lrTb"/>
        <w:textAlignment w:val="auto"/>
        <w:outlineLvl w:val="9"/>
        <w:rPr>
          <w:rFonts w:ascii="Times New Roman" w:hAnsi="Times New Roman" w:cs="Times New Roman"/>
          <w:noProof/>
          <w:position w:val="0"/>
          <w:sz w:val="24"/>
          <w:szCs w:val="24"/>
        </w:rPr>
      </w:pPr>
      <w:r>
        <w:rPr>
          <w:rFonts w:ascii="Times New Roman" w:hAnsi="Times New Roman" w:cs="Times New Roman"/>
          <w:noProof/>
          <w:position w:val="0"/>
          <w:sz w:val="24"/>
          <w:szCs w:val="24"/>
        </w:rPr>
        <w:t xml:space="preserve">Hanafiah, A. (2019). Urban Heat Island Island phenomenon in Penang Island, Malaysia. </w:t>
      </w:r>
      <w:r>
        <w:rPr>
          <w:rFonts w:ascii="Times New Roman" w:hAnsi="Times New Roman" w:cs="Times New Roman"/>
          <w:i/>
          <w:iCs/>
          <w:noProof/>
          <w:position w:val="0"/>
          <w:sz w:val="24"/>
          <w:szCs w:val="24"/>
        </w:rPr>
        <w:t xml:space="preserve">Journal </w:t>
      </w:r>
      <w:r>
        <w:rPr>
          <w:rFonts w:ascii="Times New Roman" w:hAnsi="Times New Roman" w:cs="Times New Roman"/>
          <w:i/>
          <w:iCs/>
          <w:noProof/>
          <w:position w:val="0"/>
          <w:sz w:val="24"/>
          <w:szCs w:val="24"/>
        </w:rPr>
        <w:tab/>
        <w:t>of Advance Research in Applied Science</w:t>
      </w:r>
      <w:r>
        <w:rPr>
          <w:rFonts w:ascii="Times New Roman" w:hAnsi="Times New Roman" w:cs="Times New Roman"/>
          <w:noProof/>
          <w:position w:val="0"/>
          <w:sz w:val="24"/>
          <w:szCs w:val="24"/>
        </w:rPr>
        <w:t xml:space="preserve">, </w:t>
      </w:r>
      <w:r>
        <w:rPr>
          <w:rFonts w:ascii="Times New Roman" w:hAnsi="Times New Roman" w:cs="Times New Roman"/>
          <w:i/>
          <w:iCs/>
          <w:noProof/>
          <w:position w:val="0"/>
          <w:sz w:val="24"/>
          <w:szCs w:val="24"/>
        </w:rPr>
        <w:t>6</w:t>
      </w:r>
      <w:r>
        <w:rPr>
          <w:rFonts w:ascii="Times New Roman" w:hAnsi="Times New Roman" w:cs="Times New Roman"/>
          <w:noProof/>
          <w:position w:val="0"/>
          <w:sz w:val="24"/>
          <w:szCs w:val="24"/>
        </w:rPr>
        <w:t>(7), 1–13.</w:t>
      </w:r>
    </w:p>
    <w:p w14:paraId="10ED40B0" w14:textId="77777777" w:rsidR="00B027A9" w:rsidRDefault="00AE2895">
      <w:pPr>
        <w:widowControl w:val="0"/>
        <w:suppressAutoHyphens w:val="0"/>
        <w:autoSpaceDE w:val="0"/>
        <w:autoSpaceDN w:val="0"/>
        <w:adjustRightInd w:val="0"/>
        <w:spacing w:after="0" w:line="240" w:lineRule="auto"/>
        <w:ind w:leftChars="0" w:left="0" w:firstLineChars="0" w:firstLine="0"/>
        <w:jc w:val="both"/>
        <w:textDirection w:val="lrTb"/>
        <w:textAlignment w:val="auto"/>
        <w:outlineLvl w:val="9"/>
        <w:rPr>
          <w:rFonts w:ascii="Times New Roman" w:hAnsi="Times New Roman" w:cs="Times New Roman"/>
          <w:noProof/>
          <w:position w:val="0"/>
          <w:sz w:val="24"/>
          <w:szCs w:val="24"/>
        </w:rPr>
      </w:pPr>
      <w:r>
        <w:rPr>
          <w:rFonts w:ascii="Times New Roman" w:hAnsi="Times New Roman" w:cs="Times New Roman"/>
          <w:noProof/>
          <w:position w:val="0"/>
          <w:sz w:val="24"/>
          <w:szCs w:val="24"/>
        </w:rPr>
        <w:t xml:space="preserve">Hong, C. W., Chan, N. W., &amp; Mohamed, B. (2013). Ancaman dan Cabaran Dalam Pembangunan </w:t>
      </w:r>
      <w:r>
        <w:rPr>
          <w:rFonts w:ascii="Times New Roman" w:hAnsi="Times New Roman" w:cs="Times New Roman"/>
          <w:noProof/>
          <w:position w:val="0"/>
          <w:sz w:val="24"/>
          <w:szCs w:val="24"/>
        </w:rPr>
        <w:tab/>
        <w:t xml:space="preserve">Lestari Taman Negara di Pulau Pinang. Prosiding Seminar Serantau Ke-2: Pengurusan </w:t>
      </w:r>
      <w:r>
        <w:rPr>
          <w:rFonts w:ascii="Times New Roman" w:hAnsi="Times New Roman" w:cs="Times New Roman"/>
          <w:noProof/>
          <w:position w:val="0"/>
          <w:sz w:val="24"/>
          <w:szCs w:val="24"/>
        </w:rPr>
        <w:tab/>
        <w:t>Persekitaran Di Alam Melayu, 6-7 Mei, Pekanbaru, Indonesia.</w:t>
      </w:r>
    </w:p>
    <w:p w14:paraId="78D757C2" w14:textId="77777777" w:rsidR="00B027A9" w:rsidRDefault="00AE2895">
      <w:pPr>
        <w:widowControl w:val="0"/>
        <w:suppressAutoHyphens w:val="0"/>
        <w:autoSpaceDE w:val="0"/>
        <w:autoSpaceDN w:val="0"/>
        <w:adjustRightInd w:val="0"/>
        <w:spacing w:after="0" w:line="240" w:lineRule="auto"/>
        <w:ind w:leftChars="0" w:left="0" w:firstLineChars="0" w:firstLine="0"/>
        <w:jc w:val="both"/>
        <w:textDirection w:val="lrTb"/>
        <w:textAlignment w:val="auto"/>
        <w:outlineLvl w:val="9"/>
        <w:rPr>
          <w:rFonts w:ascii="Times New Roman" w:hAnsi="Times New Roman" w:cs="Times New Roman"/>
          <w:noProof/>
          <w:position w:val="0"/>
          <w:sz w:val="24"/>
          <w:szCs w:val="24"/>
        </w:rPr>
      </w:pPr>
      <w:r>
        <w:rPr>
          <w:rFonts w:ascii="Times New Roman" w:hAnsi="Times New Roman" w:cs="Times New Roman"/>
          <w:noProof/>
          <w:position w:val="0"/>
          <w:sz w:val="24"/>
          <w:szCs w:val="24"/>
        </w:rPr>
        <w:t xml:space="preserve">IPCC. (2018). Global Warming of 1.5 </w:t>
      </w:r>
      <w:r>
        <w:rPr>
          <w:rFonts w:ascii="Times New Roman" w:hAnsi="Times New Roman" w:cs="Times New Roman"/>
          <w:noProof/>
          <w:position w:val="0"/>
          <w:sz w:val="24"/>
          <w:szCs w:val="24"/>
          <w:vertAlign w:val="superscript"/>
        </w:rPr>
        <w:t>o</w:t>
      </w:r>
      <w:r>
        <w:rPr>
          <w:rFonts w:ascii="Times New Roman" w:hAnsi="Times New Roman" w:cs="Times New Roman"/>
          <w:noProof/>
          <w:position w:val="0"/>
          <w:sz w:val="24"/>
          <w:szCs w:val="24"/>
        </w:rPr>
        <w:t>C. Retrieved from https://www.ipcc.ch/sr15/</w:t>
      </w:r>
    </w:p>
    <w:p w14:paraId="784E93AD" w14:textId="77777777" w:rsidR="00B027A9" w:rsidRDefault="00AE2895">
      <w:pPr>
        <w:widowControl w:val="0"/>
        <w:suppressAutoHyphens w:val="0"/>
        <w:autoSpaceDE w:val="0"/>
        <w:autoSpaceDN w:val="0"/>
        <w:adjustRightInd w:val="0"/>
        <w:spacing w:after="0" w:line="240" w:lineRule="auto"/>
        <w:ind w:leftChars="0" w:left="0" w:firstLineChars="0" w:firstLine="0"/>
        <w:jc w:val="both"/>
        <w:textDirection w:val="lrTb"/>
        <w:textAlignment w:val="auto"/>
        <w:outlineLvl w:val="9"/>
        <w:rPr>
          <w:rFonts w:ascii="Times New Roman" w:hAnsi="Times New Roman" w:cs="Times New Roman"/>
          <w:noProof/>
          <w:position w:val="0"/>
          <w:sz w:val="24"/>
          <w:szCs w:val="24"/>
        </w:rPr>
      </w:pPr>
      <w:r>
        <w:rPr>
          <w:rFonts w:ascii="Times New Roman" w:hAnsi="Times New Roman" w:cs="Times New Roman"/>
          <w:noProof/>
          <w:position w:val="0"/>
          <w:sz w:val="24"/>
          <w:szCs w:val="24"/>
        </w:rPr>
        <w:t xml:space="preserve">James Clark. (2018, April 9). Future Penang – current and proposed construction projects in </w:t>
      </w:r>
      <w:r>
        <w:rPr>
          <w:rFonts w:ascii="Times New Roman" w:hAnsi="Times New Roman" w:cs="Times New Roman"/>
          <w:noProof/>
          <w:position w:val="0"/>
          <w:sz w:val="24"/>
          <w:szCs w:val="24"/>
        </w:rPr>
        <w:tab/>
        <w:t xml:space="preserve">Penang. </w:t>
      </w:r>
      <w:r>
        <w:rPr>
          <w:rFonts w:ascii="Times New Roman" w:hAnsi="Times New Roman" w:cs="Times New Roman"/>
          <w:i/>
          <w:iCs/>
          <w:noProof/>
          <w:position w:val="0"/>
          <w:sz w:val="24"/>
          <w:szCs w:val="24"/>
        </w:rPr>
        <w:t>Future Southeast Asia</w:t>
      </w:r>
      <w:r>
        <w:rPr>
          <w:rFonts w:ascii="Times New Roman" w:hAnsi="Times New Roman" w:cs="Times New Roman"/>
          <w:noProof/>
          <w:position w:val="0"/>
          <w:sz w:val="24"/>
          <w:szCs w:val="24"/>
        </w:rPr>
        <w:t>. Retrieved from https://futuresoutheastasia.com/future-</w:t>
      </w:r>
      <w:r>
        <w:rPr>
          <w:rFonts w:ascii="Times New Roman" w:hAnsi="Times New Roman" w:cs="Times New Roman"/>
          <w:noProof/>
          <w:position w:val="0"/>
          <w:sz w:val="24"/>
          <w:szCs w:val="24"/>
        </w:rPr>
        <w:tab/>
        <w:t>penang/</w:t>
      </w:r>
    </w:p>
    <w:p w14:paraId="79844AC1" w14:textId="5AFD8DF3" w:rsidR="00B027A9" w:rsidRDefault="00AE2895" w:rsidP="00145184">
      <w:pPr>
        <w:widowControl w:val="0"/>
        <w:suppressAutoHyphens w:val="0"/>
        <w:autoSpaceDE w:val="0"/>
        <w:autoSpaceDN w:val="0"/>
        <w:adjustRightInd w:val="0"/>
        <w:spacing w:after="0" w:line="240" w:lineRule="auto"/>
        <w:ind w:leftChars="0" w:left="720" w:firstLineChars="0" w:hanging="720"/>
        <w:jc w:val="both"/>
        <w:textDirection w:val="lrTb"/>
        <w:textAlignment w:val="auto"/>
        <w:outlineLvl w:val="9"/>
        <w:rPr>
          <w:rFonts w:ascii="Times New Roman" w:hAnsi="Times New Roman" w:cs="Times New Roman"/>
          <w:noProof/>
          <w:position w:val="0"/>
          <w:sz w:val="24"/>
          <w:szCs w:val="24"/>
        </w:rPr>
      </w:pPr>
      <w:r>
        <w:rPr>
          <w:rFonts w:ascii="Times New Roman" w:hAnsi="Times New Roman" w:cs="Times New Roman"/>
          <w:noProof/>
          <w:position w:val="0"/>
          <w:sz w:val="24"/>
          <w:szCs w:val="24"/>
        </w:rPr>
        <w:t xml:space="preserve">Jamil, M. S., Ul-Saufie, A. Z., Abu Bakar, A. A., Ali, K. A. M., &amp; Ahmat, H. (2019). Identification of source contributions to air pollution in penang using factor analysis. </w:t>
      </w:r>
      <w:r>
        <w:rPr>
          <w:rFonts w:ascii="Times New Roman" w:hAnsi="Times New Roman" w:cs="Times New Roman"/>
          <w:i/>
          <w:iCs/>
          <w:noProof/>
          <w:position w:val="0"/>
          <w:sz w:val="24"/>
          <w:szCs w:val="24"/>
        </w:rPr>
        <w:t>International Journal of Integrated Engineering</w:t>
      </w:r>
      <w:r>
        <w:rPr>
          <w:rFonts w:ascii="Times New Roman" w:hAnsi="Times New Roman" w:cs="Times New Roman"/>
          <w:noProof/>
          <w:position w:val="0"/>
          <w:sz w:val="24"/>
          <w:szCs w:val="24"/>
        </w:rPr>
        <w:t xml:space="preserve">, </w:t>
      </w:r>
      <w:r>
        <w:rPr>
          <w:rFonts w:ascii="Times New Roman" w:hAnsi="Times New Roman" w:cs="Times New Roman"/>
          <w:i/>
          <w:iCs/>
          <w:noProof/>
          <w:position w:val="0"/>
          <w:sz w:val="24"/>
          <w:szCs w:val="24"/>
        </w:rPr>
        <w:t>11</w:t>
      </w:r>
      <w:r>
        <w:rPr>
          <w:rFonts w:ascii="Times New Roman" w:hAnsi="Times New Roman" w:cs="Times New Roman"/>
          <w:noProof/>
          <w:position w:val="0"/>
          <w:sz w:val="24"/>
          <w:szCs w:val="24"/>
        </w:rPr>
        <w:t>(8), 221–228. https://doi.org/10.30880/ijie.2019.</w:t>
      </w:r>
      <w:r w:rsidR="00145184">
        <w:rPr>
          <w:rFonts w:ascii="Times New Roman" w:hAnsi="Times New Roman" w:cs="Times New Roman"/>
          <w:noProof/>
          <w:position w:val="0"/>
          <w:sz w:val="24"/>
          <w:szCs w:val="24"/>
        </w:rPr>
        <w:t xml:space="preserve"> </w:t>
      </w:r>
      <w:r>
        <w:rPr>
          <w:rFonts w:ascii="Times New Roman" w:hAnsi="Times New Roman" w:cs="Times New Roman"/>
          <w:noProof/>
          <w:position w:val="0"/>
          <w:sz w:val="24"/>
          <w:szCs w:val="24"/>
        </w:rPr>
        <w:t>11.08.022</w:t>
      </w:r>
    </w:p>
    <w:p w14:paraId="6334D881" w14:textId="4C3B7D1E" w:rsidR="00B027A9" w:rsidRDefault="00AE2895">
      <w:pPr>
        <w:widowControl w:val="0"/>
        <w:suppressAutoHyphens w:val="0"/>
        <w:autoSpaceDE w:val="0"/>
        <w:autoSpaceDN w:val="0"/>
        <w:adjustRightInd w:val="0"/>
        <w:spacing w:after="0" w:line="240" w:lineRule="auto"/>
        <w:ind w:leftChars="0" w:left="0" w:firstLineChars="0" w:firstLine="0"/>
        <w:jc w:val="both"/>
        <w:textDirection w:val="lrTb"/>
        <w:textAlignment w:val="auto"/>
        <w:outlineLvl w:val="9"/>
        <w:rPr>
          <w:rFonts w:ascii="Times New Roman" w:hAnsi="Times New Roman" w:cs="Times New Roman"/>
          <w:noProof/>
          <w:position w:val="0"/>
          <w:sz w:val="24"/>
          <w:szCs w:val="24"/>
        </w:rPr>
      </w:pPr>
      <w:r>
        <w:rPr>
          <w:rFonts w:ascii="Times New Roman" w:hAnsi="Times New Roman" w:cs="Times New Roman"/>
          <w:noProof/>
          <w:position w:val="0"/>
          <w:sz w:val="24"/>
          <w:szCs w:val="24"/>
        </w:rPr>
        <w:t xml:space="preserve">Kafy, A. Al, Dey, N. N., Al Rakib, A., Rahaman, Z. A., Nasher, N. M. R., &amp; Bhatt, A. (2021). </w:t>
      </w:r>
      <w:r>
        <w:rPr>
          <w:rFonts w:ascii="Times New Roman" w:hAnsi="Times New Roman" w:cs="Times New Roman"/>
          <w:noProof/>
          <w:position w:val="0"/>
          <w:sz w:val="24"/>
          <w:szCs w:val="24"/>
        </w:rPr>
        <w:tab/>
        <w:t xml:space="preserve">Modeling the relationship between land use/land cover and land surface temperature in </w:t>
      </w:r>
      <w:r>
        <w:rPr>
          <w:rFonts w:ascii="Times New Roman" w:hAnsi="Times New Roman" w:cs="Times New Roman"/>
          <w:noProof/>
          <w:position w:val="0"/>
          <w:sz w:val="24"/>
          <w:szCs w:val="24"/>
        </w:rPr>
        <w:tab/>
        <w:t xml:space="preserve">Dhaka, Bangladesh using CA-ANN algorithm. </w:t>
      </w:r>
      <w:r>
        <w:rPr>
          <w:rFonts w:ascii="Times New Roman" w:hAnsi="Times New Roman" w:cs="Times New Roman"/>
          <w:i/>
          <w:iCs/>
          <w:noProof/>
          <w:position w:val="0"/>
          <w:sz w:val="24"/>
          <w:szCs w:val="24"/>
        </w:rPr>
        <w:t>Environmental Challenges</w:t>
      </w:r>
      <w:r>
        <w:rPr>
          <w:rFonts w:ascii="Times New Roman" w:hAnsi="Times New Roman" w:cs="Times New Roman"/>
          <w:noProof/>
          <w:position w:val="0"/>
          <w:sz w:val="24"/>
          <w:szCs w:val="24"/>
        </w:rPr>
        <w:t xml:space="preserve">, </w:t>
      </w:r>
      <w:r>
        <w:rPr>
          <w:rFonts w:ascii="Times New Roman" w:hAnsi="Times New Roman" w:cs="Times New Roman"/>
          <w:i/>
          <w:iCs/>
          <w:noProof/>
          <w:position w:val="0"/>
          <w:sz w:val="24"/>
          <w:szCs w:val="24"/>
        </w:rPr>
        <w:t>4</w:t>
      </w:r>
      <w:r>
        <w:rPr>
          <w:rFonts w:ascii="Times New Roman" w:hAnsi="Times New Roman" w:cs="Times New Roman"/>
          <w:noProof/>
          <w:position w:val="0"/>
          <w:sz w:val="24"/>
          <w:szCs w:val="24"/>
        </w:rPr>
        <w:t xml:space="preserve">, </w:t>
      </w:r>
      <w:r>
        <w:rPr>
          <w:rFonts w:ascii="Times New Roman" w:hAnsi="Times New Roman" w:cs="Times New Roman"/>
          <w:noProof/>
          <w:position w:val="0"/>
          <w:sz w:val="24"/>
          <w:szCs w:val="24"/>
        </w:rPr>
        <w:tab/>
        <w:t>100190. https://doi.org/10.1016/j.envc.2021.100190</w:t>
      </w:r>
    </w:p>
    <w:p w14:paraId="7D62B995" w14:textId="0B4AEF6F" w:rsidR="00B027A9" w:rsidRDefault="00AE2895">
      <w:pPr>
        <w:widowControl w:val="0"/>
        <w:suppressAutoHyphens w:val="0"/>
        <w:autoSpaceDE w:val="0"/>
        <w:autoSpaceDN w:val="0"/>
        <w:adjustRightInd w:val="0"/>
        <w:spacing w:after="0" w:line="240" w:lineRule="auto"/>
        <w:ind w:leftChars="0" w:left="0" w:firstLineChars="0" w:firstLine="0"/>
        <w:jc w:val="both"/>
        <w:textDirection w:val="lrTb"/>
        <w:textAlignment w:val="auto"/>
        <w:outlineLvl w:val="9"/>
        <w:rPr>
          <w:rFonts w:ascii="Times New Roman" w:hAnsi="Times New Roman" w:cs="Times New Roman"/>
          <w:noProof/>
          <w:position w:val="0"/>
          <w:sz w:val="24"/>
          <w:szCs w:val="24"/>
        </w:rPr>
      </w:pPr>
      <w:r>
        <w:rPr>
          <w:rFonts w:ascii="Times New Roman" w:hAnsi="Times New Roman" w:cs="Times New Roman"/>
          <w:noProof/>
          <w:position w:val="0"/>
          <w:sz w:val="24"/>
          <w:szCs w:val="24"/>
        </w:rPr>
        <w:t xml:space="preserve">Kemarau, R. A., &amp; Eboy, O. V. (2021). The Impact of El Niño–Southern Oscillation (ENSO) on </w:t>
      </w:r>
      <w:r>
        <w:rPr>
          <w:rFonts w:ascii="Times New Roman" w:hAnsi="Times New Roman" w:cs="Times New Roman"/>
          <w:noProof/>
          <w:position w:val="0"/>
          <w:sz w:val="24"/>
          <w:szCs w:val="24"/>
        </w:rPr>
        <w:tab/>
        <w:t xml:space="preserve">temperature: A case study in Kuching, Sarawak. </w:t>
      </w:r>
      <w:r>
        <w:rPr>
          <w:rFonts w:ascii="Times New Roman" w:hAnsi="Times New Roman" w:cs="Times New Roman"/>
          <w:i/>
          <w:iCs/>
          <w:noProof/>
          <w:position w:val="0"/>
          <w:sz w:val="24"/>
          <w:szCs w:val="24"/>
        </w:rPr>
        <w:t xml:space="preserve">Malaysian Journal of Social Science </w:t>
      </w:r>
      <w:r>
        <w:rPr>
          <w:rFonts w:ascii="Times New Roman" w:hAnsi="Times New Roman" w:cs="Times New Roman"/>
          <w:i/>
          <w:iCs/>
          <w:noProof/>
          <w:position w:val="0"/>
          <w:sz w:val="24"/>
          <w:szCs w:val="24"/>
        </w:rPr>
        <w:tab/>
        <w:t>and Humanities (MJSSH)</w:t>
      </w:r>
      <w:r>
        <w:rPr>
          <w:rFonts w:ascii="Times New Roman" w:hAnsi="Times New Roman" w:cs="Times New Roman"/>
          <w:noProof/>
          <w:position w:val="0"/>
          <w:sz w:val="24"/>
          <w:szCs w:val="24"/>
        </w:rPr>
        <w:t xml:space="preserve">, </w:t>
      </w:r>
      <w:r>
        <w:rPr>
          <w:rFonts w:ascii="Times New Roman" w:hAnsi="Times New Roman" w:cs="Times New Roman"/>
          <w:i/>
          <w:iCs/>
          <w:noProof/>
          <w:position w:val="0"/>
          <w:sz w:val="24"/>
          <w:szCs w:val="24"/>
        </w:rPr>
        <w:t>6</w:t>
      </w:r>
      <w:r>
        <w:rPr>
          <w:rFonts w:ascii="Times New Roman" w:hAnsi="Times New Roman" w:cs="Times New Roman"/>
          <w:noProof/>
          <w:position w:val="0"/>
          <w:sz w:val="24"/>
          <w:szCs w:val="24"/>
        </w:rPr>
        <w:t>(1), 289–297. https://doi.org/10.47405/mjssh.v6i1.602</w:t>
      </w:r>
    </w:p>
    <w:p w14:paraId="4F767879" w14:textId="77777777" w:rsidR="00B027A9" w:rsidRDefault="00AE2895">
      <w:pPr>
        <w:widowControl w:val="0"/>
        <w:suppressAutoHyphens w:val="0"/>
        <w:autoSpaceDE w:val="0"/>
        <w:autoSpaceDN w:val="0"/>
        <w:adjustRightInd w:val="0"/>
        <w:spacing w:after="0" w:line="240" w:lineRule="auto"/>
        <w:ind w:leftChars="0" w:left="0" w:firstLineChars="0" w:firstLine="0"/>
        <w:jc w:val="both"/>
        <w:textDirection w:val="lrTb"/>
        <w:textAlignment w:val="auto"/>
        <w:outlineLvl w:val="9"/>
        <w:rPr>
          <w:rFonts w:ascii="Times New Roman" w:hAnsi="Times New Roman" w:cs="Times New Roman"/>
          <w:noProof/>
          <w:position w:val="0"/>
          <w:sz w:val="24"/>
          <w:szCs w:val="24"/>
        </w:rPr>
      </w:pPr>
      <w:r>
        <w:rPr>
          <w:rFonts w:ascii="Times New Roman" w:hAnsi="Times New Roman" w:cs="Times New Roman"/>
          <w:noProof/>
          <w:position w:val="0"/>
          <w:sz w:val="24"/>
          <w:szCs w:val="24"/>
        </w:rPr>
        <w:t xml:space="preserve">Kim, M., Kim, D., &amp; Kim, G. (2022). Examining the relationship between Land Use / Land Cover </w:t>
      </w:r>
      <w:r>
        <w:rPr>
          <w:rFonts w:ascii="Times New Roman" w:hAnsi="Times New Roman" w:cs="Times New Roman"/>
          <w:noProof/>
          <w:position w:val="0"/>
          <w:sz w:val="24"/>
          <w:szCs w:val="24"/>
        </w:rPr>
        <w:tab/>
        <w:t xml:space="preserve">( LULC ) and Land Surface Temperature ( LST ) using Explainable Artificial Intelligence </w:t>
      </w:r>
      <w:r>
        <w:rPr>
          <w:rFonts w:ascii="Times New Roman" w:hAnsi="Times New Roman" w:cs="Times New Roman"/>
          <w:noProof/>
          <w:position w:val="0"/>
          <w:sz w:val="24"/>
          <w:szCs w:val="24"/>
        </w:rPr>
        <w:tab/>
        <w:t xml:space="preserve">( XAI ) models: A case study of Seoul , South Korea. </w:t>
      </w:r>
      <w:r>
        <w:rPr>
          <w:rFonts w:ascii="Times New Roman" w:hAnsi="Times New Roman" w:cs="Times New Roman"/>
          <w:i/>
          <w:iCs/>
          <w:noProof/>
          <w:position w:val="0"/>
          <w:sz w:val="24"/>
          <w:szCs w:val="24"/>
        </w:rPr>
        <w:t xml:space="preserve">Environmental Research and Public </w:t>
      </w:r>
      <w:r>
        <w:rPr>
          <w:rFonts w:ascii="Times New Roman" w:hAnsi="Times New Roman" w:cs="Times New Roman"/>
          <w:i/>
          <w:iCs/>
          <w:noProof/>
          <w:position w:val="0"/>
          <w:sz w:val="24"/>
          <w:szCs w:val="24"/>
        </w:rPr>
        <w:tab/>
        <w:t>Health</w:t>
      </w:r>
      <w:r>
        <w:rPr>
          <w:rFonts w:ascii="Times New Roman" w:hAnsi="Times New Roman" w:cs="Times New Roman"/>
          <w:noProof/>
          <w:position w:val="0"/>
          <w:sz w:val="24"/>
          <w:szCs w:val="24"/>
        </w:rPr>
        <w:t xml:space="preserve">, </w:t>
      </w:r>
      <w:r>
        <w:rPr>
          <w:rFonts w:ascii="Times New Roman" w:hAnsi="Times New Roman" w:cs="Times New Roman"/>
          <w:i/>
          <w:iCs/>
          <w:noProof/>
          <w:position w:val="0"/>
          <w:sz w:val="24"/>
          <w:szCs w:val="24"/>
        </w:rPr>
        <w:t>19</w:t>
      </w:r>
      <w:r>
        <w:rPr>
          <w:rFonts w:ascii="Times New Roman" w:hAnsi="Times New Roman" w:cs="Times New Roman"/>
          <w:noProof/>
          <w:position w:val="0"/>
          <w:sz w:val="24"/>
          <w:szCs w:val="24"/>
        </w:rPr>
        <w:t>(15926), 1–16.</w:t>
      </w:r>
    </w:p>
    <w:p w14:paraId="0EF890CD" w14:textId="4EFC8630" w:rsidR="00B027A9" w:rsidRDefault="00AE2895">
      <w:pPr>
        <w:widowControl w:val="0"/>
        <w:suppressAutoHyphens w:val="0"/>
        <w:autoSpaceDE w:val="0"/>
        <w:autoSpaceDN w:val="0"/>
        <w:adjustRightInd w:val="0"/>
        <w:spacing w:after="0" w:line="240" w:lineRule="auto"/>
        <w:ind w:leftChars="0" w:left="0" w:firstLineChars="0" w:firstLine="0"/>
        <w:jc w:val="both"/>
        <w:textDirection w:val="lrTb"/>
        <w:textAlignment w:val="auto"/>
        <w:outlineLvl w:val="9"/>
        <w:rPr>
          <w:rFonts w:ascii="Times New Roman" w:hAnsi="Times New Roman" w:cs="Times New Roman"/>
          <w:noProof/>
          <w:position w:val="0"/>
          <w:sz w:val="24"/>
          <w:szCs w:val="24"/>
        </w:rPr>
      </w:pPr>
      <w:r>
        <w:rPr>
          <w:rFonts w:ascii="Times New Roman" w:hAnsi="Times New Roman" w:cs="Times New Roman"/>
          <w:noProof/>
          <w:position w:val="0"/>
          <w:sz w:val="24"/>
          <w:szCs w:val="24"/>
        </w:rPr>
        <w:t xml:space="preserve">Liew, J. X. (2020, October 19). </w:t>
      </w:r>
      <w:r>
        <w:rPr>
          <w:rFonts w:ascii="Times New Roman" w:hAnsi="Times New Roman" w:cs="Times New Roman"/>
          <w:i/>
          <w:iCs/>
          <w:noProof/>
          <w:position w:val="0"/>
          <w:sz w:val="24"/>
          <w:szCs w:val="24"/>
        </w:rPr>
        <w:t xml:space="preserve">On track heights to scale new. TheStar. </w:t>
      </w:r>
      <w:r>
        <w:rPr>
          <w:rFonts w:ascii="Times New Roman" w:hAnsi="Times New Roman" w:cs="Times New Roman"/>
          <w:noProof/>
          <w:position w:val="0"/>
          <w:sz w:val="24"/>
          <w:szCs w:val="24"/>
        </w:rPr>
        <w:tab/>
        <w:t xml:space="preserve">Retrieved from </w:t>
      </w:r>
      <w:r>
        <w:rPr>
          <w:rFonts w:ascii="Times New Roman" w:hAnsi="Times New Roman" w:cs="Times New Roman"/>
          <w:noProof/>
          <w:position w:val="0"/>
          <w:sz w:val="24"/>
          <w:szCs w:val="24"/>
        </w:rPr>
        <w:tab/>
        <w:t>https://www.thestar.com.my/metro/metro-news/2020/10/19/on-track-heights-to-scale-</w:t>
      </w:r>
      <w:r>
        <w:rPr>
          <w:rFonts w:ascii="Times New Roman" w:hAnsi="Times New Roman" w:cs="Times New Roman"/>
          <w:noProof/>
          <w:position w:val="0"/>
          <w:sz w:val="24"/>
          <w:szCs w:val="24"/>
        </w:rPr>
        <w:tab/>
        <w:t>new</w:t>
      </w:r>
    </w:p>
    <w:p w14:paraId="70D7CFF4" w14:textId="77777777" w:rsidR="00B027A9" w:rsidRDefault="00AE2895">
      <w:pPr>
        <w:widowControl w:val="0"/>
        <w:suppressAutoHyphens w:val="0"/>
        <w:autoSpaceDE w:val="0"/>
        <w:autoSpaceDN w:val="0"/>
        <w:adjustRightInd w:val="0"/>
        <w:spacing w:after="0" w:line="240" w:lineRule="auto"/>
        <w:ind w:leftChars="0" w:left="0" w:firstLineChars="0" w:firstLine="0"/>
        <w:jc w:val="both"/>
        <w:textDirection w:val="lrTb"/>
        <w:textAlignment w:val="auto"/>
        <w:outlineLvl w:val="9"/>
        <w:rPr>
          <w:rFonts w:ascii="Times New Roman" w:hAnsi="Times New Roman" w:cs="Times New Roman"/>
          <w:noProof/>
          <w:position w:val="0"/>
          <w:sz w:val="24"/>
          <w:szCs w:val="24"/>
        </w:rPr>
      </w:pPr>
      <w:r>
        <w:rPr>
          <w:rFonts w:ascii="Times New Roman" w:hAnsi="Times New Roman" w:cs="Times New Roman"/>
          <w:noProof/>
          <w:position w:val="0"/>
          <w:sz w:val="24"/>
          <w:szCs w:val="24"/>
        </w:rPr>
        <w:t xml:space="preserve">Mohammed, K. S., Elhadary, Y., Samat, N., &amp; Omar, N. Q. (2015). GIS and remote sensing </w:t>
      </w:r>
      <w:r>
        <w:rPr>
          <w:rFonts w:ascii="Times New Roman" w:hAnsi="Times New Roman" w:cs="Times New Roman"/>
          <w:noProof/>
          <w:position w:val="0"/>
          <w:sz w:val="24"/>
          <w:szCs w:val="24"/>
        </w:rPr>
        <w:tab/>
        <w:t xml:space="preserve">techniques for measuring agriculture land loss in Balik Pulau region of Penang state, </w:t>
      </w:r>
      <w:r>
        <w:rPr>
          <w:rFonts w:ascii="Times New Roman" w:hAnsi="Times New Roman" w:cs="Times New Roman"/>
          <w:noProof/>
          <w:position w:val="0"/>
          <w:sz w:val="24"/>
          <w:szCs w:val="24"/>
        </w:rPr>
        <w:tab/>
        <w:t xml:space="preserve">Malaysia. </w:t>
      </w:r>
      <w:r>
        <w:rPr>
          <w:rFonts w:ascii="Times New Roman" w:hAnsi="Times New Roman" w:cs="Times New Roman"/>
          <w:i/>
          <w:iCs/>
          <w:noProof/>
          <w:position w:val="0"/>
          <w:sz w:val="24"/>
          <w:szCs w:val="24"/>
        </w:rPr>
        <w:t>Asian Journal of Agriculture and Rural Development</w:t>
      </w:r>
      <w:r>
        <w:rPr>
          <w:rFonts w:ascii="Times New Roman" w:hAnsi="Times New Roman" w:cs="Times New Roman"/>
          <w:noProof/>
          <w:position w:val="0"/>
          <w:sz w:val="24"/>
          <w:szCs w:val="24"/>
        </w:rPr>
        <w:t xml:space="preserve">, </w:t>
      </w:r>
      <w:r>
        <w:rPr>
          <w:rFonts w:ascii="Times New Roman" w:hAnsi="Times New Roman" w:cs="Times New Roman"/>
          <w:i/>
          <w:iCs/>
          <w:noProof/>
          <w:position w:val="0"/>
          <w:sz w:val="24"/>
          <w:szCs w:val="24"/>
        </w:rPr>
        <w:t>5</w:t>
      </w:r>
      <w:r>
        <w:rPr>
          <w:rFonts w:ascii="Times New Roman" w:hAnsi="Times New Roman" w:cs="Times New Roman"/>
          <w:noProof/>
          <w:position w:val="0"/>
          <w:sz w:val="24"/>
          <w:szCs w:val="24"/>
        </w:rPr>
        <w:t>(2), 30-41.</w:t>
      </w:r>
    </w:p>
    <w:p w14:paraId="2251A86C" w14:textId="77777777" w:rsidR="00B027A9" w:rsidRDefault="00AE2895">
      <w:pPr>
        <w:widowControl w:val="0"/>
        <w:suppressAutoHyphens w:val="0"/>
        <w:autoSpaceDE w:val="0"/>
        <w:autoSpaceDN w:val="0"/>
        <w:adjustRightInd w:val="0"/>
        <w:spacing w:after="0" w:line="240" w:lineRule="auto"/>
        <w:ind w:leftChars="0" w:left="0" w:firstLineChars="0" w:firstLine="0"/>
        <w:jc w:val="both"/>
        <w:textDirection w:val="lrTb"/>
        <w:textAlignment w:val="auto"/>
        <w:outlineLvl w:val="9"/>
        <w:rPr>
          <w:rFonts w:ascii="Times New Roman" w:hAnsi="Times New Roman" w:cs="Times New Roman"/>
          <w:noProof/>
          <w:position w:val="0"/>
          <w:sz w:val="24"/>
          <w:szCs w:val="24"/>
        </w:rPr>
      </w:pPr>
      <w:r>
        <w:rPr>
          <w:rFonts w:ascii="Times New Roman" w:hAnsi="Times New Roman" w:cs="Times New Roman"/>
          <w:noProof/>
          <w:position w:val="0"/>
          <w:sz w:val="24"/>
          <w:szCs w:val="24"/>
        </w:rPr>
        <w:t>OECD. (2011). State of Penang, Malaysia.</w:t>
      </w:r>
    </w:p>
    <w:p w14:paraId="31B6F68D" w14:textId="77777777" w:rsidR="00B027A9" w:rsidRDefault="00AE2895">
      <w:pPr>
        <w:widowControl w:val="0"/>
        <w:suppressAutoHyphens w:val="0"/>
        <w:autoSpaceDE w:val="0"/>
        <w:autoSpaceDN w:val="0"/>
        <w:adjustRightInd w:val="0"/>
        <w:spacing w:after="0" w:line="240" w:lineRule="auto"/>
        <w:ind w:leftChars="0" w:left="0" w:firstLineChars="0" w:firstLine="0"/>
        <w:jc w:val="both"/>
        <w:textDirection w:val="lrTb"/>
        <w:textAlignment w:val="auto"/>
        <w:outlineLvl w:val="9"/>
        <w:rPr>
          <w:rFonts w:ascii="Times New Roman" w:hAnsi="Times New Roman" w:cs="Times New Roman"/>
          <w:noProof/>
          <w:position w:val="0"/>
          <w:sz w:val="24"/>
          <w:szCs w:val="24"/>
        </w:rPr>
      </w:pPr>
      <w:r>
        <w:rPr>
          <w:rFonts w:ascii="Times New Roman" w:hAnsi="Times New Roman" w:cs="Times New Roman"/>
          <w:noProof/>
          <w:position w:val="0"/>
          <w:sz w:val="24"/>
          <w:szCs w:val="24"/>
        </w:rPr>
        <w:t xml:space="preserve">Othman, M., Ahrasan, N., &amp; Thung, T. (2021). Report on climate change impacts in Penang. </w:t>
      </w:r>
      <w:r>
        <w:rPr>
          <w:rFonts w:ascii="Times New Roman" w:hAnsi="Times New Roman" w:cs="Times New Roman"/>
          <w:noProof/>
          <w:position w:val="0"/>
          <w:sz w:val="24"/>
          <w:szCs w:val="24"/>
        </w:rPr>
        <w:tab/>
        <w:t>Retrieved from https://pgc.com.my/2020/wp-content/uploads/2021/04/Executive-</w:t>
      </w:r>
      <w:r>
        <w:rPr>
          <w:rFonts w:ascii="Times New Roman" w:hAnsi="Times New Roman" w:cs="Times New Roman"/>
          <w:noProof/>
          <w:position w:val="0"/>
          <w:sz w:val="24"/>
          <w:szCs w:val="24"/>
        </w:rPr>
        <w:tab/>
        <w:t xml:space="preserve">Summary.pdf </w:t>
      </w:r>
    </w:p>
    <w:p w14:paraId="531D455B" w14:textId="77777777" w:rsidR="00B027A9" w:rsidRDefault="00AE2895">
      <w:pPr>
        <w:widowControl w:val="0"/>
        <w:suppressAutoHyphens w:val="0"/>
        <w:autoSpaceDE w:val="0"/>
        <w:autoSpaceDN w:val="0"/>
        <w:adjustRightInd w:val="0"/>
        <w:spacing w:after="0" w:line="240" w:lineRule="auto"/>
        <w:ind w:leftChars="0" w:left="0" w:firstLineChars="0" w:firstLine="0"/>
        <w:jc w:val="both"/>
        <w:textDirection w:val="lrTb"/>
        <w:textAlignment w:val="auto"/>
        <w:outlineLvl w:val="9"/>
        <w:rPr>
          <w:rFonts w:ascii="Times New Roman" w:hAnsi="Times New Roman" w:cs="Times New Roman"/>
          <w:noProof/>
          <w:position w:val="0"/>
          <w:sz w:val="24"/>
          <w:szCs w:val="24"/>
        </w:rPr>
      </w:pPr>
      <w:r>
        <w:rPr>
          <w:rFonts w:ascii="Times New Roman" w:hAnsi="Times New Roman" w:cs="Times New Roman"/>
          <w:noProof/>
          <w:position w:val="0"/>
          <w:sz w:val="24"/>
          <w:szCs w:val="24"/>
        </w:rPr>
        <w:t xml:space="preserve">Perbadanan Bekalan Air (PBA). (2020). Penang dams &amp; effective capacity - Perbadanan Bekalan </w:t>
      </w:r>
      <w:r>
        <w:rPr>
          <w:rFonts w:ascii="Times New Roman" w:hAnsi="Times New Roman" w:cs="Times New Roman"/>
          <w:noProof/>
          <w:position w:val="0"/>
          <w:sz w:val="24"/>
          <w:szCs w:val="24"/>
        </w:rPr>
        <w:tab/>
        <w:t>Air Pulau Pinang. Retrieved from https://pba.com.my/penang-dams-effective-capacity/</w:t>
      </w:r>
    </w:p>
    <w:p w14:paraId="24FA8E80" w14:textId="5BE0A02D" w:rsidR="00B027A9" w:rsidRDefault="00AE2895" w:rsidP="00145184">
      <w:pPr>
        <w:widowControl w:val="0"/>
        <w:suppressAutoHyphens w:val="0"/>
        <w:autoSpaceDE w:val="0"/>
        <w:autoSpaceDN w:val="0"/>
        <w:adjustRightInd w:val="0"/>
        <w:spacing w:after="0" w:line="240" w:lineRule="auto"/>
        <w:ind w:leftChars="0" w:left="720" w:firstLineChars="0" w:hanging="720"/>
        <w:jc w:val="both"/>
        <w:textDirection w:val="lrTb"/>
        <w:textAlignment w:val="auto"/>
        <w:outlineLvl w:val="9"/>
        <w:rPr>
          <w:rFonts w:ascii="Times New Roman" w:hAnsi="Times New Roman" w:cs="Times New Roman"/>
          <w:noProof/>
          <w:position w:val="0"/>
          <w:sz w:val="24"/>
          <w:szCs w:val="24"/>
        </w:rPr>
      </w:pPr>
      <w:r>
        <w:rPr>
          <w:rFonts w:ascii="Times New Roman" w:hAnsi="Times New Roman" w:cs="Times New Roman"/>
          <w:noProof/>
          <w:position w:val="0"/>
          <w:sz w:val="24"/>
          <w:szCs w:val="24"/>
        </w:rPr>
        <w:t>Penang Global Tourism. (2019). myPenang.</w:t>
      </w:r>
      <w:r>
        <w:rPr>
          <w:rFonts w:ascii="Times New Roman" w:hAnsi="Times New Roman" w:cs="Times New Roman"/>
          <w:noProof/>
          <w:position w:val="0"/>
          <w:sz w:val="24"/>
          <w:szCs w:val="24"/>
        </w:rPr>
        <w:tab/>
        <w:t>Retrieved from https://www.mypenang.gov.my/</w:t>
      </w:r>
      <w:r w:rsidR="00145184">
        <w:rPr>
          <w:rFonts w:ascii="Times New Roman" w:hAnsi="Times New Roman" w:cs="Times New Roman"/>
          <w:noProof/>
          <w:position w:val="0"/>
          <w:sz w:val="24"/>
          <w:szCs w:val="24"/>
        </w:rPr>
        <w:t xml:space="preserve"> </w:t>
      </w:r>
      <w:r>
        <w:rPr>
          <w:rFonts w:ascii="Times New Roman" w:hAnsi="Times New Roman" w:cs="Times New Roman"/>
          <w:noProof/>
          <w:position w:val="0"/>
          <w:sz w:val="24"/>
          <w:szCs w:val="24"/>
        </w:rPr>
        <w:t>natureadventure/directory/50/?lg=en</w:t>
      </w:r>
    </w:p>
    <w:p w14:paraId="3B398131" w14:textId="296742B0" w:rsidR="00B027A9" w:rsidRDefault="00AE2895">
      <w:pPr>
        <w:widowControl w:val="0"/>
        <w:suppressAutoHyphens w:val="0"/>
        <w:autoSpaceDE w:val="0"/>
        <w:autoSpaceDN w:val="0"/>
        <w:adjustRightInd w:val="0"/>
        <w:spacing w:after="0" w:line="240" w:lineRule="auto"/>
        <w:ind w:leftChars="0" w:left="0" w:firstLineChars="0" w:firstLine="0"/>
        <w:jc w:val="both"/>
        <w:textDirection w:val="lrTb"/>
        <w:textAlignment w:val="auto"/>
        <w:outlineLvl w:val="9"/>
        <w:rPr>
          <w:rFonts w:ascii="Times New Roman" w:hAnsi="Times New Roman" w:cs="Times New Roman"/>
          <w:noProof/>
          <w:position w:val="0"/>
          <w:sz w:val="24"/>
          <w:szCs w:val="24"/>
        </w:rPr>
      </w:pPr>
      <w:r>
        <w:rPr>
          <w:rFonts w:ascii="Times New Roman" w:hAnsi="Times New Roman" w:cs="Times New Roman"/>
          <w:noProof/>
          <w:position w:val="0"/>
          <w:sz w:val="24"/>
          <w:szCs w:val="24"/>
        </w:rPr>
        <w:t xml:space="preserve">Samat, N., Mahamud, M. A., Tan, M. L., Tilaki, M. J. M., &amp; Tew, Y. L. (2020). Modelling land </w:t>
      </w:r>
      <w:r>
        <w:rPr>
          <w:rFonts w:ascii="Times New Roman" w:hAnsi="Times New Roman" w:cs="Times New Roman"/>
          <w:noProof/>
          <w:position w:val="0"/>
          <w:sz w:val="24"/>
          <w:szCs w:val="24"/>
        </w:rPr>
        <w:tab/>
        <w:t xml:space="preserve">cover changes in Peri-urban areas: A case study of george town conurbation, Malaysia. </w:t>
      </w:r>
      <w:r>
        <w:rPr>
          <w:rFonts w:ascii="Times New Roman" w:hAnsi="Times New Roman" w:cs="Times New Roman"/>
          <w:noProof/>
          <w:position w:val="0"/>
          <w:sz w:val="24"/>
          <w:szCs w:val="24"/>
        </w:rPr>
        <w:tab/>
      </w:r>
      <w:r>
        <w:rPr>
          <w:rFonts w:ascii="Times New Roman" w:hAnsi="Times New Roman" w:cs="Times New Roman"/>
          <w:i/>
          <w:iCs/>
          <w:noProof/>
          <w:position w:val="0"/>
          <w:sz w:val="24"/>
          <w:szCs w:val="24"/>
        </w:rPr>
        <w:t>Land</w:t>
      </w:r>
      <w:r>
        <w:rPr>
          <w:rFonts w:ascii="Times New Roman" w:hAnsi="Times New Roman" w:cs="Times New Roman"/>
          <w:noProof/>
          <w:position w:val="0"/>
          <w:sz w:val="24"/>
          <w:szCs w:val="24"/>
        </w:rPr>
        <w:t xml:space="preserve">, </w:t>
      </w:r>
      <w:r>
        <w:rPr>
          <w:rFonts w:ascii="Times New Roman" w:hAnsi="Times New Roman" w:cs="Times New Roman"/>
          <w:i/>
          <w:iCs/>
          <w:noProof/>
          <w:position w:val="0"/>
          <w:sz w:val="24"/>
          <w:szCs w:val="24"/>
        </w:rPr>
        <w:t>9</w:t>
      </w:r>
      <w:r>
        <w:rPr>
          <w:rFonts w:ascii="Times New Roman" w:hAnsi="Times New Roman" w:cs="Times New Roman"/>
          <w:noProof/>
          <w:position w:val="0"/>
          <w:sz w:val="24"/>
          <w:szCs w:val="24"/>
        </w:rPr>
        <w:t>(10), 1–16. https://doi.org/10.3390/land9100373</w:t>
      </w:r>
    </w:p>
    <w:p w14:paraId="281E1396" w14:textId="4DE1E357" w:rsidR="00B027A9" w:rsidRDefault="00AE2895" w:rsidP="00145184">
      <w:pPr>
        <w:widowControl w:val="0"/>
        <w:suppressAutoHyphens w:val="0"/>
        <w:autoSpaceDE w:val="0"/>
        <w:autoSpaceDN w:val="0"/>
        <w:adjustRightInd w:val="0"/>
        <w:spacing w:after="0" w:line="240" w:lineRule="auto"/>
        <w:ind w:leftChars="0" w:left="720" w:firstLineChars="0" w:hanging="720"/>
        <w:jc w:val="both"/>
        <w:textDirection w:val="lrTb"/>
        <w:textAlignment w:val="auto"/>
        <w:outlineLvl w:val="9"/>
        <w:rPr>
          <w:rFonts w:ascii="Times New Roman" w:hAnsi="Times New Roman" w:cs="Times New Roman"/>
          <w:noProof/>
          <w:position w:val="0"/>
          <w:sz w:val="24"/>
          <w:szCs w:val="24"/>
        </w:rPr>
      </w:pPr>
      <w:r>
        <w:rPr>
          <w:rFonts w:ascii="Times New Roman" w:hAnsi="Times New Roman" w:cs="Times New Roman"/>
          <w:noProof/>
          <w:position w:val="0"/>
          <w:sz w:val="24"/>
          <w:szCs w:val="24"/>
        </w:rPr>
        <w:t xml:space="preserve">Schober, P., &amp; Schwarte, L. A. (2018). Correlation coefficients: Appropriate use and interpretation. </w:t>
      </w:r>
      <w:r>
        <w:rPr>
          <w:rFonts w:ascii="Times New Roman" w:hAnsi="Times New Roman" w:cs="Times New Roman"/>
          <w:i/>
          <w:iCs/>
          <w:noProof/>
          <w:position w:val="0"/>
          <w:sz w:val="24"/>
          <w:szCs w:val="24"/>
        </w:rPr>
        <w:t>Anesthesia and Analgesia</w:t>
      </w:r>
      <w:r>
        <w:rPr>
          <w:rFonts w:ascii="Times New Roman" w:hAnsi="Times New Roman" w:cs="Times New Roman"/>
          <w:noProof/>
          <w:position w:val="0"/>
          <w:sz w:val="24"/>
          <w:szCs w:val="24"/>
        </w:rPr>
        <w:t xml:space="preserve">, </w:t>
      </w:r>
      <w:r>
        <w:rPr>
          <w:rFonts w:ascii="Times New Roman" w:hAnsi="Times New Roman" w:cs="Times New Roman"/>
          <w:i/>
          <w:iCs/>
          <w:noProof/>
          <w:position w:val="0"/>
          <w:sz w:val="24"/>
          <w:szCs w:val="24"/>
        </w:rPr>
        <w:t>126</w:t>
      </w:r>
      <w:r>
        <w:rPr>
          <w:rFonts w:ascii="Times New Roman" w:hAnsi="Times New Roman" w:cs="Times New Roman"/>
          <w:noProof/>
          <w:position w:val="0"/>
          <w:sz w:val="24"/>
          <w:szCs w:val="24"/>
        </w:rPr>
        <w:t>(5), 1763–1768. https://doi.org/</w:t>
      </w:r>
      <w:r w:rsidR="00145184">
        <w:rPr>
          <w:rFonts w:ascii="Times New Roman" w:hAnsi="Times New Roman" w:cs="Times New Roman"/>
          <w:noProof/>
          <w:position w:val="0"/>
          <w:sz w:val="24"/>
          <w:szCs w:val="24"/>
        </w:rPr>
        <w:t xml:space="preserve"> </w:t>
      </w:r>
      <w:r>
        <w:rPr>
          <w:rFonts w:ascii="Times New Roman" w:hAnsi="Times New Roman" w:cs="Times New Roman"/>
          <w:noProof/>
          <w:position w:val="0"/>
          <w:sz w:val="24"/>
          <w:szCs w:val="24"/>
        </w:rPr>
        <w:t>10.1213/ANE.0000000000002864</w:t>
      </w:r>
    </w:p>
    <w:p w14:paraId="24E232B7" w14:textId="6E24FA42" w:rsidR="00B027A9" w:rsidRDefault="00AE2895">
      <w:pPr>
        <w:widowControl w:val="0"/>
        <w:suppressAutoHyphens w:val="0"/>
        <w:autoSpaceDE w:val="0"/>
        <w:autoSpaceDN w:val="0"/>
        <w:adjustRightInd w:val="0"/>
        <w:spacing w:after="0" w:line="240" w:lineRule="auto"/>
        <w:ind w:leftChars="0" w:left="0" w:firstLineChars="0" w:firstLine="0"/>
        <w:jc w:val="both"/>
        <w:textDirection w:val="lrTb"/>
        <w:textAlignment w:val="auto"/>
        <w:outlineLvl w:val="9"/>
        <w:rPr>
          <w:rFonts w:ascii="Times New Roman" w:hAnsi="Times New Roman" w:cs="Times New Roman"/>
          <w:noProof/>
          <w:position w:val="0"/>
          <w:sz w:val="24"/>
          <w:szCs w:val="24"/>
        </w:rPr>
      </w:pPr>
      <w:r>
        <w:rPr>
          <w:rFonts w:ascii="Times New Roman" w:hAnsi="Times New Roman" w:cs="Times New Roman"/>
          <w:noProof/>
          <w:position w:val="0"/>
          <w:sz w:val="24"/>
          <w:szCs w:val="24"/>
        </w:rPr>
        <w:t xml:space="preserve">Tan, K. C., Lim, H. S., MatJafri, M. Z., &amp; Abdullah, K. (2010). Landsat data to evaluate urban </w:t>
      </w:r>
      <w:r>
        <w:rPr>
          <w:rFonts w:ascii="Times New Roman" w:hAnsi="Times New Roman" w:cs="Times New Roman"/>
          <w:noProof/>
          <w:position w:val="0"/>
          <w:sz w:val="24"/>
          <w:szCs w:val="24"/>
        </w:rPr>
        <w:lastRenderedPageBreak/>
        <w:tab/>
        <w:t xml:space="preserve">expansion and determine land use/land cover changes in Penang Island, Malaysia. </w:t>
      </w:r>
      <w:r>
        <w:rPr>
          <w:rFonts w:ascii="Times New Roman" w:hAnsi="Times New Roman" w:cs="Times New Roman"/>
          <w:noProof/>
          <w:position w:val="0"/>
          <w:sz w:val="24"/>
          <w:szCs w:val="24"/>
        </w:rPr>
        <w:tab/>
      </w:r>
      <w:r>
        <w:rPr>
          <w:rFonts w:ascii="Times New Roman" w:hAnsi="Times New Roman" w:cs="Times New Roman"/>
          <w:i/>
          <w:iCs/>
          <w:noProof/>
          <w:position w:val="0"/>
          <w:sz w:val="24"/>
          <w:szCs w:val="24"/>
        </w:rPr>
        <w:t>Environmental Earth Sciences</w:t>
      </w:r>
      <w:r>
        <w:rPr>
          <w:rFonts w:ascii="Times New Roman" w:hAnsi="Times New Roman" w:cs="Times New Roman"/>
          <w:noProof/>
          <w:position w:val="0"/>
          <w:sz w:val="24"/>
          <w:szCs w:val="24"/>
        </w:rPr>
        <w:t xml:space="preserve">, </w:t>
      </w:r>
      <w:r>
        <w:rPr>
          <w:rFonts w:ascii="Times New Roman" w:hAnsi="Times New Roman" w:cs="Times New Roman"/>
          <w:i/>
          <w:iCs/>
          <w:noProof/>
          <w:position w:val="0"/>
          <w:sz w:val="24"/>
          <w:szCs w:val="24"/>
        </w:rPr>
        <w:t>60</w:t>
      </w:r>
      <w:r>
        <w:rPr>
          <w:rFonts w:ascii="Times New Roman" w:hAnsi="Times New Roman" w:cs="Times New Roman"/>
          <w:noProof/>
          <w:position w:val="0"/>
          <w:sz w:val="24"/>
          <w:szCs w:val="24"/>
        </w:rPr>
        <w:t>(7), 1509–1521. https://doi.org/10.1007/s12665-009-</w:t>
      </w:r>
      <w:r>
        <w:rPr>
          <w:rFonts w:ascii="Times New Roman" w:hAnsi="Times New Roman" w:cs="Times New Roman"/>
          <w:noProof/>
          <w:position w:val="0"/>
          <w:sz w:val="24"/>
          <w:szCs w:val="24"/>
        </w:rPr>
        <w:tab/>
        <w:t>0286-z</w:t>
      </w:r>
    </w:p>
    <w:p w14:paraId="14C06C6D" w14:textId="77AA66B4" w:rsidR="00B027A9" w:rsidRDefault="00AE2895" w:rsidP="00145184">
      <w:pPr>
        <w:widowControl w:val="0"/>
        <w:suppressAutoHyphens w:val="0"/>
        <w:autoSpaceDE w:val="0"/>
        <w:autoSpaceDN w:val="0"/>
        <w:adjustRightInd w:val="0"/>
        <w:spacing w:after="0" w:line="240" w:lineRule="auto"/>
        <w:ind w:leftChars="0" w:left="720" w:firstLineChars="0" w:hanging="720"/>
        <w:jc w:val="both"/>
        <w:textDirection w:val="lrTb"/>
        <w:textAlignment w:val="auto"/>
        <w:outlineLvl w:val="9"/>
        <w:rPr>
          <w:rFonts w:ascii="Times New Roman" w:hAnsi="Times New Roman" w:cs="Times New Roman"/>
          <w:noProof/>
          <w:position w:val="0"/>
          <w:sz w:val="24"/>
          <w:szCs w:val="24"/>
        </w:rPr>
      </w:pPr>
      <w:r>
        <w:rPr>
          <w:rFonts w:ascii="Times New Roman" w:hAnsi="Times New Roman" w:cs="Times New Roman"/>
          <w:noProof/>
          <w:position w:val="0"/>
          <w:sz w:val="24"/>
          <w:szCs w:val="24"/>
        </w:rPr>
        <w:t xml:space="preserve">Tan, M. L., Juneng, L., Tangang, F. T., Chung, J. X., &amp; Radin Firdaus, R. B. (2020). Changes in temperature extremes and their relationship with ENSO in Malaysia from 1985 to 2018. </w:t>
      </w:r>
      <w:r>
        <w:rPr>
          <w:rFonts w:ascii="Times New Roman" w:hAnsi="Times New Roman" w:cs="Times New Roman"/>
          <w:i/>
          <w:iCs/>
          <w:noProof/>
          <w:position w:val="0"/>
          <w:sz w:val="24"/>
          <w:szCs w:val="24"/>
        </w:rPr>
        <w:t>International Journal of Climatology</w:t>
      </w:r>
      <w:r>
        <w:rPr>
          <w:rFonts w:ascii="Times New Roman" w:hAnsi="Times New Roman" w:cs="Times New Roman"/>
          <w:noProof/>
          <w:position w:val="0"/>
          <w:sz w:val="24"/>
          <w:szCs w:val="24"/>
        </w:rPr>
        <w:t xml:space="preserve">, </w:t>
      </w:r>
      <w:r>
        <w:rPr>
          <w:rFonts w:ascii="Times New Roman" w:hAnsi="Times New Roman" w:cs="Times New Roman"/>
          <w:i/>
          <w:iCs/>
          <w:noProof/>
          <w:position w:val="0"/>
          <w:sz w:val="24"/>
          <w:szCs w:val="24"/>
        </w:rPr>
        <w:t>41</w:t>
      </w:r>
      <w:r>
        <w:rPr>
          <w:rFonts w:ascii="Times New Roman" w:hAnsi="Times New Roman" w:cs="Times New Roman"/>
          <w:noProof/>
          <w:position w:val="0"/>
          <w:sz w:val="24"/>
          <w:szCs w:val="24"/>
        </w:rPr>
        <w:t>(S1), E2564–E2580. https://doi.org/</w:t>
      </w:r>
      <w:r w:rsidR="00145184">
        <w:rPr>
          <w:rFonts w:ascii="Times New Roman" w:hAnsi="Times New Roman" w:cs="Times New Roman"/>
          <w:noProof/>
          <w:position w:val="0"/>
          <w:sz w:val="24"/>
          <w:szCs w:val="24"/>
        </w:rPr>
        <w:t xml:space="preserve"> </w:t>
      </w:r>
      <w:r>
        <w:rPr>
          <w:rFonts w:ascii="Times New Roman" w:hAnsi="Times New Roman" w:cs="Times New Roman"/>
          <w:noProof/>
          <w:position w:val="0"/>
          <w:sz w:val="24"/>
          <w:szCs w:val="24"/>
        </w:rPr>
        <w:t>10.1002/joc.6864</w:t>
      </w:r>
    </w:p>
    <w:p w14:paraId="350C5230" w14:textId="22D0C3BE" w:rsidR="00B027A9" w:rsidRDefault="00AE2895" w:rsidP="00145184">
      <w:pPr>
        <w:widowControl w:val="0"/>
        <w:suppressAutoHyphens w:val="0"/>
        <w:autoSpaceDE w:val="0"/>
        <w:autoSpaceDN w:val="0"/>
        <w:spacing w:after="0" w:line="240" w:lineRule="auto"/>
        <w:ind w:leftChars="0" w:left="720" w:firstLineChars="0" w:hanging="720"/>
        <w:jc w:val="both"/>
        <w:textDirection w:val="lrTb"/>
        <w:textAlignment w:val="auto"/>
        <w:outlineLvl w:val="9"/>
        <w:rPr>
          <w:rFonts w:ascii="Times New Roman" w:hAnsi="Times New Roman" w:cs="Times New Roman"/>
          <w:noProof/>
          <w:position w:val="0"/>
          <w:sz w:val="24"/>
          <w:szCs w:val="24"/>
        </w:rPr>
      </w:pPr>
      <w:r>
        <w:rPr>
          <w:rFonts w:ascii="Times New Roman" w:hAnsi="Times New Roman" w:cs="Times New Roman"/>
          <w:noProof/>
          <w:position w:val="0"/>
          <w:sz w:val="24"/>
          <w:szCs w:val="24"/>
        </w:rPr>
        <w:t xml:space="preserve">Tan, M. L., Zhang, F., Derek, C. J. C., Yu, K. H., Shaharudin, S. M., Chan, N. W., &amp; Asyirah, A. R. (2022). Spatio-temporal analysis of precipitation, temperature and drought from 1985 to 2020 in Penang, Malaysia. </w:t>
      </w:r>
      <w:r>
        <w:rPr>
          <w:rFonts w:ascii="Times New Roman" w:hAnsi="Times New Roman" w:cs="Times New Roman"/>
          <w:i/>
          <w:iCs/>
          <w:noProof/>
          <w:position w:val="0"/>
          <w:sz w:val="24"/>
          <w:szCs w:val="24"/>
        </w:rPr>
        <w:t>Water Supply</w:t>
      </w:r>
      <w:r>
        <w:rPr>
          <w:rFonts w:ascii="Times New Roman" w:hAnsi="Times New Roman" w:cs="Times New Roman"/>
          <w:noProof/>
          <w:position w:val="0"/>
          <w:sz w:val="24"/>
          <w:szCs w:val="24"/>
        </w:rPr>
        <w:t xml:space="preserve">, </w:t>
      </w:r>
      <w:r>
        <w:rPr>
          <w:rFonts w:ascii="Times New Roman" w:hAnsi="Times New Roman" w:cs="Times New Roman"/>
          <w:i/>
          <w:iCs/>
          <w:noProof/>
          <w:position w:val="0"/>
          <w:sz w:val="24"/>
          <w:szCs w:val="24"/>
        </w:rPr>
        <w:t>22</w:t>
      </w:r>
      <w:r>
        <w:rPr>
          <w:rFonts w:ascii="Times New Roman" w:hAnsi="Times New Roman" w:cs="Times New Roman"/>
          <w:noProof/>
          <w:position w:val="0"/>
          <w:sz w:val="24"/>
          <w:szCs w:val="24"/>
        </w:rPr>
        <w:t>(5), 4757–4768. https://doi.org/</w:t>
      </w:r>
      <w:r w:rsidR="00145184">
        <w:rPr>
          <w:rFonts w:ascii="Times New Roman" w:hAnsi="Times New Roman" w:cs="Times New Roman"/>
          <w:noProof/>
          <w:position w:val="0"/>
          <w:sz w:val="24"/>
          <w:szCs w:val="24"/>
        </w:rPr>
        <w:t xml:space="preserve"> </w:t>
      </w:r>
      <w:r>
        <w:rPr>
          <w:rFonts w:ascii="Times New Roman" w:hAnsi="Times New Roman" w:cs="Times New Roman"/>
          <w:noProof/>
          <w:position w:val="0"/>
          <w:sz w:val="24"/>
          <w:szCs w:val="24"/>
        </w:rPr>
        <w:t>10.2166/ws.2022.140</w:t>
      </w:r>
    </w:p>
    <w:p w14:paraId="34B9C4F1" w14:textId="6F5C1DC3" w:rsidR="00B027A9" w:rsidRDefault="00AE2895" w:rsidP="00145184">
      <w:pPr>
        <w:widowControl w:val="0"/>
        <w:suppressAutoHyphens w:val="0"/>
        <w:autoSpaceDE w:val="0"/>
        <w:autoSpaceDN w:val="0"/>
        <w:adjustRightInd w:val="0"/>
        <w:spacing w:after="0" w:line="240" w:lineRule="auto"/>
        <w:ind w:leftChars="0" w:left="720" w:firstLineChars="0" w:hanging="720"/>
        <w:jc w:val="both"/>
        <w:textDirection w:val="lrTb"/>
        <w:textAlignment w:val="auto"/>
        <w:outlineLvl w:val="9"/>
        <w:rPr>
          <w:rFonts w:ascii="Times New Roman" w:hAnsi="Times New Roman" w:cs="Times New Roman"/>
          <w:noProof/>
          <w:position w:val="0"/>
          <w:sz w:val="24"/>
          <w:szCs w:val="24"/>
        </w:rPr>
      </w:pPr>
      <w:r>
        <w:rPr>
          <w:rFonts w:ascii="Times New Roman" w:hAnsi="Times New Roman" w:cs="Times New Roman"/>
          <w:noProof/>
          <w:position w:val="0"/>
          <w:sz w:val="24"/>
          <w:szCs w:val="24"/>
        </w:rPr>
        <w:t xml:space="preserve">Tangang, F. T., Juneng, L., &amp; Ahmad, S. (2007). Trend and interannual variability of temperature in Malaysia: 1961-2002. </w:t>
      </w:r>
      <w:r>
        <w:rPr>
          <w:rFonts w:ascii="Times New Roman" w:hAnsi="Times New Roman" w:cs="Times New Roman"/>
          <w:i/>
          <w:iCs/>
          <w:noProof/>
          <w:position w:val="0"/>
          <w:sz w:val="24"/>
          <w:szCs w:val="24"/>
        </w:rPr>
        <w:t>Theoretical and Applied Climatology</w:t>
      </w:r>
      <w:r>
        <w:rPr>
          <w:rFonts w:ascii="Times New Roman" w:hAnsi="Times New Roman" w:cs="Times New Roman"/>
          <w:noProof/>
          <w:position w:val="0"/>
          <w:sz w:val="24"/>
          <w:szCs w:val="24"/>
        </w:rPr>
        <w:t xml:space="preserve">, </w:t>
      </w:r>
      <w:r>
        <w:rPr>
          <w:rFonts w:ascii="Times New Roman" w:hAnsi="Times New Roman" w:cs="Times New Roman"/>
          <w:i/>
          <w:iCs/>
          <w:noProof/>
          <w:position w:val="0"/>
          <w:sz w:val="24"/>
          <w:szCs w:val="24"/>
        </w:rPr>
        <w:t>89</w:t>
      </w:r>
      <w:r>
        <w:rPr>
          <w:rFonts w:ascii="Times New Roman" w:hAnsi="Times New Roman" w:cs="Times New Roman"/>
          <w:noProof/>
          <w:position w:val="0"/>
          <w:sz w:val="24"/>
          <w:szCs w:val="24"/>
        </w:rPr>
        <w:t>(3–4), 127–141.  https://doi.org/10.1007/s00704-006-0263-3</w:t>
      </w:r>
    </w:p>
    <w:p w14:paraId="55C532A8" w14:textId="11250160" w:rsidR="00B027A9" w:rsidRDefault="00AE2895">
      <w:pPr>
        <w:widowControl w:val="0"/>
        <w:suppressAutoHyphens w:val="0"/>
        <w:autoSpaceDE w:val="0"/>
        <w:autoSpaceDN w:val="0"/>
        <w:adjustRightInd w:val="0"/>
        <w:spacing w:after="0" w:line="240" w:lineRule="auto"/>
        <w:ind w:leftChars="0" w:left="0" w:firstLineChars="0" w:firstLine="0"/>
        <w:jc w:val="both"/>
        <w:textDirection w:val="lrTb"/>
        <w:textAlignment w:val="auto"/>
        <w:outlineLvl w:val="9"/>
        <w:rPr>
          <w:rFonts w:ascii="Times New Roman" w:hAnsi="Times New Roman" w:cs="Times New Roman"/>
          <w:noProof/>
          <w:position w:val="0"/>
          <w:sz w:val="24"/>
          <w:szCs w:val="24"/>
        </w:rPr>
      </w:pPr>
      <w:r>
        <w:rPr>
          <w:rFonts w:ascii="Times New Roman" w:hAnsi="Times New Roman" w:cs="Times New Roman"/>
          <w:noProof/>
          <w:position w:val="0"/>
          <w:sz w:val="24"/>
          <w:szCs w:val="24"/>
        </w:rPr>
        <w:t xml:space="preserve">Tew, Y. L., Tan, M. L., Samat, N., &amp; Yang, X. (2019). Urban expansion analysis using </w:t>
      </w:r>
      <w:r w:rsidR="00145184">
        <w:rPr>
          <w:rFonts w:ascii="Times New Roman" w:hAnsi="Times New Roman" w:cs="Times New Roman"/>
          <w:noProof/>
          <w:position w:val="0"/>
          <w:sz w:val="24"/>
          <w:szCs w:val="24"/>
        </w:rPr>
        <w:t>L</w:t>
      </w:r>
      <w:r>
        <w:rPr>
          <w:rFonts w:ascii="Times New Roman" w:hAnsi="Times New Roman" w:cs="Times New Roman"/>
          <w:noProof/>
          <w:position w:val="0"/>
          <w:sz w:val="24"/>
          <w:szCs w:val="24"/>
        </w:rPr>
        <w:t xml:space="preserve">andsat </w:t>
      </w:r>
      <w:r>
        <w:rPr>
          <w:rFonts w:ascii="Times New Roman" w:hAnsi="Times New Roman" w:cs="Times New Roman"/>
          <w:noProof/>
          <w:position w:val="0"/>
          <w:sz w:val="24"/>
          <w:szCs w:val="24"/>
        </w:rPr>
        <w:tab/>
        <w:t xml:space="preserve">images in Penang, </w:t>
      </w:r>
      <w:r w:rsidR="00145184">
        <w:rPr>
          <w:rFonts w:ascii="Times New Roman" w:hAnsi="Times New Roman" w:cs="Times New Roman"/>
          <w:noProof/>
          <w:position w:val="0"/>
          <w:sz w:val="24"/>
          <w:szCs w:val="24"/>
        </w:rPr>
        <w:t>M</w:t>
      </w:r>
      <w:r>
        <w:rPr>
          <w:rFonts w:ascii="Times New Roman" w:hAnsi="Times New Roman" w:cs="Times New Roman"/>
          <w:noProof/>
          <w:position w:val="0"/>
          <w:sz w:val="24"/>
          <w:szCs w:val="24"/>
        </w:rPr>
        <w:t xml:space="preserve">alaysia. </w:t>
      </w:r>
      <w:r>
        <w:rPr>
          <w:rFonts w:ascii="Times New Roman" w:hAnsi="Times New Roman" w:cs="Times New Roman"/>
          <w:i/>
          <w:iCs/>
          <w:noProof/>
          <w:position w:val="0"/>
          <w:sz w:val="24"/>
          <w:szCs w:val="24"/>
        </w:rPr>
        <w:t>Sains Malaysiana</w:t>
      </w:r>
      <w:r>
        <w:rPr>
          <w:rFonts w:ascii="Times New Roman" w:hAnsi="Times New Roman" w:cs="Times New Roman"/>
          <w:noProof/>
          <w:position w:val="0"/>
          <w:sz w:val="24"/>
          <w:szCs w:val="24"/>
        </w:rPr>
        <w:t xml:space="preserve">, </w:t>
      </w:r>
      <w:r>
        <w:rPr>
          <w:rFonts w:ascii="Times New Roman" w:hAnsi="Times New Roman" w:cs="Times New Roman"/>
          <w:i/>
          <w:iCs/>
          <w:noProof/>
          <w:position w:val="0"/>
          <w:sz w:val="24"/>
          <w:szCs w:val="24"/>
        </w:rPr>
        <w:t>48</w:t>
      </w:r>
      <w:r>
        <w:rPr>
          <w:rFonts w:ascii="Times New Roman" w:hAnsi="Times New Roman" w:cs="Times New Roman"/>
          <w:noProof/>
          <w:position w:val="0"/>
          <w:sz w:val="24"/>
          <w:szCs w:val="24"/>
        </w:rPr>
        <w:t xml:space="preserve">(11), 2307–2315. </w:t>
      </w:r>
      <w:r>
        <w:rPr>
          <w:rFonts w:ascii="Times New Roman" w:hAnsi="Times New Roman" w:cs="Times New Roman"/>
          <w:noProof/>
          <w:position w:val="0"/>
          <w:sz w:val="24"/>
          <w:szCs w:val="24"/>
        </w:rPr>
        <w:tab/>
        <w:t>https://doi.org/10.17576/jsm-2019-4811-02</w:t>
      </w:r>
    </w:p>
    <w:p w14:paraId="09354076" w14:textId="53B2736D" w:rsidR="00B027A9" w:rsidRDefault="00AE2895">
      <w:pPr>
        <w:widowControl w:val="0"/>
        <w:suppressAutoHyphens w:val="0"/>
        <w:autoSpaceDE w:val="0"/>
        <w:autoSpaceDN w:val="0"/>
        <w:adjustRightInd w:val="0"/>
        <w:spacing w:after="0" w:line="240" w:lineRule="auto"/>
        <w:ind w:leftChars="0" w:left="0" w:firstLineChars="0" w:firstLine="0"/>
        <w:jc w:val="both"/>
        <w:textDirection w:val="lrTb"/>
        <w:textAlignment w:val="auto"/>
        <w:outlineLvl w:val="9"/>
        <w:rPr>
          <w:rFonts w:ascii="Times New Roman" w:hAnsi="Times New Roman" w:cs="Times New Roman"/>
          <w:noProof/>
          <w:position w:val="0"/>
          <w:sz w:val="24"/>
          <w:szCs w:val="24"/>
        </w:rPr>
      </w:pPr>
      <w:r>
        <w:rPr>
          <w:rFonts w:ascii="Times New Roman" w:hAnsi="Times New Roman" w:cs="Times New Roman"/>
          <w:noProof/>
          <w:position w:val="0"/>
          <w:sz w:val="24"/>
          <w:szCs w:val="24"/>
        </w:rPr>
        <w:t xml:space="preserve">Wang, Y., Ji, W., Yu, X., Xu, X., Jiang, D., Wang, Z., &amp; Zhuang, D. (2014). The impact of </w:t>
      </w:r>
      <w:r>
        <w:rPr>
          <w:rFonts w:ascii="Times New Roman" w:hAnsi="Times New Roman" w:cs="Times New Roman"/>
          <w:noProof/>
          <w:position w:val="0"/>
          <w:sz w:val="24"/>
          <w:szCs w:val="24"/>
        </w:rPr>
        <w:tab/>
        <w:t xml:space="preserve">urbanization on the annual average temperature of the past 60 years in Beijing. </w:t>
      </w:r>
      <w:r>
        <w:rPr>
          <w:rFonts w:ascii="Times New Roman" w:hAnsi="Times New Roman" w:cs="Times New Roman"/>
          <w:i/>
          <w:iCs/>
          <w:noProof/>
          <w:position w:val="0"/>
          <w:sz w:val="24"/>
          <w:szCs w:val="24"/>
        </w:rPr>
        <w:t xml:space="preserve">Advances </w:t>
      </w:r>
      <w:r>
        <w:rPr>
          <w:rFonts w:ascii="Times New Roman" w:hAnsi="Times New Roman" w:cs="Times New Roman"/>
          <w:i/>
          <w:iCs/>
          <w:noProof/>
          <w:position w:val="0"/>
          <w:sz w:val="24"/>
          <w:szCs w:val="24"/>
        </w:rPr>
        <w:tab/>
        <w:t>in Meteorology</w:t>
      </w:r>
      <w:r>
        <w:rPr>
          <w:rFonts w:ascii="Times New Roman" w:hAnsi="Times New Roman" w:cs="Times New Roman"/>
          <w:noProof/>
          <w:position w:val="0"/>
          <w:sz w:val="24"/>
          <w:szCs w:val="24"/>
        </w:rPr>
        <w:t xml:space="preserve">, </w:t>
      </w:r>
      <w:r>
        <w:rPr>
          <w:rFonts w:ascii="Times New Roman" w:hAnsi="Times New Roman" w:cs="Times New Roman"/>
          <w:i/>
          <w:iCs/>
          <w:noProof/>
          <w:position w:val="0"/>
          <w:sz w:val="24"/>
          <w:szCs w:val="24"/>
        </w:rPr>
        <w:t>2014</w:t>
      </w:r>
      <w:r>
        <w:rPr>
          <w:rFonts w:ascii="Times New Roman" w:hAnsi="Times New Roman" w:cs="Times New Roman"/>
          <w:noProof/>
          <w:position w:val="0"/>
          <w:sz w:val="24"/>
          <w:szCs w:val="24"/>
        </w:rPr>
        <w:t>(1), 374987. https://doi.org/10.1155/2014/374987</w:t>
      </w:r>
    </w:p>
    <w:p w14:paraId="5AF691C8" w14:textId="0002F53E" w:rsidR="00B027A9" w:rsidRDefault="00AE2895">
      <w:pPr>
        <w:widowControl w:val="0"/>
        <w:suppressAutoHyphens w:val="0"/>
        <w:autoSpaceDE w:val="0"/>
        <w:autoSpaceDN w:val="0"/>
        <w:adjustRightInd w:val="0"/>
        <w:spacing w:after="0" w:line="240" w:lineRule="auto"/>
        <w:ind w:leftChars="0" w:left="0" w:firstLineChars="0" w:firstLine="0"/>
        <w:jc w:val="both"/>
        <w:textDirection w:val="lrTb"/>
        <w:textAlignment w:val="auto"/>
        <w:outlineLvl w:val="9"/>
        <w:rPr>
          <w:rFonts w:ascii="Times New Roman" w:hAnsi="Times New Roman" w:cs="Times New Roman"/>
          <w:noProof/>
          <w:position w:val="0"/>
          <w:sz w:val="24"/>
          <w:szCs w:val="24"/>
        </w:rPr>
      </w:pPr>
      <w:r>
        <w:rPr>
          <w:rFonts w:ascii="Times New Roman" w:hAnsi="Times New Roman" w:cs="Times New Roman"/>
          <w:noProof/>
          <w:position w:val="0"/>
          <w:sz w:val="24"/>
          <w:szCs w:val="24"/>
        </w:rPr>
        <w:t xml:space="preserve">Weng, Q. (2001). A remote sensing? GIS evaluation of urban expansion and its impact on surface </w:t>
      </w:r>
      <w:r>
        <w:rPr>
          <w:rFonts w:ascii="Times New Roman" w:hAnsi="Times New Roman" w:cs="Times New Roman"/>
          <w:noProof/>
          <w:position w:val="0"/>
          <w:sz w:val="24"/>
          <w:szCs w:val="24"/>
        </w:rPr>
        <w:tab/>
        <w:t xml:space="preserve">temperature in the Zhujiang Delta, China. </w:t>
      </w:r>
      <w:r>
        <w:rPr>
          <w:rFonts w:ascii="Times New Roman" w:hAnsi="Times New Roman" w:cs="Times New Roman"/>
          <w:i/>
          <w:iCs/>
          <w:noProof/>
          <w:position w:val="0"/>
          <w:sz w:val="24"/>
          <w:szCs w:val="24"/>
        </w:rPr>
        <w:t>International Journal of Remote Sensing</w:t>
      </w:r>
      <w:r>
        <w:rPr>
          <w:rFonts w:ascii="Times New Roman" w:hAnsi="Times New Roman" w:cs="Times New Roman"/>
          <w:noProof/>
          <w:position w:val="0"/>
          <w:sz w:val="24"/>
          <w:szCs w:val="24"/>
        </w:rPr>
        <w:t xml:space="preserve">, </w:t>
      </w:r>
      <w:r>
        <w:rPr>
          <w:rFonts w:ascii="Times New Roman" w:hAnsi="Times New Roman" w:cs="Times New Roman"/>
          <w:i/>
          <w:iCs/>
          <w:noProof/>
          <w:position w:val="0"/>
          <w:sz w:val="24"/>
          <w:szCs w:val="24"/>
        </w:rPr>
        <w:t>22</w:t>
      </w:r>
      <w:r>
        <w:rPr>
          <w:rFonts w:ascii="Times New Roman" w:hAnsi="Times New Roman" w:cs="Times New Roman"/>
          <w:noProof/>
          <w:position w:val="0"/>
          <w:sz w:val="24"/>
          <w:szCs w:val="24"/>
        </w:rPr>
        <w:t xml:space="preserve">(10), </w:t>
      </w:r>
      <w:r>
        <w:rPr>
          <w:rFonts w:ascii="Times New Roman" w:hAnsi="Times New Roman" w:cs="Times New Roman"/>
          <w:noProof/>
          <w:position w:val="0"/>
          <w:sz w:val="24"/>
          <w:szCs w:val="24"/>
        </w:rPr>
        <w:tab/>
        <w:t>1999–2014. https://doi.org/10.1080/713860788</w:t>
      </w:r>
    </w:p>
    <w:p w14:paraId="40439839" w14:textId="31421C90" w:rsidR="00B027A9" w:rsidRDefault="00AE2895">
      <w:pPr>
        <w:widowControl w:val="0"/>
        <w:suppressAutoHyphens w:val="0"/>
        <w:autoSpaceDE w:val="0"/>
        <w:autoSpaceDN w:val="0"/>
        <w:adjustRightInd w:val="0"/>
        <w:spacing w:after="0" w:line="240" w:lineRule="auto"/>
        <w:ind w:leftChars="0" w:left="0" w:firstLineChars="0" w:firstLine="0"/>
        <w:jc w:val="both"/>
        <w:textDirection w:val="lrTb"/>
        <w:textAlignment w:val="auto"/>
        <w:outlineLvl w:val="9"/>
        <w:rPr>
          <w:rFonts w:ascii="Times New Roman" w:hAnsi="Times New Roman" w:cs="Times New Roman"/>
          <w:noProof/>
          <w:position w:val="0"/>
          <w:sz w:val="24"/>
          <w:szCs w:val="24"/>
        </w:rPr>
      </w:pPr>
      <w:r>
        <w:rPr>
          <w:rFonts w:ascii="Times New Roman" w:hAnsi="Times New Roman" w:cs="Times New Roman"/>
          <w:noProof/>
          <w:position w:val="0"/>
          <w:sz w:val="24"/>
          <w:szCs w:val="24"/>
        </w:rPr>
        <w:t xml:space="preserve">Zhang, L., You, S., Zhang, M., Zhang, S., Yi, S., &amp; Zhou, B. (2022). The effects of urbanization </w:t>
      </w:r>
      <w:r>
        <w:rPr>
          <w:rFonts w:ascii="Times New Roman" w:hAnsi="Times New Roman" w:cs="Times New Roman"/>
          <w:noProof/>
          <w:position w:val="0"/>
          <w:sz w:val="24"/>
          <w:szCs w:val="24"/>
        </w:rPr>
        <w:tab/>
      </w:r>
      <w:r>
        <w:rPr>
          <w:rFonts w:ascii="Times New Roman" w:hAnsi="Times New Roman" w:cs="Times New Roman"/>
          <w:noProof/>
          <w:position w:val="0"/>
          <w:sz w:val="24"/>
          <w:szCs w:val="24"/>
        </w:rPr>
        <w:tab/>
        <w:t xml:space="preserve">on air pollution based on a spatial perspective: Evidence from China. </w:t>
      </w:r>
      <w:r>
        <w:rPr>
          <w:rFonts w:ascii="Times New Roman" w:hAnsi="Times New Roman" w:cs="Times New Roman"/>
          <w:i/>
          <w:iCs/>
          <w:noProof/>
          <w:position w:val="0"/>
          <w:sz w:val="24"/>
          <w:szCs w:val="24"/>
        </w:rPr>
        <w:t>Frontiers in</w:t>
      </w:r>
      <w:r>
        <w:rPr>
          <w:rFonts w:ascii="Times New Roman" w:hAnsi="Times New Roman" w:cs="Times New Roman"/>
          <w:i/>
          <w:iCs/>
          <w:noProof/>
          <w:position w:val="0"/>
          <w:sz w:val="24"/>
          <w:szCs w:val="24"/>
        </w:rPr>
        <w:tab/>
        <w:t>Environmental Science</w:t>
      </w:r>
      <w:r>
        <w:rPr>
          <w:rFonts w:ascii="Times New Roman" w:hAnsi="Times New Roman" w:cs="Times New Roman"/>
          <w:noProof/>
          <w:position w:val="0"/>
          <w:sz w:val="24"/>
          <w:szCs w:val="24"/>
        </w:rPr>
        <w:t xml:space="preserve">, </w:t>
      </w:r>
      <w:r>
        <w:rPr>
          <w:rFonts w:ascii="Times New Roman" w:hAnsi="Times New Roman" w:cs="Times New Roman"/>
          <w:i/>
          <w:iCs/>
          <w:noProof/>
          <w:position w:val="0"/>
          <w:sz w:val="24"/>
          <w:szCs w:val="24"/>
        </w:rPr>
        <w:t>10</w:t>
      </w:r>
      <w:r>
        <w:rPr>
          <w:rFonts w:ascii="Times New Roman" w:hAnsi="Times New Roman" w:cs="Times New Roman"/>
          <w:noProof/>
          <w:position w:val="0"/>
          <w:sz w:val="24"/>
          <w:szCs w:val="24"/>
        </w:rPr>
        <w:t>, 1058009. https://doi.org/10.3389/fenvs.2022.1058009</w:t>
      </w:r>
    </w:p>
    <w:p w14:paraId="7C339221" w14:textId="0E5CA0EA" w:rsidR="00B027A9" w:rsidRDefault="00AE2895">
      <w:pPr>
        <w:widowControl w:val="0"/>
        <w:suppressAutoHyphens w:val="0"/>
        <w:autoSpaceDE w:val="0"/>
        <w:autoSpaceDN w:val="0"/>
        <w:adjustRightInd w:val="0"/>
        <w:spacing w:after="0" w:line="240" w:lineRule="auto"/>
        <w:ind w:leftChars="0" w:left="0" w:firstLineChars="0" w:firstLine="0"/>
        <w:jc w:val="both"/>
        <w:textDirection w:val="lrTb"/>
        <w:textAlignment w:val="auto"/>
        <w:outlineLvl w:val="9"/>
        <w:rPr>
          <w:rFonts w:ascii="Times New Roman" w:hAnsi="Times New Roman" w:cs="Times New Roman"/>
          <w:noProof/>
          <w:position w:val="0"/>
          <w:sz w:val="24"/>
        </w:rPr>
      </w:pPr>
      <w:r>
        <w:rPr>
          <w:rFonts w:ascii="Times New Roman" w:hAnsi="Times New Roman" w:cs="Times New Roman"/>
          <w:noProof/>
          <w:position w:val="0"/>
          <w:sz w:val="24"/>
          <w:szCs w:val="24"/>
        </w:rPr>
        <w:t xml:space="preserve">Zhao, L., Wong, W. Bin, &amp; Hanafi, Z. Bin. (2019). The evolution of George Town’s urban </w:t>
      </w:r>
      <w:r>
        <w:rPr>
          <w:rFonts w:ascii="Times New Roman" w:hAnsi="Times New Roman" w:cs="Times New Roman"/>
          <w:noProof/>
          <w:position w:val="0"/>
          <w:sz w:val="24"/>
          <w:szCs w:val="24"/>
        </w:rPr>
        <w:tab/>
        <w:t xml:space="preserve">morphology in the Straits of Malacca, late 18th century-early 21st century. </w:t>
      </w:r>
      <w:r>
        <w:rPr>
          <w:rFonts w:ascii="Times New Roman" w:hAnsi="Times New Roman" w:cs="Times New Roman"/>
          <w:i/>
          <w:iCs/>
          <w:noProof/>
          <w:position w:val="0"/>
          <w:sz w:val="24"/>
          <w:szCs w:val="24"/>
        </w:rPr>
        <w:t xml:space="preserve">Frontiers of </w:t>
      </w:r>
      <w:r>
        <w:rPr>
          <w:rFonts w:ascii="Times New Roman" w:hAnsi="Times New Roman" w:cs="Times New Roman"/>
          <w:i/>
          <w:iCs/>
          <w:noProof/>
          <w:position w:val="0"/>
          <w:sz w:val="24"/>
          <w:szCs w:val="24"/>
        </w:rPr>
        <w:tab/>
        <w:t>Architectural Research</w:t>
      </w:r>
      <w:r>
        <w:rPr>
          <w:rFonts w:ascii="Times New Roman" w:hAnsi="Times New Roman" w:cs="Times New Roman"/>
          <w:noProof/>
          <w:position w:val="0"/>
          <w:sz w:val="24"/>
          <w:szCs w:val="24"/>
        </w:rPr>
        <w:t xml:space="preserve">, </w:t>
      </w:r>
      <w:r>
        <w:rPr>
          <w:rFonts w:ascii="Times New Roman" w:hAnsi="Times New Roman" w:cs="Times New Roman"/>
          <w:i/>
          <w:iCs/>
          <w:noProof/>
          <w:position w:val="0"/>
          <w:sz w:val="24"/>
          <w:szCs w:val="24"/>
        </w:rPr>
        <w:t>8</w:t>
      </w:r>
      <w:r>
        <w:rPr>
          <w:rFonts w:ascii="Times New Roman" w:hAnsi="Times New Roman" w:cs="Times New Roman"/>
          <w:noProof/>
          <w:position w:val="0"/>
          <w:sz w:val="24"/>
          <w:szCs w:val="24"/>
        </w:rPr>
        <w:t>(4), 513–534. https://doi.org/10.1016/j.foar.2019.09.001</w:t>
      </w:r>
    </w:p>
    <w:p w14:paraId="6179EA81" w14:textId="77777777" w:rsidR="00B027A9" w:rsidRDefault="00AE2895">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rPr>
      </w:pPr>
      <w:r>
        <w:rPr>
          <w:rFonts w:ascii="Times New Roman" w:hAnsi="Times New Roman" w:cs="Times New Roman"/>
          <w:b/>
          <w:position w:val="0"/>
          <w:sz w:val="24"/>
          <w:szCs w:val="24"/>
          <w:highlight w:val="yellow"/>
        </w:rPr>
        <w:fldChar w:fldCharType="end"/>
      </w:r>
    </w:p>
    <w:sectPr w:rsidR="00B027A9" w:rsidSect="009B722D">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pgNumType w:start="132"/>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81FA39" w14:textId="77777777" w:rsidR="00A11D51" w:rsidRDefault="00A11D51">
      <w:pPr>
        <w:spacing w:after="0" w:line="240" w:lineRule="auto"/>
        <w:ind w:left="0" w:hanging="2"/>
      </w:pPr>
      <w:r>
        <w:separator/>
      </w:r>
    </w:p>
  </w:endnote>
  <w:endnote w:type="continuationSeparator" w:id="0">
    <w:p w14:paraId="5567E3B1" w14:textId="77777777" w:rsidR="00A11D51" w:rsidRDefault="00A11D51">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96B556" w14:textId="77777777" w:rsidR="00B027A9" w:rsidRDefault="00B027A9">
    <w:pPr>
      <w:pStyle w:val="Footer"/>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CBE41" w14:textId="77777777" w:rsidR="00B027A9" w:rsidRDefault="00B027A9">
    <w:pPr>
      <w:pStyle w:val="Footer"/>
      <w:ind w:left="0" w:hanging="2"/>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A482EA" w14:textId="77777777" w:rsidR="00D730E5" w:rsidRDefault="00D730E5">
    <w:pPr>
      <w:pStyle w:val="Footer"/>
      <w:ind w:left="0" w:hanging="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931064" w14:textId="77777777" w:rsidR="00A11D51" w:rsidRDefault="00A11D51">
      <w:pPr>
        <w:spacing w:after="0" w:line="240" w:lineRule="auto"/>
        <w:ind w:left="0" w:hanging="2"/>
      </w:pPr>
      <w:r>
        <w:separator/>
      </w:r>
    </w:p>
  </w:footnote>
  <w:footnote w:type="continuationSeparator" w:id="0">
    <w:p w14:paraId="39352383" w14:textId="77777777" w:rsidR="00A11D51" w:rsidRDefault="00A11D51">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AF787" w14:textId="77777777" w:rsidR="00B027A9" w:rsidRDefault="00B027A9">
    <w:pPr>
      <w:pStyle w:val="Header"/>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517BC5" w14:textId="5565145E" w:rsidR="00D730E5" w:rsidRPr="00D730E5" w:rsidRDefault="00D730E5" w:rsidP="00D730E5">
    <w:pPr>
      <w:tabs>
        <w:tab w:val="left" w:pos="720"/>
        <w:tab w:val="center" w:pos="4680"/>
        <w:tab w:val="right" w:pos="9360"/>
      </w:tabs>
      <w:spacing w:after="0" w:line="240" w:lineRule="auto"/>
      <w:ind w:left="0" w:hanging="2"/>
      <w:rPr>
        <w:rFonts w:ascii="Times New Roman" w:eastAsia="Times New Roman" w:hAnsi="Times New Roman" w:cs="Times New Roman"/>
        <w:position w:val="0"/>
        <w:sz w:val="18"/>
        <w:szCs w:val="18"/>
        <w:lang w:val="en-MY"/>
      </w:rPr>
    </w:pPr>
    <w:r w:rsidRPr="00D730E5">
      <w:rPr>
        <w:rFonts w:ascii="Times New Roman" w:eastAsia="Times New Roman" w:hAnsi="Times New Roman" w:cs="Times New Roman"/>
        <w:sz w:val="18"/>
        <w:szCs w:val="18"/>
      </w:rPr>
      <w:t>Geografia-Malaysian Journal of Society and Space</w:t>
    </w:r>
    <w:r w:rsidRPr="00D730E5">
      <w:rPr>
        <w:rFonts w:ascii="Times New Roman" w:eastAsia="Times New Roman" w:hAnsi="Times New Roman" w:cs="Times New Roman"/>
        <w:b/>
        <w:sz w:val="18"/>
        <w:szCs w:val="18"/>
      </w:rPr>
      <w:t xml:space="preserve"> </w:t>
    </w:r>
    <w:r w:rsidRPr="00D730E5">
      <w:rPr>
        <w:rFonts w:ascii="Times New Roman" w:eastAsia="Times New Roman" w:hAnsi="Times New Roman" w:cs="Times New Roman"/>
        <w:sz w:val="18"/>
        <w:szCs w:val="18"/>
      </w:rPr>
      <w:t>19 issue</w:t>
    </w:r>
    <w:r w:rsidRPr="00D730E5">
      <w:rPr>
        <w:rFonts w:ascii="Times New Roman" w:eastAsia="Times New Roman" w:hAnsi="Times New Roman" w:cs="Times New Roman"/>
        <w:b/>
        <w:sz w:val="18"/>
        <w:szCs w:val="18"/>
      </w:rPr>
      <w:t xml:space="preserve"> </w:t>
    </w:r>
    <w:r w:rsidRPr="00D730E5">
      <w:rPr>
        <w:rFonts w:ascii="Times New Roman" w:eastAsia="Times New Roman" w:hAnsi="Times New Roman" w:cs="Times New Roman"/>
        <w:sz w:val="18"/>
        <w:szCs w:val="18"/>
      </w:rPr>
      <w:t>4</w:t>
    </w:r>
    <w:r w:rsidRPr="00D730E5">
      <w:rPr>
        <w:rFonts w:ascii="Times New Roman" w:eastAsia="Times New Roman" w:hAnsi="Times New Roman" w:cs="Times New Roman"/>
        <w:b/>
        <w:sz w:val="18"/>
        <w:szCs w:val="18"/>
      </w:rPr>
      <w:t xml:space="preserve"> </w:t>
    </w:r>
    <w:r w:rsidRPr="00D730E5">
      <w:rPr>
        <w:rFonts w:ascii="Times New Roman" w:eastAsia="Times New Roman" w:hAnsi="Times New Roman" w:cs="Times New Roman"/>
        <w:sz w:val="18"/>
        <w:szCs w:val="18"/>
      </w:rPr>
      <w:t>(</w:t>
    </w:r>
    <w:r w:rsidR="009B722D">
      <w:rPr>
        <w:rFonts w:ascii="Times New Roman" w:eastAsia="Times New Roman" w:hAnsi="Times New Roman" w:cs="Times New Roman"/>
        <w:sz w:val="18"/>
        <w:szCs w:val="18"/>
      </w:rPr>
      <w:t>132-149</w:t>
    </w:r>
    <w:r w:rsidRPr="00D730E5">
      <w:rPr>
        <w:rFonts w:ascii="Times New Roman" w:eastAsia="Times New Roman" w:hAnsi="Times New Roman" w:cs="Times New Roman"/>
        <w:sz w:val="18"/>
        <w:szCs w:val="18"/>
      </w:rPr>
      <w:t>)</w:t>
    </w:r>
    <w:r w:rsidRPr="00D730E5">
      <w:rPr>
        <w:rFonts w:ascii="Times New Roman" w:eastAsia="Times New Roman" w:hAnsi="Times New Roman" w:cs="Times New Roman"/>
        <w:sz w:val="18"/>
        <w:szCs w:val="18"/>
      </w:rPr>
      <w:tab/>
    </w:r>
  </w:p>
  <w:p w14:paraId="42635D6A" w14:textId="13CA3D25" w:rsidR="00D730E5" w:rsidRPr="00D730E5" w:rsidRDefault="00D730E5" w:rsidP="00D730E5">
    <w:pPr>
      <w:pStyle w:val="Header"/>
      <w:spacing w:after="0" w:line="240" w:lineRule="auto"/>
      <w:ind w:left="0" w:hanging="2"/>
      <w:rPr>
        <w:rFonts w:ascii="Times New Roman" w:hAnsi="Times New Roman" w:cs="Times New Roman"/>
        <w:sz w:val="18"/>
        <w:szCs w:val="18"/>
      </w:rPr>
    </w:pPr>
    <w:r w:rsidRPr="00D730E5">
      <w:rPr>
        <w:rFonts w:ascii="Times New Roman" w:eastAsia="Times New Roman" w:hAnsi="Times New Roman" w:cs="Times New Roman"/>
        <w:sz w:val="18"/>
        <w:szCs w:val="18"/>
      </w:rPr>
      <w:t xml:space="preserve">© 2023, e-ISSN 2682-7727 </w:t>
    </w:r>
    <w:hyperlink r:id="rId1" w:history="1">
      <w:r w:rsidRPr="009B722D">
        <w:rPr>
          <w:rStyle w:val="Hyperlink"/>
          <w:rFonts w:ascii="Times New Roman" w:hAnsi="Times New Roman" w:cs="Times New Roman"/>
          <w:color w:val="auto"/>
          <w:sz w:val="18"/>
          <w:szCs w:val="18"/>
          <w:u w:val="none"/>
        </w:rPr>
        <w:t>https://doi.org/10.17576/geo-2023-1904-10</w:t>
      </w:r>
    </w:hyperlink>
    <w:sdt>
      <w:sdtPr>
        <w:rPr>
          <w:rFonts w:ascii="Times New Roman" w:hAnsi="Times New Roman" w:cs="Times New Roman"/>
          <w:sz w:val="18"/>
          <w:szCs w:val="18"/>
        </w:rPr>
        <w:id w:val="2080787863"/>
        <w:docPartObj>
          <w:docPartGallery w:val="Page Numbers (Top of Page)"/>
          <w:docPartUnique/>
        </w:docPartObj>
      </w:sdtPr>
      <w:sdtEndPr>
        <w:rPr>
          <w:noProof/>
        </w:rPr>
      </w:sdtEndPr>
      <w:sdtContent>
        <w:r w:rsidRPr="00D730E5">
          <w:rPr>
            <w:rFonts w:ascii="Times New Roman" w:hAnsi="Times New Roman" w:cs="Times New Roman"/>
            <w:sz w:val="18"/>
            <w:szCs w:val="18"/>
          </w:rPr>
          <w:tab/>
        </w:r>
        <w:r w:rsidRPr="00D730E5">
          <w:rPr>
            <w:rFonts w:ascii="Times New Roman" w:hAnsi="Times New Roman" w:cs="Times New Roman"/>
            <w:sz w:val="18"/>
            <w:szCs w:val="18"/>
          </w:rPr>
          <w:tab/>
        </w:r>
        <w:r w:rsidRPr="00D730E5">
          <w:rPr>
            <w:rFonts w:ascii="Times New Roman" w:hAnsi="Times New Roman" w:cs="Times New Roman"/>
            <w:sz w:val="18"/>
            <w:szCs w:val="18"/>
          </w:rPr>
          <w:tab/>
        </w:r>
        <w:r w:rsidRPr="00D730E5">
          <w:rPr>
            <w:rFonts w:ascii="Times New Roman" w:hAnsi="Times New Roman" w:cs="Times New Roman"/>
            <w:sz w:val="18"/>
            <w:szCs w:val="18"/>
          </w:rPr>
          <w:tab/>
        </w:r>
        <w:r w:rsidRPr="00D730E5">
          <w:rPr>
            <w:rFonts w:ascii="Times New Roman" w:hAnsi="Times New Roman" w:cs="Times New Roman"/>
            <w:sz w:val="18"/>
            <w:szCs w:val="18"/>
          </w:rPr>
          <w:tab/>
          <w:t xml:space="preserve">     </w:t>
        </w:r>
        <w:r w:rsidR="009B722D">
          <w:rPr>
            <w:rFonts w:ascii="Times New Roman" w:hAnsi="Times New Roman" w:cs="Times New Roman"/>
            <w:sz w:val="18"/>
            <w:szCs w:val="18"/>
          </w:rPr>
          <w:t xml:space="preserve">     </w:t>
        </w:r>
        <w:r w:rsidRPr="00D730E5">
          <w:rPr>
            <w:rFonts w:ascii="Times New Roman" w:hAnsi="Times New Roman" w:cs="Times New Roman"/>
            <w:sz w:val="18"/>
            <w:szCs w:val="18"/>
          </w:rPr>
          <w:fldChar w:fldCharType="begin"/>
        </w:r>
        <w:r w:rsidRPr="00D730E5">
          <w:rPr>
            <w:rFonts w:ascii="Times New Roman" w:hAnsi="Times New Roman" w:cs="Times New Roman"/>
            <w:sz w:val="18"/>
            <w:szCs w:val="18"/>
          </w:rPr>
          <w:instrText xml:space="preserve"> PAGE   \* MERGEFORMAT </w:instrText>
        </w:r>
        <w:r w:rsidRPr="00D730E5">
          <w:rPr>
            <w:rFonts w:ascii="Times New Roman" w:hAnsi="Times New Roman" w:cs="Times New Roman"/>
            <w:sz w:val="18"/>
            <w:szCs w:val="18"/>
          </w:rPr>
          <w:fldChar w:fldCharType="separate"/>
        </w:r>
        <w:r w:rsidR="002A6EA3">
          <w:rPr>
            <w:rFonts w:ascii="Times New Roman" w:hAnsi="Times New Roman" w:cs="Times New Roman"/>
            <w:noProof/>
            <w:sz w:val="18"/>
            <w:szCs w:val="18"/>
          </w:rPr>
          <w:t>144</w:t>
        </w:r>
        <w:r w:rsidRPr="00D730E5">
          <w:rPr>
            <w:rFonts w:ascii="Times New Roman" w:hAnsi="Times New Roman" w:cs="Times New Roman"/>
            <w:noProof/>
            <w:sz w:val="18"/>
            <w:szCs w:val="18"/>
          </w:rPr>
          <w:fldChar w:fldCharType="end"/>
        </w:r>
      </w:sdtContent>
    </w:sdt>
  </w:p>
  <w:p w14:paraId="01E0948C" w14:textId="58013BE3" w:rsidR="00B027A9" w:rsidRPr="00D730E5" w:rsidRDefault="00B027A9" w:rsidP="00D730E5">
    <w:pPr>
      <w:tabs>
        <w:tab w:val="center" w:pos="4680"/>
        <w:tab w:val="right" w:pos="9360"/>
      </w:tabs>
      <w:spacing w:after="0" w:line="240" w:lineRule="auto"/>
      <w:ind w:left="0" w:hanging="2"/>
      <w:rPr>
        <w:rFonts w:ascii="Times New Roman" w:hAnsi="Times New Roman" w:cs="Times New Roman"/>
        <w:sz w:val="18"/>
        <w:szCs w:val="18"/>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3EF533" w14:textId="77777777" w:rsidR="00B027A9" w:rsidRDefault="00B027A9">
    <w:pPr>
      <w:pStyle w:val="Header"/>
      <w:ind w:left="0" w:hanging="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27A9"/>
    <w:rsid w:val="000D13CE"/>
    <w:rsid w:val="00145184"/>
    <w:rsid w:val="0023015C"/>
    <w:rsid w:val="0024368E"/>
    <w:rsid w:val="002A6EA3"/>
    <w:rsid w:val="003A5A32"/>
    <w:rsid w:val="004B73B0"/>
    <w:rsid w:val="004D60B8"/>
    <w:rsid w:val="00931930"/>
    <w:rsid w:val="009B722D"/>
    <w:rsid w:val="00A11D51"/>
    <w:rsid w:val="00A36514"/>
    <w:rsid w:val="00A41C67"/>
    <w:rsid w:val="00AE2895"/>
    <w:rsid w:val="00B027A9"/>
    <w:rsid w:val="00BD5D0A"/>
    <w:rsid w:val="00C13684"/>
    <w:rsid w:val="00C81C1C"/>
    <w:rsid w:val="00D730E5"/>
    <w:rsid w:val="00DA1FFD"/>
    <w:rsid w:val="00E62F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84B3AF"/>
  <w14:defaultImageDpi w14:val="150"/>
  <w15:docId w15:val="{618D45D8-E1C4-46A0-8068-6B0F47E1A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keepLines/>
      <w:spacing w:before="240" w:after="0"/>
    </w:pPr>
    <w:rPr>
      <w:rFonts w:ascii="Cambria" w:eastAsia="SimSun" w:hAnsi="Cambria" w:cs="Times New Roman"/>
      <w:color w:val="365F91"/>
      <w:sz w:val="32"/>
      <w:szCs w:val="32"/>
    </w:rPr>
  </w:style>
  <w:style w:type="paragraph" w:styleId="Heading2">
    <w:name w:val="heading 2"/>
    <w:basedOn w:val="Normal"/>
    <w:next w:val="Normal"/>
    <w:link w:val="Heading2Char"/>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uiPriority w:val="99"/>
    <w:qFormat/>
    <w:pPr>
      <w:spacing w:after="0" w:line="240" w:lineRule="auto"/>
    </w:pPr>
    <w:rPr>
      <w:rFonts w:ascii="Tahoma" w:hAnsi="Tahoma" w:cs="Tahoma"/>
      <w:sz w:val="16"/>
      <w:szCs w:val="16"/>
    </w:rPr>
  </w:style>
  <w:style w:type="paragraph" w:styleId="CommentText">
    <w:name w:val="annotation text"/>
    <w:basedOn w:val="Normal"/>
    <w:uiPriority w:val="99"/>
    <w:qFormat/>
    <w:pPr>
      <w:spacing w:line="240" w:lineRule="auto"/>
    </w:pPr>
    <w:rPr>
      <w:sz w:val="20"/>
      <w:szCs w:val="20"/>
    </w:rPr>
  </w:style>
  <w:style w:type="paragraph" w:styleId="CommentSubject">
    <w:name w:val="annotation subject"/>
    <w:basedOn w:val="CommentText"/>
    <w:next w:val="CommentText"/>
    <w:qFormat/>
    <w:rPr>
      <w:b/>
      <w:bCs/>
    </w:rPr>
  </w:style>
  <w:style w:type="paragraph" w:styleId="EndnoteText">
    <w:name w:val="endnote text"/>
    <w:basedOn w:val="Normal"/>
    <w:qFormat/>
    <w:pPr>
      <w:spacing w:after="0" w:line="240" w:lineRule="auto"/>
    </w:pPr>
    <w:rPr>
      <w:sz w:val="20"/>
      <w:szCs w:val="20"/>
      <w:lang w:val="en-MY"/>
    </w:rPr>
  </w:style>
  <w:style w:type="paragraph" w:styleId="Footer">
    <w:name w:val="footer"/>
    <w:basedOn w:val="Normal"/>
    <w:uiPriority w:val="99"/>
    <w:qFormat/>
    <w:pPr>
      <w:spacing w:after="0" w:line="240" w:lineRule="auto"/>
    </w:pPr>
    <w:rPr>
      <w:lang w:val="en-MY"/>
    </w:rPr>
  </w:style>
  <w:style w:type="paragraph" w:styleId="FootnoteText">
    <w:name w:val="footnote text"/>
    <w:basedOn w:val="Normal"/>
    <w:qFormat/>
    <w:rPr>
      <w:sz w:val="20"/>
      <w:szCs w:val="20"/>
    </w:rPr>
  </w:style>
  <w:style w:type="paragraph" w:styleId="Header">
    <w:name w:val="header"/>
    <w:basedOn w:val="Normal"/>
    <w:link w:val="HeaderChar"/>
    <w:uiPriority w:val="99"/>
    <w:qFormat/>
  </w:style>
  <w:style w:type="character" w:styleId="CommentReference">
    <w:name w:val="annotation reference"/>
    <w:qFormat/>
    <w:rPr>
      <w:w w:val="100"/>
      <w:position w:val="-1"/>
      <w:sz w:val="16"/>
      <w:szCs w:val="16"/>
      <w:effect w:val="none"/>
      <w:vertAlign w:val="baseline"/>
      <w:cs w:val="0"/>
      <w:em w:val="none"/>
    </w:rPr>
  </w:style>
  <w:style w:type="character" w:styleId="Emphasis">
    <w:name w:val="Emphasis"/>
    <w:rPr>
      <w:b/>
      <w:iCs/>
      <w:w w:val="100"/>
      <w:position w:val="-1"/>
      <w:effect w:val="none"/>
      <w:vertAlign w:val="baseline"/>
      <w:cs w:val="0"/>
      <w:em w:val="none"/>
    </w:rPr>
  </w:style>
  <w:style w:type="character" w:styleId="EndnoteReference">
    <w:name w:val="endnote reference"/>
    <w:qFormat/>
    <w:rPr>
      <w:w w:val="100"/>
      <w:position w:val="-1"/>
      <w:effect w:val="none"/>
      <w:vertAlign w:val="superscript"/>
      <w:cs w:val="0"/>
      <w:em w:val="none"/>
    </w:rPr>
  </w:style>
  <w:style w:type="character" w:styleId="FootnoteReference">
    <w:name w:val="footnote reference"/>
    <w:qFormat/>
    <w:rPr>
      <w:w w:val="100"/>
      <w:position w:val="-1"/>
      <w:effect w:val="none"/>
      <w:vertAlign w:val="superscript"/>
      <w:cs w:val="0"/>
      <w:em w:val="none"/>
    </w:rPr>
  </w:style>
  <w:style w:type="character" w:styleId="Hyperlink">
    <w:name w:val="Hyperlink"/>
    <w:uiPriority w:val="99"/>
    <w:qFormat/>
    <w:rPr>
      <w:color w:val="0000FF"/>
      <w:w w:val="100"/>
      <w:position w:val="-1"/>
      <w:u w:val="single"/>
      <w:effect w:val="none"/>
      <w:vertAlign w:val="baseline"/>
      <w:cs w:val="0"/>
      <w:em w:val="none"/>
    </w:rPr>
  </w:style>
  <w:style w:type="character" w:customStyle="1" w:styleId="EndnoteTextChar">
    <w:name w:val="Endnote Text Char"/>
    <w:rPr>
      <w:rFonts w:ascii="Calibri" w:eastAsia="Calibri" w:hAnsi="Calibri" w:cs="Times New Roman"/>
      <w:w w:val="100"/>
      <w:position w:val="-1"/>
      <w:sz w:val="20"/>
      <w:szCs w:val="20"/>
      <w:effect w:val="none"/>
      <w:vertAlign w:val="baseline"/>
      <w:cs w:val="0"/>
      <w:em w:val="none"/>
      <w:lang w:val="en-MY"/>
    </w:rPr>
  </w:style>
  <w:style w:type="character" w:customStyle="1" w:styleId="FooterChar82b42a95-2679-4d81-b6df-5f592fc9fecd">
    <w:name w:val="Footer Char_82b42a95-2679-4d81-b6df-5f592fc9fecd"/>
    <w:uiPriority w:val="99"/>
    <w:rPr>
      <w:rFonts w:ascii="Calibri" w:eastAsia="Calibri" w:hAnsi="Calibri" w:cs="Times New Roman"/>
      <w:w w:val="100"/>
      <w:position w:val="-1"/>
      <w:effect w:val="none"/>
      <w:vertAlign w:val="baseline"/>
      <w:cs w:val="0"/>
      <w:em w:val="none"/>
      <w:lang w:val="en-MY"/>
    </w:rPr>
  </w:style>
  <w:style w:type="character" w:customStyle="1" w:styleId="FootnoteTextChar">
    <w:name w:val="Footnote Text Char"/>
    <w:rPr>
      <w:rFonts w:ascii="Calibri" w:eastAsia="Calibri" w:hAnsi="Calibri" w:cs="Times New Roman"/>
      <w:w w:val="100"/>
      <w:position w:val="-1"/>
      <w:sz w:val="20"/>
      <w:szCs w:val="20"/>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customStyle="1" w:styleId="HeaderChar0f647076-36e5-4f5b-a4f9-e2a0b1d7a8af">
    <w:name w:val="Header Char_0f647076-36e5-4f5b-a4f9-e2a0b1d7a8af"/>
    <w:uiPriority w:val="99"/>
    <w:rPr>
      <w:rFonts w:ascii="Calibri" w:eastAsia="Calibri" w:hAnsi="Calibri" w:cs="Times New Roman"/>
      <w:w w:val="100"/>
      <w:position w:val="-1"/>
      <w:effect w:val="none"/>
      <w:vertAlign w:val="baseline"/>
      <w:cs w:val="0"/>
      <w:em w:val="none"/>
    </w:rPr>
  </w:style>
  <w:style w:type="character" w:customStyle="1" w:styleId="CommentTextChar">
    <w:name w:val="Comment Text Char"/>
    <w:uiPriority w:val="99"/>
    <w:rPr>
      <w:rFonts w:ascii="Calibri" w:eastAsia="Calibri" w:hAnsi="Calibri" w:cs="Times New Roman"/>
      <w:w w:val="100"/>
      <w:position w:val="-1"/>
      <w:sz w:val="20"/>
      <w:szCs w:val="20"/>
      <w:effect w:val="none"/>
      <w:vertAlign w:val="baseline"/>
      <w:cs w:val="0"/>
      <w:em w:val="none"/>
    </w:rPr>
  </w:style>
  <w:style w:type="character" w:customStyle="1" w:styleId="BalloonTextChar">
    <w:name w:val="Balloon Text Char"/>
    <w:uiPriority w:val="99"/>
    <w:rPr>
      <w:rFonts w:ascii="Tahoma" w:eastAsia="Calibri" w:hAnsi="Tahoma" w:cs="Tahoma"/>
      <w:w w:val="100"/>
      <w:position w:val="-1"/>
      <w:sz w:val="16"/>
      <w:szCs w:val="16"/>
      <w:effect w:val="none"/>
      <w:vertAlign w:val="baseline"/>
      <w:cs w:val="0"/>
      <w:em w:val="none"/>
    </w:rPr>
  </w:style>
  <w:style w:type="character" w:customStyle="1" w:styleId="CommentSubjectChar">
    <w:name w:val="Comment Subject Char"/>
    <w:rPr>
      <w:rFonts w:ascii="Calibri" w:eastAsia="Calibri" w:hAnsi="Calibri" w:cs="Times New Roman"/>
      <w:b/>
      <w:bCs/>
      <w:w w:val="100"/>
      <w:position w:val="-1"/>
      <w:sz w:val="20"/>
      <w:szCs w:val="20"/>
      <w:effect w:val="none"/>
      <w:vertAlign w:val="baseline"/>
      <w:cs w:val="0"/>
      <w:em w:val="none"/>
      <w:lang w:val="en-US" w:eastAsia="en-US"/>
    </w:rPr>
  </w:style>
  <w:style w:type="paragraph" w:customStyle="1" w:styleId="Revision1">
    <w:name w:val="Revision1"/>
    <w:pPr>
      <w:suppressAutoHyphens/>
      <w:spacing w:line="1" w:lineRule="atLeast"/>
      <w:ind w:leftChars="-1" w:left="-1" w:hangingChars="1" w:hanging="1"/>
      <w:textDirection w:val="btLr"/>
      <w:textAlignment w:val="top"/>
      <w:outlineLvl w:val="0"/>
    </w:pPr>
    <w:rPr>
      <w:position w:val="-1"/>
    </w:rPr>
  </w:style>
  <w:style w:type="character" w:customStyle="1" w:styleId="st1">
    <w:name w:val="st1"/>
    <w:rPr>
      <w:w w:val="100"/>
      <w:position w:val="-1"/>
      <w:effect w:val="none"/>
      <w:vertAlign w:val="baseline"/>
      <w:cs w:val="0"/>
      <w:em w:val="none"/>
    </w:rPr>
  </w:style>
  <w:style w:type="character" w:customStyle="1" w:styleId="Heading1Charfff89bf9-b423-4d1d-8e6c-d5ce007ffa96">
    <w:name w:val="Heading 1 Char_fff89bf9-b423-4d1d-8e6c-d5ce007ffa96"/>
    <w:rPr>
      <w:rFonts w:ascii="Cambria" w:eastAsia="SimSun" w:hAnsi="Cambria" w:cs="Times New Roman"/>
      <w:color w:val="365F91"/>
      <w:w w:val="100"/>
      <w:position w:val="-1"/>
      <w:sz w:val="32"/>
      <w:szCs w:val="32"/>
      <w:effect w:val="none"/>
      <w:vertAlign w:val="baseline"/>
      <w:cs w:val="0"/>
      <w:em w:val="none"/>
      <w:lang w:val="en-US" w:eastAsia="en-US"/>
    </w:rPr>
  </w:style>
  <w:style w:type="paragraph" w:styleId="NoSpacing">
    <w:name w:val="No Spacing"/>
    <w:pPr>
      <w:suppressAutoHyphens/>
      <w:spacing w:line="1" w:lineRule="atLeast"/>
      <w:ind w:leftChars="-1" w:left="-1" w:hangingChars="1" w:hanging="1"/>
      <w:textDirection w:val="btLr"/>
      <w:textAlignment w:val="top"/>
      <w:outlineLvl w:val="0"/>
    </w:pPr>
    <w:rPr>
      <w:position w:val="-1"/>
    </w:rPr>
  </w:style>
  <w:style w:type="table" w:styleId="TableGrid">
    <w:name w:val="Table Grid"/>
    <w:basedOn w:val="TableNormal"/>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pPr>
      <w:suppressAutoHyphens/>
      <w:spacing w:after="0" w:line="240" w:lineRule="auto"/>
      <w:ind w:leftChars="-1" w:left="-1" w:hangingChars="1" w:hanging="1"/>
      <w:textDirection w:val="btLr"/>
      <w:textAlignment w:val="top"/>
      <w:outlineLvl w:val="0"/>
    </w:pPr>
    <w:rPr>
      <w:color w:val="000000"/>
      <w:position w:val="-1"/>
    </w:rPr>
    <w:tblPr>
      <w:tblStyleRowBandSize w:val="1"/>
      <w:tblStyleColBandSize w:val="1"/>
      <w:tblBorders>
        <w:top w:val="single" w:sz="8" w:space="0" w:color="000000"/>
        <w:bottom w:val="single" w:sz="8" w:space="0" w:color="000000"/>
      </w:tblBorders>
    </w:tblPr>
  </w:style>
  <w:style w:type="paragraph" w:styleId="ListParagraph">
    <w:name w:val="List Paragraph"/>
    <w:basedOn w:val="Normal"/>
    <w:pPr>
      <w:ind w:left="720"/>
      <w:contextualSpacing/>
    </w:pPr>
  </w:style>
  <w:style w:type="character" w:styleId="PlaceholderText">
    <w:name w:val="Placeholder Text"/>
    <w:rPr>
      <w:color w:val="808080"/>
      <w:w w:val="100"/>
      <w:position w:val="-1"/>
      <w:effect w:val="none"/>
      <w:vertAlign w:val="baseline"/>
      <w:cs w:val="0"/>
      <w:em w:val="none"/>
    </w:rPr>
  </w:style>
  <w:style w:type="numbering" w:customStyle="1" w:styleId="NoList1">
    <w:name w:val="No List1"/>
    <w:next w:val="NoList"/>
    <w:qFormat/>
  </w:style>
  <w:style w:type="table" w:customStyle="1" w:styleId="TableGrid1">
    <w:name w:val="Table Grid1"/>
    <w:basedOn w:val="TableNormal"/>
    <w:next w:val="TableGrid"/>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rPr>
      <w:lang w:eastAsia="ja-JP"/>
    </w:rPr>
  </w:style>
  <w:style w:type="character" w:styleId="SubtleEmphasis">
    <w:name w:val="Subtle Emphasis"/>
    <w:rPr>
      <w:i/>
      <w:iCs/>
      <w:color w:val="7F7F7F"/>
      <w:w w:val="100"/>
      <w:position w:val="-1"/>
      <w:effect w:val="none"/>
      <w:vertAlign w:val="baseline"/>
      <w:cs w:val="0"/>
      <w:em w:val="none"/>
    </w:rPr>
  </w:style>
  <w:style w:type="table" w:styleId="LightShading-Accent1">
    <w:name w:val="Light Shading Accent 1"/>
    <w:basedOn w:val="TableNormal"/>
    <w:pPr>
      <w:suppressAutoHyphens/>
      <w:spacing w:after="0" w:line="240" w:lineRule="auto"/>
      <w:ind w:leftChars="-1" w:left="-1" w:hangingChars="1" w:hanging="1"/>
      <w:textDirection w:val="btLr"/>
      <w:textAlignment w:val="top"/>
      <w:outlineLvl w:val="0"/>
    </w:pPr>
    <w:rPr>
      <w:rFonts w:eastAsia="Times New Roman"/>
      <w:color w:val="365F91"/>
      <w:position w:val="-1"/>
      <w:lang w:eastAsia="ja-JP"/>
    </w:rPr>
    <w:tblPr>
      <w:tblStyleRowBandSize w:val="1"/>
      <w:tblStyleColBandSize w:val="1"/>
      <w:tblBorders>
        <w:top w:val="single" w:sz="8" w:space="0" w:color="4F81BD"/>
        <w:bottom w:val="single" w:sz="8" w:space="0" w:color="4F81BD"/>
      </w:tblBorders>
    </w:tblPr>
  </w:style>
  <w:style w:type="paragraph" w:styleId="HTMLPreformatted">
    <w:name w:val="HTML Preformatted"/>
    <w:basedOn w:val="Normal"/>
    <w:qFormat/>
    <w:pPr>
      <w:spacing w:after="0" w:line="240" w:lineRule="auto"/>
    </w:pPr>
    <w:rPr>
      <w:rFonts w:ascii="Courier New" w:eastAsia="Times New Roman" w:hAnsi="Courier New" w:cs="Courier New"/>
      <w:sz w:val="20"/>
      <w:szCs w:val="20"/>
    </w:rPr>
  </w:style>
  <w:style w:type="character" w:customStyle="1" w:styleId="HTMLPreformattedChar">
    <w:name w:val="HTML Preformatted Char"/>
    <w:rPr>
      <w:rFonts w:ascii="Courier New" w:eastAsia="Times New Roman" w:hAnsi="Courier New" w:cs="Courier New"/>
      <w:w w:val="100"/>
      <w:position w:val="-1"/>
      <w:effect w:val="none"/>
      <w:vertAlign w:val="baseline"/>
      <w:cs w:val="0"/>
      <w:em w:val="none"/>
      <w:lang w:val="en-US" w:eastAsia="en-US"/>
    </w:rPr>
  </w:style>
  <w:style w:type="table" w:customStyle="1" w:styleId="PlainTable41">
    <w:name w:val="Plain Table 41"/>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character" w:customStyle="1" w:styleId="UnresolvedMention1">
    <w:name w:val="Unresolved Mention1"/>
    <w:qFormat/>
    <w:rPr>
      <w:color w:val="808080"/>
      <w:w w:val="100"/>
      <w:position w:val="-1"/>
      <w:effect w:val="none"/>
      <w:shd w:val="clear" w:color="auto" w:fill="E6E6E6"/>
      <w:vertAlign w:val="baseline"/>
      <w:cs w:val="0"/>
      <w:em w:val="none"/>
    </w:rPr>
  </w:style>
  <w:style w:type="paragraph" w:customStyle="1" w:styleId="BodyA">
    <w:name w:val="Body A"/>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rPr>
  </w:style>
  <w:style w:type="paragraph" w:customStyle="1" w:styleId="TableStyle2">
    <w:name w:val="Table Style 2"/>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lang w:val="en-MY" w:eastAsia="en-MY"/>
    </w:rPr>
  </w:style>
  <w:style w:type="character" w:customStyle="1" w:styleId="UnresolvedMention2">
    <w:name w:val="Unresolved Mention2"/>
    <w:qFormat/>
    <w:rPr>
      <w:color w:val="808080"/>
      <w:w w:val="100"/>
      <w:position w:val="-1"/>
      <w:effect w:val="none"/>
      <w:shd w:val="clear" w:color="auto" w:fill="E6E6E6"/>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numbering" w:customStyle="1" w:styleId="NoList2">
    <w:name w:val="No List2"/>
    <w:next w:val="NoList"/>
    <w:uiPriority w:val="99"/>
  </w:style>
  <w:style w:type="table" w:customStyle="1" w:styleId="TableGrid3">
    <w:name w:val="Table Grid3"/>
    <w:basedOn w:val="TableNormal"/>
    <w:next w:val="TableGrid"/>
    <w:uiPriority w:val="39"/>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
    <w:name w:val="Plain Table 31"/>
    <w:basedOn w:val="TableNormal"/>
    <w:next w:val="PlainTable32"/>
    <w:uiPriority w:val="43"/>
    <w:pPr>
      <w:spacing w:after="0" w:line="240" w:lineRule="auto"/>
    </w:pPr>
    <w:rPr>
      <w:rFonts w:cs="Times New Roman"/>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51">
    <w:name w:val="Plain Table 51"/>
    <w:basedOn w:val="TableNormal"/>
    <w:next w:val="PlainTable52"/>
    <w:uiPriority w:val="45"/>
    <w:pPr>
      <w:spacing w:after="0" w:line="240" w:lineRule="auto"/>
    </w:pPr>
    <w:rPr>
      <w:rFonts w:cs="Times New Roman"/>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2Char">
    <w:name w:val="Heading 2 Char"/>
    <w:basedOn w:val="DefaultParagraphFont"/>
    <w:link w:val="Heading2"/>
    <w:uiPriority w:val="9"/>
    <w:rPr>
      <w:b/>
      <w:position w:val="-1"/>
      <w:sz w:val="36"/>
      <w:szCs w:val="36"/>
    </w:rPr>
  </w:style>
  <w:style w:type="table" w:customStyle="1" w:styleId="PlainTable32">
    <w:name w:val="Plain Table 32"/>
    <w:basedOn w:val="TableNormal"/>
    <w:uiPriority w:val="43"/>
    <w:pPr>
      <w:spacing w:after="0" w:line="240" w:lineRule="auto"/>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52">
    <w:name w:val="Plain Table 52"/>
    <w:basedOn w:val="TableNormal"/>
    <w:uiPriority w:val="45"/>
    <w:pPr>
      <w:spacing w:after="0" w:line="240" w:lineRule="auto"/>
    </w:pPr>
    <w:tblPr>
      <w:tblStyleRowBandSize w:val="1"/>
      <w:tblStyleColBandSize w:val="1"/>
    </w:tblPr>
    <w:tblStylePr w:type="firstRow">
      <w:rPr>
        <w:rFonts w:ascii="Calibri" w:eastAsia="SimSun" w:hAnsi="Calibri" w:cs="SimSun"/>
        <w:i/>
        <w:iCs/>
        <w:sz w:val="26"/>
      </w:rPr>
      <w:tblPr/>
      <w:tcPr>
        <w:tcBorders>
          <w:bottom w:val="single" w:sz="4" w:space="0" w:color="7F7F7F"/>
        </w:tcBorders>
        <w:shd w:val="clear" w:color="auto" w:fill="FFFFFF"/>
      </w:tcPr>
    </w:tblStylePr>
    <w:tblStylePr w:type="lastRow">
      <w:rPr>
        <w:rFonts w:ascii="Calibri" w:eastAsia="SimSun" w:hAnsi="Calibri" w:cs="SimSun"/>
        <w:i/>
        <w:iCs/>
        <w:sz w:val="26"/>
      </w:rPr>
      <w:tblPr/>
      <w:tcPr>
        <w:tcBorders>
          <w:top w:val="single" w:sz="4" w:space="0" w:color="7F7F7F"/>
        </w:tcBorders>
        <w:shd w:val="clear" w:color="auto" w:fill="FFFFFF"/>
      </w:tcPr>
    </w:tblStylePr>
    <w:tblStylePr w:type="firstCol">
      <w:pPr>
        <w:jc w:val="right"/>
      </w:pPr>
      <w:rPr>
        <w:rFonts w:ascii="Calibri" w:eastAsia="SimSun" w:hAnsi="Calibri" w:cs="SimSun"/>
        <w:i/>
        <w:iCs/>
        <w:sz w:val="26"/>
      </w:rPr>
      <w:tblPr/>
      <w:tcPr>
        <w:tcBorders>
          <w:right w:val="single" w:sz="4" w:space="0" w:color="7F7F7F"/>
        </w:tcBorders>
        <w:shd w:val="clear" w:color="auto" w:fill="FFFFFF"/>
      </w:tcPr>
    </w:tblStylePr>
    <w:tblStylePr w:type="lastCol">
      <w:rPr>
        <w:rFonts w:ascii="Calibri" w:eastAsia="SimSun" w:hAnsi="Calibri" w:cs="SimSu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erChar">
    <w:name w:val="Header Char"/>
    <w:basedOn w:val="DefaultParagraphFont"/>
    <w:link w:val="Header"/>
    <w:uiPriority w:val="99"/>
    <w:rsid w:val="00D730E5"/>
    <w:rPr>
      <w:positio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56027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4.xm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oleObject" Target="embeddings/Microsoft_Excel_97-2003_Worksheet.xls"/><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hyperlink" Target="https://doi.org/10.17576/geo-2023-1904-10"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C:/Users/HP/Desktop/Climate%20Bayan%20Lepas.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C:/Users/HP/Desktop/Climate%20Bayan%20Lepas.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C:/Users/HP/Desktop/Climate%20Bayan%20Lepas.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C:/Users/HP/Desktop/Climate%20Bayan%20Lepa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Sheet1!$G$14</c:f>
              <c:strCache>
                <c:ptCount val="1"/>
                <c:pt idx="0">
                  <c:v>Pertanian</c:v>
                </c:pt>
              </c:strCache>
            </c:strRef>
          </c:tx>
          <c:spPr>
            <a:solidFill>
              <a:srgbClr val="93C572"/>
            </a:solidFill>
            <a:ln>
              <a:noFill/>
            </a:ln>
            <a:effectLst/>
          </c:spPr>
          <c:invertIfNegative val="0"/>
          <c:cat>
            <c:numRef>
              <c:f>Sheet1!$H$13:$M$13</c:f>
              <c:numCache>
                <c:formatCode>General</c:formatCode>
                <c:ptCount val="6"/>
                <c:pt idx="0">
                  <c:v>1966</c:v>
                </c:pt>
                <c:pt idx="1">
                  <c:v>1974</c:v>
                </c:pt>
                <c:pt idx="2">
                  <c:v>1984</c:v>
                </c:pt>
                <c:pt idx="3">
                  <c:v>1997</c:v>
                </c:pt>
                <c:pt idx="4">
                  <c:v>2008</c:v>
                </c:pt>
                <c:pt idx="5">
                  <c:v>2015</c:v>
                </c:pt>
              </c:numCache>
            </c:numRef>
          </c:cat>
          <c:val>
            <c:numRef>
              <c:f>Sheet1!$H$14:$M$14</c:f>
              <c:numCache>
                <c:formatCode>General</c:formatCode>
                <c:ptCount val="6"/>
                <c:pt idx="0">
                  <c:v>54.1</c:v>
                </c:pt>
                <c:pt idx="1">
                  <c:v>49.59</c:v>
                </c:pt>
                <c:pt idx="2">
                  <c:v>41.51</c:v>
                </c:pt>
                <c:pt idx="3">
                  <c:v>42.01</c:v>
                </c:pt>
                <c:pt idx="4">
                  <c:v>37.130000000000003</c:v>
                </c:pt>
                <c:pt idx="5">
                  <c:v>36.79</c:v>
                </c:pt>
              </c:numCache>
            </c:numRef>
          </c:val>
          <c:extLst>
            <c:ext xmlns:c16="http://schemas.microsoft.com/office/drawing/2014/chart" uri="{C3380CC4-5D6E-409C-BE32-E72D297353CC}">
              <c16:uniqueId val="{00000000-DB28-499F-B379-FA525EC293AD}"/>
            </c:ext>
          </c:extLst>
        </c:ser>
        <c:ser>
          <c:idx val="1"/>
          <c:order val="1"/>
          <c:tx>
            <c:strRef>
              <c:f>Sheet1!$G$15</c:f>
              <c:strCache>
                <c:ptCount val="1"/>
                <c:pt idx="0">
                  <c:v>Bandar</c:v>
                </c:pt>
              </c:strCache>
            </c:strRef>
          </c:tx>
          <c:spPr>
            <a:solidFill>
              <a:srgbClr val="FF0000"/>
            </a:solidFill>
            <a:ln>
              <a:noFill/>
            </a:ln>
            <a:effectLst/>
          </c:spPr>
          <c:invertIfNegative val="0"/>
          <c:cat>
            <c:numRef>
              <c:f>Sheet1!$H$13:$M$13</c:f>
              <c:numCache>
                <c:formatCode>General</c:formatCode>
                <c:ptCount val="6"/>
                <c:pt idx="0">
                  <c:v>1966</c:v>
                </c:pt>
                <c:pt idx="1">
                  <c:v>1974</c:v>
                </c:pt>
                <c:pt idx="2">
                  <c:v>1984</c:v>
                </c:pt>
                <c:pt idx="3">
                  <c:v>1997</c:v>
                </c:pt>
                <c:pt idx="4">
                  <c:v>2008</c:v>
                </c:pt>
                <c:pt idx="5">
                  <c:v>2015</c:v>
                </c:pt>
              </c:numCache>
            </c:numRef>
          </c:cat>
          <c:val>
            <c:numRef>
              <c:f>Sheet1!$H$15:$M$15</c:f>
              <c:numCache>
                <c:formatCode>General</c:formatCode>
                <c:ptCount val="6"/>
                <c:pt idx="0">
                  <c:v>13.31</c:v>
                </c:pt>
                <c:pt idx="1">
                  <c:v>15.72</c:v>
                </c:pt>
                <c:pt idx="2">
                  <c:v>20.239999999999998</c:v>
                </c:pt>
                <c:pt idx="3">
                  <c:v>26.27</c:v>
                </c:pt>
                <c:pt idx="4">
                  <c:v>30.8</c:v>
                </c:pt>
                <c:pt idx="5">
                  <c:v>30.64</c:v>
                </c:pt>
              </c:numCache>
            </c:numRef>
          </c:val>
          <c:extLst>
            <c:ext xmlns:c16="http://schemas.microsoft.com/office/drawing/2014/chart" uri="{C3380CC4-5D6E-409C-BE32-E72D297353CC}">
              <c16:uniqueId val="{00000001-DB28-499F-B379-FA525EC293AD}"/>
            </c:ext>
          </c:extLst>
        </c:ser>
        <c:ser>
          <c:idx val="2"/>
          <c:order val="2"/>
          <c:tx>
            <c:strRef>
              <c:f>Sheet1!$G$16</c:f>
              <c:strCache>
                <c:ptCount val="1"/>
                <c:pt idx="0">
                  <c:v>Hutan</c:v>
                </c:pt>
              </c:strCache>
            </c:strRef>
          </c:tx>
          <c:spPr>
            <a:solidFill>
              <a:srgbClr val="228B22"/>
            </a:solidFill>
            <a:ln>
              <a:noFill/>
            </a:ln>
            <a:effectLst/>
          </c:spPr>
          <c:invertIfNegative val="0"/>
          <c:cat>
            <c:numRef>
              <c:f>Sheet1!$H$13:$M$13</c:f>
              <c:numCache>
                <c:formatCode>General</c:formatCode>
                <c:ptCount val="6"/>
                <c:pt idx="0">
                  <c:v>1966</c:v>
                </c:pt>
                <c:pt idx="1">
                  <c:v>1974</c:v>
                </c:pt>
                <c:pt idx="2">
                  <c:v>1984</c:v>
                </c:pt>
                <c:pt idx="3">
                  <c:v>1997</c:v>
                </c:pt>
                <c:pt idx="4">
                  <c:v>2008</c:v>
                </c:pt>
                <c:pt idx="5">
                  <c:v>2015</c:v>
                </c:pt>
              </c:numCache>
            </c:numRef>
          </c:cat>
          <c:val>
            <c:numRef>
              <c:f>Sheet1!$H$16:$M$16</c:f>
              <c:numCache>
                <c:formatCode>General</c:formatCode>
                <c:ptCount val="6"/>
                <c:pt idx="0">
                  <c:v>32.590000000000003</c:v>
                </c:pt>
                <c:pt idx="1">
                  <c:v>34.590000000000003</c:v>
                </c:pt>
                <c:pt idx="2">
                  <c:v>38.200000000000003</c:v>
                </c:pt>
                <c:pt idx="3">
                  <c:v>31.65</c:v>
                </c:pt>
                <c:pt idx="4">
                  <c:v>31.62</c:v>
                </c:pt>
                <c:pt idx="5">
                  <c:v>32.17</c:v>
                </c:pt>
              </c:numCache>
            </c:numRef>
          </c:val>
          <c:extLst>
            <c:ext xmlns:c16="http://schemas.microsoft.com/office/drawing/2014/chart" uri="{C3380CC4-5D6E-409C-BE32-E72D297353CC}">
              <c16:uniqueId val="{00000002-DB28-499F-B379-FA525EC293AD}"/>
            </c:ext>
          </c:extLst>
        </c:ser>
        <c:ser>
          <c:idx val="3"/>
          <c:order val="3"/>
          <c:tx>
            <c:strRef>
              <c:f>Sheet1!$G$17</c:f>
              <c:strCache>
                <c:ptCount val="1"/>
                <c:pt idx="0">
                  <c:v>Badan Air</c:v>
                </c:pt>
              </c:strCache>
            </c:strRef>
          </c:tx>
          <c:spPr>
            <a:solidFill>
              <a:srgbClr val="00FFFF"/>
            </a:solidFill>
            <a:ln>
              <a:noFill/>
            </a:ln>
            <a:effectLst/>
          </c:spPr>
          <c:invertIfNegative val="0"/>
          <c:cat>
            <c:numRef>
              <c:f>Sheet1!$H$13:$M$13</c:f>
              <c:numCache>
                <c:formatCode>General</c:formatCode>
                <c:ptCount val="6"/>
                <c:pt idx="0">
                  <c:v>1966</c:v>
                </c:pt>
                <c:pt idx="1">
                  <c:v>1974</c:v>
                </c:pt>
                <c:pt idx="2">
                  <c:v>1984</c:v>
                </c:pt>
                <c:pt idx="3">
                  <c:v>1997</c:v>
                </c:pt>
                <c:pt idx="4">
                  <c:v>2008</c:v>
                </c:pt>
                <c:pt idx="5">
                  <c:v>2015</c:v>
                </c:pt>
              </c:numCache>
            </c:numRef>
          </c:cat>
          <c:val>
            <c:numRef>
              <c:f>Sheet1!$H$17:$M$17</c:f>
              <c:numCache>
                <c:formatCode>General</c:formatCode>
                <c:ptCount val="6"/>
                <c:pt idx="0">
                  <c:v>0</c:v>
                </c:pt>
                <c:pt idx="1">
                  <c:v>0.01</c:v>
                </c:pt>
                <c:pt idx="2">
                  <c:v>0.05</c:v>
                </c:pt>
                <c:pt idx="3">
                  <c:v>7.0000000000000007E-2</c:v>
                </c:pt>
                <c:pt idx="4">
                  <c:v>0.45</c:v>
                </c:pt>
                <c:pt idx="5">
                  <c:v>0.4</c:v>
                </c:pt>
              </c:numCache>
            </c:numRef>
          </c:val>
          <c:extLst>
            <c:ext xmlns:c16="http://schemas.microsoft.com/office/drawing/2014/chart" uri="{C3380CC4-5D6E-409C-BE32-E72D297353CC}">
              <c16:uniqueId val="{00000003-DB28-499F-B379-FA525EC293AD}"/>
            </c:ext>
          </c:extLst>
        </c:ser>
        <c:dLbls>
          <c:showLegendKey val="0"/>
          <c:showVal val="0"/>
          <c:showCatName val="0"/>
          <c:showSerName val="0"/>
          <c:showPercent val="0"/>
          <c:showBubbleSize val="0"/>
        </c:dLbls>
        <c:gapWidth val="219"/>
        <c:overlap val="-27"/>
        <c:axId val="594615664"/>
        <c:axId val="594616208"/>
      </c:barChart>
      <c:catAx>
        <c:axId val="59461566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Tahun</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94616208"/>
        <c:crosses val="autoZero"/>
        <c:auto val="1"/>
        <c:lblAlgn val="ctr"/>
        <c:lblOffset val="100"/>
        <c:noMultiLvlLbl val="0"/>
      </c:catAx>
      <c:valAx>
        <c:axId val="594616208"/>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Peratus (%)</a:t>
                </a:r>
              </a:p>
            </c:rich>
          </c:tx>
          <c:layout>
            <c:manualLayout>
              <c:xMode val="edge"/>
              <c:yMode val="edge"/>
              <c:x val="1.9288728149487643E-2"/>
              <c:y val="0.3399174711717146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94615664"/>
        <c:crosses val="autoZero"/>
        <c:crossBetween val="between"/>
      </c:valAx>
      <c:spPr>
        <a:noFill/>
        <a:ln>
          <a:solidFill>
            <a:schemeClr val="tx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49160521601466"/>
          <c:y val="7.1082390953150248E-2"/>
          <c:w val="0.84924801066533351"/>
          <c:h val="0.61795886176586579"/>
        </c:manualLayout>
      </c:layout>
      <c:lineChart>
        <c:grouping val="standard"/>
        <c:varyColors val="0"/>
        <c:ser>
          <c:idx val="0"/>
          <c:order val="0"/>
          <c:spPr>
            <a:ln w="28575" cap="rnd">
              <a:solidFill>
                <a:srgbClr val="FF0000"/>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0-B627-4FD0-B689-20E1485AC4CB}"/>
                </c:ext>
              </c:extLst>
            </c:dLbl>
            <c:dLbl>
              <c:idx val="1"/>
              <c:delete val="1"/>
              <c:extLst>
                <c:ext xmlns:c15="http://schemas.microsoft.com/office/drawing/2012/chart" uri="{CE6537A1-D6FC-4f65-9D91-7224C49458BB}"/>
                <c:ext xmlns:c16="http://schemas.microsoft.com/office/drawing/2014/chart" uri="{C3380CC4-5D6E-409C-BE32-E72D297353CC}">
                  <c16:uniqueId val="{00000001-B627-4FD0-B689-20E1485AC4CB}"/>
                </c:ext>
              </c:extLst>
            </c:dLbl>
            <c:dLbl>
              <c:idx val="2"/>
              <c:delete val="1"/>
              <c:extLst>
                <c:ext xmlns:c15="http://schemas.microsoft.com/office/drawing/2012/chart" uri="{CE6537A1-D6FC-4f65-9D91-7224C49458BB}"/>
                <c:ext xmlns:c16="http://schemas.microsoft.com/office/drawing/2014/chart" uri="{C3380CC4-5D6E-409C-BE32-E72D297353CC}">
                  <c16:uniqueId val="{00000002-B627-4FD0-B689-20E1485AC4CB}"/>
                </c:ext>
              </c:extLst>
            </c:dLbl>
            <c:dLbl>
              <c:idx val="3"/>
              <c:delete val="1"/>
              <c:extLst>
                <c:ext xmlns:c15="http://schemas.microsoft.com/office/drawing/2012/chart" uri="{CE6537A1-D6FC-4f65-9D91-7224C49458BB}"/>
                <c:ext xmlns:c16="http://schemas.microsoft.com/office/drawing/2014/chart" uri="{C3380CC4-5D6E-409C-BE32-E72D297353CC}">
                  <c16:uniqueId val="{00000003-B627-4FD0-B689-20E1485AC4CB}"/>
                </c:ext>
              </c:extLst>
            </c:dLbl>
            <c:dLbl>
              <c:idx val="4"/>
              <c:delete val="1"/>
              <c:extLst>
                <c:ext xmlns:c15="http://schemas.microsoft.com/office/drawing/2012/chart" uri="{CE6537A1-D6FC-4f65-9D91-7224C49458BB}"/>
                <c:ext xmlns:c16="http://schemas.microsoft.com/office/drawing/2014/chart" uri="{C3380CC4-5D6E-409C-BE32-E72D297353CC}">
                  <c16:uniqueId val="{00000004-B627-4FD0-B689-20E1485AC4CB}"/>
                </c:ext>
              </c:extLst>
            </c:dLbl>
            <c:dLbl>
              <c:idx val="5"/>
              <c:layout>
                <c:manualLayout>
                  <c:x val="0.18611111111111106"/>
                  <c:y val="6.4814814814814728E-2"/>
                </c:manualLayout>
              </c:layout>
              <c:tx>
                <c:rich>
                  <a:bodyPr/>
                  <a:lstStyle/>
                  <a:p>
                    <a:r>
                      <a:rPr lang="en-US" dirty="0">
                        <a:latin typeface="Arial" panose="020B0604020202020204" pitchFamily="34" charset="0"/>
                        <a:cs typeface="Arial" panose="020B0604020202020204" pitchFamily="34" charset="0"/>
                      </a:rPr>
                      <a:t>23.26</a:t>
                    </a:r>
                    <a:r>
                      <a:rPr lang="en-US" baseline="0" dirty="0">
                        <a:latin typeface="Arial" panose="020B0604020202020204" pitchFamily="34" charset="0"/>
                        <a:cs typeface="Arial" panose="020B0604020202020204" pitchFamily="34" charset="0"/>
                      </a:rPr>
                      <a:t> (1985)</a:t>
                    </a:r>
                    <a:endParaRPr lang="en-US" dirty="0">
                      <a:latin typeface="Arial" panose="020B0604020202020204" pitchFamily="34" charset="0"/>
                      <a:cs typeface="Arial" panose="020B0604020202020204" pitchFamily="34" charset="0"/>
                    </a:endParaRP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627-4FD0-B689-20E1485AC4CB}"/>
                </c:ext>
              </c:extLst>
            </c:dLbl>
            <c:dLbl>
              <c:idx val="6"/>
              <c:delete val="1"/>
              <c:extLst>
                <c:ext xmlns:c15="http://schemas.microsoft.com/office/drawing/2012/chart" uri="{CE6537A1-D6FC-4f65-9D91-7224C49458BB}"/>
                <c:ext xmlns:c16="http://schemas.microsoft.com/office/drawing/2014/chart" uri="{C3380CC4-5D6E-409C-BE32-E72D297353CC}">
                  <c16:uniqueId val="{00000006-B627-4FD0-B689-20E1485AC4CB}"/>
                </c:ext>
              </c:extLst>
            </c:dLbl>
            <c:dLbl>
              <c:idx val="7"/>
              <c:delete val="1"/>
              <c:extLst>
                <c:ext xmlns:c15="http://schemas.microsoft.com/office/drawing/2012/chart" uri="{CE6537A1-D6FC-4f65-9D91-7224C49458BB}"/>
                <c:ext xmlns:c16="http://schemas.microsoft.com/office/drawing/2014/chart" uri="{C3380CC4-5D6E-409C-BE32-E72D297353CC}">
                  <c16:uniqueId val="{00000007-B627-4FD0-B689-20E1485AC4CB}"/>
                </c:ext>
              </c:extLst>
            </c:dLbl>
            <c:dLbl>
              <c:idx val="8"/>
              <c:delete val="1"/>
              <c:extLst>
                <c:ext xmlns:c15="http://schemas.microsoft.com/office/drawing/2012/chart" uri="{CE6537A1-D6FC-4f65-9D91-7224C49458BB}"/>
                <c:ext xmlns:c16="http://schemas.microsoft.com/office/drawing/2014/chart" uri="{C3380CC4-5D6E-409C-BE32-E72D297353CC}">
                  <c16:uniqueId val="{00000008-B627-4FD0-B689-20E1485AC4CB}"/>
                </c:ext>
              </c:extLst>
            </c:dLbl>
            <c:dLbl>
              <c:idx val="9"/>
              <c:delete val="1"/>
              <c:extLst>
                <c:ext xmlns:c15="http://schemas.microsoft.com/office/drawing/2012/chart" uri="{CE6537A1-D6FC-4f65-9D91-7224C49458BB}"/>
                <c:ext xmlns:c16="http://schemas.microsoft.com/office/drawing/2014/chart" uri="{C3380CC4-5D6E-409C-BE32-E72D297353CC}">
                  <c16:uniqueId val="{00000009-B627-4FD0-B689-20E1485AC4CB}"/>
                </c:ext>
              </c:extLst>
            </c:dLbl>
            <c:dLbl>
              <c:idx val="10"/>
              <c:delete val="1"/>
              <c:extLst>
                <c:ext xmlns:c15="http://schemas.microsoft.com/office/drawing/2012/chart" uri="{CE6537A1-D6FC-4f65-9D91-7224C49458BB}"/>
                <c:ext xmlns:c16="http://schemas.microsoft.com/office/drawing/2014/chart" uri="{C3380CC4-5D6E-409C-BE32-E72D297353CC}">
                  <c16:uniqueId val="{0000000A-B627-4FD0-B689-20E1485AC4CB}"/>
                </c:ext>
              </c:extLst>
            </c:dLbl>
            <c:dLbl>
              <c:idx val="11"/>
              <c:delete val="1"/>
              <c:extLst>
                <c:ext xmlns:c15="http://schemas.microsoft.com/office/drawing/2012/chart" uri="{CE6537A1-D6FC-4f65-9D91-7224C49458BB}"/>
                <c:ext xmlns:c16="http://schemas.microsoft.com/office/drawing/2014/chart" uri="{C3380CC4-5D6E-409C-BE32-E72D297353CC}">
                  <c16:uniqueId val="{0000000B-B627-4FD0-B689-20E1485AC4CB}"/>
                </c:ext>
              </c:extLst>
            </c:dLbl>
            <c:dLbl>
              <c:idx val="12"/>
              <c:delete val="1"/>
              <c:extLst>
                <c:ext xmlns:c15="http://schemas.microsoft.com/office/drawing/2012/chart" uri="{CE6537A1-D6FC-4f65-9D91-7224C49458BB}"/>
                <c:ext xmlns:c16="http://schemas.microsoft.com/office/drawing/2014/chart" uri="{C3380CC4-5D6E-409C-BE32-E72D297353CC}">
                  <c16:uniqueId val="{0000000C-B627-4FD0-B689-20E1485AC4CB}"/>
                </c:ext>
              </c:extLst>
            </c:dLbl>
            <c:dLbl>
              <c:idx val="13"/>
              <c:delete val="1"/>
              <c:extLst>
                <c:ext xmlns:c15="http://schemas.microsoft.com/office/drawing/2012/chart" uri="{CE6537A1-D6FC-4f65-9D91-7224C49458BB}"/>
                <c:ext xmlns:c16="http://schemas.microsoft.com/office/drawing/2014/chart" uri="{C3380CC4-5D6E-409C-BE32-E72D297353CC}">
                  <c16:uniqueId val="{0000000D-B627-4FD0-B689-20E1485AC4CB}"/>
                </c:ext>
              </c:extLst>
            </c:dLbl>
            <c:dLbl>
              <c:idx val="14"/>
              <c:delete val="1"/>
              <c:extLst>
                <c:ext xmlns:c15="http://schemas.microsoft.com/office/drawing/2012/chart" uri="{CE6537A1-D6FC-4f65-9D91-7224C49458BB}"/>
                <c:ext xmlns:c16="http://schemas.microsoft.com/office/drawing/2014/chart" uri="{C3380CC4-5D6E-409C-BE32-E72D297353CC}">
                  <c16:uniqueId val="{0000000E-B627-4FD0-B689-20E1485AC4CB}"/>
                </c:ext>
              </c:extLst>
            </c:dLbl>
            <c:dLbl>
              <c:idx val="15"/>
              <c:delete val="1"/>
              <c:extLst>
                <c:ext xmlns:c15="http://schemas.microsoft.com/office/drawing/2012/chart" uri="{CE6537A1-D6FC-4f65-9D91-7224C49458BB}"/>
                <c:ext xmlns:c16="http://schemas.microsoft.com/office/drawing/2014/chart" uri="{C3380CC4-5D6E-409C-BE32-E72D297353CC}">
                  <c16:uniqueId val="{0000000F-B627-4FD0-B689-20E1485AC4CB}"/>
                </c:ext>
              </c:extLst>
            </c:dLbl>
            <c:dLbl>
              <c:idx val="16"/>
              <c:delete val="1"/>
              <c:extLst>
                <c:ext xmlns:c15="http://schemas.microsoft.com/office/drawing/2012/chart" uri="{CE6537A1-D6FC-4f65-9D91-7224C49458BB}"/>
                <c:ext xmlns:c16="http://schemas.microsoft.com/office/drawing/2014/chart" uri="{C3380CC4-5D6E-409C-BE32-E72D297353CC}">
                  <c16:uniqueId val="{00000010-B627-4FD0-B689-20E1485AC4CB}"/>
                </c:ext>
              </c:extLst>
            </c:dLbl>
            <c:dLbl>
              <c:idx val="17"/>
              <c:delete val="1"/>
              <c:extLst>
                <c:ext xmlns:c15="http://schemas.microsoft.com/office/drawing/2012/chart" uri="{CE6537A1-D6FC-4f65-9D91-7224C49458BB}"/>
                <c:ext xmlns:c16="http://schemas.microsoft.com/office/drawing/2014/chart" uri="{C3380CC4-5D6E-409C-BE32-E72D297353CC}">
                  <c16:uniqueId val="{00000011-B627-4FD0-B689-20E1485AC4CB}"/>
                </c:ext>
              </c:extLst>
            </c:dLbl>
            <c:dLbl>
              <c:idx val="18"/>
              <c:delete val="1"/>
              <c:extLst>
                <c:ext xmlns:c15="http://schemas.microsoft.com/office/drawing/2012/chart" uri="{CE6537A1-D6FC-4f65-9D91-7224C49458BB}"/>
                <c:ext xmlns:c16="http://schemas.microsoft.com/office/drawing/2014/chart" uri="{C3380CC4-5D6E-409C-BE32-E72D297353CC}">
                  <c16:uniqueId val="{00000012-B627-4FD0-B689-20E1485AC4CB}"/>
                </c:ext>
              </c:extLst>
            </c:dLbl>
            <c:dLbl>
              <c:idx val="19"/>
              <c:delete val="1"/>
              <c:extLst>
                <c:ext xmlns:c15="http://schemas.microsoft.com/office/drawing/2012/chart" uri="{CE6537A1-D6FC-4f65-9D91-7224C49458BB}"/>
                <c:ext xmlns:c16="http://schemas.microsoft.com/office/drawing/2014/chart" uri="{C3380CC4-5D6E-409C-BE32-E72D297353CC}">
                  <c16:uniqueId val="{00000013-B627-4FD0-B689-20E1485AC4CB}"/>
                </c:ext>
              </c:extLst>
            </c:dLbl>
            <c:dLbl>
              <c:idx val="20"/>
              <c:delete val="1"/>
              <c:extLst>
                <c:ext xmlns:c15="http://schemas.microsoft.com/office/drawing/2012/chart" uri="{CE6537A1-D6FC-4f65-9D91-7224C49458BB}"/>
                <c:ext xmlns:c16="http://schemas.microsoft.com/office/drawing/2014/chart" uri="{C3380CC4-5D6E-409C-BE32-E72D297353CC}">
                  <c16:uniqueId val="{00000014-B627-4FD0-B689-20E1485AC4CB}"/>
                </c:ext>
              </c:extLst>
            </c:dLbl>
            <c:dLbl>
              <c:idx val="21"/>
              <c:delete val="1"/>
              <c:extLst>
                <c:ext xmlns:c15="http://schemas.microsoft.com/office/drawing/2012/chart" uri="{CE6537A1-D6FC-4f65-9D91-7224C49458BB}"/>
                <c:ext xmlns:c16="http://schemas.microsoft.com/office/drawing/2014/chart" uri="{C3380CC4-5D6E-409C-BE32-E72D297353CC}">
                  <c16:uniqueId val="{00000015-B627-4FD0-B689-20E1485AC4CB}"/>
                </c:ext>
              </c:extLst>
            </c:dLbl>
            <c:dLbl>
              <c:idx val="22"/>
              <c:delete val="1"/>
              <c:extLst>
                <c:ext xmlns:c15="http://schemas.microsoft.com/office/drawing/2012/chart" uri="{CE6537A1-D6FC-4f65-9D91-7224C49458BB}"/>
                <c:ext xmlns:c16="http://schemas.microsoft.com/office/drawing/2014/chart" uri="{C3380CC4-5D6E-409C-BE32-E72D297353CC}">
                  <c16:uniqueId val="{00000016-B627-4FD0-B689-20E1485AC4CB}"/>
                </c:ext>
              </c:extLst>
            </c:dLbl>
            <c:dLbl>
              <c:idx val="23"/>
              <c:delete val="1"/>
              <c:extLst>
                <c:ext xmlns:c15="http://schemas.microsoft.com/office/drawing/2012/chart" uri="{CE6537A1-D6FC-4f65-9D91-7224C49458BB}"/>
                <c:ext xmlns:c16="http://schemas.microsoft.com/office/drawing/2014/chart" uri="{C3380CC4-5D6E-409C-BE32-E72D297353CC}">
                  <c16:uniqueId val="{00000017-B627-4FD0-B689-20E1485AC4CB}"/>
                </c:ext>
              </c:extLst>
            </c:dLbl>
            <c:dLbl>
              <c:idx val="24"/>
              <c:delete val="1"/>
              <c:extLst>
                <c:ext xmlns:c15="http://schemas.microsoft.com/office/drawing/2012/chart" uri="{CE6537A1-D6FC-4f65-9D91-7224C49458BB}"/>
                <c:ext xmlns:c16="http://schemas.microsoft.com/office/drawing/2014/chart" uri="{C3380CC4-5D6E-409C-BE32-E72D297353CC}">
                  <c16:uniqueId val="{00000018-B627-4FD0-B689-20E1485AC4CB}"/>
                </c:ext>
              </c:extLst>
            </c:dLbl>
            <c:dLbl>
              <c:idx val="25"/>
              <c:delete val="1"/>
              <c:extLst>
                <c:ext xmlns:c15="http://schemas.microsoft.com/office/drawing/2012/chart" uri="{CE6537A1-D6FC-4f65-9D91-7224C49458BB}"/>
                <c:ext xmlns:c16="http://schemas.microsoft.com/office/drawing/2014/chart" uri="{C3380CC4-5D6E-409C-BE32-E72D297353CC}">
                  <c16:uniqueId val="{00000019-B627-4FD0-B689-20E1485AC4CB}"/>
                </c:ext>
              </c:extLst>
            </c:dLbl>
            <c:dLbl>
              <c:idx val="26"/>
              <c:delete val="1"/>
              <c:extLst>
                <c:ext xmlns:c15="http://schemas.microsoft.com/office/drawing/2012/chart" uri="{CE6537A1-D6FC-4f65-9D91-7224C49458BB}"/>
                <c:ext xmlns:c16="http://schemas.microsoft.com/office/drawing/2014/chart" uri="{C3380CC4-5D6E-409C-BE32-E72D297353CC}">
                  <c16:uniqueId val="{0000001A-B627-4FD0-B689-20E1485AC4CB}"/>
                </c:ext>
              </c:extLst>
            </c:dLbl>
            <c:dLbl>
              <c:idx val="27"/>
              <c:delete val="1"/>
              <c:extLst>
                <c:ext xmlns:c15="http://schemas.microsoft.com/office/drawing/2012/chart" uri="{CE6537A1-D6FC-4f65-9D91-7224C49458BB}"/>
                <c:ext xmlns:c16="http://schemas.microsoft.com/office/drawing/2014/chart" uri="{C3380CC4-5D6E-409C-BE32-E72D297353CC}">
                  <c16:uniqueId val="{0000001B-B627-4FD0-B689-20E1485AC4CB}"/>
                </c:ext>
              </c:extLst>
            </c:dLbl>
            <c:dLbl>
              <c:idx val="28"/>
              <c:delete val="1"/>
              <c:extLst>
                <c:ext xmlns:c15="http://schemas.microsoft.com/office/drawing/2012/chart" uri="{CE6537A1-D6FC-4f65-9D91-7224C49458BB}"/>
                <c:ext xmlns:c16="http://schemas.microsoft.com/office/drawing/2014/chart" uri="{C3380CC4-5D6E-409C-BE32-E72D297353CC}">
                  <c16:uniqueId val="{0000001C-B627-4FD0-B689-20E1485AC4CB}"/>
                </c:ext>
              </c:extLst>
            </c:dLbl>
            <c:dLbl>
              <c:idx val="29"/>
              <c:delete val="1"/>
              <c:extLst>
                <c:ext xmlns:c15="http://schemas.microsoft.com/office/drawing/2012/chart" uri="{CE6537A1-D6FC-4f65-9D91-7224C49458BB}"/>
                <c:ext xmlns:c16="http://schemas.microsoft.com/office/drawing/2014/chart" uri="{C3380CC4-5D6E-409C-BE32-E72D297353CC}">
                  <c16:uniqueId val="{0000001D-B627-4FD0-B689-20E1485AC4CB}"/>
                </c:ext>
              </c:extLst>
            </c:dLbl>
            <c:dLbl>
              <c:idx val="30"/>
              <c:delete val="1"/>
              <c:extLst>
                <c:ext xmlns:c15="http://schemas.microsoft.com/office/drawing/2012/chart" uri="{CE6537A1-D6FC-4f65-9D91-7224C49458BB}"/>
                <c:ext xmlns:c16="http://schemas.microsoft.com/office/drawing/2014/chart" uri="{C3380CC4-5D6E-409C-BE32-E72D297353CC}">
                  <c16:uniqueId val="{0000001E-B627-4FD0-B689-20E1485AC4CB}"/>
                </c:ext>
              </c:extLst>
            </c:dLbl>
            <c:dLbl>
              <c:idx val="31"/>
              <c:delete val="1"/>
              <c:extLst>
                <c:ext xmlns:c15="http://schemas.microsoft.com/office/drawing/2012/chart" uri="{CE6537A1-D6FC-4f65-9D91-7224C49458BB}"/>
                <c:ext xmlns:c16="http://schemas.microsoft.com/office/drawing/2014/chart" uri="{C3380CC4-5D6E-409C-BE32-E72D297353CC}">
                  <c16:uniqueId val="{0000001F-B627-4FD0-B689-20E1485AC4CB}"/>
                </c:ext>
              </c:extLst>
            </c:dLbl>
            <c:dLbl>
              <c:idx val="32"/>
              <c:delete val="1"/>
              <c:extLst>
                <c:ext xmlns:c15="http://schemas.microsoft.com/office/drawing/2012/chart" uri="{CE6537A1-D6FC-4f65-9D91-7224C49458BB}"/>
                <c:ext xmlns:c16="http://schemas.microsoft.com/office/drawing/2014/chart" uri="{C3380CC4-5D6E-409C-BE32-E72D297353CC}">
                  <c16:uniqueId val="{00000020-B627-4FD0-B689-20E1485AC4CB}"/>
                </c:ext>
              </c:extLst>
            </c:dLbl>
            <c:dLbl>
              <c:idx val="33"/>
              <c:delete val="1"/>
              <c:extLst>
                <c:ext xmlns:c15="http://schemas.microsoft.com/office/drawing/2012/chart" uri="{CE6537A1-D6FC-4f65-9D91-7224C49458BB}"/>
                <c:ext xmlns:c16="http://schemas.microsoft.com/office/drawing/2014/chart" uri="{C3380CC4-5D6E-409C-BE32-E72D297353CC}">
                  <c16:uniqueId val="{00000021-B627-4FD0-B689-20E1485AC4CB}"/>
                </c:ext>
              </c:extLst>
            </c:dLbl>
            <c:dLbl>
              <c:idx val="34"/>
              <c:layout>
                <c:manualLayout>
                  <c:x val="-6.1111111111111213E-2"/>
                  <c:y val="0.24537037037037038"/>
                </c:manualLayout>
              </c:layout>
              <c:tx>
                <c:rich>
                  <a:bodyPr/>
                  <a:lstStyle/>
                  <a:p>
                    <a:r>
                      <a:rPr lang="en-US" dirty="0"/>
                      <a:t>28.27</a:t>
                    </a:r>
                    <a:r>
                      <a:rPr lang="en-US" baseline="0" dirty="0"/>
                      <a:t> (2014)</a:t>
                    </a:r>
                    <a:endParaRPr lang="en-US" dirty="0"/>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B627-4FD0-B689-20E1485AC4CB}"/>
                </c:ext>
              </c:extLst>
            </c:dLbl>
            <c:dLbl>
              <c:idx val="35"/>
              <c:delete val="1"/>
              <c:extLst>
                <c:ext xmlns:c15="http://schemas.microsoft.com/office/drawing/2012/chart" uri="{CE6537A1-D6FC-4f65-9D91-7224C49458BB}"/>
                <c:ext xmlns:c16="http://schemas.microsoft.com/office/drawing/2014/chart" uri="{C3380CC4-5D6E-409C-BE32-E72D297353CC}">
                  <c16:uniqueId val="{00000023-B627-4FD0-B689-20E1485AC4CB}"/>
                </c:ext>
              </c:extLst>
            </c:dLbl>
            <c:dLbl>
              <c:idx val="36"/>
              <c:delete val="1"/>
              <c:extLst>
                <c:ext xmlns:c15="http://schemas.microsoft.com/office/drawing/2012/chart" uri="{CE6537A1-D6FC-4f65-9D91-7224C49458BB}"/>
                <c:ext xmlns:c16="http://schemas.microsoft.com/office/drawing/2014/chart" uri="{C3380CC4-5D6E-409C-BE32-E72D297353CC}">
                  <c16:uniqueId val="{00000024-B627-4FD0-B689-20E1485AC4CB}"/>
                </c:ext>
              </c:extLst>
            </c:dLbl>
            <c:dLbl>
              <c:idx val="37"/>
              <c:delete val="1"/>
              <c:extLst>
                <c:ext xmlns:c15="http://schemas.microsoft.com/office/drawing/2012/chart" uri="{CE6537A1-D6FC-4f65-9D91-7224C49458BB}"/>
                <c:ext xmlns:c16="http://schemas.microsoft.com/office/drawing/2014/chart" uri="{C3380CC4-5D6E-409C-BE32-E72D297353CC}">
                  <c16:uniqueId val="{00000025-B627-4FD0-B689-20E1485AC4CB}"/>
                </c:ext>
              </c:extLst>
            </c:dLbl>
            <c:dLbl>
              <c:idx val="38"/>
              <c:delete val="1"/>
              <c:extLst>
                <c:ext xmlns:c15="http://schemas.microsoft.com/office/drawing/2012/chart" uri="{CE6537A1-D6FC-4f65-9D91-7224C49458BB}"/>
                <c:ext xmlns:c16="http://schemas.microsoft.com/office/drawing/2014/chart" uri="{C3380CC4-5D6E-409C-BE32-E72D297353CC}">
                  <c16:uniqueId val="{00000026-B627-4FD0-B689-20E1485AC4CB}"/>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tx1"/>
                </a:solidFill>
                <a:prstDash val="sysDot"/>
              </a:ln>
              <a:effectLst/>
            </c:spPr>
            <c:trendlineType val="linear"/>
            <c:dispRSqr val="0"/>
            <c:dispEq val="0"/>
          </c:trendline>
          <c:cat>
            <c:numRef>
              <c:f>Sheet4!$A$16:$A$54</c:f>
              <c:numCache>
                <c:formatCode>General</c:formatCode>
                <c:ptCount val="39"/>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numCache>
            </c:numRef>
          </c:cat>
          <c:val>
            <c:numRef>
              <c:f>Sheet4!$D$16:$D$54</c:f>
              <c:numCache>
                <c:formatCode>General</c:formatCode>
                <c:ptCount val="39"/>
                <c:pt idx="0">
                  <c:v>23.674590163934401</c:v>
                </c:pt>
                <c:pt idx="1">
                  <c:v>23.453698630137001</c:v>
                </c:pt>
                <c:pt idx="2">
                  <c:v>23.589589041095898</c:v>
                </c:pt>
                <c:pt idx="3">
                  <c:v>23.918630136986302</c:v>
                </c:pt>
                <c:pt idx="4">
                  <c:v>23.326775956284202</c:v>
                </c:pt>
                <c:pt idx="5">
                  <c:v>23.2684931506849</c:v>
                </c:pt>
                <c:pt idx="6">
                  <c:v>23.5487671232877</c:v>
                </c:pt>
                <c:pt idx="7">
                  <c:v>23.966849315068501</c:v>
                </c:pt>
                <c:pt idx="8">
                  <c:v>24.2379781420765</c:v>
                </c:pt>
                <c:pt idx="9">
                  <c:v>23.7060273972603</c:v>
                </c:pt>
                <c:pt idx="10">
                  <c:v>24.0947945205479</c:v>
                </c:pt>
                <c:pt idx="11">
                  <c:v>24.093150684931501</c:v>
                </c:pt>
                <c:pt idx="12">
                  <c:v>24.110655737704899</c:v>
                </c:pt>
                <c:pt idx="13">
                  <c:v>24.121917808219202</c:v>
                </c:pt>
                <c:pt idx="14">
                  <c:v>24.289041095890401</c:v>
                </c:pt>
                <c:pt idx="15">
                  <c:v>24.551232876712302</c:v>
                </c:pt>
                <c:pt idx="16">
                  <c:v>24.398360655737701</c:v>
                </c:pt>
                <c:pt idx="17">
                  <c:v>24.6964383561644</c:v>
                </c:pt>
                <c:pt idx="18">
                  <c:v>25.167123287671199</c:v>
                </c:pt>
                <c:pt idx="19">
                  <c:v>24.228493150684901</c:v>
                </c:pt>
                <c:pt idx="20">
                  <c:v>24.401912568305999</c:v>
                </c:pt>
                <c:pt idx="21">
                  <c:v>24.650958904109601</c:v>
                </c:pt>
                <c:pt idx="22">
                  <c:v>25.078082191780801</c:v>
                </c:pt>
                <c:pt idx="23">
                  <c:v>24.9731506849315</c:v>
                </c:pt>
                <c:pt idx="24">
                  <c:v>24.964480874316902</c:v>
                </c:pt>
                <c:pt idx="25">
                  <c:v>24.832054794520602</c:v>
                </c:pt>
                <c:pt idx="26">
                  <c:v>24.641095890410998</c:v>
                </c:pt>
                <c:pt idx="27">
                  <c:v>24.621917808219202</c:v>
                </c:pt>
                <c:pt idx="28">
                  <c:v>27.5543715846994</c:v>
                </c:pt>
                <c:pt idx="29">
                  <c:v>27.758082191780801</c:v>
                </c:pt>
                <c:pt idx="30">
                  <c:v>28.209589041095899</c:v>
                </c:pt>
                <c:pt idx="31">
                  <c:v>27.652602739725999</c:v>
                </c:pt>
                <c:pt idx="32">
                  <c:v>27.8172131147541</c:v>
                </c:pt>
                <c:pt idx="33">
                  <c:v>28.231780821917798</c:v>
                </c:pt>
                <c:pt idx="34">
                  <c:v>28.277260273972601</c:v>
                </c:pt>
                <c:pt idx="35">
                  <c:v>27.784931506849301</c:v>
                </c:pt>
                <c:pt idx="36">
                  <c:v>28.024863387978101</c:v>
                </c:pt>
                <c:pt idx="37">
                  <c:v>28.020273972602698</c:v>
                </c:pt>
                <c:pt idx="38">
                  <c:v>28.226301369862998</c:v>
                </c:pt>
              </c:numCache>
            </c:numRef>
          </c:val>
          <c:smooth val="0"/>
          <c:extLst>
            <c:ext xmlns:c16="http://schemas.microsoft.com/office/drawing/2014/chart" uri="{C3380CC4-5D6E-409C-BE32-E72D297353CC}">
              <c16:uniqueId val="{00000028-B627-4FD0-B689-20E1485AC4CB}"/>
            </c:ext>
          </c:extLst>
        </c:ser>
        <c:dLbls>
          <c:showLegendKey val="0"/>
          <c:showVal val="0"/>
          <c:showCatName val="0"/>
          <c:showSerName val="0"/>
          <c:showPercent val="0"/>
          <c:showBubbleSize val="0"/>
        </c:dLbls>
        <c:smooth val="0"/>
        <c:axId val="594622736"/>
        <c:axId val="536024512"/>
      </c:lineChart>
      <c:catAx>
        <c:axId val="59462273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Tahun</a:t>
                </a:r>
              </a:p>
            </c:rich>
          </c:tx>
          <c:layout>
            <c:manualLayout>
              <c:xMode val="edge"/>
              <c:yMode val="edge"/>
              <c:x val="0.45274791925680341"/>
              <c:y val="0.8997485812220084"/>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36024512"/>
        <c:crosses val="autoZero"/>
        <c:auto val="1"/>
        <c:lblAlgn val="ctr"/>
        <c:lblOffset val="100"/>
        <c:noMultiLvlLbl val="0"/>
      </c:catAx>
      <c:valAx>
        <c:axId val="536024512"/>
        <c:scaling>
          <c:orientation val="minMax"/>
          <c:min val="22"/>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Suhu (℃)</a:t>
                </a:r>
              </a:p>
            </c:rich>
          </c:tx>
          <c:layout>
            <c:manualLayout>
              <c:xMode val="edge"/>
              <c:yMode val="edge"/>
              <c:x val="1.9740437892589394E-2"/>
              <c:y val="0.3363812234473784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94622736"/>
        <c:crosses val="autoZero"/>
        <c:crossBetween val="between"/>
      </c:valAx>
      <c:spPr>
        <a:noFill/>
        <a:ln>
          <a:solidFill>
            <a:schemeClr val="tx1"/>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284167950418099"/>
          <c:y val="6.7330650045915472E-2"/>
          <c:w val="0.82889099189322457"/>
          <c:h val="0.62542593931341706"/>
        </c:manualLayout>
      </c:layout>
      <c:lineChart>
        <c:grouping val="standard"/>
        <c:varyColors val="0"/>
        <c:ser>
          <c:idx val="0"/>
          <c:order val="0"/>
          <c:spPr>
            <a:ln w="28575" cap="rnd">
              <a:solidFill>
                <a:srgbClr val="FF0000"/>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0-C8BB-4E62-AF15-741A82CF24BF}"/>
                </c:ext>
              </c:extLst>
            </c:dLbl>
            <c:dLbl>
              <c:idx val="1"/>
              <c:delete val="1"/>
              <c:extLst>
                <c:ext xmlns:c15="http://schemas.microsoft.com/office/drawing/2012/chart" uri="{CE6537A1-D6FC-4f65-9D91-7224C49458BB}"/>
                <c:ext xmlns:c16="http://schemas.microsoft.com/office/drawing/2014/chart" uri="{C3380CC4-5D6E-409C-BE32-E72D297353CC}">
                  <c16:uniqueId val="{00000001-C8BB-4E62-AF15-741A82CF24BF}"/>
                </c:ext>
              </c:extLst>
            </c:dLbl>
            <c:dLbl>
              <c:idx val="2"/>
              <c:delete val="1"/>
              <c:extLst>
                <c:ext xmlns:c15="http://schemas.microsoft.com/office/drawing/2012/chart" uri="{CE6537A1-D6FC-4f65-9D91-7224C49458BB}"/>
                <c:ext xmlns:c16="http://schemas.microsoft.com/office/drawing/2014/chart" uri="{C3380CC4-5D6E-409C-BE32-E72D297353CC}">
                  <c16:uniqueId val="{00000002-C8BB-4E62-AF15-741A82CF24BF}"/>
                </c:ext>
              </c:extLst>
            </c:dLbl>
            <c:dLbl>
              <c:idx val="3"/>
              <c:delete val="1"/>
              <c:extLst>
                <c:ext xmlns:c15="http://schemas.microsoft.com/office/drawing/2012/chart" uri="{CE6537A1-D6FC-4f65-9D91-7224C49458BB}"/>
                <c:ext xmlns:c16="http://schemas.microsoft.com/office/drawing/2014/chart" uri="{C3380CC4-5D6E-409C-BE32-E72D297353CC}">
                  <c16:uniqueId val="{00000003-C8BB-4E62-AF15-741A82CF24BF}"/>
                </c:ext>
              </c:extLst>
            </c:dLbl>
            <c:dLbl>
              <c:idx val="4"/>
              <c:layout>
                <c:manualLayout>
                  <c:x val="2.4469338943553513E-2"/>
                  <c:y val="3.4775795184642348E-2"/>
                </c:manualLayout>
              </c:layout>
              <c:tx>
                <c:rich>
                  <a:bodyPr/>
                  <a:lstStyle/>
                  <a:p>
                    <a:r>
                      <a:rPr lang="en-US" dirty="0">
                        <a:latin typeface="Arial" panose="020B0604020202020204" pitchFamily="34" charset="0"/>
                        <a:cs typeface="Arial" panose="020B0604020202020204" pitchFamily="34" charset="0"/>
                      </a:rPr>
                      <a:t>30.74</a:t>
                    </a:r>
                    <a:r>
                      <a:rPr lang="en-US" baseline="0" dirty="0">
                        <a:latin typeface="Arial" panose="020B0604020202020204" pitchFamily="34" charset="0"/>
                        <a:cs typeface="Arial" panose="020B0604020202020204" pitchFamily="34" charset="0"/>
                      </a:rPr>
                      <a:t> (1984</a:t>
                    </a:r>
                    <a:r>
                      <a:rPr lang="en-US" baseline="0" dirty="0"/>
                      <a:t>)</a:t>
                    </a:r>
                    <a:endParaRPr lang="en-US" dirty="0"/>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8BB-4E62-AF15-741A82CF24BF}"/>
                </c:ext>
              </c:extLst>
            </c:dLbl>
            <c:dLbl>
              <c:idx val="5"/>
              <c:delete val="1"/>
              <c:extLst>
                <c:ext xmlns:c15="http://schemas.microsoft.com/office/drawing/2012/chart" uri="{CE6537A1-D6FC-4f65-9D91-7224C49458BB}"/>
                <c:ext xmlns:c16="http://schemas.microsoft.com/office/drawing/2014/chart" uri="{C3380CC4-5D6E-409C-BE32-E72D297353CC}">
                  <c16:uniqueId val="{00000005-C8BB-4E62-AF15-741A82CF24BF}"/>
                </c:ext>
              </c:extLst>
            </c:dLbl>
            <c:dLbl>
              <c:idx val="6"/>
              <c:delete val="1"/>
              <c:extLst>
                <c:ext xmlns:c15="http://schemas.microsoft.com/office/drawing/2012/chart" uri="{CE6537A1-D6FC-4f65-9D91-7224C49458BB}"/>
                <c:ext xmlns:c16="http://schemas.microsoft.com/office/drawing/2014/chart" uri="{C3380CC4-5D6E-409C-BE32-E72D297353CC}">
                  <c16:uniqueId val="{00000006-C8BB-4E62-AF15-741A82CF24BF}"/>
                </c:ext>
              </c:extLst>
            </c:dLbl>
            <c:dLbl>
              <c:idx val="7"/>
              <c:delete val="1"/>
              <c:extLst>
                <c:ext xmlns:c15="http://schemas.microsoft.com/office/drawing/2012/chart" uri="{CE6537A1-D6FC-4f65-9D91-7224C49458BB}"/>
                <c:ext xmlns:c16="http://schemas.microsoft.com/office/drawing/2014/chart" uri="{C3380CC4-5D6E-409C-BE32-E72D297353CC}">
                  <c16:uniqueId val="{00000007-C8BB-4E62-AF15-741A82CF24BF}"/>
                </c:ext>
              </c:extLst>
            </c:dLbl>
            <c:dLbl>
              <c:idx val="8"/>
              <c:delete val="1"/>
              <c:extLst>
                <c:ext xmlns:c15="http://schemas.microsoft.com/office/drawing/2012/chart" uri="{CE6537A1-D6FC-4f65-9D91-7224C49458BB}"/>
                <c:ext xmlns:c16="http://schemas.microsoft.com/office/drawing/2014/chart" uri="{C3380CC4-5D6E-409C-BE32-E72D297353CC}">
                  <c16:uniqueId val="{00000008-C8BB-4E62-AF15-741A82CF24BF}"/>
                </c:ext>
              </c:extLst>
            </c:dLbl>
            <c:dLbl>
              <c:idx val="9"/>
              <c:delete val="1"/>
              <c:extLst>
                <c:ext xmlns:c15="http://schemas.microsoft.com/office/drawing/2012/chart" uri="{CE6537A1-D6FC-4f65-9D91-7224C49458BB}"/>
                <c:ext xmlns:c16="http://schemas.microsoft.com/office/drawing/2014/chart" uri="{C3380CC4-5D6E-409C-BE32-E72D297353CC}">
                  <c16:uniqueId val="{00000009-C8BB-4E62-AF15-741A82CF24BF}"/>
                </c:ext>
              </c:extLst>
            </c:dLbl>
            <c:dLbl>
              <c:idx val="10"/>
              <c:delete val="1"/>
              <c:extLst>
                <c:ext xmlns:c15="http://schemas.microsoft.com/office/drawing/2012/chart" uri="{CE6537A1-D6FC-4f65-9D91-7224C49458BB}"/>
                <c:ext xmlns:c16="http://schemas.microsoft.com/office/drawing/2014/chart" uri="{C3380CC4-5D6E-409C-BE32-E72D297353CC}">
                  <c16:uniqueId val="{0000000A-C8BB-4E62-AF15-741A82CF24BF}"/>
                </c:ext>
              </c:extLst>
            </c:dLbl>
            <c:dLbl>
              <c:idx val="11"/>
              <c:delete val="1"/>
              <c:extLst>
                <c:ext xmlns:c15="http://schemas.microsoft.com/office/drawing/2012/chart" uri="{CE6537A1-D6FC-4f65-9D91-7224C49458BB}"/>
                <c:ext xmlns:c16="http://schemas.microsoft.com/office/drawing/2014/chart" uri="{C3380CC4-5D6E-409C-BE32-E72D297353CC}">
                  <c16:uniqueId val="{0000000B-C8BB-4E62-AF15-741A82CF24BF}"/>
                </c:ext>
              </c:extLst>
            </c:dLbl>
            <c:dLbl>
              <c:idx val="12"/>
              <c:delete val="1"/>
              <c:extLst>
                <c:ext xmlns:c15="http://schemas.microsoft.com/office/drawing/2012/chart" uri="{CE6537A1-D6FC-4f65-9D91-7224C49458BB}"/>
                <c:ext xmlns:c16="http://schemas.microsoft.com/office/drawing/2014/chart" uri="{C3380CC4-5D6E-409C-BE32-E72D297353CC}">
                  <c16:uniqueId val="{0000000C-C8BB-4E62-AF15-741A82CF24BF}"/>
                </c:ext>
              </c:extLst>
            </c:dLbl>
            <c:dLbl>
              <c:idx val="13"/>
              <c:delete val="1"/>
              <c:extLst>
                <c:ext xmlns:c15="http://schemas.microsoft.com/office/drawing/2012/chart" uri="{CE6537A1-D6FC-4f65-9D91-7224C49458BB}"/>
                <c:ext xmlns:c16="http://schemas.microsoft.com/office/drawing/2014/chart" uri="{C3380CC4-5D6E-409C-BE32-E72D297353CC}">
                  <c16:uniqueId val="{0000000D-C8BB-4E62-AF15-741A82CF24BF}"/>
                </c:ext>
              </c:extLst>
            </c:dLbl>
            <c:dLbl>
              <c:idx val="14"/>
              <c:delete val="1"/>
              <c:extLst>
                <c:ext xmlns:c15="http://schemas.microsoft.com/office/drawing/2012/chart" uri="{CE6537A1-D6FC-4f65-9D91-7224C49458BB}"/>
                <c:ext xmlns:c16="http://schemas.microsoft.com/office/drawing/2014/chart" uri="{C3380CC4-5D6E-409C-BE32-E72D297353CC}">
                  <c16:uniqueId val="{0000000E-C8BB-4E62-AF15-741A82CF24BF}"/>
                </c:ext>
              </c:extLst>
            </c:dLbl>
            <c:dLbl>
              <c:idx val="15"/>
              <c:delete val="1"/>
              <c:extLst>
                <c:ext xmlns:c15="http://schemas.microsoft.com/office/drawing/2012/chart" uri="{CE6537A1-D6FC-4f65-9D91-7224C49458BB}"/>
                <c:ext xmlns:c16="http://schemas.microsoft.com/office/drawing/2014/chart" uri="{C3380CC4-5D6E-409C-BE32-E72D297353CC}">
                  <c16:uniqueId val="{0000000F-C8BB-4E62-AF15-741A82CF24BF}"/>
                </c:ext>
              </c:extLst>
            </c:dLbl>
            <c:dLbl>
              <c:idx val="16"/>
              <c:delete val="1"/>
              <c:extLst>
                <c:ext xmlns:c15="http://schemas.microsoft.com/office/drawing/2012/chart" uri="{CE6537A1-D6FC-4f65-9D91-7224C49458BB}"/>
                <c:ext xmlns:c16="http://schemas.microsoft.com/office/drawing/2014/chart" uri="{C3380CC4-5D6E-409C-BE32-E72D297353CC}">
                  <c16:uniqueId val="{00000010-C8BB-4E62-AF15-741A82CF24BF}"/>
                </c:ext>
              </c:extLst>
            </c:dLbl>
            <c:dLbl>
              <c:idx val="17"/>
              <c:delete val="1"/>
              <c:extLst>
                <c:ext xmlns:c15="http://schemas.microsoft.com/office/drawing/2012/chart" uri="{CE6537A1-D6FC-4f65-9D91-7224C49458BB}"/>
                <c:ext xmlns:c16="http://schemas.microsoft.com/office/drawing/2014/chart" uri="{C3380CC4-5D6E-409C-BE32-E72D297353CC}">
                  <c16:uniqueId val="{00000011-C8BB-4E62-AF15-741A82CF24BF}"/>
                </c:ext>
              </c:extLst>
            </c:dLbl>
            <c:dLbl>
              <c:idx val="18"/>
              <c:delete val="1"/>
              <c:extLst>
                <c:ext xmlns:c15="http://schemas.microsoft.com/office/drawing/2012/chart" uri="{CE6537A1-D6FC-4f65-9D91-7224C49458BB}"/>
                <c:ext xmlns:c16="http://schemas.microsoft.com/office/drawing/2014/chart" uri="{C3380CC4-5D6E-409C-BE32-E72D297353CC}">
                  <c16:uniqueId val="{00000012-C8BB-4E62-AF15-741A82CF24BF}"/>
                </c:ext>
              </c:extLst>
            </c:dLbl>
            <c:dLbl>
              <c:idx val="19"/>
              <c:delete val="1"/>
              <c:extLst>
                <c:ext xmlns:c15="http://schemas.microsoft.com/office/drawing/2012/chart" uri="{CE6537A1-D6FC-4f65-9D91-7224C49458BB}"/>
                <c:ext xmlns:c16="http://schemas.microsoft.com/office/drawing/2014/chart" uri="{C3380CC4-5D6E-409C-BE32-E72D297353CC}">
                  <c16:uniqueId val="{00000013-C8BB-4E62-AF15-741A82CF24BF}"/>
                </c:ext>
              </c:extLst>
            </c:dLbl>
            <c:dLbl>
              <c:idx val="20"/>
              <c:delete val="1"/>
              <c:extLst>
                <c:ext xmlns:c15="http://schemas.microsoft.com/office/drawing/2012/chart" uri="{CE6537A1-D6FC-4f65-9D91-7224C49458BB}"/>
                <c:ext xmlns:c16="http://schemas.microsoft.com/office/drawing/2014/chart" uri="{C3380CC4-5D6E-409C-BE32-E72D297353CC}">
                  <c16:uniqueId val="{00000014-C8BB-4E62-AF15-741A82CF24BF}"/>
                </c:ext>
              </c:extLst>
            </c:dLbl>
            <c:dLbl>
              <c:idx val="21"/>
              <c:delete val="1"/>
              <c:extLst>
                <c:ext xmlns:c15="http://schemas.microsoft.com/office/drawing/2012/chart" uri="{CE6537A1-D6FC-4f65-9D91-7224C49458BB}"/>
                <c:ext xmlns:c16="http://schemas.microsoft.com/office/drawing/2014/chart" uri="{C3380CC4-5D6E-409C-BE32-E72D297353CC}">
                  <c16:uniqueId val="{00000015-C8BB-4E62-AF15-741A82CF24BF}"/>
                </c:ext>
              </c:extLst>
            </c:dLbl>
            <c:dLbl>
              <c:idx val="22"/>
              <c:layout>
                <c:manualLayout>
                  <c:x val="5.4326931420620263E-2"/>
                  <c:y val="-5.9887932613074527E-2"/>
                </c:manualLayout>
              </c:layout>
              <c:tx>
                <c:rich>
                  <a:bodyPr/>
                  <a:lstStyle/>
                  <a:p>
                    <a:r>
                      <a:rPr lang="en-US" dirty="0">
                        <a:latin typeface="Times New Roman" panose="02020603050405020304" pitchFamily="18" charset="0"/>
                        <a:cs typeface="Times New Roman" panose="02020603050405020304" pitchFamily="18" charset="0"/>
                      </a:rPr>
                      <a:t>32.44</a:t>
                    </a:r>
                    <a:r>
                      <a:rPr lang="en-US" baseline="0" dirty="0">
                        <a:latin typeface="Times New Roman" panose="02020603050405020304" pitchFamily="18" charset="0"/>
                        <a:cs typeface="Times New Roman" panose="02020603050405020304" pitchFamily="18" charset="0"/>
                      </a:rPr>
                      <a:t> (2002)</a:t>
                    </a:r>
                    <a:endParaRPr lang="en-US" dirty="0">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C8BB-4E62-AF15-741A82CF24BF}"/>
                </c:ext>
              </c:extLst>
            </c:dLbl>
            <c:dLbl>
              <c:idx val="23"/>
              <c:delete val="1"/>
              <c:extLst>
                <c:ext xmlns:c15="http://schemas.microsoft.com/office/drawing/2012/chart" uri="{CE6537A1-D6FC-4f65-9D91-7224C49458BB}"/>
                <c:ext xmlns:c16="http://schemas.microsoft.com/office/drawing/2014/chart" uri="{C3380CC4-5D6E-409C-BE32-E72D297353CC}">
                  <c16:uniqueId val="{00000017-C8BB-4E62-AF15-741A82CF24BF}"/>
                </c:ext>
              </c:extLst>
            </c:dLbl>
            <c:dLbl>
              <c:idx val="24"/>
              <c:delete val="1"/>
              <c:extLst>
                <c:ext xmlns:c15="http://schemas.microsoft.com/office/drawing/2012/chart" uri="{CE6537A1-D6FC-4f65-9D91-7224C49458BB}"/>
                <c:ext xmlns:c16="http://schemas.microsoft.com/office/drawing/2014/chart" uri="{C3380CC4-5D6E-409C-BE32-E72D297353CC}">
                  <c16:uniqueId val="{00000018-C8BB-4E62-AF15-741A82CF24BF}"/>
                </c:ext>
              </c:extLst>
            </c:dLbl>
            <c:dLbl>
              <c:idx val="25"/>
              <c:delete val="1"/>
              <c:extLst>
                <c:ext xmlns:c15="http://schemas.microsoft.com/office/drawing/2012/chart" uri="{CE6537A1-D6FC-4f65-9D91-7224C49458BB}"/>
                <c:ext xmlns:c16="http://schemas.microsoft.com/office/drawing/2014/chart" uri="{C3380CC4-5D6E-409C-BE32-E72D297353CC}">
                  <c16:uniqueId val="{00000019-C8BB-4E62-AF15-741A82CF24BF}"/>
                </c:ext>
              </c:extLst>
            </c:dLbl>
            <c:dLbl>
              <c:idx val="26"/>
              <c:delete val="1"/>
              <c:extLst>
                <c:ext xmlns:c15="http://schemas.microsoft.com/office/drawing/2012/chart" uri="{CE6537A1-D6FC-4f65-9D91-7224C49458BB}"/>
                <c:ext xmlns:c16="http://schemas.microsoft.com/office/drawing/2014/chart" uri="{C3380CC4-5D6E-409C-BE32-E72D297353CC}">
                  <c16:uniqueId val="{0000001A-C8BB-4E62-AF15-741A82CF24BF}"/>
                </c:ext>
              </c:extLst>
            </c:dLbl>
            <c:dLbl>
              <c:idx val="27"/>
              <c:delete val="1"/>
              <c:extLst>
                <c:ext xmlns:c15="http://schemas.microsoft.com/office/drawing/2012/chart" uri="{CE6537A1-D6FC-4f65-9D91-7224C49458BB}"/>
                <c:ext xmlns:c16="http://schemas.microsoft.com/office/drawing/2014/chart" uri="{C3380CC4-5D6E-409C-BE32-E72D297353CC}">
                  <c16:uniqueId val="{0000001B-C8BB-4E62-AF15-741A82CF24BF}"/>
                </c:ext>
              </c:extLst>
            </c:dLbl>
            <c:dLbl>
              <c:idx val="28"/>
              <c:delete val="1"/>
              <c:extLst>
                <c:ext xmlns:c15="http://schemas.microsoft.com/office/drawing/2012/chart" uri="{CE6537A1-D6FC-4f65-9D91-7224C49458BB}"/>
                <c:ext xmlns:c16="http://schemas.microsoft.com/office/drawing/2014/chart" uri="{C3380CC4-5D6E-409C-BE32-E72D297353CC}">
                  <c16:uniqueId val="{0000001C-C8BB-4E62-AF15-741A82CF24BF}"/>
                </c:ext>
              </c:extLst>
            </c:dLbl>
            <c:dLbl>
              <c:idx val="29"/>
              <c:delete val="1"/>
              <c:extLst>
                <c:ext xmlns:c15="http://schemas.microsoft.com/office/drawing/2012/chart" uri="{CE6537A1-D6FC-4f65-9D91-7224C49458BB}"/>
                <c:ext xmlns:c16="http://schemas.microsoft.com/office/drawing/2014/chart" uri="{C3380CC4-5D6E-409C-BE32-E72D297353CC}">
                  <c16:uniqueId val="{0000001D-C8BB-4E62-AF15-741A82CF24BF}"/>
                </c:ext>
              </c:extLst>
            </c:dLbl>
            <c:dLbl>
              <c:idx val="30"/>
              <c:delete val="1"/>
              <c:extLst>
                <c:ext xmlns:c15="http://schemas.microsoft.com/office/drawing/2012/chart" uri="{CE6537A1-D6FC-4f65-9D91-7224C49458BB}"/>
                <c:ext xmlns:c16="http://schemas.microsoft.com/office/drawing/2014/chart" uri="{C3380CC4-5D6E-409C-BE32-E72D297353CC}">
                  <c16:uniqueId val="{0000001E-C8BB-4E62-AF15-741A82CF24BF}"/>
                </c:ext>
              </c:extLst>
            </c:dLbl>
            <c:dLbl>
              <c:idx val="31"/>
              <c:delete val="1"/>
              <c:extLst>
                <c:ext xmlns:c15="http://schemas.microsoft.com/office/drawing/2012/chart" uri="{CE6537A1-D6FC-4f65-9D91-7224C49458BB}"/>
                <c:ext xmlns:c16="http://schemas.microsoft.com/office/drawing/2014/chart" uri="{C3380CC4-5D6E-409C-BE32-E72D297353CC}">
                  <c16:uniqueId val="{0000001F-C8BB-4E62-AF15-741A82CF24BF}"/>
                </c:ext>
              </c:extLst>
            </c:dLbl>
            <c:dLbl>
              <c:idx val="32"/>
              <c:delete val="1"/>
              <c:extLst>
                <c:ext xmlns:c15="http://schemas.microsoft.com/office/drawing/2012/chart" uri="{CE6537A1-D6FC-4f65-9D91-7224C49458BB}"/>
                <c:ext xmlns:c16="http://schemas.microsoft.com/office/drawing/2014/chart" uri="{C3380CC4-5D6E-409C-BE32-E72D297353CC}">
                  <c16:uniqueId val="{00000020-C8BB-4E62-AF15-741A82CF24BF}"/>
                </c:ext>
              </c:extLst>
            </c:dLbl>
            <c:dLbl>
              <c:idx val="33"/>
              <c:delete val="1"/>
              <c:extLst>
                <c:ext xmlns:c15="http://schemas.microsoft.com/office/drawing/2012/chart" uri="{CE6537A1-D6FC-4f65-9D91-7224C49458BB}"/>
                <c:ext xmlns:c16="http://schemas.microsoft.com/office/drawing/2014/chart" uri="{C3380CC4-5D6E-409C-BE32-E72D297353CC}">
                  <c16:uniqueId val="{00000021-C8BB-4E62-AF15-741A82CF24BF}"/>
                </c:ext>
              </c:extLst>
            </c:dLbl>
            <c:dLbl>
              <c:idx val="34"/>
              <c:delete val="1"/>
              <c:extLst>
                <c:ext xmlns:c15="http://schemas.microsoft.com/office/drawing/2012/chart" uri="{CE6537A1-D6FC-4f65-9D91-7224C49458BB}"/>
                <c:ext xmlns:c16="http://schemas.microsoft.com/office/drawing/2014/chart" uri="{C3380CC4-5D6E-409C-BE32-E72D297353CC}">
                  <c16:uniqueId val="{00000022-C8BB-4E62-AF15-741A82CF24BF}"/>
                </c:ext>
              </c:extLst>
            </c:dLbl>
            <c:dLbl>
              <c:idx val="35"/>
              <c:delete val="1"/>
              <c:extLst>
                <c:ext xmlns:c15="http://schemas.microsoft.com/office/drawing/2012/chart" uri="{CE6537A1-D6FC-4f65-9D91-7224C49458BB}"/>
                <c:ext xmlns:c16="http://schemas.microsoft.com/office/drawing/2014/chart" uri="{C3380CC4-5D6E-409C-BE32-E72D297353CC}">
                  <c16:uniqueId val="{00000023-C8BB-4E62-AF15-741A82CF24BF}"/>
                </c:ext>
              </c:extLst>
            </c:dLbl>
            <c:dLbl>
              <c:idx val="36"/>
              <c:delete val="1"/>
              <c:extLst>
                <c:ext xmlns:c15="http://schemas.microsoft.com/office/drawing/2012/chart" uri="{CE6537A1-D6FC-4f65-9D91-7224C49458BB}"/>
                <c:ext xmlns:c16="http://schemas.microsoft.com/office/drawing/2014/chart" uri="{C3380CC4-5D6E-409C-BE32-E72D297353CC}">
                  <c16:uniqueId val="{00000024-C8BB-4E62-AF15-741A82CF24BF}"/>
                </c:ext>
              </c:extLst>
            </c:dLbl>
            <c:dLbl>
              <c:idx val="37"/>
              <c:delete val="1"/>
              <c:extLst>
                <c:ext xmlns:c15="http://schemas.microsoft.com/office/drawing/2012/chart" uri="{CE6537A1-D6FC-4f65-9D91-7224C49458BB}"/>
                <c:ext xmlns:c16="http://schemas.microsoft.com/office/drawing/2014/chart" uri="{C3380CC4-5D6E-409C-BE32-E72D297353CC}">
                  <c16:uniqueId val="{00000025-C8BB-4E62-AF15-741A82CF24BF}"/>
                </c:ext>
              </c:extLst>
            </c:dLbl>
            <c:dLbl>
              <c:idx val="38"/>
              <c:delete val="1"/>
              <c:extLst>
                <c:ext xmlns:c15="http://schemas.microsoft.com/office/drawing/2012/chart" uri="{CE6537A1-D6FC-4f65-9D91-7224C49458BB}"/>
                <c:ext xmlns:c16="http://schemas.microsoft.com/office/drawing/2014/chart" uri="{C3380CC4-5D6E-409C-BE32-E72D297353CC}">
                  <c16:uniqueId val="{00000026-C8BB-4E62-AF15-741A82CF24BF}"/>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tx1"/>
                </a:solidFill>
                <a:prstDash val="sysDot"/>
              </a:ln>
              <a:effectLst/>
            </c:spPr>
            <c:trendlineType val="linear"/>
            <c:dispRSqr val="0"/>
            <c:dispEq val="0"/>
          </c:trendline>
          <c:cat>
            <c:numRef>
              <c:f>Sheet4!$A$16:$A$54</c:f>
              <c:numCache>
                <c:formatCode>General</c:formatCode>
                <c:ptCount val="39"/>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numCache>
            </c:numRef>
          </c:cat>
          <c:val>
            <c:numRef>
              <c:f>Sheet4!$C$16:$C$54</c:f>
              <c:numCache>
                <c:formatCode>General</c:formatCode>
                <c:ptCount val="39"/>
                <c:pt idx="0">
                  <c:v>31.225136612021799</c:v>
                </c:pt>
                <c:pt idx="1">
                  <c:v>31.365479452054799</c:v>
                </c:pt>
                <c:pt idx="2">
                  <c:v>31.2397260273972</c:v>
                </c:pt>
                <c:pt idx="3">
                  <c:v>31.756712328767101</c:v>
                </c:pt>
                <c:pt idx="4">
                  <c:v>30.7480874316939</c:v>
                </c:pt>
                <c:pt idx="5">
                  <c:v>31.184931506849299</c:v>
                </c:pt>
                <c:pt idx="6">
                  <c:v>31.271506849315099</c:v>
                </c:pt>
                <c:pt idx="7">
                  <c:v>31.481917808219201</c:v>
                </c:pt>
                <c:pt idx="8">
                  <c:v>31.3092896174863</c:v>
                </c:pt>
                <c:pt idx="9">
                  <c:v>31.161095890411001</c:v>
                </c:pt>
                <c:pt idx="10">
                  <c:v>31.4621917808219</c:v>
                </c:pt>
                <c:pt idx="11">
                  <c:v>31.341643835616502</c:v>
                </c:pt>
                <c:pt idx="12">
                  <c:v>31.281420765027399</c:v>
                </c:pt>
                <c:pt idx="13">
                  <c:v>31.136986301369902</c:v>
                </c:pt>
                <c:pt idx="14">
                  <c:v>31.234794520548</c:v>
                </c:pt>
                <c:pt idx="15">
                  <c:v>31.437260273972701</c:v>
                </c:pt>
                <c:pt idx="16">
                  <c:v>31.2199453551913</c:v>
                </c:pt>
                <c:pt idx="17">
                  <c:v>31.806849315068501</c:v>
                </c:pt>
                <c:pt idx="18">
                  <c:v>32.007397260273997</c:v>
                </c:pt>
                <c:pt idx="19">
                  <c:v>31.1153424657534</c:v>
                </c:pt>
                <c:pt idx="20">
                  <c:v>31.446994535519099</c:v>
                </c:pt>
                <c:pt idx="21">
                  <c:v>31.621917808219202</c:v>
                </c:pt>
                <c:pt idx="22">
                  <c:v>32.438904109588997</c:v>
                </c:pt>
                <c:pt idx="23">
                  <c:v>31.932328767123298</c:v>
                </c:pt>
                <c:pt idx="24">
                  <c:v>32.031147540983604</c:v>
                </c:pt>
                <c:pt idx="25">
                  <c:v>31.783287671232902</c:v>
                </c:pt>
                <c:pt idx="26">
                  <c:v>31.681643835616502</c:v>
                </c:pt>
                <c:pt idx="27">
                  <c:v>31.413698630136999</c:v>
                </c:pt>
                <c:pt idx="28">
                  <c:v>31.282240437158499</c:v>
                </c:pt>
                <c:pt idx="29">
                  <c:v>31.565753424657501</c:v>
                </c:pt>
                <c:pt idx="30">
                  <c:v>32.041643835616398</c:v>
                </c:pt>
                <c:pt idx="31">
                  <c:v>31.3723287671233</c:v>
                </c:pt>
                <c:pt idx="32">
                  <c:v>31.522131147541</c:v>
                </c:pt>
                <c:pt idx="33">
                  <c:v>31.908493150684901</c:v>
                </c:pt>
                <c:pt idx="34">
                  <c:v>32.0397260273973</c:v>
                </c:pt>
                <c:pt idx="35">
                  <c:v>31.5734246575343</c:v>
                </c:pt>
                <c:pt idx="36">
                  <c:v>32.024043715847</c:v>
                </c:pt>
                <c:pt idx="37">
                  <c:v>31.946027397260298</c:v>
                </c:pt>
                <c:pt idx="38">
                  <c:v>32.236712328767098</c:v>
                </c:pt>
              </c:numCache>
            </c:numRef>
          </c:val>
          <c:smooth val="0"/>
          <c:extLst>
            <c:ext xmlns:c16="http://schemas.microsoft.com/office/drawing/2014/chart" uri="{C3380CC4-5D6E-409C-BE32-E72D297353CC}">
              <c16:uniqueId val="{00000028-C8BB-4E62-AF15-741A82CF24BF}"/>
            </c:ext>
          </c:extLst>
        </c:ser>
        <c:dLbls>
          <c:showLegendKey val="0"/>
          <c:showVal val="0"/>
          <c:showCatName val="0"/>
          <c:showSerName val="0"/>
          <c:showPercent val="0"/>
          <c:showBubbleSize val="0"/>
        </c:dLbls>
        <c:smooth val="0"/>
        <c:axId val="536028320"/>
        <c:axId val="536014176"/>
      </c:lineChart>
      <c:catAx>
        <c:axId val="53602832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Tahun</a:t>
                </a:r>
              </a:p>
            </c:rich>
          </c:tx>
          <c:layout>
            <c:manualLayout>
              <c:xMode val="edge"/>
              <c:yMode val="edge"/>
              <c:x val="0.46453466945569949"/>
              <c:y val="0.8872403821730718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36014176"/>
        <c:crosses val="autoZero"/>
        <c:auto val="1"/>
        <c:lblAlgn val="ctr"/>
        <c:lblOffset val="100"/>
        <c:noMultiLvlLbl val="0"/>
      </c:catAx>
      <c:valAx>
        <c:axId val="536014176"/>
        <c:scaling>
          <c:orientation val="minMax"/>
          <c:min val="3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Suhu (℃)</a:t>
                </a:r>
              </a:p>
            </c:rich>
          </c:tx>
          <c:layout>
            <c:manualLayout>
              <c:xMode val="edge"/>
              <c:yMode val="edge"/>
              <c:x val="1.9104565854182902E-2"/>
              <c:y val="0.3400175599995802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36028320"/>
        <c:crosses val="autoZero"/>
        <c:crossBetween val="between"/>
      </c:valAx>
      <c:spPr>
        <a:noFill/>
        <a:ln>
          <a:solidFill>
            <a:schemeClr val="tx1"/>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989518559890104"/>
          <c:y val="6.291106662853875E-2"/>
          <c:w val="0.836089796854249"/>
          <c:h val="0.66759584705900898"/>
        </c:manualLayout>
      </c:layout>
      <c:lineChart>
        <c:grouping val="standard"/>
        <c:varyColors val="0"/>
        <c:ser>
          <c:idx val="0"/>
          <c:order val="0"/>
          <c:spPr>
            <a:ln w="28575" cap="rnd">
              <a:solidFill>
                <a:srgbClr val="FF0000"/>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0-70EC-4033-9644-3611DCA0544A}"/>
                </c:ext>
              </c:extLst>
            </c:dLbl>
            <c:dLbl>
              <c:idx val="1"/>
              <c:delete val="1"/>
              <c:extLst>
                <c:ext xmlns:c15="http://schemas.microsoft.com/office/drawing/2012/chart" uri="{CE6537A1-D6FC-4f65-9D91-7224C49458BB}"/>
                <c:ext xmlns:c16="http://schemas.microsoft.com/office/drawing/2014/chart" uri="{C3380CC4-5D6E-409C-BE32-E72D297353CC}">
                  <c16:uniqueId val="{00000001-70EC-4033-9644-3611DCA0544A}"/>
                </c:ext>
              </c:extLst>
            </c:dLbl>
            <c:dLbl>
              <c:idx val="2"/>
              <c:delete val="1"/>
              <c:extLst>
                <c:ext xmlns:c15="http://schemas.microsoft.com/office/drawing/2012/chart" uri="{CE6537A1-D6FC-4f65-9D91-7224C49458BB}"/>
                <c:ext xmlns:c16="http://schemas.microsoft.com/office/drawing/2014/chart" uri="{C3380CC4-5D6E-409C-BE32-E72D297353CC}">
                  <c16:uniqueId val="{00000002-70EC-4033-9644-3611DCA0544A}"/>
                </c:ext>
              </c:extLst>
            </c:dLbl>
            <c:dLbl>
              <c:idx val="3"/>
              <c:delete val="1"/>
              <c:extLst>
                <c:ext xmlns:c15="http://schemas.microsoft.com/office/drawing/2012/chart" uri="{CE6537A1-D6FC-4f65-9D91-7224C49458BB}"/>
                <c:ext xmlns:c16="http://schemas.microsoft.com/office/drawing/2014/chart" uri="{C3380CC4-5D6E-409C-BE32-E72D297353CC}">
                  <c16:uniqueId val="{00000003-70EC-4033-9644-3611DCA0544A}"/>
                </c:ext>
              </c:extLst>
            </c:dLbl>
            <c:dLbl>
              <c:idx val="4"/>
              <c:layout>
                <c:manualLayout>
                  <c:x val="0.12895016548136504"/>
                  <c:y val="-1.3237633236257356E-2"/>
                </c:manualLayout>
              </c:layout>
              <c:tx>
                <c:rich>
                  <a:bodyPr/>
                  <a:lstStyle/>
                  <a:p>
                    <a:r>
                      <a:rPr lang="en-US" dirty="0">
                        <a:latin typeface="Arial" panose="020B0604020202020204" pitchFamily="34" charset="0"/>
                        <a:cs typeface="Arial" panose="020B0604020202020204" pitchFamily="34" charset="0"/>
                      </a:rPr>
                      <a:t>26.73</a:t>
                    </a:r>
                    <a:r>
                      <a:rPr lang="en-US" baseline="0" dirty="0">
                        <a:latin typeface="Arial" panose="020B0604020202020204" pitchFamily="34" charset="0"/>
                        <a:cs typeface="Arial" panose="020B0604020202020204" pitchFamily="34" charset="0"/>
                      </a:rPr>
                      <a:t> (1984)</a:t>
                    </a:r>
                    <a:endParaRPr lang="en-US" dirty="0">
                      <a:latin typeface="Arial" panose="020B0604020202020204" pitchFamily="34" charset="0"/>
                      <a:cs typeface="Arial" panose="020B0604020202020204" pitchFamily="34" charset="0"/>
                    </a:endParaRP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0EC-4033-9644-3611DCA0544A}"/>
                </c:ext>
              </c:extLst>
            </c:dLbl>
            <c:dLbl>
              <c:idx val="5"/>
              <c:delete val="1"/>
              <c:extLst>
                <c:ext xmlns:c15="http://schemas.microsoft.com/office/drawing/2012/chart" uri="{CE6537A1-D6FC-4f65-9D91-7224C49458BB}"/>
                <c:ext xmlns:c16="http://schemas.microsoft.com/office/drawing/2014/chart" uri="{C3380CC4-5D6E-409C-BE32-E72D297353CC}">
                  <c16:uniqueId val="{00000005-70EC-4033-9644-3611DCA0544A}"/>
                </c:ext>
              </c:extLst>
            </c:dLbl>
            <c:dLbl>
              <c:idx val="6"/>
              <c:delete val="1"/>
              <c:extLst>
                <c:ext xmlns:c15="http://schemas.microsoft.com/office/drawing/2012/chart" uri="{CE6537A1-D6FC-4f65-9D91-7224C49458BB}"/>
                <c:ext xmlns:c16="http://schemas.microsoft.com/office/drawing/2014/chart" uri="{C3380CC4-5D6E-409C-BE32-E72D297353CC}">
                  <c16:uniqueId val="{00000006-70EC-4033-9644-3611DCA0544A}"/>
                </c:ext>
              </c:extLst>
            </c:dLbl>
            <c:dLbl>
              <c:idx val="7"/>
              <c:delete val="1"/>
              <c:extLst>
                <c:ext xmlns:c15="http://schemas.microsoft.com/office/drawing/2012/chart" uri="{CE6537A1-D6FC-4f65-9D91-7224C49458BB}"/>
                <c:ext xmlns:c16="http://schemas.microsoft.com/office/drawing/2014/chart" uri="{C3380CC4-5D6E-409C-BE32-E72D297353CC}">
                  <c16:uniqueId val="{00000007-70EC-4033-9644-3611DCA0544A}"/>
                </c:ext>
              </c:extLst>
            </c:dLbl>
            <c:dLbl>
              <c:idx val="8"/>
              <c:delete val="1"/>
              <c:extLst>
                <c:ext xmlns:c15="http://schemas.microsoft.com/office/drawing/2012/chart" uri="{CE6537A1-D6FC-4f65-9D91-7224C49458BB}"/>
                <c:ext xmlns:c16="http://schemas.microsoft.com/office/drawing/2014/chart" uri="{C3380CC4-5D6E-409C-BE32-E72D297353CC}">
                  <c16:uniqueId val="{00000008-70EC-4033-9644-3611DCA0544A}"/>
                </c:ext>
              </c:extLst>
            </c:dLbl>
            <c:dLbl>
              <c:idx val="9"/>
              <c:delete val="1"/>
              <c:extLst>
                <c:ext xmlns:c15="http://schemas.microsoft.com/office/drawing/2012/chart" uri="{CE6537A1-D6FC-4f65-9D91-7224C49458BB}"/>
                <c:ext xmlns:c16="http://schemas.microsoft.com/office/drawing/2014/chart" uri="{C3380CC4-5D6E-409C-BE32-E72D297353CC}">
                  <c16:uniqueId val="{00000009-70EC-4033-9644-3611DCA0544A}"/>
                </c:ext>
              </c:extLst>
            </c:dLbl>
            <c:dLbl>
              <c:idx val="10"/>
              <c:delete val="1"/>
              <c:extLst>
                <c:ext xmlns:c15="http://schemas.microsoft.com/office/drawing/2012/chart" uri="{CE6537A1-D6FC-4f65-9D91-7224C49458BB}"/>
                <c:ext xmlns:c16="http://schemas.microsoft.com/office/drawing/2014/chart" uri="{C3380CC4-5D6E-409C-BE32-E72D297353CC}">
                  <c16:uniqueId val="{0000000A-70EC-4033-9644-3611DCA0544A}"/>
                </c:ext>
              </c:extLst>
            </c:dLbl>
            <c:dLbl>
              <c:idx val="11"/>
              <c:delete val="1"/>
              <c:extLst>
                <c:ext xmlns:c15="http://schemas.microsoft.com/office/drawing/2012/chart" uri="{CE6537A1-D6FC-4f65-9D91-7224C49458BB}"/>
                <c:ext xmlns:c16="http://schemas.microsoft.com/office/drawing/2014/chart" uri="{C3380CC4-5D6E-409C-BE32-E72D297353CC}">
                  <c16:uniqueId val="{0000000B-70EC-4033-9644-3611DCA0544A}"/>
                </c:ext>
              </c:extLst>
            </c:dLbl>
            <c:dLbl>
              <c:idx val="12"/>
              <c:delete val="1"/>
              <c:extLst>
                <c:ext xmlns:c15="http://schemas.microsoft.com/office/drawing/2012/chart" uri="{CE6537A1-D6FC-4f65-9D91-7224C49458BB}"/>
                <c:ext xmlns:c16="http://schemas.microsoft.com/office/drawing/2014/chart" uri="{C3380CC4-5D6E-409C-BE32-E72D297353CC}">
                  <c16:uniqueId val="{0000000C-70EC-4033-9644-3611DCA0544A}"/>
                </c:ext>
              </c:extLst>
            </c:dLbl>
            <c:dLbl>
              <c:idx val="13"/>
              <c:delete val="1"/>
              <c:extLst>
                <c:ext xmlns:c15="http://schemas.microsoft.com/office/drawing/2012/chart" uri="{CE6537A1-D6FC-4f65-9D91-7224C49458BB}"/>
                <c:ext xmlns:c16="http://schemas.microsoft.com/office/drawing/2014/chart" uri="{C3380CC4-5D6E-409C-BE32-E72D297353CC}">
                  <c16:uniqueId val="{0000000D-70EC-4033-9644-3611DCA0544A}"/>
                </c:ext>
              </c:extLst>
            </c:dLbl>
            <c:dLbl>
              <c:idx val="14"/>
              <c:delete val="1"/>
              <c:extLst>
                <c:ext xmlns:c15="http://schemas.microsoft.com/office/drawing/2012/chart" uri="{CE6537A1-D6FC-4f65-9D91-7224C49458BB}"/>
                <c:ext xmlns:c16="http://schemas.microsoft.com/office/drawing/2014/chart" uri="{C3380CC4-5D6E-409C-BE32-E72D297353CC}">
                  <c16:uniqueId val="{0000000E-70EC-4033-9644-3611DCA0544A}"/>
                </c:ext>
              </c:extLst>
            </c:dLbl>
            <c:dLbl>
              <c:idx val="15"/>
              <c:delete val="1"/>
              <c:extLst>
                <c:ext xmlns:c15="http://schemas.microsoft.com/office/drawing/2012/chart" uri="{CE6537A1-D6FC-4f65-9D91-7224C49458BB}"/>
                <c:ext xmlns:c16="http://schemas.microsoft.com/office/drawing/2014/chart" uri="{C3380CC4-5D6E-409C-BE32-E72D297353CC}">
                  <c16:uniqueId val="{0000000F-70EC-4033-9644-3611DCA0544A}"/>
                </c:ext>
              </c:extLst>
            </c:dLbl>
            <c:dLbl>
              <c:idx val="16"/>
              <c:delete val="1"/>
              <c:extLst>
                <c:ext xmlns:c15="http://schemas.microsoft.com/office/drawing/2012/chart" uri="{CE6537A1-D6FC-4f65-9D91-7224C49458BB}"/>
                <c:ext xmlns:c16="http://schemas.microsoft.com/office/drawing/2014/chart" uri="{C3380CC4-5D6E-409C-BE32-E72D297353CC}">
                  <c16:uniqueId val="{00000010-70EC-4033-9644-3611DCA0544A}"/>
                </c:ext>
              </c:extLst>
            </c:dLbl>
            <c:dLbl>
              <c:idx val="17"/>
              <c:delete val="1"/>
              <c:extLst>
                <c:ext xmlns:c15="http://schemas.microsoft.com/office/drawing/2012/chart" uri="{CE6537A1-D6FC-4f65-9D91-7224C49458BB}"/>
                <c:ext xmlns:c16="http://schemas.microsoft.com/office/drawing/2014/chart" uri="{C3380CC4-5D6E-409C-BE32-E72D297353CC}">
                  <c16:uniqueId val="{00000011-70EC-4033-9644-3611DCA0544A}"/>
                </c:ext>
              </c:extLst>
            </c:dLbl>
            <c:dLbl>
              <c:idx val="18"/>
              <c:delete val="1"/>
              <c:extLst>
                <c:ext xmlns:c15="http://schemas.microsoft.com/office/drawing/2012/chart" uri="{CE6537A1-D6FC-4f65-9D91-7224C49458BB}"/>
                <c:ext xmlns:c16="http://schemas.microsoft.com/office/drawing/2014/chart" uri="{C3380CC4-5D6E-409C-BE32-E72D297353CC}">
                  <c16:uniqueId val="{00000012-70EC-4033-9644-3611DCA0544A}"/>
                </c:ext>
              </c:extLst>
            </c:dLbl>
            <c:dLbl>
              <c:idx val="19"/>
              <c:delete val="1"/>
              <c:extLst>
                <c:ext xmlns:c15="http://schemas.microsoft.com/office/drawing/2012/chart" uri="{CE6537A1-D6FC-4f65-9D91-7224C49458BB}"/>
                <c:ext xmlns:c16="http://schemas.microsoft.com/office/drawing/2014/chart" uri="{C3380CC4-5D6E-409C-BE32-E72D297353CC}">
                  <c16:uniqueId val="{00000013-70EC-4033-9644-3611DCA0544A}"/>
                </c:ext>
              </c:extLst>
            </c:dLbl>
            <c:dLbl>
              <c:idx val="20"/>
              <c:delete val="1"/>
              <c:extLst>
                <c:ext xmlns:c15="http://schemas.microsoft.com/office/drawing/2012/chart" uri="{CE6537A1-D6FC-4f65-9D91-7224C49458BB}"/>
                <c:ext xmlns:c16="http://schemas.microsoft.com/office/drawing/2014/chart" uri="{C3380CC4-5D6E-409C-BE32-E72D297353CC}">
                  <c16:uniqueId val="{00000014-70EC-4033-9644-3611DCA0544A}"/>
                </c:ext>
              </c:extLst>
            </c:dLbl>
            <c:dLbl>
              <c:idx val="21"/>
              <c:delete val="1"/>
              <c:extLst>
                <c:ext xmlns:c15="http://schemas.microsoft.com/office/drawing/2012/chart" uri="{CE6537A1-D6FC-4f65-9D91-7224C49458BB}"/>
                <c:ext xmlns:c16="http://schemas.microsoft.com/office/drawing/2014/chart" uri="{C3380CC4-5D6E-409C-BE32-E72D297353CC}">
                  <c16:uniqueId val="{00000015-70EC-4033-9644-3611DCA0544A}"/>
                </c:ext>
              </c:extLst>
            </c:dLbl>
            <c:dLbl>
              <c:idx val="22"/>
              <c:layout>
                <c:manualLayout>
                  <c:x val="1.9160653851769155E-2"/>
                  <c:y val="2.1724877751276941E-3"/>
                </c:manualLayout>
              </c:layout>
              <c:tx>
                <c:rich>
                  <a:bodyPr/>
                  <a:lstStyle/>
                  <a:p>
                    <a:r>
                      <a:rPr lang="en-US" dirty="0"/>
                      <a:t>28.35</a:t>
                    </a:r>
                    <a:r>
                      <a:rPr lang="en-US" baseline="0" dirty="0"/>
                      <a:t> (2002)</a:t>
                    </a:r>
                    <a:endParaRPr lang="en-US" dirty="0"/>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70EC-4033-9644-3611DCA0544A}"/>
                </c:ext>
              </c:extLst>
            </c:dLbl>
            <c:dLbl>
              <c:idx val="23"/>
              <c:delete val="1"/>
              <c:extLst>
                <c:ext xmlns:c15="http://schemas.microsoft.com/office/drawing/2012/chart" uri="{CE6537A1-D6FC-4f65-9D91-7224C49458BB}"/>
                <c:ext xmlns:c16="http://schemas.microsoft.com/office/drawing/2014/chart" uri="{C3380CC4-5D6E-409C-BE32-E72D297353CC}">
                  <c16:uniqueId val="{00000017-70EC-4033-9644-3611DCA0544A}"/>
                </c:ext>
              </c:extLst>
            </c:dLbl>
            <c:dLbl>
              <c:idx val="24"/>
              <c:delete val="1"/>
              <c:extLst>
                <c:ext xmlns:c15="http://schemas.microsoft.com/office/drawing/2012/chart" uri="{CE6537A1-D6FC-4f65-9D91-7224C49458BB}"/>
                <c:ext xmlns:c16="http://schemas.microsoft.com/office/drawing/2014/chart" uri="{C3380CC4-5D6E-409C-BE32-E72D297353CC}">
                  <c16:uniqueId val="{00000018-70EC-4033-9644-3611DCA0544A}"/>
                </c:ext>
              </c:extLst>
            </c:dLbl>
            <c:dLbl>
              <c:idx val="25"/>
              <c:delete val="1"/>
              <c:extLst>
                <c:ext xmlns:c15="http://schemas.microsoft.com/office/drawing/2012/chart" uri="{CE6537A1-D6FC-4f65-9D91-7224C49458BB}"/>
                <c:ext xmlns:c16="http://schemas.microsoft.com/office/drawing/2014/chart" uri="{C3380CC4-5D6E-409C-BE32-E72D297353CC}">
                  <c16:uniqueId val="{00000019-70EC-4033-9644-3611DCA0544A}"/>
                </c:ext>
              </c:extLst>
            </c:dLbl>
            <c:dLbl>
              <c:idx val="26"/>
              <c:delete val="1"/>
              <c:extLst>
                <c:ext xmlns:c15="http://schemas.microsoft.com/office/drawing/2012/chart" uri="{CE6537A1-D6FC-4f65-9D91-7224C49458BB}"/>
                <c:ext xmlns:c16="http://schemas.microsoft.com/office/drawing/2014/chart" uri="{C3380CC4-5D6E-409C-BE32-E72D297353CC}">
                  <c16:uniqueId val="{0000001A-70EC-4033-9644-3611DCA0544A}"/>
                </c:ext>
              </c:extLst>
            </c:dLbl>
            <c:dLbl>
              <c:idx val="27"/>
              <c:delete val="1"/>
              <c:extLst>
                <c:ext xmlns:c15="http://schemas.microsoft.com/office/drawing/2012/chart" uri="{CE6537A1-D6FC-4f65-9D91-7224C49458BB}"/>
                <c:ext xmlns:c16="http://schemas.microsoft.com/office/drawing/2014/chart" uri="{C3380CC4-5D6E-409C-BE32-E72D297353CC}">
                  <c16:uniqueId val="{0000001B-70EC-4033-9644-3611DCA0544A}"/>
                </c:ext>
              </c:extLst>
            </c:dLbl>
            <c:dLbl>
              <c:idx val="28"/>
              <c:delete val="1"/>
              <c:extLst>
                <c:ext xmlns:c15="http://schemas.microsoft.com/office/drawing/2012/chart" uri="{CE6537A1-D6FC-4f65-9D91-7224C49458BB}"/>
                <c:ext xmlns:c16="http://schemas.microsoft.com/office/drawing/2014/chart" uri="{C3380CC4-5D6E-409C-BE32-E72D297353CC}">
                  <c16:uniqueId val="{0000001C-70EC-4033-9644-3611DCA0544A}"/>
                </c:ext>
              </c:extLst>
            </c:dLbl>
            <c:dLbl>
              <c:idx val="29"/>
              <c:delete val="1"/>
              <c:extLst>
                <c:ext xmlns:c15="http://schemas.microsoft.com/office/drawing/2012/chart" uri="{CE6537A1-D6FC-4f65-9D91-7224C49458BB}"/>
                <c:ext xmlns:c16="http://schemas.microsoft.com/office/drawing/2014/chart" uri="{C3380CC4-5D6E-409C-BE32-E72D297353CC}">
                  <c16:uniqueId val="{0000001D-70EC-4033-9644-3611DCA0544A}"/>
                </c:ext>
              </c:extLst>
            </c:dLbl>
            <c:dLbl>
              <c:idx val="30"/>
              <c:delete val="1"/>
              <c:extLst>
                <c:ext xmlns:c15="http://schemas.microsoft.com/office/drawing/2012/chart" uri="{CE6537A1-D6FC-4f65-9D91-7224C49458BB}"/>
                <c:ext xmlns:c16="http://schemas.microsoft.com/office/drawing/2014/chart" uri="{C3380CC4-5D6E-409C-BE32-E72D297353CC}">
                  <c16:uniqueId val="{0000001E-70EC-4033-9644-3611DCA0544A}"/>
                </c:ext>
              </c:extLst>
            </c:dLbl>
            <c:dLbl>
              <c:idx val="31"/>
              <c:delete val="1"/>
              <c:extLst>
                <c:ext xmlns:c15="http://schemas.microsoft.com/office/drawing/2012/chart" uri="{CE6537A1-D6FC-4f65-9D91-7224C49458BB}"/>
                <c:ext xmlns:c16="http://schemas.microsoft.com/office/drawing/2014/chart" uri="{C3380CC4-5D6E-409C-BE32-E72D297353CC}">
                  <c16:uniqueId val="{0000001F-70EC-4033-9644-3611DCA0544A}"/>
                </c:ext>
              </c:extLst>
            </c:dLbl>
            <c:dLbl>
              <c:idx val="32"/>
              <c:delete val="1"/>
              <c:extLst>
                <c:ext xmlns:c15="http://schemas.microsoft.com/office/drawing/2012/chart" uri="{CE6537A1-D6FC-4f65-9D91-7224C49458BB}"/>
                <c:ext xmlns:c16="http://schemas.microsoft.com/office/drawing/2014/chart" uri="{C3380CC4-5D6E-409C-BE32-E72D297353CC}">
                  <c16:uniqueId val="{00000020-70EC-4033-9644-3611DCA0544A}"/>
                </c:ext>
              </c:extLst>
            </c:dLbl>
            <c:dLbl>
              <c:idx val="33"/>
              <c:delete val="1"/>
              <c:extLst>
                <c:ext xmlns:c15="http://schemas.microsoft.com/office/drawing/2012/chart" uri="{CE6537A1-D6FC-4f65-9D91-7224C49458BB}"/>
                <c:ext xmlns:c16="http://schemas.microsoft.com/office/drawing/2014/chart" uri="{C3380CC4-5D6E-409C-BE32-E72D297353CC}">
                  <c16:uniqueId val="{00000021-70EC-4033-9644-3611DCA0544A}"/>
                </c:ext>
              </c:extLst>
            </c:dLbl>
            <c:dLbl>
              <c:idx val="34"/>
              <c:delete val="1"/>
              <c:extLst>
                <c:ext xmlns:c15="http://schemas.microsoft.com/office/drawing/2012/chart" uri="{CE6537A1-D6FC-4f65-9D91-7224C49458BB}"/>
                <c:ext xmlns:c16="http://schemas.microsoft.com/office/drawing/2014/chart" uri="{C3380CC4-5D6E-409C-BE32-E72D297353CC}">
                  <c16:uniqueId val="{00000022-70EC-4033-9644-3611DCA0544A}"/>
                </c:ext>
              </c:extLst>
            </c:dLbl>
            <c:dLbl>
              <c:idx val="35"/>
              <c:delete val="1"/>
              <c:extLst>
                <c:ext xmlns:c15="http://schemas.microsoft.com/office/drawing/2012/chart" uri="{CE6537A1-D6FC-4f65-9D91-7224C49458BB}"/>
                <c:ext xmlns:c16="http://schemas.microsoft.com/office/drawing/2014/chart" uri="{C3380CC4-5D6E-409C-BE32-E72D297353CC}">
                  <c16:uniqueId val="{00000023-70EC-4033-9644-3611DCA0544A}"/>
                </c:ext>
              </c:extLst>
            </c:dLbl>
            <c:dLbl>
              <c:idx val="36"/>
              <c:delete val="1"/>
              <c:extLst>
                <c:ext xmlns:c15="http://schemas.microsoft.com/office/drawing/2012/chart" uri="{CE6537A1-D6FC-4f65-9D91-7224C49458BB}"/>
                <c:ext xmlns:c16="http://schemas.microsoft.com/office/drawing/2014/chart" uri="{C3380CC4-5D6E-409C-BE32-E72D297353CC}">
                  <c16:uniqueId val="{00000024-70EC-4033-9644-3611DCA0544A}"/>
                </c:ext>
              </c:extLst>
            </c:dLbl>
            <c:dLbl>
              <c:idx val="37"/>
              <c:delete val="1"/>
              <c:extLst>
                <c:ext xmlns:c15="http://schemas.microsoft.com/office/drawing/2012/chart" uri="{CE6537A1-D6FC-4f65-9D91-7224C49458BB}"/>
                <c:ext xmlns:c16="http://schemas.microsoft.com/office/drawing/2014/chart" uri="{C3380CC4-5D6E-409C-BE32-E72D297353CC}">
                  <c16:uniqueId val="{00000025-70EC-4033-9644-3611DCA0544A}"/>
                </c:ext>
              </c:extLst>
            </c:dLbl>
            <c:dLbl>
              <c:idx val="38"/>
              <c:delete val="1"/>
              <c:extLst>
                <c:ext xmlns:c15="http://schemas.microsoft.com/office/drawing/2012/chart" uri="{CE6537A1-D6FC-4f65-9D91-7224C49458BB}"/>
                <c:ext xmlns:c16="http://schemas.microsoft.com/office/drawing/2014/chart" uri="{C3380CC4-5D6E-409C-BE32-E72D297353CC}">
                  <c16:uniqueId val="{00000026-70EC-4033-9644-3611DCA0544A}"/>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tx1"/>
                </a:solidFill>
                <a:prstDash val="sysDot"/>
              </a:ln>
              <a:effectLst/>
            </c:spPr>
            <c:trendlineType val="linear"/>
            <c:dispRSqr val="0"/>
            <c:dispEq val="0"/>
          </c:trendline>
          <c:cat>
            <c:numRef>
              <c:f>Sheet4!$A$16:$A$54</c:f>
              <c:numCache>
                <c:formatCode>General</c:formatCode>
                <c:ptCount val="39"/>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numCache>
            </c:numRef>
          </c:cat>
          <c:val>
            <c:numRef>
              <c:f>Sheet4!$E$16:$E$54</c:f>
              <c:numCache>
                <c:formatCode>General</c:formatCode>
                <c:ptCount val="39"/>
                <c:pt idx="0">
                  <c:v>26.968579234972701</c:v>
                </c:pt>
                <c:pt idx="1">
                  <c:v>27.041095890411</c:v>
                </c:pt>
                <c:pt idx="2">
                  <c:v>27.081643835616401</c:v>
                </c:pt>
                <c:pt idx="3">
                  <c:v>27.531232876712298</c:v>
                </c:pt>
                <c:pt idx="4">
                  <c:v>26.730054644808799</c:v>
                </c:pt>
                <c:pt idx="5">
                  <c:v>26.949041095890401</c:v>
                </c:pt>
                <c:pt idx="6">
                  <c:v>27.0997260273972</c:v>
                </c:pt>
                <c:pt idx="7">
                  <c:v>27.424383561643801</c:v>
                </c:pt>
                <c:pt idx="8">
                  <c:v>27.368852459016399</c:v>
                </c:pt>
                <c:pt idx="9">
                  <c:v>27.061095890411</c:v>
                </c:pt>
                <c:pt idx="10">
                  <c:v>27.353424657534202</c:v>
                </c:pt>
                <c:pt idx="11">
                  <c:v>27.434520547945201</c:v>
                </c:pt>
                <c:pt idx="12">
                  <c:v>27.364754098360699</c:v>
                </c:pt>
                <c:pt idx="13">
                  <c:v>27.249041095890401</c:v>
                </c:pt>
                <c:pt idx="14">
                  <c:v>27.312876712328801</c:v>
                </c:pt>
                <c:pt idx="15">
                  <c:v>27.615890410958901</c:v>
                </c:pt>
                <c:pt idx="16">
                  <c:v>27.402732240437199</c:v>
                </c:pt>
                <c:pt idx="17">
                  <c:v>27.8254794520548</c:v>
                </c:pt>
                <c:pt idx="18">
                  <c:v>28.183835616438301</c:v>
                </c:pt>
                <c:pt idx="19">
                  <c:v>27.26</c:v>
                </c:pt>
                <c:pt idx="20">
                  <c:v>27.472404371584702</c:v>
                </c:pt>
                <c:pt idx="21">
                  <c:v>27.735068493150699</c:v>
                </c:pt>
                <c:pt idx="22">
                  <c:v>28.352876712328801</c:v>
                </c:pt>
                <c:pt idx="23">
                  <c:v>28.033698630137</c:v>
                </c:pt>
                <c:pt idx="24">
                  <c:v>28.0603825136612</c:v>
                </c:pt>
                <c:pt idx="25">
                  <c:v>27.946849315068398</c:v>
                </c:pt>
                <c:pt idx="26">
                  <c:v>27.7328767123288</c:v>
                </c:pt>
                <c:pt idx="27">
                  <c:v>27.6208219178082</c:v>
                </c:pt>
                <c:pt idx="28">
                  <c:v>27.5543715846994</c:v>
                </c:pt>
                <c:pt idx="29">
                  <c:v>27.758082191780801</c:v>
                </c:pt>
                <c:pt idx="30">
                  <c:v>28.209589041095899</c:v>
                </c:pt>
                <c:pt idx="31">
                  <c:v>27.652602739725999</c:v>
                </c:pt>
                <c:pt idx="32">
                  <c:v>27.8172131147541</c:v>
                </c:pt>
                <c:pt idx="33">
                  <c:v>28.231780821917798</c:v>
                </c:pt>
                <c:pt idx="34">
                  <c:v>28.277260273972601</c:v>
                </c:pt>
                <c:pt idx="35">
                  <c:v>27.784931506849301</c:v>
                </c:pt>
                <c:pt idx="36">
                  <c:v>28.024863387978101</c:v>
                </c:pt>
                <c:pt idx="37">
                  <c:v>28.020273972602698</c:v>
                </c:pt>
                <c:pt idx="38">
                  <c:v>28.226301369862998</c:v>
                </c:pt>
              </c:numCache>
            </c:numRef>
          </c:val>
          <c:smooth val="0"/>
          <c:extLst>
            <c:ext xmlns:c16="http://schemas.microsoft.com/office/drawing/2014/chart" uri="{C3380CC4-5D6E-409C-BE32-E72D297353CC}">
              <c16:uniqueId val="{00000028-70EC-4033-9644-3611DCA0544A}"/>
            </c:ext>
          </c:extLst>
        </c:ser>
        <c:dLbls>
          <c:showLegendKey val="0"/>
          <c:showVal val="0"/>
          <c:showCatName val="0"/>
          <c:showSerName val="0"/>
          <c:showPercent val="0"/>
          <c:showBubbleSize val="0"/>
        </c:dLbls>
        <c:smooth val="0"/>
        <c:axId val="693829088"/>
        <c:axId val="693818208"/>
      </c:lineChart>
      <c:catAx>
        <c:axId val="69382908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Tahun</a:t>
                </a:r>
              </a:p>
            </c:rich>
          </c:tx>
          <c:layout>
            <c:manualLayout>
              <c:xMode val="edge"/>
              <c:yMode val="edge"/>
              <c:x val="0.45706769259176966"/>
              <c:y val="0.89400678646939236"/>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93818208"/>
        <c:crosses val="autoZero"/>
        <c:auto val="1"/>
        <c:lblAlgn val="ctr"/>
        <c:lblOffset val="100"/>
        <c:noMultiLvlLbl val="0"/>
      </c:catAx>
      <c:valAx>
        <c:axId val="693818208"/>
        <c:scaling>
          <c:orientation val="minMax"/>
          <c:min val="26.5"/>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Suhu (℃)</a:t>
                </a:r>
              </a:p>
            </c:rich>
          </c:tx>
          <c:layout>
            <c:manualLayout>
              <c:xMode val="edge"/>
              <c:yMode val="edge"/>
              <c:x val="1.8212862834376779E-2"/>
              <c:y val="0.3539322035612600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93829088"/>
        <c:crosses val="autoZero"/>
        <c:crossBetween val="between"/>
      </c:valAx>
      <c:spPr>
        <a:noFill/>
        <a:ln>
          <a:solidFill>
            <a:schemeClr val="tx1"/>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rgbClr val="0070C0"/>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0-9868-430D-8AD0-7C15B994D6D8}"/>
                </c:ext>
              </c:extLst>
            </c:dLbl>
            <c:dLbl>
              <c:idx val="1"/>
              <c:delete val="1"/>
              <c:extLst>
                <c:ext xmlns:c15="http://schemas.microsoft.com/office/drawing/2012/chart" uri="{CE6537A1-D6FC-4f65-9D91-7224C49458BB}"/>
                <c:ext xmlns:c16="http://schemas.microsoft.com/office/drawing/2014/chart" uri="{C3380CC4-5D6E-409C-BE32-E72D297353CC}">
                  <c16:uniqueId val="{00000001-9868-430D-8AD0-7C15B994D6D8}"/>
                </c:ext>
              </c:extLst>
            </c:dLbl>
            <c:dLbl>
              <c:idx val="2"/>
              <c:delete val="1"/>
              <c:extLst>
                <c:ext xmlns:c15="http://schemas.microsoft.com/office/drawing/2012/chart" uri="{CE6537A1-D6FC-4f65-9D91-7224C49458BB}"/>
                <c:ext xmlns:c16="http://schemas.microsoft.com/office/drawing/2014/chart" uri="{C3380CC4-5D6E-409C-BE32-E72D297353CC}">
                  <c16:uniqueId val="{00000002-9868-430D-8AD0-7C15B994D6D8}"/>
                </c:ext>
              </c:extLst>
            </c:dLbl>
            <c:dLbl>
              <c:idx val="3"/>
              <c:delete val="1"/>
              <c:extLst>
                <c:ext xmlns:c15="http://schemas.microsoft.com/office/drawing/2012/chart" uri="{CE6537A1-D6FC-4f65-9D91-7224C49458BB}"/>
                <c:ext xmlns:c16="http://schemas.microsoft.com/office/drawing/2014/chart" uri="{C3380CC4-5D6E-409C-BE32-E72D297353CC}">
                  <c16:uniqueId val="{00000003-9868-430D-8AD0-7C15B994D6D8}"/>
                </c:ext>
              </c:extLst>
            </c:dLbl>
            <c:dLbl>
              <c:idx val="4"/>
              <c:delete val="1"/>
              <c:extLst>
                <c:ext xmlns:c15="http://schemas.microsoft.com/office/drawing/2012/chart" uri="{CE6537A1-D6FC-4f65-9D91-7224C49458BB}"/>
                <c:ext xmlns:c16="http://schemas.microsoft.com/office/drawing/2014/chart" uri="{C3380CC4-5D6E-409C-BE32-E72D297353CC}">
                  <c16:uniqueId val="{00000004-9868-430D-8AD0-7C15B994D6D8}"/>
                </c:ext>
              </c:extLst>
            </c:dLbl>
            <c:dLbl>
              <c:idx val="5"/>
              <c:delete val="1"/>
              <c:extLst>
                <c:ext xmlns:c15="http://schemas.microsoft.com/office/drawing/2012/chart" uri="{CE6537A1-D6FC-4f65-9D91-7224C49458BB}"/>
                <c:ext xmlns:c16="http://schemas.microsoft.com/office/drawing/2014/chart" uri="{C3380CC4-5D6E-409C-BE32-E72D297353CC}">
                  <c16:uniqueId val="{00000005-9868-430D-8AD0-7C15B994D6D8}"/>
                </c:ext>
              </c:extLst>
            </c:dLbl>
            <c:dLbl>
              <c:idx val="6"/>
              <c:delete val="1"/>
              <c:extLst>
                <c:ext xmlns:c15="http://schemas.microsoft.com/office/drawing/2012/chart" uri="{CE6537A1-D6FC-4f65-9D91-7224C49458BB}"/>
                <c:ext xmlns:c16="http://schemas.microsoft.com/office/drawing/2014/chart" uri="{C3380CC4-5D6E-409C-BE32-E72D297353CC}">
                  <c16:uniqueId val="{00000006-9868-430D-8AD0-7C15B994D6D8}"/>
                </c:ext>
              </c:extLst>
            </c:dLbl>
            <c:dLbl>
              <c:idx val="7"/>
              <c:delete val="1"/>
              <c:extLst>
                <c:ext xmlns:c15="http://schemas.microsoft.com/office/drawing/2012/chart" uri="{CE6537A1-D6FC-4f65-9D91-7224C49458BB}"/>
                <c:ext xmlns:c16="http://schemas.microsoft.com/office/drawing/2014/chart" uri="{C3380CC4-5D6E-409C-BE32-E72D297353CC}">
                  <c16:uniqueId val="{00000007-9868-430D-8AD0-7C15B994D6D8}"/>
                </c:ext>
              </c:extLst>
            </c:dLbl>
            <c:dLbl>
              <c:idx val="8"/>
              <c:delete val="1"/>
              <c:extLst>
                <c:ext xmlns:c15="http://schemas.microsoft.com/office/drawing/2012/chart" uri="{CE6537A1-D6FC-4f65-9D91-7224C49458BB}"/>
                <c:ext xmlns:c16="http://schemas.microsoft.com/office/drawing/2014/chart" uri="{C3380CC4-5D6E-409C-BE32-E72D297353CC}">
                  <c16:uniqueId val="{00000008-9868-430D-8AD0-7C15B994D6D8}"/>
                </c:ext>
              </c:extLst>
            </c:dLbl>
            <c:dLbl>
              <c:idx val="9"/>
              <c:delete val="1"/>
              <c:extLst>
                <c:ext xmlns:c15="http://schemas.microsoft.com/office/drawing/2012/chart" uri="{CE6537A1-D6FC-4f65-9D91-7224C49458BB}"/>
                <c:ext xmlns:c16="http://schemas.microsoft.com/office/drawing/2014/chart" uri="{C3380CC4-5D6E-409C-BE32-E72D297353CC}">
                  <c16:uniqueId val="{00000009-9868-430D-8AD0-7C15B994D6D8}"/>
                </c:ext>
              </c:extLst>
            </c:dLbl>
            <c:dLbl>
              <c:idx val="10"/>
              <c:delete val="1"/>
              <c:extLst>
                <c:ext xmlns:c15="http://schemas.microsoft.com/office/drawing/2012/chart" uri="{CE6537A1-D6FC-4f65-9D91-7224C49458BB}"/>
                <c:ext xmlns:c16="http://schemas.microsoft.com/office/drawing/2014/chart" uri="{C3380CC4-5D6E-409C-BE32-E72D297353CC}">
                  <c16:uniqueId val="{0000000A-9868-430D-8AD0-7C15B994D6D8}"/>
                </c:ext>
              </c:extLst>
            </c:dLbl>
            <c:dLbl>
              <c:idx val="11"/>
              <c:delete val="1"/>
              <c:extLst>
                <c:ext xmlns:c15="http://schemas.microsoft.com/office/drawing/2012/chart" uri="{CE6537A1-D6FC-4f65-9D91-7224C49458BB}"/>
                <c:ext xmlns:c16="http://schemas.microsoft.com/office/drawing/2014/chart" uri="{C3380CC4-5D6E-409C-BE32-E72D297353CC}">
                  <c16:uniqueId val="{0000000B-9868-430D-8AD0-7C15B994D6D8}"/>
                </c:ext>
              </c:extLst>
            </c:dLbl>
            <c:dLbl>
              <c:idx val="12"/>
              <c:delete val="1"/>
              <c:extLst>
                <c:ext xmlns:c15="http://schemas.microsoft.com/office/drawing/2012/chart" uri="{CE6537A1-D6FC-4f65-9D91-7224C49458BB}"/>
                <c:ext xmlns:c16="http://schemas.microsoft.com/office/drawing/2014/chart" uri="{C3380CC4-5D6E-409C-BE32-E72D297353CC}">
                  <c16:uniqueId val="{0000000C-9868-430D-8AD0-7C15B994D6D8}"/>
                </c:ext>
              </c:extLst>
            </c:dLbl>
            <c:dLbl>
              <c:idx val="13"/>
              <c:delete val="1"/>
              <c:extLst>
                <c:ext xmlns:c15="http://schemas.microsoft.com/office/drawing/2012/chart" uri="{CE6537A1-D6FC-4f65-9D91-7224C49458BB}"/>
                <c:ext xmlns:c16="http://schemas.microsoft.com/office/drawing/2014/chart" uri="{C3380CC4-5D6E-409C-BE32-E72D297353CC}">
                  <c16:uniqueId val="{0000000D-9868-430D-8AD0-7C15B994D6D8}"/>
                </c:ext>
              </c:extLst>
            </c:dLbl>
            <c:dLbl>
              <c:idx val="14"/>
              <c:delete val="1"/>
              <c:extLst>
                <c:ext xmlns:c15="http://schemas.microsoft.com/office/drawing/2012/chart" uri="{CE6537A1-D6FC-4f65-9D91-7224C49458BB}"/>
                <c:ext xmlns:c16="http://schemas.microsoft.com/office/drawing/2014/chart" uri="{C3380CC4-5D6E-409C-BE32-E72D297353CC}">
                  <c16:uniqueId val="{0000000E-9868-430D-8AD0-7C15B994D6D8}"/>
                </c:ext>
              </c:extLst>
            </c:dLbl>
            <c:dLbl>
              <c:idx val="15"/>
              <c:delete val="1"/>
              <c:extLst>
                <c:ext xmlns:c15="http://schemas.microsoft.com/office/drawing/2012/chart" uri="{CE6537A1-D6FC-4f65-9D91-7224C49458BB}"/>
                <c:ext xmlns:c16="http://schemas.microsoft.com/office/drawing/2014/chart" uri="{C3380CC4-5D6E-409C-BE32-E72D297353CC}">
                  <c16:uniqueId val="{0000000F-9868-430D-8AD0-7C15B994D6D8}"/>
                </c:ext>
              </c:extLst>
            </c:dLbl>
            <c:dLbl>
              <c:idx val="16"/>
              <c:delete val="1"/>
              <c:extLst>
                <c:ext xmlns:c15="http://schemas.microsoft.com/office/drawing/2012/chart" uri="{CE6537A1-D6FC-4f65-9D91-7224C49458BB}"/>
                <c:ext xmlns:c16="http://schemas.microsoft.com/office/drawing/2014/chart" uri="{C3380CC4-5D6E-409C-BE32-E72D297353CC}">
                  <c16:uniqueId val="{00000010-9868-430D-8AD0-7C15B994D6D8}"/>
                </c:ext>
              </c:extLst>
            </c:dLbl>
            <c:dLbl>
              <c:idx val="17"/>
              <c:layout>
                <c:manualLayout>
                  <c:x val="2.6096295558926487E-2"/>
                  <c:y val="8.2653065790131985E-2"/>
                </c:manualLayout>
              </c:layout>
              <c:tx>
                <c:rich>
                  <a:bodyPr/>
                  <a:lstStyle/>
                  <a:p>
                    <a:fld id="{B589FC79-0969-4524-B29A-B312D36E6F06}" type="VALUE">
                      <a:rPr lang="en-US" smtClean="0"/>
                      <a:pPr/>
                      <a:t>[VALUE]</a:t>
                    </a:fld>
                    <a:r>
                      <a:rPr lang="en-US" dirty="0"/>
                      <a:t> (1997)</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9868-430D-8AD0-7C15B994D6D8}"/>
                </c:ext>
              </c:extLst>
            </c:dLbl>
            <c:dLbl>
              <c:idx val="18"/>
              <c:delete val="1"/>
              <c:extLst>
                <c:ext xmlns:c15="http://schemas.microsoft.com/office/drawing/2012/chart" uri="{CE6537A1-D6FC-4f65-9D91-7224C49458BB}"/>
                <c:ext xmlns:c16="http://schemas.microsoft.com/office/drawing/2014/chart" uri="{C3380CC4-5D6E-409C-BE32-E72D297353CC}">
                  <c16:uniqueId val="{00000012-9868-430D-8AD0-7C15B994D6D8}"/>
                </c:ext>
              </c:extLst>
            </c:dLbl>
            <c:dLbl>
              <c:idx val="19"/>
              <c:layout>
                <c:manualLayout>
                  <c:x val="3.1895472349798934E-2"/>
                  <c:y val="-1.0331633223766476E-2"/>
                </c:manualLayout>
              </c:layout>
              <c:tx>
                <c:rich>
                  <a:bodyPr/>
                  <a:lstStyle/>
                  <a:p>
                    <a:fld id="{6F67B2DC-006C-4EC3-8897-A1E60B60D672}" type="VALUE">
                      <a:rPr lang="en-US" smtClean="0"/>
                      <a:pPr/>
                      <a:t>[VALUE]</a:t>
                    </a:fld>
                    <a:r>
                      <a:rPr lang="en-US" dirty="0"/>
                      <a:t> (1999)</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9868-430D-8AD0-7C15B994D6D8}"/>
                </c:ext>
              </c:extLst>
            </c:dLbl>
            <c:dLbl>
              <c:idx val="20"/>
              <c:delete val="1"/>
              <c:extLst>
                <c:ext xmlns:c15="http://schemas.microsoft.com/office/drawing/2012/chart" uri="{CE6537A1-D6FC-4f65-9D91-7224C49458BB}"/>
                <c:ext xmlns:c16="http://schemas.microsoft.com/office/drawing/2014/chart" uri="{C3380CC4-5D6E-409C-BE32-E72D297353CC}">
                  <c16:uniqueId val="{00000014-9868-430D-8AD0-7C15B994D6D8}"/>
                </c:ext>
              </c:extLst>
            </c:dLbl>
            <c:dLbl>
              <c:idx val="21"/>
              <c:delete val="1"/>
              <c:extLst>
                <c:ext xmlns:c15="http://schemas.microsoft.com/office/drawing/2012/chart" uri="{CE6537A1-D6FC-4f65-9D91-7224C49458BB}"/>
                <c:ext xmlns:c16="http://schemas.microsoft.com/office/drawing/2014/chart" uri="{C3380CC4-5D6E-409C-BE32-E72D297353CC}">
                  <c16:uniqueId val="{00000015-9868-430D-8AD0-7C15B994D6D8}"/>
                </c:ext>
              </c:extLst>
            </c:dLbl>
            <c:dLbl>
              <c:idx val="22"/>
              <c:delete val="1"/>
              <c:extLst>
                <c:ext xmlns:c15="http://schemas.microsoft.com/office/drawing/2012/chart" uri="{CE6537A1-D6FC-4f65-9D91-7224C49458BB}"/>
                <c:ext xmlns:c16="http://schemas.microsoft.com/office/drawing/2014/chart" uri="{C3380CC4-5D6E-409C-BE32-E72D297353CC}">
                  <c16:uniqueId val="{00000016-9868-430D-8AD0-7C15B994D6D8}"/>
                </c:ext>
              </c:extLst>
            </c:dLbl>
            <c:dLbl>
              <c:idx val="23"/>
              <c:delete val="1"/>
              <c:extLst>
                <c:ext xmlns:c15="http://schemas.microsoft.com/office/drawing/2012/chart" uri="{CE6537A1-D6FC-4f65-9D91-7224C49458BB}"/>
                <c:ext xmlns:c16="http://schemas.microsoft.com/office/drawing/2014/chart" uri="{C3380CC4-5D6E-409C-BE32-E72D297353CC}">
                  <c16:uniqueId val="{00000017-9868-430D-8AD0-7C15B994D6D8}"/>
                </c:ext>
              </c:extLst>
            </c:dLbl>
            <c:dLbl>
              <c:idx val="24"/>
              <c:delete val="1"/>
              <c:extLst>
                <c:ext xmlns:c15="http://schemas.microsoft.com/office/drawing/2012/chart" uri="{CE6537A1-D6FC-4f65-9D91-7224C49458BB}"/>
                <c:ext xmlns:c16="http://schemas.microsoft.com/office/drawing/2014/chart" uri="{C3380CC4-5D6E-409C-BE32-E72D297353CC}">
                  <c16:uniqueId val="{00000018-9868-430D-8AD0-7C15B994D6D8}"/>
                </c:ext>
              </c:extLst>
            </c:dLbl>
            <c:dLbl>
              <c:idx val="25"/>
              <c:delete val="1"/>
              <c:extLst>
                <c:ext xmlns:c15="http://schemas.microsoft.com/office/drawing/2012/chart" uri="{CE6537A1-D6FC-4f65-9D91-7224C49458BB}"/>
                <c:ext xmlns:c16="http://schemas.microsoft.com/office/drawing/2014/chart" uri="{C3380CC4-5D6E-409C-BE32-E72D297353CC}">
                  <c16:uniqueId val="{00000019-9868-430D-8AD0-7C15B994D6D8}"/>
                </c:ext>
              </c:extLst>
            </c:dLbl>
            <c:dLbl>
              <c:idx val="26"/>
              <c:delete val="1"/>
              <c:extLst>
                <c:ext xmlns:c15="http://schemas.microsoft.com/office/drawing/2012/chart" uri="{CE6537A1-D6FC-4f65-9D91-7224C49458BB}"/>
                <c:ext xmlns:c16="http://schemas.microsoft.com/office/drawing/2014/chart" uri="{C3380CC4-5D6E-409C-BE32-E72D297353CC}">
                  <c16:uniqueId val="{0000001A-9868-430D-8AD0-7C15B994D6D8}"/>
                </c:ext>
              </c:extLst>
            </c:dLbl>
            <c:dLbl>
              <c:idx val="27"/>
              <c:delete val="1"/>
              <c:extLst>
                <c:ext xmlns:c15="http://schemas.microsoft.com/office/drawing/2012/chart" uri="{CE6537A1-D6FC-4f65-9D91-7224C49458BB}"/>
                <c:ext xmlns:c16="http://schemas.microsoft.com/office/drawing/2014/chart" uri="{C3380CC4-5D6E-409C-BE32-E72D297353CC}">
                  <c16:uniqueId val="{0000001B-9868-430D-8AD0-7C15B994D6D8}"/>
                </c:ext>
              </c:extLst>
            </c:dLbl>
            <c:dLbl>
              <c:idx val="28"/>
              <c:delete val="1"/>
              <c:extLst>
                <c:ext xmlns:c15="http://schemas.microsoft.com/office/drawing/2012/chart" uri="{CE6537A1-D6FC-4f65-9D91-7224C49458BB}"/>
                <c:ext xmlns:c16="http://schemas.microsoft.com/office/drawing/2014/chart" uri="{C3380CC4-5D6E-409C-BE32-E72D297353CC}">
                  <c16:uniqueId val="{0000001C-9868-430D-8AD0-7C15B994D6D8}"/>
                </c:ext>
              </c:extLst>
            </c:dLbl>
            <c:dLbl>
              <c:idx val="29"/>
              <c:delete val="1"/>
              <c:extLst>
                <c:ext xmlns:c15="http://schemas.microsoft.com/office/drawing/2012/chart" uri="{CE6537A1-D6FC-4f65-9D91-7224C49458BB}"/>
                <c:ext xmlns:c16="http://schemas.microsoft.com/office/drawing/2014/chart" uri="{C3380CC4-5D6E-409C-BE32-E72D297353CC}">
                  <c16:uniqueId val="{0000001D-9868-430D-8AD0-7C15B994D6D8}"/>
                </c:ext>
              </c:extLst>
            </c:dLbl>
            <c:dLbl>
              <c:idx val="30"/>
              <c:delete val="1"/>
              <c:extLst>
                <c:ext xmlns:c15="http://schemas.microsoft.com/office/drawing/2012/chart" uri="{CE6537A1-D6FC-4f65-9D91-7224C49458BB}"/>
                <c:ext xmlns:c16="http://schemas.microsoft.com/office/drawing/2014/chart" uri="{C3380CC4-5D6E-409C-BE32-E72D297353CC}">
                  <c16:uniqueId val="{0000001E-9868-430D-8AD0-7C15B994D6D8}"/>
                </c:ext>
              </c:extLst>
            </c:dLbl>
            <c:dLbl>
              <c:idx val="31"/>
              <c:delete val="1"/>
              <c:extLst>
                <c:ext xmlns:c15="http://schemas.microsoft.com/office/drawing/2012/chart" uri="{CE6537A1-D6FC-4f65-9D91-7224C49458BB}"/>
                <c:ext xmlns:c16="http://schemas.microsoft.com/office/drawing/2014/chart" uri="{C3380CC4-5D6E-409C-BE32-E72D297353CC}">
                  <c16:uniqueId val="{0000001F-9868-430D-8AD0-7C15B994D6D8}"/>
                </c:ext>
              </c:extLst>
            </c:dLbl>
            <c:dLbl>
              <c:idx val="32"/>
              <c:delete val="1"/>
              <c:extLst>
                <c:ext xmlns:c15="http://schemas.microsoft.com/office/drawing/2012/chart" uri="{CE6537A1-D6FC-4f65-9D91-7224C49458BB}"/>
                <c:ext xmlns:c16="http://schemas.microsoft.com/office/drawing/2014/chart" uri="{C3380CC4-5D6E-409C-BE32-E72D297353CC}">
                  <c16:uniqueId val="{00000020-9868-430D-8AD0-7C15B994D6D8}"/>
                </c:ext>
              </c:extLst>
            </c:dLbl>
            <c:dLbl>
              <c:idx val="33"/>
              <c:delete val="1"/>
              <c:extLst>
                <c:ext xmlns:c15="http://schemas.microsoft.com/office/drawing/2012/chart" uri="{CE6537A1-D6FC-4f65-9D91-7224C49458BB}"/>
                <c:ext xmlns:c16="http://schemas.microsoft.com/office/drawing/2014/chart" uri="{C3380CC4-5D6E-409C-BE32-E72D297353CC}">
                  <c16:uniqueId val="{00000021-9868-430D-8AD0-7C15B994D6D8}"/>
                </c:ext>
              </c:extLst>
            </c:dLbl>
            <c:dLbl>
              <c:idx val="34"/>
              <c:delete val="1"/>
              <c:extLst>
                <c:ext xmlns:c15="http://schemas.microsoft.com/office/drawing/2012/chart" uri="{CE6537A1-D6FC-4f65-9D91-7224C49458BB}"/>
                <c:ext xmlns:c16="http://schemas.microsoft.com/office/drawing/2014/chart" uri="{C3380CC4-5D6E-409C-BE32-E72D297353CC}">
                  <c16:uniqueId val="{00000022-9868-430D-8AD0-7C15B994D6D8}"/>
                </c:ext>
              </c:extLst>
            </c:dLbl>
            <c:dLbl>
              <c:idx val="35"/>
              <c:delete val="1"/>
              <c:extLst>
                <c:ext xmlns:c15="http://schemas.microsoft.com/office/drawing/2012/chart" uri="{CE6537A1-D6FC-4f65-9D91-7224C49458BB}"/>
                <c:ext xmlns:c16="http://schemas.microsoft.com/office/drawing/2014/chart" uri="{C3380CC4-5D6E-409C-BE32-E72D297353CC}">
                  <c16:uniqueId val="{00000023-9868-430D-8AD0-7C15B994D6D8}"/>
                </c:ext>
              </c:extLst>
            </c:dLbl>
            <c:dLbl>
              <c:idx val="36"/>
              <c:delete val="1"/>
              <c:extLst>
                <c:ext xmlns:c15="http://schemas.microsoft.com/office/drawing/2012/chart" uri="{CE6537A1-D6FC-4f65-9D91-7224C49458BB}"/>
                <c:ext xmlns:c16="http://schemas.microsoft.com/office/drawing/2014/chart" uri="{C3380CC4-5D6E-409C-BE32-E72D297353CC}">
                  <c16:uniqueId val="{00000024-9868-430D-8AD0-7C15B994D6D8}"/>
                </c:ext>
              </c:extLst>
            </c:dLbl>
            <c:dLbl>
              <c:idx val="37"/>
              <c:delete val="1"/>
              <c:extLst>
                <c:ext xmlns:c15="http://schemas.microsoft.com/office/drawing/2012/chart" uri="{CE6537A1-D6FC-4f65-9D91-7224C49458BB}"/>
                <c:ext xmlns:c16="http://schemas.microsoft.com/office/drawing/2014/chart" uri="{C3380CC4-5D6E-409C-BE32-E72D297353CC}">
                  <c16:uniqueId val="{00000025-9868-430D-8AD0-7C15B994D6D8}"/>
                </c:ext>
              </c:extLst>
            </c:dLbl>
            <c:dLbl>
              <c:idx val="38"/>
              <c:delete val="1"/>
              <c:extLst>
                <c:ext xmlns:c15="http://schemas.microsoft.com/office/drawing/2012/chart" uri="{CE6537A1-D6FC-4f65-9D91-7224C49458BB}"/>
                <c:ext xmlns:c16="http://schemas.microsoft.com/office/drawing/2014/chart" uri="{C3380CC4-5D6E-409C-BE32-E72D297353CC}">
                  <c16:uniqueId val="{00000026-9868-430D-8AD0-7C15B994D6D8}"/>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tx1"/>
                </a:solidFill>
                <a:prstDash val="sysDot"/>
              </a:ln>
              <a:effectLst/>
            </c:spPr>
            <c:trendlineType val="linear"/>
            <c:dispRSqr val="0"/>
            <c:dispEq val="0"/>
          </c:trendline>
          <c:cat>
            <c:numRef>
              <c:f>Sheet4!$A$16:$A$54</c:f>
              <c:numCache>
                <c:formatCode>General</c:formatCode>
                <c:ptCount val="39"/>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numCache>
            </c:numRef>
          </c:cat>
          <c:val>
            <c:numRef>
              <c:f>Sheet4!$B$16:$B$54</c:f>
              <c:numCache>
                <c:formatCode>General</c:formatCode>
                <c:ptCount val="39"/>
                <c:pt idx="0">
                  <c:v>2765.8</c:v>
                </c:pt>
                <c:pt idx="1">
                  <c:v>1932.7</c:v>
                </c:pt>
                <c:pt idx="2">
                  <c:v>2388</c:v>
                </c:pt>
                <c:pt idx="3">
                  <c:v>2167.3000000000002</c:v>
                </c:pt>
                <c:pt idx="4">
                  <c:v>2225.9</c:v>
                </c:pt>
                <c:pt idx="5">
                  <c:v>2631.8</c:v>
                </c:pt>
                <c:pt idx="6">
                  <c:v>2547.8000000000002</c:v>
                </c:pt>
                <c:pt idx="7">
                  <c:v>2467.6999999999998</c:v>
                </c:pt>
                <c:pt idx="8">
                  <c:v>2133.1999999999998</c:v>
                </c:pt>
                <c:pt idx="9">
                  <c:v>2673.9</c:v>
                </c:pt>
                <c:pt idx="10">
                  <c:v>2274.8000000000002</c:v>
                </c:pt>
                <c:pt idx="11">
                  <c:v>2352.6999999999998</c:v>
                </c:pt>
                <c:pt idx="12">
                  <c:v>2179.1</c:v>
                </c:pt>
                <c:pt idx="13">
                  <c:v>2692.9</c:v>
                </c:pt>
                <c:pt idx="14">
                  <c:v>1930.9</c:v>
                </c:pt>
                <c:pt idx="15">
                  <c:v>2191</c:v>
                </c:pt>
                <c:pt idx="16">
                  <c:v>2195.9</c:v>
                </c:pt>
                <c:pt idx="17">
                  <c:v>1516.8</c:v>
                </c:pt>
                <c:pt idx="18">
                  <c:v>3032.6</c:v>
                </c:pt>
                <c:pt idx="19">
                  <c:v>3231.6</c:v>
                </c:pt>
                <c:pt idx="20">
                  <c:v>2653.2</c:v>
                </c:pt>
                <c:pt idx="21">
                  <c:v>2334.6999999999998</c:v>
                </c:pt>
                <c:pt idx="22">
                  <c:v>1876.2</c:v>
                </c:pt>
                <c:pt idx="23">
                  <c:v>2887.5</c:v>
                </c:pt>
                <c:pt idx="24">
                  <c:v>1981.7</c:v>
                </c:pt>
                <c:pt idx="25">
                  <c:v>2071.6</c:v>
                </c:pt>
                <c:pt idx="26">
                  <c:v>2057</c:v>
                </c:pt>
                <c:pt idx="27">
                  <c:v>2326</c:v>
                </c:pt>
                <c:pt idx="28">
                  <c:v>2569.8000000000002</c:v>
                </c:pt>
                <c:pt idx="29">
                  <c:v>2944</c:v>
                </c:pt>
                <c:pt idx="30">
                  <c:v>2092</c:v>
                </c:pt>
                <c:pt idx="31">
                  <c:v>2297.8000000000002</c:v>
                </c:pt>
                <c:pt idx="32">
                  <c:v>2294.6</c:v>
                </c:pt>
                <c:pt idx="33">
                  <c:v>2328.1999999999998</c:v>
                </c:pt>
                <c:pt idx="34">
                  <c:v>1876.9</c:v>
                </c:pt>
                <c:pt idx="35">
                  <c:v>3067.5</c:v>
                </c:pt>
                <c:pt idx="36">
                  <c:v>2172</c:v>
                </c:pt>
                <c:pt idx="37">
                  <c:v>2725.2</c:v>
                </c:pt>
                <c:pt idx="38">
                  <c:v>2478</c:v>
                </c:pt>
              </c:numCache>
            </c:numRef>
          </c:val>
          <c:smooth val="0"/>
          <c:extLst>
            <c:ext xmlns:c16="http://schemas.microsoft.com/office/drawing/2014/chart" uri="{C3380CC4-5D6E-409C-BE32-E72D297353CC}">
              <c16:uniqueId val="{00000028-9868-430D-8AD0-7C15B994D6D8}"/>
            </c:ext>
          </c:extLst>
        </c:ser>
        <c:dLbls>
          <c:showLegendKey val="0"/>
          <c:showVal val="0"/>
          <c:showCatName val="0"/>
          <c:showSerName val="0"/>
          <c:showPercent val="0"/>
          <c:showBubbleSize val="0"/>
        </c:dLbls>
        <c:smooth val="0"/>
        <c:axId val="693817664"/>
        <c:axId val="693818752"/>
      </c:lineChart>
      <c:catAx>
        <c:axId val="69381766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Tahun</a:t>
                </a:r>
              </a:p>
            </c:rich>
          </c:tx>
          <c:layout>
            <c:manualLayout>
              <c:xMode val="edge"/>
              <c:yMode val="edge"/>
              <c:x val="0.48525114088529231"/>
              <c:y val="0.88893494284451013"/>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93818752"/>
        <c:crosses val="autoZero"/>
        <c:auto val="1"/>
        <c:lblAlgn val="ctr"/>
        <c:lblOffset val="100"/>
        <c:noMultiLvlLbl val="0"/>
      </c:catAx>
      <c:valAx>
        <c:axId val="693818752"/>
        <c:scaling>
          <c:orientation val="minMax"/>
          <c:min val="100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Hujan (mm)</a:t>
                </a:r>
              </a:p>
            </c:rich>
          </c:tx>
          <c:layout>
            <c:manualLayout>
              <c:xMode val="edge"/>
              <c:yMode val="edge"/>
              <c:x val="1.7397530372617657E-2"/>
              <c:y val="0.2766229714509314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93817664"/>
        <c:crosses val="autoZero"/>
        <c:crossBetween val="between"/>
      </c:valAx>
      <c:spPr>
        <a:noFill/>
        <a:ln>
          <a:solidFill>
            <a:schemeClr val="tx1"/>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t3nDB3ZiZGGfORXwtLP3XffA/w==">AMUW2mU4qAEFunWBU2M+fEKF778oTR0hHefl73wxqIu9HnVwo487L69Lj836ZWO/HK6bDFXkvaJwkAITxWg26FAQs4yYo/x2B8I5Y32Z+RDMcLdOJ0L+94fsXvBurMMYy7bgzPquZbaz</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2D5B2E3-9CA0-4D10-BADE-545BF02F1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18</Pages>
  <Words>19279</Words>
  <Characters>109891</Characters>
  <Application>Microsoft Office Word</Application>
  <DocSecurity>0</DocSecurity>
  <Lines>915</Lines>
  <Paragraphs>257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ADMIN</cp:lastModifiedBy>
  <cp:revision>7</cp:revision>
  <cp:lastPrinted>2023-11-30T04:15:00Z</cp:lastPrinted>
  <dcterms:created xsi:type="dcterms:W3CDTF">2023-11-30T03:51:00Z</dcterms:created>
  <dcterms:modified xsi:type="dcterms:W3CDTF">2023-11-30T04:21:00Z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1033-10.2.0.5934</vt:lpwstr>
  </property>
  <property fmtid="{D5CDD505-2E9C-101B-9397-08002B2CF9AE}" pid="3" name="ICV">
    <vt:lpwstr>d57d2554f1f94b668cf784c726638a4d</vt:lpwstr>
  </property>
</Properties>
</file>