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5CC0E" w14:textId="6923BDF1" w:rsidR="00B263A8" w:rsidRDefault="007107B4" w:rsidP="00AE5544">
      <w:pPr>
        <w:jc w:val="center"/>
        <w:rPr>
          <w:b/>
          <w:sz w:val="28"/>
          <w:szCs w:val="28"/>
        </w:rPr>
      </w:pPr>
      <w:r>
        <w:rPr>
          <w:b/>
          <w:sz w:val="28"/>
          <w:szCs w:val="28"/>
        </w:rPr>
        <w:t xml:space="preserve">Green </w:t>
      </w:r>
      <w:r w:rsidR="00AE5544">
        <w:rPr>
          <w:b/>
          <w:sz w:val="28"/>
          <w:szCs w:val="28"/>
        </w:rPr>
        <w:t>behaviors towards intention to participate in river cleaning initiatives</w:t>
      </w:r>
    </w:p>
    <w:p w14:paraId="39F9F8C2" w14:textId="77777777" w:rsidR="00B263A8" w:rsidRPr="00AE5544" w:rsidRDefault="00B263A8" w:rsidP="00AE5544">
      <w:pPr>
        <w:jc w:val="center"/>
        <w:rPr>
          <w:color w:val="000000"/>
        </w:rPr>
      </w:pPr>
    </w:p>
    <w:p w14:paraId="641AF9E2" w14:textId="77777777" w:rsidR="00CB5897" w:rsidRPr="00AE5544" w:rsidRDefault="00CB5897" w:rsidP="00AE5544">
      <w:pPr>
        <w:ind w:left="2" w:hangingChars="1" w:hanging="2"/>
        <w:jc w:val="center"/>
        <w:rPr>
          <w:color w:val="000000"/>
        </w:rPr>
      </w:pPr>
      <w:r w:rsidRPr="00AE5544">
        <w:t>Suhailah Shamsudin</w:t>
      </w:r>
      <w:r w:rsidRPr="00AE5544">
        <w:rPr>
          <w:color w:val="000000"/>
          <w:vertAlign w:val="superscript"/>
        </w:rPr>
        <w:t>1</w:t>
      </w:r>
      <w:r w:rsidRPr="00AE5544">
        <w:rPr>
          <w:color w:val="000000"/>
        </w:rPr>
        <w:t xml:space="preserve">, </w:t>
      </w:r>
      <w:r w:rsidRPr="00AE5544">
        <w:t>A.Aldrie Amir</w:t>
      </w:r>
      <w:r w:rsidRPr="00AE5544">
        <w:rPr>
          <w:color w:val="000000"/>
          <w:vertAlign w:val="superscript"/>
        </w:rPr>
        <w:t>1</w:t>
      </w:r>
      <w:r w:rsidRPr="00AE5544">
        <w:rPr>
          <w:color w:val="000000"/>
        </w:rPr>
        <w:t xml:space="preserve">, </w:t>
      </w:r>
      <w:r w:rsidRPr="00AE5544">
        <w:t>Nor Azilah Husin</w:t>
      </w:r>
      <w:r w:rsidRPr="00AE5544">
        <w:rPr>
          <w:color w:val="000000"/>
          <w:vertAlign w:val="superscript"/>
        </w:rPr>
        <w:t>2</w:t>
      </w:r>
    </w:p>
    <w:p w14:paraId="79F13F5F" w14:textId="77777777" w:rsidR="00CB5897" w:rsidRPr="00AE5544" w:rsidRDefault="00CB5897" w:rsidP="00AE5544">
      <w:pPr>
        <w:ind w:hanging="2"/>
        <w:jc w:val="center"/>
        <w:rPr>
          <w:color w:val="000000"/>
        </w:rPr>
      </w:pPr>
    </w:p>
    <w:p w14:paraId="37190B69" w14:textId="77777777" w:rsidR="00CB5897" w:rsidRPr="00AE5544" w:rsidRDefault="00CB5897" w:rsidP="00AE5544">
      <w:pPr>
        <w:ind w:hanging="2"/>
        <w:jc w:val="center"/>
        <w:rPr>
          <w:color w:val="000000"/>
        </w:rPr>
      </w:pPr>
      <w:r w:rsidRPr="00AE5544">
        <w:rPr>
          <w:color w:val="000000"/>
          <w:vertAlign w:val="superscript"/>
        </w:rPr>
        <w:t>1</w:t>
      </w:r>
      <w:r w:rsidRPr="00AE5544">
        <w:rPr>
          <w:color w:val="000000"/>
        </w:rPr>
        <w:t>Institute of Environment and Development (LESTARI), Universiti Kebangsaan Malaysia</w:t>
      </w:r>
    </w:p>
    <w:p w14:paraId="56D78433" w14:textId="77777777" w:rsidR="00CB5897" w:rsidRPr="00AE5544" w:rsidRDefault="00CB5897" w:rsidP="00AE5544">
      <w:pPr>
        <w:ind w:hanging="2"/>
        <w:jc w:val="center"/>
        <w:rPr>
          <w:color w:val="000000"/>
        </w:rPr>
      </w:pPr>
      <w:r w:rsidRPr="00AE5544">
        <w:rPr>
          <w:color w:val="000000"/>
          <w:vertAlign w:val="superscript"/>
        </w:rPr>
        <w:t>2</w:t>
      </w:r>
      <w:r w:rsidRPr="00AE5544">
        <w:rPr>
          <w:color w:val="000000"/>
        </w:rPr>
        <w:t>School of Business and Social Sciences, Albukhary International University Malaysia</w:t>
      </w:r>
    </w:p>
    <w:p w14:paraId="24F77631" w14:textId="77777777" w:rsidR="00CB5897" w:rsidRPr="00AE5544" w:rsidRDefault="00CB5897" w:rsidP="00AE5544">
      <w:pPr>
        <w:ind w:hanging="2"/>
        <w:jc w:val="center"/>
        <w:rPr>
          <w:color w:val="000000"/>
        </w:rPr>
      </w:pPr>
    </w:p>
    <w:p w14:paraId="1AE91BD4" w14:textId="447DEB3A" w:rsidR="00B263A8" w:rsidRPr="00AE5544" w:rsidRDefault="00CB5897" w:rsidP="00AE5544">
      <w:pPr>
        <w:ind w:hanging="2"/>
        <w:jc w:val="center"/>
        <w:rPr>
          <w:color w:val="000000"/>
        </w:rPr>
      </w:pPr>
      <w:r w:rsidRPr="00AE5544">
        <w:rPr>
          <w:color w:val="000000"/>
        </w:rPr>
        <w:t xml:space="preserve">Correspondence: Suhailah Shamsudin (email: </w:t>
      </w:r>
      <w:r w:rsidRPr="00AE5544">
        <w:rPr>
          <w:iCs/>
          <w:color w:val="000000"/>
        </w:rPr>
        <w:t>elsuhailahshamsudin@gmail.com)</w:t>
      </w:r>
    </w:p>
    <w:p w14:paraId="74542FB3" w14:textId="77777777" w:rsidR="00B263A8" w:rsidRPr="00AE5544" w:rsidRDefault="00B263A8" w:rsidP="00AE5544">
      <w:pPr>
        <w:pStyle w:val="BodyText"/>
        <w:rPr>
          <w:sz w:val="22"/>
          <w:szCs w:val="22"/>
        </w:rPr>
      </w:pPr>
    </w:p>
    <w:p w14:paraId="6DEBC2A2" w14:textId="45E5CC00" w:rsidR="00C558FF" w:rsidRPr="00AE5544" w:rsidRDefault="00C558FF" w:rsidP="00AE5544">
      <w:r w:rsidRPr="00AE5544">
        <w:rPr>
          <w:lang w:val="ms-MY"/>
        </w:rPr>
        <w:t>Received: 9 April 2024</w:t>
      </w:r>
      <w:r w:rsidRPr="00AE5544">
        <w:rPr>
          <w:lang w:val="en-GB"/>
        </w:rPr>
        <w:t>; Accepted:</w:t>
      </w:r>
      <w:r w:rsidRPr="00AE5544">
        <w:rPr>
          <w:lang w:val="ms-MY"/>
        </w:rPr>
        <w:t xml:space="preserve"> 11 August 2024</w:t>
      </w:r>
      <w:r w:rsidRPr="00AE5544">
        <w:rPr>
          <w:lang w:val="en-GB"/>
        </w:rPr>
        <w:t xml:space="preserve">; Published: </w:t>
      </w:r>
      <w:r w:rsidRPr="00AE5544">
        <w:t>29 August 2024</w:t>
      </w:r>
    </w:p>
    <w:p w14:paraId="6E2FC840" w14:textId="77777777" w:rsidR="00B263A8" w:rsidRPr="00AE5544" w:rsidRDefault="00B263A8" w:rsidP="00AE5544">
      <w:pPr>
        <w:pStyle w:val="BodyText"/>
        <w:rPr>
          <w:sz w:val="22"/>
          <w:szCs w:val="22"/>
        </w:rPr>
      </w:pPr>
    </w:p>
    <w:p w14:paraId="3A222680" w14:textId="77777777" w:rsidR="00B263A8" w:rsidRPr="00AE5544" w:rsidRDefault="00B263A8" w:rsidP="00AE5544">
      <w:pPr>
        <w:pStyle w:val="BodyText"/>
        <w:rPr>
          <w:sz w:val="22"/>
          <w:szCs w:val="22"/>
        </w:rPr>
      </w:pPr>
    </w:p>
    <w:p w14:paraId="4B2BE207" w14:textId="77777777" w:rsidR="00B263A8" w:rsidRDefault="007107B4" w:rsidP="00AE5544">
      <w:pPr>
        <w:pStyle w:val="Heading2"/>
        <w:ind w:left="0"/>
      </w:pPr>
      <w:r>
        <w:t>Abstract</w:t>
      </w:r>
    </w:p>
    <w:p w14:paraId="6D8B051A" w14:textId="77777777" w:rsidR="00B263A8" w:rsidRDefault="00B263A8" w:rsidP="00AE5544">
      <w:pPr>
        <w:pStyle w:val="BodyText"/>
        <w:rPr>
          <w:b/>
          <w:sz w:val="23"/>
        </w:rPr>
      </w:pPr>
    </w:p>
    <w:p w14:paraId="094F9921" w14:textId="315C36A0" w:rsidR="00B263A8" w:rsidRDefault="000163F4" w:rsidP="00AE5544">
      <w:pPr>
        <w:pStyle w:val="BodyText"/>
      </w:pPr>
      <w:bookmarkStart w:id="0" w:name="_Hlk173087489"/>
      <w:r w:rsidRPr="000163F4">
        <w:t>River pollution is one of the common environmental issues. In Malaysia, the Klang River is known as one of the highest ranking rivers in the world contributing mismanaged plastic into the ocean, according to past researchers. In order to improve this situation, a non-structural approach in river conservation should be applied together with a structural approach. However, it will only be implemented successfully by the general public. This is because they play important roles in achieving river sustainability. By adopting green behaviors, the objective of this study is to predict the relationship between green self-efficacy (GSE) and green trust (GT) with the intention to participate in river cleaning initiatives. This study employs quantitative methods through a self-administered questionnaire. It involves 350 respondents from the Port Klang Area Fishermen's Association and the Selangor Recreational Boat Association (PBRS) who use the Klang River as their main route to the ocean. The respondents were randomly selected for the data collection process. The data was analyzed using SPSS to obtain preliminary data. The findings show that the reliability and validity of the instrument used is good and effective. GSE and GT have a relationship with the intention to participate in river cleaning initiatives. This study has the potential to provide information and understanding of human environmental behavior in addressing river pollution issues. Furthermore, it is anticipated that this study will serve as a crucial point of reference for scholars, authorities, and industry players in formulating holistic strategies and interventions that involve the general public to support sustainable river conservation</w:t>
      </w:r>
      <w:bookmarkEnd w:id="0"/>
      <w:r w:rsidR="007107B4">
        <w:t>.</w:t>
      </w:r>
    </w:p>
    <w:p w14:paraId="4DB24301" w14:textId="77777777" w:rsidR="00B263A8" w:rsidRDefault="00B263A8" w:rsidP="00AE5544">
      <w:pPr>
        <w:pStyle w:val="BodyText"/>
      </w:pPr>
    </w:p>
    <w:p w14:paraId="4AC16A29" w14:textId="45898067" w:rsidR="00B263A8" w:rsidRDefault="007107B4" w:rsidP="00AE5544">
      <w:pPr>
        <w:pStyle w:val="BodyText"/>
      </w:pPr>
      <w:r w:rsidRPr="00F7606F">
        <w:rPr>
          <w:b/>
        </w:rPr>
        <w:t>Keywords:</w:t>
      </w:r>
      <w:r>
        <w:rPr>
          <w:spacing w:val="-1"/>
        </w:rPr>
        <w:t xml:space="preserve"> </w:t>
      </w:r>
      <w:bookmarkStart w:id="1" w:name="_Hlk173087470"/>
      <w:r w:rsidR="00C02A27">
        <w:rPr>
          <w:spacing w:val="-1"/>
        </w:rPr>
        <w:t xml:space="preserve">Green </w:t>
      </w:r>
      <w:r w:rsidR="00F7606F">
        <w:rPr>
          <w:spacing w:val="-1"/>
        </w:rPr>
        <w:t xml:space="preserve">behavior, </w:t>
      </w:r>
      <w:r w:rsidR="00F7606F">
        <w:t>green self-efficacy, green trust</w:t>
      </w:r>
      <w:r w:rsidR="00F7606F">
        <w:rPr>
          <w:spacing w:val="-1"/>
        </w:rPr>
        <w:t xml:space="preserve">, </w:t>
      </w:r>
      <w:r w:rsidR="00F7606F">
        <w:t xml:space="preserve">intention to participate, self-determination theory, self-perception theory, </w:t>
      </w:r>
      <w:r w:rsidR="00F7606F">
        <w:rPr>
          <w:spacing w:val="-1"/>
        </w:rPr>
        <w:t>social study</w:t>
      </w:r>
      <w:bookmarkEnd w:id="1"/>
    </w:p>
    <w:p w14:paraId="31C521D7" w14:textId="77777777" w:rsidR="00171E49" w:rsidRDefault="00171E49" w:rsidP="00AE5544">
      <w:pPr>
        <w:pStyle w:val="BodyText"/>
        <w:rPr>
          <w:sz w:val="26"/>
        </w:rPr>
      </w:pPr>
    </w:p>
    <w:p w14:paraId="464F1C21" w14:textId="77777777" w:rsidR="00F7606F" w:rsidRDefault="00F7606F" w:rsidP="00AE5544">
      <w:pPr>
        <w:pStyle w:val="BodyText"/>
        <w:rPr>
          <w:sz w:val="22"/>
        </w:rPr>
      </w:pPr>
    </w:p>
    <w:p w14:paraId="0D7B24F7" w14:textId="77777777" w:rsidR="00B263A8" w:rsidRDefault="007107B4" w:rsidP="00AE5544">
      <w:pPr>
        <w:pStyle w:val="Heading2"/>
        <w:ind w:left="0"/>
      </w:pPr>
      <w:r>
        <w:t>Introduction</w:t>
      </w:r>
    </w:p>
    <w:p w14:paraId="4845DEEA" w14:textId="77777777" w:rsidR="00B263A8" w:rsidRDefault="00B263A8" w:rsidP="00AE5544">
      <w:pPr>
        <w:pStyle w:val="BodyText"/>
        <w:rPr>
          <w:b/>
          <w:sz w:val="23"/>
        </w:rPr>
      </w:pPr>
    </w:p>
    <w:p w14:paraId="3B857FEA" w14:textId="56CE32B0" w:rsidR="00B263A8" w:rsidRDefault="007107B4" w:rsidP="00AE5544">
      <w:pPr>
        <w:pStyle w:val="BodyText"/>
      </w:pPr>
      <w:bookmarkStart w:id="2" w:name="_Hlk173087432"/>
      <w:r>
        <w:t xml:space="preserve">The Klang River is the main river in the middle of Peninsular Malaysia, which flows through the capital cities in the Klang Valley </w:t>
      </w:r>
      <w:r w:rsidR="009E2864">
        <w:fldChar w:fldCharType="begin" w:fldLock="1"/>
      </w:r>
      <w:r w:rsidR="00FA169C">
        <w:instrText>ADDIN CSL_CITATION {"citationItems":[{"id":"ITEM-1","itemData":{"DOI":"10.1007/s10653-021-00872-8","ISSN":"1573-2983","abstract":"Microplastics have been considered as contaminants of emerging concern due to ubiquity in the environment; however, the occurrence of microplastics in river estuaries is scarcely investigated. The Klang River estuary is an important ecosystem that receives various contaminants from urbanised, highly populated areas and the busiest maritime centre in Selangor, Malaysia. This study investigates the abundance and characteristics of microplastics in surface water of the Klang River estuary. The abundance of microplastics ranged from 0.5 to 4.5 particles L–1 with a mean abundance of 2.47 particles L–1. There is no correlation between the abundance of microplastics and physicochemical properties, while there is a strong correlation between salinity and conductivity. The microplastics were characterised with a stereomicroscope and attenuated total reflection–Fourier transform infrared spectroscopy to analyse size, shape, colour, and polymer composition. The microplastics in the surface water were predominantly in the 300–1000 μm size class, followed by &gt; 1000 μm and &lt; 300 μm, and were mostly transparent fibres, fragments, and pellets. Polyamide and polyethylene were the main polymer types in the composition of the microplastics, suggesting that the microplastics originated from heavily urbanised and industrial locations such as the port, jetty, and residential areas. The widespread occurrence of microplastics in the environment and subsequent penetration of aquatic food webs may pose a serious threat to organisms. This study provides baseline data and a framework for further investigation of microplastic contamination in estuaries.","author":[{"dropping-particle":"","family":"Zaki","given":"Muhammad Rozaimi Mohd","non-dropping-particle":"","parse-names":false,"suffix":""},{"dropping-particle":"","family":"Ying","given":"Peh Xin","non-dropping-particle":"","parse-names":false,"suffix":""},{"dropping-particle":"","family":"Zainuddin","given":"Azim Haziq","non-dropping-particle":"","parse-names":false,"suffix":""},{"dropping-particle":"","family":"Razak","given":"Muhammad Raznisyafiq","non-dropping-particle":"","parse-names":false,"suffix":""},{"dropping-particle":"","family":"Aris","given":"Ahmad Zaharin","non-dropping-particle":"","parse-names":false,"suffix":""}],"container-title":"Environmental Geochemistry and Health","id":"ITEM-1","issue":"9","issued":{"date-parts":[["2021"]]},"page":"3733-3748","title":"Occurrence, abundance, and distribution of microplastics pollution: an evidence in surface tropical water of Klang River estuary, Malaysia","type":"article-journal","volume":"43"},"uris":["http://www.mendeley.com/documents/?uuid=2ee759af-67c8-4448-b399-74f1d16d98b5"]}],"mendeley":{"formattedCitation":"(Zaki et al., 2021)","plainTextFormattedCitation":"(Zaki et al., 2021)","previouslyFormattedCitation":"(Zaki et al., 2021)"},"properties":{"noteIndex":0},"schema":"https://github.com/citation-style-language/schema/raw/master/csl-citation.json"}</w:instrText>
      </w:r>
      <w:r w:rsidR="009E2864">
        <w:fldChar w:fldCharType="separate"/>
      </w:r>
      <w:r w:rsidR="000163F4" w:rsidRPr="000163F4">
        <w:rPr>
          <w:noProof/>
        </w:rPr>
        <w:t>(Zaki et al., 2021)</w:t>
      </w:r>
      <w:r w:rsidR="009E2864">
        <w:fldChar w:fldCharType="end"/>
      </w:r>
      <w:r w:rsidR="009E2864">
        <w:t xml:space="preserve">. </w:t>
      </w:r>
      <w:r>
        <w:t>The total length of the Klang River is 120km, with 11 tributaries, and it has a catchment area of approximately 1288km²</w:t>
      </w:r>
      <w:r w:rsidR="009E2864">
        <w:t xml:space="preserve"> </w:t>
      </w:r>
      <w:r w:rsidR="009E2864">
        <w:fldChar w:fldCharType="begin" w:fldLock="1"/>
      </w:r>
      <w:r w:rsidR="00FA169C">
        <w:instrText>ADDIN CSL_CITATION {"citationItems":[{"id":"ITEM-1","itemData":{"DOI":"10.1007/s10661-014-4182-y","ISSN":"15732959","PMID":"25433545","abstract":"This case study uses several univariate and multivariate statistical techniques to evaluate and interpret a water quality data set obtained from the Klang River basin located within the state of Selangor and the Federal Territory of Kuala Lumpur, Malaysia. The river drains an area of 1,288 km2, from the steep mountain rainforests of the main Central Range along Peninsular Malaysia to the river mouth in Port Klang, into the Straits of Malacca. Water quality was monitored at 20 stations, nine of which are situated along the main river and 11 along six tributaries. Data was collected from 1997 to 2007 for seven parameters used to evaluate the status of the water quality, namely dissolved oxygen, biochemical oxygen demand, chemical oxygen demand, suspended solids, ammoniacal nitrogen, pH, and temperature. The data were first investigated using descriptive statistical tools, followed by two practical multivariate analyses that reduced the data dimensions for better interpretation. The analyses employed were factor analysis and principal component analysis, which explain 60 and 81.6 % of the total variation in the data, respectively. We found that the resulting latent variables from the factor analysis are interpretable and beneficial for describing the water quality in the Klang River. This study presents the usefulness of several statistical methods in evaluating and interpreting water quality data for the purpose of monitoring the effectiveness of water resource management. The results should provide more straightforward data interpretation as well as valuable insight for managers to conceive optimum action plans for controlling pollution in river water.","author":[{"dropping-particle":"","family":"Mohamed","given":"Ibrahim","non-dropping-particle":"","parse-names":false,"suffix":""},{"dropping-particle":"","family":"Othman","given":"Faridah","non-dropping-particle":"","parse-names":false,"suffix":""},{"dropping-particle":"","family":"Ibrahim","given":"Adriana I.N.","non-dropping-particle":"","parse-names":false,"suffix":""},{"dropping-particle":"","family":"Alaa-Eldin","given":"M. E.","non-dropping-particle":"","parse-names":false,"suffix":""},{"dropping-particle":"","family":"Yunus","given":"Rossita M.","non-dropping-particle":"","parse-names":false,"suffix":""}],"container-title":"Environmental Monitoring and Assessment","id":"ITEM-1","issue":"1","issued":{"date-parts":[["2015"]]},"page":"1-12","title":"Assessment of water quality parameters using multivariate analysis for Klang River basin, Malaysia","type":"article","volume":"187"},"uris":["http://www.mendeley.com/documents/?uuid=f302c76b-fd92-44db-9647-cd65fb15e07d"]},{"id":"ITEM-2","itemData":{"DOI":"10.1007/s10653-021-00872-8","ISSN":"1573-2983","abstract":"Microplastics have been considered as contaminants of emerging concern due to ubiquity in the environment; however, the occurrence of microplastics in river estuaries is scarcely investigated. The Klang River estuary is an important ecosystem that receives various contaminants from urbanised, highly populated areas and the busiest maritime centre in Selangor, Malaysia. This study investigates the abundance and characteristics of microplastics in surface water of the Klang River estuary. The abundance of microplastics ranged from 0.5 to 4.5 particles L–1 with a mean abundance of 2.47 particles L–1. There is no correlation between the abundance of microplastics and physicochemical properties, while there is a strong correlation between salinity and conductivity. The microplastics were characterised with a stereomicroscope and attenuated total reflection–Fourier transform infrared spectroscopy to analyse size, shape, colour, and polymer composition. The microplastics in the surface water were predominantly in the 300–1000 μm size class, followed by &gt; 1000 μm and &lt; 300 μm, and were mostly transparent fibres, fragments, and pellets. Polyamide and polyethylene were the main polymer types in the composition of the microplastics, suggesting that the microplastics originated from heavily urbanised and industrial locations such as the port, jetty, and residential areas. The widespread occurrence of microplastics in the environment and subsequent penetration of aquatic food webs may pose a serious threat to organisms. This study provides baseline data and a framework for further investigation of microplastic contamination in estuaries.","author":[{"dropping-particle":"","family":"Zaki","given":"Muhammad Rozaimi Mohd","non-dropping-particle":"","parse-names":false,"suffix":""},{"dropping-particle":"","family":"Ying","given":"Peh Xin","non-dropping-particle":"","parse-names":false,"suffix":""},{"dropping-particle":"","family":"Zainuddin","given":"Azim Haziq","non-dropping-particle":"","parse-names":false,"suffix":""},{"dropping-particle":"","family":"Razak","given":"Muhammad Raznisyafiq","non-dropping-particle":"","parse-names":false,"suffix":""},{"dropping-particle":"","family":"Aris","given":"Ahmad Zaharin","non-dropping-particle":"","parse-names":false,"suffix":""}],"container-title":"Environmental Geochemistry and Health","id":"ITEM-2","issue":"9","issued":{"date-parts":[["2021"]]},"page":"3733-3748","title":"Occurrence, abundance, and distribution of microplastics pollution: an evidence in surface tropical water of Klang River estuary, Malaysia","type":"article-journal","volume":"43"},"uris":["http://www.mendeley.com/documents/?uuid=2ee759af-67c8-4448-b399-74f1d16d98b5"]}],"mendeley":{"formattedCitation":"(Mohamed et al., 2015; Zaki et al., 2021)","plainTextFormattedCitation":"(Mohamed et al., 2015; Zaki et al., 2021)","previouslyFormattedCitation":"(Mohamed et al., 2015; Zaki et al., 2021)"},"properties":{"noteIndex":0},"schema":"https://github.com/citation-style-language/schema/raw/master/csl-citation.json"}</w:instrText>
      </w:r>
      <w:r w:rsidR="009E2864">
        <w:fldChar w:fldCharType="separate"/>
      </w:r>
      <w:r w:rsidR="00FA169C" w:rsidRPr="00FA169C">
        <w:rPr>
          <w:noProof/>
        </w:rPr>
        <w:t>(Mohamed et al., 2015; Zaki et al., 2021)</w:t>
      </w:r>
      <w:r w:rsidR="009E2864">
        <w:fldChar w:fldCharType="end"/>
      </w:r>
      <w:r>
        <w:t>. The Klang Valley is the most populated area in Malaysia and is well developed with housing areas, industrial areas, commercial areas, and agricultural areas, which include land use activities such as solid waste disposal, sewage, aquaculture, animal husbandry, and more</w:t>
      </w:r>
      <w:r w:rsidR="009E2864">
        <w:t xml:space="preserve"> </w:t>
      </w:r>
      <w:r w:rsidR="009E2864">
        <w:fldChar w:fldCharType="begin" w:fldLock="1"/>
      </w:r>
      <w:r w:rsidR="00564A60">
        <w:instrText>ADDIN CSL_CITATION {"citationItems":[{"id":"ITEM-1","itemData":{"DOI":"10.1007/s10653-021-00872-8","ISSN":"1573-2983","abstract":"Microplastics have been considered as contaminants of emerging concern due to ubiquity in the environment; however, the occurrence of microplastics in river estuaries is scarcely investigated. The Klang River estuary is an important ecosystem that receives various contaminants from urbanised, highly populated areas and the busiest maritime centre in Selangor, Malaysia. This study investigates the abundance and characteristics of microplastics in surface water of the Klang River estuary. The abundance of microplastics ranged from 0.5 to 4.5 particles L–1 with a mean abundance of 2.47 particles L–1. There is no correlation between the abundance of microplastics and physicochemical properties, while there is a strong correlation between salinity and conductivity. The microplastics were characterised with a stereomicroscope and attenuated total reflection–Fourier transform infrared spectroscopy to analyse size, shape, colour, and polymer composition. The microplastics in the surface water were predominantly in the 300–1000 μm size class, followed by &gt; 1000 μm and &lt; 300 μm, and were mostly transparent fibres, fragments, and pellets. Polyamide and polyethylene were the main polymer types in the composition of the microplastics, suggesting that the microplastics originated from heavily urbanised and industrial locations such as the port, jetty, and residential areas. The widespread occurrence of microplastics in the environment and subsequent penetration of aquatic food webs may pose a serious threat to organisms. This study provides baseline data and a framework for further investigation of microplastic contamination in estuaries.","author":[{"dropping-particle":"","family":"Zaki","given":"Muhammad Rozaimi Mohd","non-dropping-particle":"","parse-names":false,"suffix":""},{"dropping-particle":"","family":"Ying","given":"Peh Xin","non-dropping-particle":"","parse-names":false,"suffix":""},{"dropping-particle":"","family":"Zainuddin","given":"Azim Haziq","non-dropping-particle":"","parse-names":false,"suffix":""},{"dropping-particle":"","family":"Razak","given":"Muhammad Raznisyafiq","non-dropping-particle":"","parse-names":false,"suffix":""},{"dropping-particle":"","family":"Aris","given":"Ahmad Zaharin","non-dropping-particle":"","parse-names":false,"suffix":""}],"container-title":"Environmental Geochemistry and Health","id":"ITEM-1","issue":"9","issued":{"date-parts":[["2021"]]},"page":"3733-3748","title":"Occurrence, abundance, and distribution of microplastics pollution: an evidence in surface tropical water of Klang River estuary, Malaysia","type":"article-journal","volume":"43"},"uris":["http://www.mendeley.com/documents/?uuid=2ee759af-67c8-4448-b399-74f1d16d98b5"]},{"id":"ITEM-2","itemData":{"ISBN":"9788578110796","ISSN":"1098-6596","PMID":"25246403","abstract":"Predicting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approach.","author":[{"dropping-particle":"","family":"UKM Pakarunding Sdn Bhd","given":"","non-dropping-particle":"","parse-names":false,"suffix":""}],"container-title":"Laporan Akhir","id":"ITEM-2","issue":"9","issued":{"date-parts":[["2017"]]},"number-of-pages":"1689-1699","title":"Kajian Penyediaan Pelan Pengurusan Lembangan Sungai Bersepadu Lembangan Sungai Klang (2016-2021)","type":"report","volume":"53"},"uris":["http://www.mendeley.com/documents/?uuid=02578935-f0f5-494a-a5a1-51d4549e0230"]}],"mendeley":{"formattedCitation":"(UKM Pakarunding Sdn Bhd, 2017; Zaki et al., 2021)","plainTextFormattedCitation":"(UKM Pakarunding Sdn Bhd, 2017; Zaki et al., 2021)","previouslyFormattedCitation":"(UKM Pakarunding Sdn Bhd, 2017; Zaki et al., 2021)"},"properties":{"noteIndex":0},"schema":"https://github.com/citation-style-language/schema/raw/master/csl-citation.json"}</w:instrText>
      </w:r>
      <w:r w:rsidR="009E2864">
        <w:fldChar w:fldCharType="separate"/>
      </w:r>
      <w:r w:rsidR="00FA169C" w:rsidRPr="00FA169C">
        <w:rPr>
          <w:noProof/>
        </w:rPr>
        <w:t>(UKM Pakarunding Sdn Bhd, 2017; Zaki et al., 2021)</w:t>
      </w:r>
      <w:r w:rsidR="009E2864">
        <w:fldChar w:fldCharType="end"/>
      </w:r>
      <w:r w:rsidR="009E2864">
        <w:t xml:space="preserve">. </w:t>
      </w:r>
      <w:r>
        <w:rPr>
          <w:lang w:val="en-GB"/>
        </w:rPr>
        <w:t>Moreover, data provided</w:t>
      </w:r>
      <w:r>
        <w:t xml:space="preserve"> </w:t>
      </w:r>
      <w:r>
        <w:rPr>
          <w:lang w:val="en-GB"/>
        </w:rPr>
        <w:t>by</w:t>
      </w:r>
      <w:r w:rsidR="009E2864">
        <w:rPr>
          <w:lang w:val="en-GB"/>
        </w:rPr>
        <w:t xml:space="preserve"> </w:t>
      </w:r>
      <w:r w:rsidR="009E2864">
        <w:rPr>
          <w:lang w:val="en-GB"/>
        </w:rPr>
        <w:fldChar w:fldCharType="begin" w:fldLock="1"/>
      </w:r>
      <w:r w:rsidR="009655B0">
        <w:rPr>
          <w:lang w:val="en-GB"/>
        </w:rPr>
        <w:instrText>ADDIN CSL_CITATION {"citationItems":[{"id":"ITEM-1","itemData":{"author":[{"dropping-particle":"","family":"Landasan Lumayan Sdn Bhd","given":"","non-dropping-particle":"","parse-names":false,"suffix":""}],"id":"ITEM-1","issued":{"date-parts":[["2022"]]},"number-of-pages":"1-10","publisher-place":"Shah Alam, Selangor","title":"Laporan Kerja-kerja Pembersihan 56km Jajaran Sungai Klang","type":"report"},"uris":["http://www.mendeley.com/documents/?uuid=877ba3c5-ad11-4786-b094-9a92a95103ca"]}],"mendeley":{"formattedCitation":"(Landasan Lumayan Sdn Bhd, 2022)","manualFormatting":"Landasan Lumayan Sdn Bhd (2022)","plainTextFormattedCitation":"(Landasan Lumayan Sdn Bhd, 2022)","previouslyFormattedCitation":"(Landasan Lumayan Sdn Bhd, 2022)"},"properties":{"noteIndex":0},"schema":"https://github.com/citation-style-language/schema/raw/master/csl-citation.json"}</w:instrText>
      </w:r>
      <w:r w:rsidR="009E2864">
        <w:rPr>
          <w:lang w:val="en-GB"/>
        </w:rPr>
        <w:fldChar w:fldCharType="separate"/>
      </w:r>
      <w:r w:rsidR="009E2864" w:rsidRPr="009E2864">
        <w:rPr>
          <w:noProof/>
          <w:lang w:val="en-GB"/>
        </w:rPr>
        <w:t xml:space="preserve">Landasan Lumayan Sdn Bhd </w:t>
      </w:r>
      <w:r w:rsidR="009E2864">
        <w:rPr>
          <w:noProof/>
          <w:lang w:val="en-GB"/>
        </w:rPr>
        <w:t>(</w:t>
      </w:r>
      <w:r w:rsidR="009E2864" w:rsidRPr="009E2864">
        <w:rPr>
          <w:noProof/>
          <w:lang w:val="en-GB"/>
        </w:rPr>
        <w:t>2022)</w:t>
      </w:r>
      <w:r w:rsidR="009E2864">
        <w:rPr>
          <w:lang w:val="en-GB"/>
        </w:rPr>
        <w:fldChar w:fldCharType="end"/>
      </w:r>
      <w:r>
        <w:t xml:space="preserve">  </w:t>
      </w:r>
      <w:r>
        <w:rPr>
          <w:lang w:val="en-GB"/>
        </w:rPr>
        <w:t>indicates</w:t>
      </w:r>
      <w:r>
        <w:t xml:space="preserve"> that the total collection of floating debris recorded from 2016 to 2021 is approximately 77,000 metric tonnes from the Klang River. Additionally, a desktop study by</w:t>
      </w:r>
      <w:r w:rsidR="00AE1267">
        <w:t xml:space="preserve"> </w:t>
      </w:r>
      <w:r w:rsidR="00AE1267">
        <w:fldChar w:fldCharType="begin" w:fldLock="1"/>
      </w:r>
      <w:r w:rsidR="00AE1267">
        <w:instrText>ADDIN CSL_CITATION {"citationItems":[{"id":"ITEM-1","itemData":{"URL":"https://theoceancleanup.com/sources/","accessed":{"date-parts":[["2022","3","14"]]},"author":[{"dropping-particle":"","family":"The Ocean Cleanup","given":"","non-dropping-particle":"","parse-names":false,"suffix":""}],"container-title":"The Ocean Cleanup River Plastic Emission to the World's Oceans","id":"ITEM-1","issued":{"date-parts":[["2020"]]},"title":"River Plastic Pollution Sources • The Ocean Cleanup","type":"webpage"},"uris":["http://www.mendeley.com/documents/?uuid=2840ddcf-caa8-3222-b6c0-feb1fc25d809"]}],"mendeley":{"formattedCitation":"(The Ocean Cleanup, 2020)","manualFormatting":"The Ocean Cleanup (2020)","plainTextFormattedCitation":"(The Ocean Cleanup, 2020)","previouslyFormattedCitation":"(The Ocean Cleanup, 2020)"},"properties":{"noteIndex":0},"schema":"https://github.com/citation-style-language/schema/raw/master/csl-citation.json"}</w:instrText>
      </w:r>
      <w:r w:rsidR="00AE1267">
        <w:fldChar w:fldCharType="separate"/>
      </w:r>
      <w:r w:rsidR="00AE1267" w:rsidRPr="00AE1267">
        <w:rPr>
          <w:noProof/>
        </w:rPr>
        <w:t xml:space="preserve">The Ocean Cleanup </w:t>
      </w:r>
      <w:r w:rsidR="00AE1267">
        <w:rPr>
          <w:noProof/>
        </w:rPr>
        <w:t>(</w:t>
      </w:r>
      <w:r w:rsidR="00AE1267" w:rsidRPr="00AE1267">
        <w:rPr>
          <w:noProof/>
        </w:rPr>
        <w:t>2020)</w:t>
      </w:r>
      <w:r w:rsidR="00AE1267">
        <w:fldChar w:fldCharType="end"/>
      </w:r>
      <w:r>
        <w:t xml:space="preserve"> has found that the Klang </w:t>
      </w:r>
      <w:r>
        <w:lastRenderedPageBreak/>
        <w:t xml:space="preserve">River contributes approximately 15,000 metric tonnes per year of mismanaged plastic into the ocean. </w:t>
      </w:r>
      <w:r>
        <w:rPr>
          <w:lang w:val="en-GB"/>
        </w:rPr>
        <w:t>As a result,</w:t>
      </w:r>
      <w:r>
        <w:t xml:space="preserve"> Klang River </w:t>
      </w:r>
      <w:r>
        <w:rPr>
          <w:lang w:val="en-GB"/>
        </w:rPr>
        <w:t xml:space="preserve">emerged as </w:t>
      </w:r>
      <w:r>
        <w:t>one of the highest-ranked contributors of plastic emission in the world</w:t>
      </w:r>
      <w:r w:rsidR="00AE1267">
        <w:t xml:space="preserve"> </w:t>
      </w:r>
      <w:r w:rsidR="00AE1267">
        <w:fldChar w:fldCharType="begin" w:fldLock="1"/>
      </w:r>
      <w:r w:rsidR="00AE1267">
        <w:instrText>ADDIN CSL_CITATION {"citationItems":[{"id":"ITEM-1","itemData":{"DOI":"10.1126/sciadv.aaz5803","ISSN":"23752548","PMID":"33931460","abstract":"Plastic waste increasingly accumulates in the marine environment, but data on the distribution and quantification of riverine sources required for development of effective mitigation are limited. Our model approach includes geographically distributed data on plastic waste, land use, wind, precipitation, and rivers and calculates the probability for plastic waste to reach a river and subsequently the ocean. This probabilistic approach highlights regions that are likely to emit plastic into the ocean. We calibrated our model using recent field observations and show that emissions are distributed over more rivers than previously thought by up to two orders of magnitude. We estimate that more than 1000 rivers account for 80% of global annual emissions, which range between 0.8 million and 2.7 million metric tons per year, with small urban rivers among the most polluting. These high-resolution data allow for the focused development of mitigation strategies and technologies to reduce riverine plastic emissions.","author":[{"dropping-particle":"","family":"Meijer","given":"Lourens J.J.","non-dropping-particle":"","parse-names":false,"suffix":""},{"dropping-particle":"","family":"Emmerik","given":"Tim","non-dropping-particle":"van","parse-names":false,"suffix":""},{"dropping-particle":"","family":"Ent","given":"Ruud","non-dropping-particle":"van der","parse-names":false,"suffix":""},{"dropping-particle":"","family":"Schmidt","given":"Christian","non-dropping-particle":"","parse-names":false,"suffix":""},{"dropping-particle":"","family":"Lebreton","given":"Laurent","non-dropping-particle":"","parse-names":false,"suffix":""}],"container-title":"Science Advances","id":"ITEM-1","issue":"18","issued":{"date-parts":[["2021"]]},"page":"1-14","title":"More than 1000 rivers account for 80% of global riverine plastic emissions into the ocean","type":"article-journal","volume":"7"},"uris":["http://www.mendeley.com/documents/?uuid=03b704b1-c095-4e7c-a189-ad24a05d1e67"]},{"id":"ITEM-2","itemData":{"URL":"https://ourworldindata.org/plastic-pollution","accessed":{"date-parts":[["2023","4","2"]]},"author":[{"dropping-particle":"","family":"Ritchie","given":"Hannah","non-dropping-particle":"","parse-names":false,"suffix":""},{"dropping-particle":"","family":"Roser","given":"Max","non-dropping-particle":"","parse-names":false,"suffix":""}],"container-title":"Our World in Data","id":"ITEM-2","issued":{"date-parts":[["2018"]]},"title":"Plastic Pollution","type":"webpage"},"uris":["http://www.mendeley.com/documents/?uuid=3cbed3a9-a2d4-4a61-993b-7b26adec5642"]},{"id":"ITEM-3","itemData":{"DOI":"10.1088/1748-9326/ab5468","abstract":"Plastic pollution in the marine environment is an urgent global environmental challenge. Land-based plastics, emitted into the ocean through rivers, are believed to be the main source of marine plastic litter. According to the latest model-based estimates, most riverine plastics are emitted in Asia. However, the exact amount of global riverine plastic emission remains uncertain due to a severe lack of observation. Field-based studies are rare in numbers, focused on rivers in Europe and North America and used strongly varying data collection methods. We present a harmonized assessment of floating macroplastic transport from observations at 24 locations in rivers in seven countries in Europe and Asia. Visual counting and debris sampling were used to assess (1) magnitude of plastic transport, (2) the spatial distribution across the river width, and (3) the plastic polymer composition. Several waterways in Indonesia and Vietnam contain up to four orders of magnitude more plastic than waterways in Italy, France, and The Netherlands in terms of plastic items per hour. We present a first transcontinental overview of plastic transport, providing observational evidence that, for the sampled rivers, Asian rivers transport considerably more plastics towards the ocean. New insights are presented in the magnitude, composition, and spatiotemporal variation of riverine plastic debris. We emphasize the urgent need for more long-term monitoring efforts. Accurate data on riverine plastic debris are extremely important to improve global and local modeling approaches and to optimize prevention and collection strategies.","author":[{"dropping-particle":"","family":"Calcar","given":"C J","non-dropping-particle":"van","parse-names":false,"suffix":""},{"dropping-particle":"","family":"Emmerik","given":"T H M","non-dropping-particle":"van","parse-names":false,"suffix":""}],"container-title":"Environmental Research Letters","id":"ITEM-3","issue":"12","issued":{"date-parts":[["2019"]]},"page":"124051","publisher":"IOP Publishing","title":"Abundance of plastic debris across European and Asian rivers","type":"article-journal","volume":"14"},"uris":["http://www.mendeley.com/documents/?uuid=972aca98-d34f-4187-9ba6-23be38b3098d"]}],"mendeley":{"formattedCitation":"(Meijer et al., 2021; Ritchie &amp; Roser, 2018; van Calcar &amp; van Emmerik, 2019)","plainTextFormattedCitation":"(Meijer et al., 2021; Ritchie &amp; Roser, 2018; van Calcar &amp; van Emmerik, 2019)","previouslyFormattedCitation":"(Meijer et al., 2021; Ritchie &amp; Roser, 2018; van Calcar &amp; van Emmerik, 2019)"},"properties":{"noteIndex":0},"schema":"https://github.com/citation-style-language/schema/raw/master/csl-citation.json"}</w:instrText>
      </w:r>
      <w:r w:rsidR="00AE1267">
        <w:fldChar w:fldCharType="separate"/>
      </w:r>
      <w:r w:rsidR="00AE1267" w:rsidRPr="00AE1267">
        <w:rPr>
          <w:noProof/>
        </w:rPr>
        <w:t>(Meijer et al., 2021; Ritchie &amp; Roser, 2018; van Calcar &amp; van Emmerik, 2019)</w:t>
      </w:r>
      <w:r w:rsidR="00AE1267">
        <w:fldChar w:fldCharType="end"/>
      </w:r>
      <w:r w:rsidR="00AE1267">
        <w:t xml:space="preserve">. </w:t>
      </w:r>
      <w:r>
        <w:t xml:space="preserve">Thus, it is not surprising that the amount of floating debris is found to be extremely high and the water quality in the Klang River is </w:t>
      </w:r>
      <w:r>
        <w:rPr>
          <w:lang w:val="en-GB"/>
        </w:rPr>
        <w:t xml:space="preserve">notably </w:t>
      </w:r>
      <w:r w:rsidR="00AE1267">
        <w:rPr>
          <w:lang w:val="en-GB"/>
        </w:rPr>
        <w:fldChar w:fldCharType="begin" w:fldLock="1"/>
      </w:r>
      <w:r w:rsidR="00AE1267">
        <w:rPr>
          <w:lang w:val="en-GB"/>
        </w:rPr>
        <w:instrText>ADDIN CSL_CITATION {"citationItems":[{"id":"ITEM-1","itemData":{"author":[{"dropping-particle":"","family":"IGS Consultant","given":"","non-dropping-particle":"","parse-names":false,"suffix":""}],"id":"ITEM-1","issued":{"date-parts":[["2018"]]},"number-of-pages":"1-259","title":"Laporan Akhir Kerja-kerja Penyediaan Pemetaan dan Inventori Aktiviti Guna Tanah di Sungai Sembah dan Anak-anak sungainya, Sungai Klang, Sungai Damansara, Sungai Semenyih, Sungai Rinching dan Sungai Beranang untuk Lembaga Urus Air Selangor","type":"report"},"uris":["http://www.mendeley.com/documents/?uuid=f235d1fc-4e09-423c-8429-c1996efa3fd6"]},{"id":"ITEM-2","itemData":{"URL":"https://www.selangormaritimegateway.com/about-us/selangor-maritime-gateway/","accessed":{"date-parts":[["2020","12","28"]]},"author":[{"dropping-particle":"","family":"Landasan Lumayan Sdn Bhd","given":"","non-dropping-particle":"","parse-names":false,"suffix":""}],"container-title":"Landasan Lumayan Sdn Bhd","id":"ITEM-2","issued":{"date-parts":[["2018"]]},"title":"Master plan - Selangor Maritime Gateway","type":"webpage"},"uris":["http://www.mendeley.com/documents/?uuid=53630723-3b5a-3da2-926c-49a1b64dcb94"]}],"mendeley":{"formattedCitation":"(IGS Consultant, 2018; Landasan Lumayan Sdn Bhd, 2018)","plainTextFormattedCitation":"(IGS Consultant, 2018; Landasan Lumayan Sdn Bhd, 2018)","previouslyFormattedCitation":"(IGS Consultant, 2018; Landasan Lumayan Sdn Bhd, 2018)"},"properties":{"noteIndex":0},"schema":"https://github.com/citation-style-language/schema/raw/master/csl-citation.json"}</w:instrText>
      </w:r>
      <w:r w:rsidR="00AE1267">
        <w:rPr>
          <w:lang w:val="en-GB"/>
        </w:rPr>
        <w:fldChar w:fldCharType="separate"/>
      </w:r>
      <w:r w:rsidR="00AE1267" w:rsidRPr="00AE1267">
        <w:rPr>
          <w:noProof/>
          <w:lang w:val="en-GB"/>
        </w:rPr>
        <w:t>(IGS Consultant, 2018; Landasan Lumayan Sdn Bhd, 2018)</w:t>
      </w:r>
      <w:r w:rsidR="00AE1267">
        <w:rPr>
          <w:lang w:val="en-GB"/>
        </w:rPr>
        <w:fldChar w:fldCharType="end"/>
      </w:r>
      <w:r w:rsidR="00AE1267">
        <w:t>.</w:t>
      </w:r>
    </w:p>
    <w:p w14:paraId="0B8903BC" w14:textId="719ADFEF" w:rsidR="00B263A8" w:rsidRDefault="007107B4" w:rsidP="00AE5544">
      <w:pPr>
        <w:pStyle w:val="BodyText"/>
        <w:ind w:firstLine="427"/>
      </w:pPr>
      <w:r>
        <w:t>In 2016, the Selangor State Government took action with extensive effort through the Selangor Maritime Gateway (SMG) Project to rejuvenate the Klang River</w:t>
      </w:r>
      <w:r w:rsidR="00AE1267">
        <w:t xml:space="preserve"> </w:t>
      </w:r>
      <w:r w:rsidR="00AE1267">
        <w:fldChar w:fldCharType="begin" w:fldLock="1"/>
      </w:r>
      <w:r w:rsidR="006E7422">
        <w:instrText>ADDIN CSL_CITATION {"citationItems":[{"id":"ITEM-1","itemData":{"author":[{"dropping-particle":"","family":"Ali","given":"Mohamed Azmin","non-dropping-particle":"","parse-names":false,"suffix":""}],"id":"ITEM-1","issued":{"date-parts":[["2015"]]},"page":"1-133","publisher":"Pejabat Setiausaha Kerajaan Negeri Selangor","title":"Budget Speech: Membangun Smart Selangor Yang Peduli","type":"speech"},"uris":["http://www.mendeley.com/documents/?uuid=ba100bf8-87b0-49ce-a5c7-cb01b899f32c"]}],"mendeley":{"formattedCitation":"(Ali, 2015)","plainTextFormattedCitation":"(Ali, 2015)","previouslyFormattedCitation":"(Ali, 2015)"},"properties":{"noteIndex":0},"schema":"https://github.com/citation-style-language/schema/raw/master/csl-citation.json"}</w:instrText>
      </w:r>
      <w:r w:rsidR="00AE1267">
        <w:fldChar w:fldCharType="separate"/>
      </w:r>
      <w:r w:rsidR="00AE1267" w:rsidRPr="00AE1267">
        <w:rPr>
          <w:noProof/>
        </w:rPr>
        <w:t>(Ali, 2015)</w:t>
      </w:r>
      <w:r w:rsidR="00AE1267">
        <w:fldChar w:fldCharType="end"/>
      </w:r>
      <w:r>
        <w:t>. A wholly owned company of Menteri Besar Selangor Incorporated, namely Landasan Lumayan Sdn Bhd (LLSB), was mandated by the Selangor State to carry out responsibilities which include river cleaning, river rehabilitation, river development, and river connectivity of 56km of the Klang River</w:t>
      </w:r>
      <w:r w:rsidR="00AE1267">
        <w:t xml:space="preserve"> </w:t>
      </w:r>
      <w:r w:rsidR="006E7422">
        <w:fldChar w:fldCharType="begin" w:fldLock="1"/>
      </w:r>
      <w:r w:rsidR="006E7422">
        <w:instrText>ADDIN CSL_CITATION {"citationItems":[{"id":"ITEM-1","itemData":{"URL":"https://www.mbiselangor.com/ms/subsidiaries/landasan-lumayan-sdn-bhd/","accessed":{"date-parts":[["2023","2","1"]]},"author":[{"dropping-particle":"","family":"Menteri Besar Incorporated Selangor","given":"","non-dropping-particle":"","parse-names":false,"suffix":""}],"container-title":"mbiselangor","id":"ITEM-1","issued":{"date-parts":[["2012"]]},"title":"Anak-anak Syarikat MBI Kluster Komersial","type":"webpage"},"uris":["http://www.mendeley.com/documents/?uuid=8862af5f-0514-46b7-9e2b-a689fcdf1fdd"]},{"id":"ITEM-2","itemData":{"ISBN":"9788578110796","ISSN":"14203049","PMID":"25246403","author":[{"dropping-particle":"","family":"Mohd Dahlan","given":"Aslynda","non-dropping-particle":"","parse-names":false,"suffix":""}],"container-title":"Universiti Teknologi Malaysia","id":"ITEM-2","issued":{"date-parts":[["2020"]]},"number-of-pages":"1-79","publisher":"Universiti Teknologi Malaysia","title":"LANGKAH-LANGKAH MENGATASI MASALAH PENCEMARAN SUNGAI MELALUI GERBANG MARITIM SELANGOR KE ARAH KELESTARIAN SUNGAI KLANG","type":"thesis"},"uris":["http://www.mendeley.com/documents/?uuid=9df2a245-ecdf-4ae5-bda2-46b104836a94"]}],"mendeley":{"formattedCitation":"(Menteri Besar Incorporated Selangor, 2012; Mohd Dahlan, 2020)","plainTextFormattedCitation":"(Menteri Besar Incorporated Selangor, 2012; Mohd Dahlan, 2020)","previouslyFormattedCitation":"(Menteri Besar Incorporated Selangor, 2012; Mohd Dahlan, 2020)"},"properties":{"noteIndex":0},"schema":"https://github.com/citation-style-language/schema/raw/master/csl-citation.json"}</w:instrText>
      </w:r>
      <w:r w:rsidR="006E7422">
        <w:fldChar w:fldCharType="separate"/>
      </w:r>
      <w:r w:rsidR="006E7422" w:rsidRPr="006E7422">
        <w:rPr>
          <w:noProof/>
        </w:rPr>
        <w:t>(Menteri Besar Incorporated Selangor, 2012; Mohd Dahlan, 2020)</w:t>
      </w:r>
      <w:r w:rsidR="006E7422">
        <w:fldChar w:fldCharType="end"/>
      </w:r>
      <w:r w:rsidR="006E7422">
        <w:t xml:space="preserve">. </w:t>
      </w:r>
      <w:r>
        <w:t>The establishment of LLSB has brought together and further strengthened the cooperation of all government bodies, local authorities, corporations, and non-governmental bodies involved in river preservation</w:t>
      </w:r>
      <w:r w:rsidR="006E7422">
        <w:t xml:space="preserve"> </w:t>
      </w:r>
      <w:r w:rsidR="006E7422">
        <w:fldChar w:fldCharType="begin" w:fldLock="1"/>
      </w:r>
      <w:r w:rsidR="006E7422">
        <w:instrText>ADDIN CSL_CITATION {"citationItems":[{"id":"ITEM-1","itemData":{"author":[{"dropping-particle":"","family":"Ali","given":"Mohamed Azmin","non-dropping-particle":"","parse-names":false,"suffix":""}],"id":"ITEM-1","issued":{"date-parts":[["2015"]]},"page":"1-133","publisher":"Pejabat Setiausaha Kerajaan Negeri Selangor","title":"Budget Speech: Membangun Smart Selangor Yang Peduli","type":"speech"},"uris":["http://www.mendeley.com/documents/?uuid=ba100bf8-87b0-49ce-a5c7-cb01b899f32c"]},{"id":"ITEM-2","itemData":{"DOI":"10.17576/geo-2022-1803-04","abstract":"Water pollution causes serious damage to people's lives, health and safety. As a prominent issue impacting social stability and development, protests to water pollution issues have become a great challenge for governments at all levels in recent years. This study aims to analyze the complex behaviour mechanism between participants and government, which is of great significance to the prevention and treatment of such incidents. This paper also discusses the cooperative and interactive relationship between government and society in the governance structure. In order to clarify the research progress of water pollution protest in the past decade, a systematic review has been used to identify 40 research papers related to social and governmental environmental negotiation mechanisms of water pollution events from the CNKI, SCOPUS, EIVL-LAGE2 and other databases. As a single management subject, a government can neither realize the efficiency and fairness of water resources allocation, nor effectively coordinate the contradictions among stakeholders such as the government, enterprises and the public. In order to protect the public's right to know, government must improve information disclosure, which also provides theoretical support for the government and relevant departments to control such events. Finally, the cooperative governance between government and society in water pollution events should be strengthened to improve the democratic governance ability of the government and achieve social governance innovation. Therefore, society-government cooperation should be taken as the breakthrough point, establish the concept of effective participation between government, enterprises and the public in the joint treatment of water pollution events. The study can be act as a reference for local authorities to better manage water pollution incidents with the public. PU - UNIV KEBANGSAAN MALAYSIA, FAC SOCIAL SCIENCES &amp; HUMANITIES PI - SELANGOR PA - UNIV KEBANGSAAN MALAYSIA, FAC SOCIAL SCIENCES &amp; HUMANITIES, BANGI, SELANGOR, 43600, MALAYSIA","author":[{"dropping-particle":"","family":"Jiao","given":"Yijuan","non-dropping-particle":"","parse-names":false,"suffix":""},{"dropping-particle":"","family":"Leong Tan","given":"Mou","non-dropping-particle":"","parse-names":false,"suffix":""},{"dropping-particle":"","family":"Yusof","given":"Nooriah","non-dropping-particle":"","parse-names":false,"suffix":""},{"dropping-particle":"","family":"Ghazali","given":"Suriati","non-dropping-particle":"","parse-names":false,"suffix":""}],"container-title":"Malaysian Journal of Society and Space","id":"ITEM-2","issue":"3","issued":{"date-parts":[["2022"]]},"page":"57-71","title":"A review of behaviour mechanisms between government and society in bargaining water pollution issues","type":"article-journal","volume":"18"},"uris":["http://www.mendeley.com/documents/?uuid=6105dacf-02f2-4dd3-80b8-0e3ce1235191"]}],"mendeley":{"formattedCitation":"(Ali, 2015; Jiao et al., 2022)","plainTextFormattedCitation":"(Ali, 2015; Jiao et al., 2022)","previouslyFormattedCitation":"(Ali, 2015; Jiao et al., 2022)"},"properties":{"noteIndex":0},"schema":"https://github.com/citation-style-language/schema/raw/master/csl-citation.json"}</w:instrText>
      </w:r>
      <w:r w:rsidR="006E7422">
        <w:fldChar w:fldCharType="separate"/>
      </w:r>
      <w:r w:rsidR="006E7422" w:rsidRPr="006E7422">
        <w:rPr>
          <w:noProof/>
        </w:rPr>
        <w:t>(Ali, 2015; Jiao et al., 2022)</w:t>
      </w:r>
      <w:r w:rsidR="006E7422">
        <w:fldChar w:fldCharType="end"/>
      </w:r>
      <w:r w:rsidR="006E7422">
        <w:t xml:space="preserve">. </w:t>
      </w:r>
      <w:r w:rsidR="00830B3E" w:rsidRPr="00830B3E">
        <w:t>This is supported by Husin et al. (2021)</w:t>
      </w:r>
      <w:r w:rsidR="00FD3C6B">
        <w:t>,</w:t>
      </w:r>
      <w:r w:rsidR="00830B3E" w:rsidRPr="00830B3E">
        <w:t xml:space="preserve"> Husin</w:t>
      </w:r>
      <w:r w:rsidR="003E0372">
        <w:t xml:space="preserve"> </w:t>
      </w:r>
      <w:r w:rsidR="00830B3E" w:rsidRPr="00830B3E">
        <w:t>et al. (2021)</w:t>
      </w:r>
      <w:r w:rsidR="00FD3C6B">
        <w:t xml:space="preserve"> and</w:t>
      </w:r>
      <w:r w:rsidR="00830B3E" w:rsidRPr="00830B3E">
        <w:t xml:space="preserve"> Noor (2019)</w:t>
      </w:r>
      <w:r w:rsidR="00830B3E">
        <w:t>,</w:t>
      </w:r>
      <w:r>
        <w:t xml:space="preserve"> who </w:t>
      </w:r>
      <w:r>
        <w:rPr>
          <w:lang w:val="en-GB"/>
        </w:rPr>
        <w:t>emphasized</w:t>
      </w:r>
      <w:r>
        <w:t xml:space="preserve"> that cross-sectoral collaboration is needed because strategically held cooperation involves the role of stakeholders, the public sector, and the private sector through legislation, increasing public awareness, training, and education in dealing with river pollution issues. All of these fall under non-structural measures of the river cleaning initiative.</w:t>
      </w:r>
    </w:p>
    <w:p w14:paraId="226100F7" w14:textId="25B0B342" w:rsidR="00B263A8" w:rsidRDefault="007107B4" w:rsidP="00AE5544">
      <w:pPr>
        <w:pStyle w:val="BodyText"/>
        <w:ind w:firstLine="427"/>
      </w:pPr>
      <w:r>
        <w:t>Besides cross-sectoral collaboration, a public outreach program is also a non-structural measure. A public outreach program involves efforts to educate the public on the importance of clean rivers and to shift mindsets and behaviors towards responsible waste management for a more sustainable society</w:t>
      </w:r>
      <w:r w:rsidR="00A14834">
        <w:t xml:space="preserve"> </w:t>
      </w:r>
      <w:r w:rsidR="00A14834">
        <w:fldChar w:fldCharType="begin" w:fldLock="1"/>
      </w:r>
      <w:r w:rsidR="003E0372">
        <w:instrText>ADDIN CSL_CITATION {"citationItems":[{"id":"ITEM-1","itemData":{"DOI":"10.1007/978-3-030-32816-0_87","ISBN":"9783030328160","ISSN":"23662565","abstract":"The state of Kelantan in Malaysia is a flood-prone state exposed to seasonal Monsoon rains that bring seasonal floods resulting in significantly losses. Flood management in the state is modelled after the country’s predominant government-centric top-down approach focused on flood-control technologies via structural measures such as multi-purpose dams, levees, embankments, tidal gates, diversion channels and others. These structural measures do not engage the public who fail to understand the measures leading to lack of confidence, misunderstanding and mistrust. This results in ineffectiveness of the measures leading to greater flood losses. In contrast, local communities are familiar with non-structural measures which they have long used to adapt to floods. These measures are also relatively simple, cost-effective and easily implementable over a short period of time. Both measures, however, must engage the public/victims in all phases of the flood disaster cycle. Balancing both types of flood management measures is the key to more effective management. A combination of structural and non-structural measures is the way forward for Kelantan State as it ensures that government structural measures are effectively supported by public-engaged non-structural measures.","author":[{"dropping-particle":"","family":"Chan","given":"Ngai Weng","non-dropping-particle":"","parse-names":false,"suffix":""},{"dropping-particle":"","family":"Ghani","given":"Aminuddin Ab","non-dropping-particle":"","parse-names":false,"suffix":""},{"dropping-particle":"","family":"Samat","given":"Narimah","non-dropping-particle":"","parse-names":false,"suffix":""},{"dropping-particle":"","family":"Hasan","given":"Nik Norma Nik","non-dropping-particle":"","parse-names":false,"suffix":""},{"dropping-particle":"","family":"Tan","given":"Mou Leong","non-dropping-particle":"","parse-names":false,"suffix":""}],"container-title":"Lecture Notes in Civil Engineering","id":"ITEM-1","issue":"January","issued":{"date-parts":[["2020"]]},"page":"1151-1162","title":"Integrating Structural and Non-structural Flood Management Measures for Greater Effectiveness in Flood Loss Reduction in the Kelantan River Basin, Malaysia","type":"article-journal","volume":"53"},"uris":["http://www.mendeley.com/documents/?uuid=cf57a244-93a4-4133-96fd-9be483df41b7"]},{"id":"ITEM-2","itemData":{"DOI":"10.21834/ajebs.v6i19.393","abstract":"The pollution level in the Klang River is high. The state government is working to address this issue. The study aims to determine the sustainability of the river through non-structural interventions and public outreach initiatives. Lembaga Urus Air Selangor (LUAS), Department of Irrigation and Drainage (DID), Klang Local Council (MPK), and Shah Alam Local Council (MBSA) provided a total of 82 accessible data. The river community and completed an adapted questionnaire. The persons in charge of river cleaning in related sectors. For the study, SPSS Version 22.00 is used to analyse data. The finding showed that Cross-sectoral Collaboration (CSC) and Public Outreach Programme (POP) significantly roles on Sustainable River Cleaning.","author":[{"dropping-particle":"","family":"Husin","given":"Nor Azilah","non-dropping-particle":"","parse-names":false,"suffix":""},{"dropping-particle":"","family":"Mariyanti","given":"Eka","non-dropping-particle":"","parse-names":false,"suffix":""},{"dropping-particle":"","family":"Saad","given":"Mazni","non-dropping-particle":"","parse-names":false,"suffix":""},{"dropping-particle":"","family":"Noor","given":"Ahmad Fuad","non-dropping-particle":"","parse-names":false,"suffix":""}],"container-title":"Asian Journal of Environment-Behaviour Studies","id":"ITEM-2","issue":"19","issued":{"date-parts":[["2021"]]},"page":"57-69","title":"Sustainable River: The role of non-structural measures and public outreach programmes","type":"article-journal","volume":"6"},"uris":["http://www.mendeley.com/documents/?uuid=1a9b98c8-c75f-4af1-abab-a515a5bb4e06"]},{"id":"ITEM-3","itemData":{"DOI":"10.21834/ebpj.v6i16.2688","ISSN":"2398-4287","abstract":"Klang River is heavily polluted. The state government tries to reduce this issue. The study's objective is to identify river cleaning's effectiveness by the non-structural measures of cross-sectoral collaboration and public outreach programs. A total of 82 usable data from Lembaga Urus Air Selangor (LUAS), Department of Irrigation and Drainage (DID), Klang Local Council (MPK), Shah Alam Local Council (MBSA) and the river community have answered an adapted questionnaire. We employ SmartPLS software for the analysis. The results show that Cross-sectoral Collaboration (CSC) and Public Outreach Program (POP) have significant effects on Effective River Cleaning (ERC).","author":[{"dropping-particle":"","family":"Husin","given":"Nor Azilah","non-dropping-particle":"","parse-names":false,"suffix":""},{"dropping-particle":"","family":"Noor","given":"Ahmad Fuad","non-dropping-particle":"","parse-names":false,"suffix":""},{"dropping-particle":"","family":"Saad","given":"Mazni","non-dropping-particle":"","parse-names":false,"suffix":""},{"dropping-particle":"","family":"Mariyanti","given":"Eka","non-dropping-particle":"","parse-names":false,"suffix":""}],"container-title":"Environment-Behaviour Proceedings Journal","id":"ITEM-3","issue":"16","issued":{"date-parts":[["2021"]]},"page":"229-235","publisher":"e-IPH Ltd.","title":"Assessing the Effectiveness of the Non-Structural Measures for River Cleaning","type":"paper-conference","volume":"6"},"uris":["http://www.mendeley.com/documents/?uuid=82de0d12-b4a3-4fdb-828c-574cd24a3156"]}],"mendeley":{"formattedCitation":"(Chan et al., 2020; Husin, Mariyanti, et al., 2021; Husin, Noor, et al., 2021)","manualFormatting":"(Chan et al., 2020; Husin et al., 2021; Husin et al., 2021)","plainTextFormattedCitation":"(Chan et al., 2020; Husin, Mariyanti, et al., 2021; Husin, Noor, et al., 2021)","previouslyFormattedCitation":"(Chan et al., 2020; Husin, Mariyanti, et al., 2021; Husin, Noor, et al., 2021)"},"properties":{"noteIndex":0},"schema":"https://github.com/citation-style-language/schema/raw/master/csl-citation.json"}</w:instrText>
      </w:r>
      <w:r w:rsidR="00A14834">
        <w:fldChar w:fldCharType="separate"/>
      </w:r>
      <w:r w:rsidR="00A14834" w:rsidRPr="00A14834">
        <w:rPr>
          <w:noProof/>
        </w:rPr>
        <w:t>(Chan et al., 2020; Husin et al., 2021; Husin et al., 2021)</w:t>
      </w:r>
      <w:r w:rsidR="00A14834">
        <w:fldChar w:fldCharType="end"/>
      </w:r>
      <w:r w:rsidR="00A14834">
        <w:t xml:space="preserve">. </w:t>
      </w:r>
      <w:r>
        <w:t xml:space="preserve">However, the effectiveness of these efforts requires </w:t>
      </w:r>
      <w:r w:rsidR="00830B3E">
        <w:t>general public</w:t>
      </w:r>
      <w:r>
        <w:t xml:space="preserve"> involvement, including the local community living along the river. Past research has shown that </w:t>
      </w:r>
      <w:r w:rsidR="00830B3E">
        <w:t>general public</w:t>
      </w:r>
      <w:r>
        <w:t xml:space="preserve"> play a crucial role in the preservation and conservation of the environment, particularly in relation to the sustainability of rivers</w:t>
      </w:r>
      <w:r w:rsidR="00A14834">
        <w:t xml:space="preserve"> </w:t>
      </w:r>
      <w:r w:rsidR="004B1C27">
        <w:fldChar w:fldCharType="begin" w:fldLock="1"/>
      </w:r>
      <w:r w:rsidR="003E0372">
        <w:instrText>ADDIN CSL_CITATION {"citationItems":[{"id":"ITEM-1","itemData":{"DOI":"10.1007/978-3-030-32816-0_87","ISBN":"9783030328160","ISSN":"23662565","abstract":"The state of Kelantan in Malaysia is a flood-prone state exposed to seasonal Monsoon rains that bring seasonal floods resulting in significantly losses. Flood management in the state is modelled after the country’s predominant government-centric top-down approach focused on flood-control technologies via structural measures such as multi-purpose dams, levees, embankments, tidal gates, diversion channels and others. These structural measures do not engage the public who fail to understand the measures leading to lack of confidence, misunderstanding and mistrust. This results in ineffectiveness of the measures leading to greater flood losses. In contrast, local communities are familiar with non-structural measures which they have long used to adapt to floods. These measures are also relatively simple, cost-effective and easily implementable over a short period of time. Both measures, however, must engage the public/victims in all phases of the flood disaster cycle. Balancing both types of flood management measures is the key to more effective management. A combination of structural and non-structural measures is the way forward for Kelantan State as it ensures that government structural measures are effectively supported by public-engaged non-structural measures.","author":[{"dropping-particle":"","family":"Chan","given":"Ngai Weng","non-dropping-particle":"","parse-names":false,"suffix":""},{"dropping-particle":"","family":"Ghani","given":"Aminuddin Ab","non-dropping-particle":"","parse-names":false,"suffix":""},{"dropping-particle":"","family":"Samat","given":"Narimah","non-dropping-particle":"","parse-names":false,"suffix":""},{"dropping-particle":"","family":"Hasan","given":"Nik Norma Nik","non-dropping-particle":"","parse-names":false,"suffix":""},{"dropping-particle":"","family":"Tan","given":"Mou Leong","non-dropping-particle":"","parse-names":false,"suffix":""}],"container-title":"Lecture Notes in Civil Engineering","id":"ITEM-1","issue":"January","issued":{"date-parts":[["2020"]]},"page":"1151-1162","title":"Integrating Structural and Non-structural Flood Management Measures for Greater Effectiveness in Flood Loss Reduction in the Kelantan River Basin, Malaysia","type":"article-journal","volume":"53"},"uris":["http://www.mendeley.com/documents/?uuid=cf57a244-93a4-4133-96fd-9be483df41b7"]},{"id":"ITEM-2","itemData":{"DOI":"10.21834/ebpj.v6i16.2688","ISSN":"2398-4287","abstract":"Klang River is heavily polluted. The state government tries to reduce this issue. The study's objective is to identify river cleaning's effectiveness by the non-structural measures of cross-sectoral collaboration and public outreach programs. A total of 82 usable data from Lembaga Urus Air Selangor (LUAS), Department of Irrigation and Drainage (DID), Klang Local Council (MPK), Shah Alam Local Council (MBSA) and the river community have answered an adapted questionnaire. We employ SmartPLS software for the analysis. The results show that Cross-sectoral Collaboration (CSC) and Public Outreach Program (POP) have significant effects on Effective River Cleaning (ERC).","author":[{"dropping-particle":"","family":"Husin","given":"Nor Azilah","non-dropping-particle":"","parse-names":false,"suffix":""},{"dropping-particle":"","family":"Noor","given":"Ahmad Fuad","non-dropping-particle":"","parse-names":false,"suffix":""},{"dropping-particle":"","family":"Saad","given":"Mazni","non-dropping-particle":"","parse-names":false,"suffix":""},{"dropping-particle":"","family":"Mariyanti","given":"Eka","non-dropping-particle":"","parse-names":false,"suffix":""}],"container-title":"Environment-Behaviour Proceedings Journal","id":"ITEM-2","issue":"16","issued":{"date-parts":[["2021"]]},"page":"229-235","publisher":"e-IPH Ltd.","title":"Assessing the Effectiveness of the Non-Structural Measures for River Cleaning","type":"paper-conference","volume":"6"},"uris":["http://www.mendeley.com/documents/?uuid=82de0d12-b4a3-4fdb-828c-574cd24a3156"]},{"id":"ITEM-3","itemData":{"DOI":"10.21834/ajebs.v6i19.393","abstract":"The pollution level in the Klang River is high. The state government is working to address this issue. The study aims to determine the sustainability of the river through non-structural interventions and public outreach initiatives. Lembaga Urus Air Selangor (LUAS), Department of Irrigation and Drainage (DID), Klang Local Council (MPK), and Shah Alam Local Council (MBSA) provided a total of 82 accessible data. The river community and completed an adapted questionnaire. The persons in charge of river cleaning in related sectors. For the study, SPSS Version 22.00 is used to analyse data. The finding showed that Cross-sectoral Collaboration (CSC) and Public Outreach Programme (POP) significantly roles on Sustainable River Cleaning.","author":[{"dropping-particle":"","family":"Husin","given":"Nor Azilah","non-dropping-particle":"","parse-names":false,"suffix":""},{"dropping-particle":"","family":"Mariyanti","given":"Eka","non-dropping-particle":"","parse-names":false,"suffix":""},{"dropping-particle":"","family":"Saad","given":"Mazni","non-dropping-particle":"","parse-names":false,"suffix":""},{"dropping-particle":"","family":"Noor","given":"Ahmad Fuad","non-dropping-particle":"","parse-names":false,"suffix":""}],"container-title":"Asian Journal of Environment-Behaviour Studies","id":"ITEM-3","issue":"19","issued":{"date-parts":[["2021"]]},"page":"57-69","title":"Sustainable River: The role of non-structural measures and public outreach programmes","type":"article-journal","volume":"6"},"uris":["http://www.mendeley.com/documents/?uuid=1a9b98c8-c75f-4af1-abab-a515a5bb4e06"]},{"id":"ITEM-4","itemData":{"DOI":"10.1016/j.ejrh.2020.100737","ISSN":"22145818","abstract":"Study region: Inadequate public participation has already been reported in the sustainable water resources management at Langat River Basin, Malaysia, primarily due to weak enforcement of policies along with public apathy. Study focus: A questionnaire survey was conducted among 402 random households in the study area in 2017 to assess people's attitudes, perceptions and behaviour through partial least squares structural equation modelling (PLS-SEM) in order to predict their willingness to participate in water resources management. Although there are a few studies on public participation in water management globally, this study is the pioneer in predicting public participation in water management with moderate predictive power based on a PLS-SEM model. New hydrological insights for the region: The model showed significant positive mediating effects of public's attitudes towards and perceptions of river and drinking water (APRDW) as well as positive moderating effects of their perceived water quality (PWQ) to enhance their willingness to participate in water management at a 99 % confidence interval. However, people's awareness about river and drinking water (ARDW) and the value of river and drinking water (VRDW) showed no significant mediating and moderating effects, respectively to increase their participation in a water management platform. Therefore, environmental education along with information concerning water management programmes should be well disseminated to people via awareness-raising and capacity-building activities by relevant authorities to increase their willingness to participate in sustainable water resources management in Langat River Basin, Malaysia.","author":[{"dropping-particle":"","family":"Ahmed","given":"Minhaz Farid","non-dropping-particle":"","parse-names":false,"suffix":""},{"dropping-particle":"Bin","family":"Mokhtar","given":"Mazlin","non-dropping-particle":"","parse-names":false,"suffix":""},{"dropping-particle":"","family":"Alam","given":"Lubna","non-dropping-particle":"","parse-names":false,"suffix":""}],"container-title":"Journal of Hydrology: Regional Studies","id":"ITEM-4","issued":{"date-parts":[["2020"]]},"page":"1-20","title":"Factors influencing people's willingness to participate in sustainable water resources management in Malaysia","type":"article-journal","volume":"31"},"uris":["http://www.mendeley.com/documents/?uuid=9e767b99-8e83-4a21-80e2-af615b999990"]},{"id":"ITEM-5","itemData":{"abstract":"… In the era of sustainable development, collaboration is needed from all stakeholders to sustainably manage rivers and water resources. … 3.1 Water and River Education Program for School Children A series of water education programs that targeting different groups of the local …","author":[{"dropping-particle":"","family":"Hui Lai","given":"Chee","non-dropping-particle":"","parse-names":false,"suffix":""},{"dropping-particle":"","family":"Weng Chan","given":"Ngai","non-dropping-particle":"","parse-names":false,"suffix":""},{"dropping-particle":"","family":"Weng Goh","given":"Hui","non-dropping-particle":"","parse-names":false,"suffix":""}],"container-title":"Proceedings of the 37th IAHR World Congress, August 13 - 18, 2017","id":"ITEM-5","issue":"September","issued":{"date-parts":[["2017"]]},"page":"4580 - 4587","title":"Mobilising Local Communities Towards Involvement In River Management: Lessons Learnt From The Sungai Pinang River Community Engagement Project In Penang, Malaysia","type":"article-journal"},"uris":["http://www.mendeley.com/documents/?uuid=2e8383cd-ddd8-4075-b818-2db1d0c81f80"]},{"id":"ITEM-6","itemData":{"DOI":"10.15405/epsbs.2020.10.02.14","author":[{"dropping-particle":"","family":"Leng","given":"See Too Kay","non-dropping-particle":"","parse-names":false,"suffix":""},{"dropping-particle":"","family":"Weng","given":"Chan Ngai","non-dropping-particle":"","parse-names":false,"suffix":""},{"dropping-particle":"","family":"Samat","given":"Narimah","non-dropping-particle":"","parse-names":false,"suffix":""}],"container-title":"European Proceedings of Social and Behavioural Sciences","id":"ITEM-6","issued":{"date-parts":[["2020"]]},"page":"152-162","title":"Community Awareness And Involvement In River Conservation In Pasir Mas, Kelantan","type":"paper-conference"},"uris":["http://www.mendeley.com/documents/?uuid=543de3b8-2f3e-40ce-b197-6c80f54b7a59"]},{"id":"ITEM-7","itemData":{"abstract":"… Dapatan data dianalisis untuk mendapatkan nilai frekuensi dan peratusan. Hasil kajian mendapati bahawa secara dominannya, sumber pengetahuan komuniti mengenai pencemaran Sungai Pinang ialah berdasarkan pemerhatian mereka sendiri, manakala pengetahuan …","author":[{"dropping-particle":"","family":"Mustakim","given":"Nur Syuhada","non-dropping-particle":"","parse-names":false,"suffix":""},{"dropping-particle":"","family":"Ramli","given":"Muhammad Wafi","non-dropping-particle":"","parse-names":false,"suffix":""},{"dropping-particle":"","family":"Weng","given":"Chan Ngai","non-dropping-particle":"","parse-names":false,"suffix":""}],"container-title":"Geografia: Malaysian journal of society and space","id":"ITEM-7","issue":"3","issued":{"date-parts":[["2019"]]},"page":"28-39","title":"Kesedaran komuniti terhadap isu pencemaran sungai di Sungai Pinang, Pulau Pinang (The community awareness towards river pollution issue in Sungai Pinang, Pulau Pinang)","type":"article-journal","volume":"15"},"uris":["http://www.mendeley.com/documents/?uuid=2ff28f98-4163-4ef5-82cc-8ab6af6edb69"]},{"id":"ITEM-8","itemData":{"DOI":"10.3390/w13101336","ISSN":"20734441","abstract":"In this paper we propose a new framework to support river management and restoration in a more effective way, both conceptually and operationally, in view of an increasingly challenging future. ‘Development’ almost inevitably leads to modifications of rivers. These modifications are governed (at best) by planning exercises which typically encompass multiple and generally conflicting objectives (whether explicitly or implicitly). To address the inherent conflictual nature of a decision problem, it is key to measure the degree to which the objectives are (expected to be) met. This requires that suitable evaluation indices are established and assessed. To this purpose, we point out the important role of the Value Function technique inherited from Multicriteria Analysis. One of these objectives is the “Natural value N” of the river. We notice that a lot of ambiguity exists regarding its definition. To clarify this point, we develop a reasoning that makes it possible to structure and assess it in a conceptually sounder way, while clarifying the role of the two leading concepts: the Reference Conditions and the Leitbild. With regard to the relevant decisions involved, the delineation of the fluvial space, together with the improvement of the water quality and hydrological regime, represent the key issues that a decision making process should address, particularly thinking of the expected consequences of climate change. We propose henceforth a pragmatic, structured, adaptive planning framework which harmonizes all such concepts. We believe that this proposal may provide a useful contribution to improve and optimize river management and restoration.","author":[{"dropping-particle":"","family":"Nardini","given":"Andrea Gianni Cristoforo","non-dropping-particle":"","parse-names":false,"suffix":""},{"dropping-particle":"","family":"Conte","given":"Giulio","non-dropping-particle":"","parse-names":false,"suffix":""}],"container-title":"Water (Switzerland)","id":"ITEM-8","issue":"10","issued":{"date-parts":[["2021"]]},"page":"1-28","title":"River management &amp; restoration: What river do we wish for","type":"article-journal","volume":"13"},"uris":["http://www.mendeley.com/documents/?uuid=b7ded408-73a3-4b1d-b9e7-e96181fa4186"]},{"id":"ITEM-9","itemData":{"author":[{"dropping-particle":"","family":"Noor","given":"Ahmad Fuad","non-dropping-particle":"","parse-names":false,"suffix":""}],"id":"ITEM-9","issued":{"date-parts":[["2019"]]},"number-of-pages":"1-93","publisher":"Universiti Industri Selangor (UNISEL)","title":"Assessing the Effectiveness of The Non-Structural Measures for Klang River Cleaning","type":"thesis"},"uris":["http://www.mendeley.com/documents/?uuid=65c327f2-76c1-4961-955e-7c39d91c537b"]},{"id":"ITEM-10","itemData":{"DOI":"10.1016/j.envsci.2021.11.008","ISSN":"18736416","abstract":"Urban-rural integrated development has been widely conducted in China, and plenty of resource consumption and environmental problems have arisen during this process. Meanwhile, the importance of environmental governance has been emphasized in social collaborative governance. Although existing studies have focused on the governance policies on urban and rural development, the residents’ participation willingness toward collaborative governance should not be neglected, especially in environmental governance. Accordingly, this study identified the determinants influencing the participation intention toward the collaborative environmental governance of residents in the Yangtze River Delta Region by a combined theoretical model, which added three decisive predictors from the theory of planned behavior to the norm-activation model. We collected 312 valid questionnaires and employed structural equation modeling for analysis. Results implied that, in order of significance, personal norm, behavioral attitude, subjective norm, and perceived behavioral control presented positive influences on behavioral intention. Personal norm was significantly underlain by awareness of consequence and ascription of responsibility, and the significant influence of awareness of consequence on behavioral intention was not demonstrated. This study proposes related managerial implications to improve public participation willingness regarding collaborative environmental governance during urban-rural integrated development processes in the Yangtze River Delta Region.","author":[{"dropping-particle":"","family":"Shi","given":"Jian gang","non-dropping-particle":"","parse-names":false,"suffix":""},{"dropping-particle":"","family":"Xu","given":"Ke","non-dropping-particle":"","parse-names":false,"suffix":""},{"dropping-particle":"","family":"Duan","given":"Kaifeng","non-dropping-particle":"","parse-names":false,"suffix":""}],"container-title":"Environmental Science and Policy","id":"ITEM-10","issue":"November 2021","issued":{"date-parts":[["2022"]]},"page":"132-141","title":"Investigating the intention to participate in environmental governance during urban-rural integrated development process in the Yangtze River Delta Region","type":"article-journal","volume":"128"},"uris":["http://www.mendeley.com/documents/?uuid=2e1a420f-022f-4b53-a944-3ffbe1f38e39"]},{"id":"ITEM-11","itemData":{"DOI":"10.1080/15715124.2005.9635254","ISSN":"18142060","abstract":"All over the world, including Malaysia, management of rivers is a central issue in this 21st Century. While government has always been traditionally entrusted with the responsibility of managing rivers, increasingly, the public, NGOs (Non‐Governmental Organisations), industrialists, farmers, and other stakeholders are playing a greater role. Sustainable management of rivers involves cooperation between countries and states sharing the same river basin, and cooperation between government and all stakeholders. Internationally, countries need to negotiate and use rivers as the basis for peace rather than conflict. In Malaysia, the Federal Government can initiate policies and remain in charge of governance of rivers, in consultation and cooperation with state governments. However, government must relinquish some of its responsibility on river management to all other stakeholders, viz. industrialists, entrepreneurs, farmers, communities/squatters, NGOs, educational institutions, fishermen, conservationists, tourists, the general public, etc. All stakeholders need to start taking proactive actions, even sacrifices, to manage, protect, conserve and restore our rivers so that their resources can be sustained for future use. This is where people from all levels ranging from politicians, policy makers, private companies, NGOs to individuals can play crucial roles. River management and related river issues need to involve NGOs and the people as these issues happen at the local level. Decision‐making regarding solutions should be carried out at the lowest appropriate level, ideally involving all stakeholders ranging from government to the private sector, NGOs, the local community and schools. People should be the focus both in decision making as well as active “workers” involved with restoration work. The motto of “Malaysia Boleh” (Malaysia Can) involves all Malaysians.This paper discusses how all stakeholders can contribute by working together in smart-partnerships with government towards effective and sustainable management of rivers in Malaysia. © 2005 Taylor and Francis Group, LLC.","author":[{"dropping-particle":"","family":"Weng","given":"Chan Ngai","non-dropping-particle":"","parse-names":false,"suffix":""}],"container-title":"International Journal of River Basin Management","id":"ITEM-11","issue":"3","issued":{"date-parts":[["2005"]]},"page":"147-162","title":"Sustainable management of rivers in malaysia: Involving all stakeholders","type":"article-journal","volume":"3"},"uris":["http://www.mendeley.com/documents/?uuid=b4f48fb6-1b74-4f7b-9f87-1f33445e2a55"]}],"mendeley":{"formattedCitation":"(Ahmed et al., 2020; Chan et al., 2020; Hui Lai et al., 2017; Husin, Mariyanti, et al., 2021; Husin, Noor, et al., 2021; Leng et al., 2020; Mustakim et al., 2019; Nardini &amp; Conte, 2021; Noor, 2019; Shi et al., 2022; Weng, 2005)","manualFormatting":"(Ahmed et al., 2020; Chan et al., 2020; Hui Lai et al., 2017; Husin et al., 2021; Husin et al., 2021; Leng et al., 2020; Mustakim et al., 2019; Nardini &amp; Conte, 2021; Noor, 2019; Shi et al., 2022; Weng, 2005)","plainTextFormattedCitation":"(Ahmed et al., 2020; Chan et al., 2020; Hui Lai et al., 2017; Husin, Mariyanti, et al., 2021; Husin, Noor, et al., 2021; Leng et al., 2020; Mustakim et al., 2019; Nardini &amp; Conte, 2021; Noor, 2019; Shi et al., 2022; Weng, 2005)","previouslyFormattedCitation":"(Ahmed et al., 2020; Chan et al., 2020; Hui Lai et al., 2017; Husin, Mariyanti, et al., 2021; Husin, Noor, et al., 2021; Leng et al., 2020; Mustakim et al., 2019; Nardini &amp; Conte, 2021; Noor, 2019; Shi et al., 2022; Weng, 2005)"},"properties":{"noteIndex":0},"schema":"https://github.com/citation-style-language/schema/raw/master/csl-citation.json"}</w:instrText>
      </w:r>
      <w:r w:rsidR="004B1C27">
        <w:fldChar w:fldCharType="separate"/>
      </w:r>
      <w:r w:rsidR="004B1C27" w:rsidRPr="004B1C27">
        <w:rPr>
          <w:noProof/>
        </w:rPr>
        <w:t>(Ahmed et al., 2020; Chan et al., 2020; Hui Lai et al., 2017; Husin et al., 2021; Husin et al., 2021; Leng et al., 2020; Mustakim et al., 2019; Nardini &amp; Conte, 2021; Noor, 2019; Shi et al., 2022; Weng, 2005)</w:t>
      </w:r>
      <w:r w:rsidR="004B1C27">
        <w:fldChar w:fldCharType="end"/>
      </w:r>
      <w:r>
        <w:t xml:space="preserve">. However, community involvement in river cleaning activities remains low and tepid </w:t>
      </w:r>
      <w:r w:rsidR="004B1C27">
        <w:fldChar w:fldCharType="begin" w:fldLock="1"/>
      </w:r>
      <w:r w:rsidR="004B1C27">
        <w:instrText>ADDIN CSL_CITATION {"citationItems":[{"id":"ITEM-1","itemData":{"author":[{"dropping-particle":"","family":"Ghani","given":"Mansor","non-dropping-particle":"","parse-names":false,"suffix":""}],"id":"ITEM-1","issue":"December","issued":{"date-parts":[["2021"]]},"number-of-pages":"1-81","publisher":"Friends of Rivers, Malaysia (FoRM)","publisher-place":"Kuala Lumpur, Malaysia","title":"River ACE - Urbanised River Rehabilitation through Public Participation","type":"report"},"uris":["http://www.mendeley.com/documents/?uuid=6aa04958-ee7b-4ec7-9f77-f6274138dc59"]}],"mendeley":{"formattedCitation":"(Ghani, 2021)","plainTextFormattedCitation":"(Ghani, 2021)","previouslyFormattedCitation":"(Ghani, 2021)"},"properties":{"noteIndex":0},"schema":"https://github.com/citation-style-language/schema/raw/master/csl-citation.json"}</w:instrText>
      </w:r>
      <w:r w:rsidR="004B1C27">
        <w:fldChar w:fldCharType="separate"/>
      </w:r>
      <w:r w:rsidR="004B1C27" w:rsidRPr="004B1C27">
        <w:rPr>
          <w:noProof/>
        </w:rPr>
        <w:t>(Ghani, 2021)</w:t>
      </w:r>
      <w:r w:rsidR="004B1C27">
        <w:fldChar w:fldCharType="end"/>
      </w:r>
      <w:r w:rsidR="004B1C27">
        <w:t>.</w:t>
      </w:r>
      <w:r>
        <w:t xml:space="preserve">This is supported by feedback from the </w:t>
      </w:r>
      <w:r w:rsidR="004B1C27">
        <w:fldChar w:fldCharType="begin" w:fldLock="1"/>
      </w:r>
      <w:r w:rsidR="004B1C27">
        <w:instrText>ADDIN CSL_CITATION {"citationItems":[{"id":"ITEM-1","itemData":{"author":[{"dropping-particle":"","family":"Global Environment Center","given":"","non-dropping-particle":"","parse-names":false,"suffix":""}],"id":"ITEM-1","issued":{"date-parts":[["2022"]]},"number-of-pages":"1-2","publisher-place":"Kuala Lumpur, Malaysia","title":"Laporan Maklumbalas Bertulis mengenai Aktiviti Pembersihan Sungai Bukan Berstruktur","type":"report"},"uris":["http://www.mendeley.com/documents/?uuid=eed11879-a6f3-42c3-a3df-2495b1a06bf9"]}],"mendeley":{"formattedCitation":"(Global Environment Center, 2022)","manualFormatting":"Global Environment Center (2022)","plainTextFormattedCitation":"(Global Environment Center, 2022)","previouslyFormattedCitation":"(Global Environment Center, 2022)"},"properties":{"noteIndex":0},"schema":"https://github.com/citation-style-language/schema/raw/master/csl-citation.json"}</w:instrText>
      </w:r>
      <w:r w:rsidR="004B1C27">
        <w:fldChar w:fldCharType="separate"/>
      </w:r>
      <w:r w:rsidR="004B1C27" w:rsidRPr="004B1C27">
        <w:rPr>
          <w:noProof/>
        </w:rPr>
        <w:t xml:space="preserve">Global Environment Center </w:t>
      </w:r>
      <w:r w:rsidR="004B1C27">
        <w:rPr>
          <w:noProof/>
        </w:rPr>
        <w:t>(</w:t>
      </w:r>
      <w:r w:rsidR="004B1C27" w:rsidRPr="004B1C27">
        <w:rPr>
          <w:noProof/>
        </w:rPr>
        <w:t>2022)</w:t>
      </w:r>
      <w:r w:rsidR="004B1C27">
        <w:fldChar w:fldCharType="end"/>
      </w:r>
      <w:r w:rsidR="004B1C27">
        <w:t xml:space="preserve"> </w:t>
      </w:r>
      <w:r>
        <w:t>which state</w:t>
      </w:r>
      <w:r>
        <w:rPr>
          <w:lang w:val="en-GB"/>
        </w:rPr>
        <w:t>d</w:t>
      </w:r>
      <w:r>
        <w:t xml:space="preserve"> that the frequency of activities up to 2021 for both civilian volunteers and target groups is still insufficient, despite the recorded number of active and inactive members </w:t>
      </w:r>
      <w:r>
        <w:rPr>
          <w:lang w:val="en-GB"/>
        </w:rPr>
        <w:t>which stands at</w:t>
      </w:r>
      <w:r>
        <w:t xml:space="preserve"> 18,056 (public volunteers) and 44,605 (target groups). This data only represents activities carried out under the GEC network, which is located upstream of the Klang River. On the other hand, the data obtained from</w:t>
      </w:r>
      <w:r w:rsidR="004B1C27">
        <w:t xml:space="preserve"> </w:t>
      </w:r>
      <w:r w:rsidR="004B1C27">
        <w:fldChar w:fldCharType="begin" w:fldLock="1"/>
      </w:r>
      <w:r w:rsidR="009655B0">
        <w:instrText>ADDIN CSL_CITATION {"citationItems":[{"id":"ITEM-1","itemData":{"author":[{"dropping-particle":"","family":"Landasan Lumayan Sdn Bhd","given":"","non-dropping-particle":"","parse-names":false,"suffix":""}],"id":"ITEM-1","issued":{"date-parts":[["2022"]]},"number-of-pages":"1-10","publisher-place":"Shah Alam, Selangor","title":"Laporan Kerja-kerja Pembersihan 56km Jajaran Sungai Klang","type":"report"},"uris":["http://www.mendeley.com/documents/?uuid=877ba3c5-ad11-4786-b094-9a92a95103ca"]}],"mendeley":{"formattedCitation":"(Landasan Lumayan Sdn Bhd, 2022)","manualFormatting":"Landasan Lumayan Sdn Bhd (2022)","plainTextFormattedCitation":"(Landasan Lumayan Sdn Bhd, 2022)","previouslyFormattedCitation":"(Landasan Lumayan Sdn Bhd, 2022)"},"properties":{"noteIndex":0},"schema":"https://github.com/citation-style-language/schema/raw/master/csl-citation.json"}</w:instrText>
      </w:r>
      <w:r w:rsidR="004B1C27">
        <w:fldChar w:fldCharType="separate"/>
      </w:r>
      <w:r w:rsidR="004B1C27" w:rsidRPr="004B1C27">
        <w:rPr>
          <w:noProof/>
        </w:rPr>
        <w:t xml:space="preserve">Landasan Lumayan Sdn Bhd </w:t>
      </w:r>
      <w:r w:rsidR="004B1C27">
        <w:rPr>
          <w:noProof/>
        </w:rPr>
        <w:t>(</w:t>
      </w:r>
      <w:r w:rsidR="004B1C27" w:rsidRPr="004B1C27">
        <w:rPr>
          <w:noProof/>
        </w:rPr>
        <w:t>2022)</w:t>
      </w:r>
      <w:r w:rsidR="004B1C27">
        <w:fldChar w:fldCharType="end"/>
      </w:r>
      <w:r w:rsidR="004B1C27">
        <w:t xml:space="preserve"> </w:t>
      </w:r>
      <w:r>
        <w:t>pertains to the environmental awareness programs implemented by LLSB from 2016 to 2020, which are located downstream of the Klang River, as shown in Table 1</w:t>
      </w:r>
      <w:bookmarkEnd w:id="2"/>
      <w:r>
        <w:t>.</w:t>
      </w:r>
    </w:p>
    <w:p w14:paraId="05FCBA7B" w14:textId="77777777" w:rsidR="00B263A8" w:rsidRDefault="00B263A8" w:rsidP="00FD3C6B">
      <w:pPr>
        <w:pStyle w:val="BodyText"/>
        <w:tabs>
          <w:tab w:val="left" w:pos="567"/>
        </w:tabs>
        <w:ind w:right="136"/>
      </w:pPr>
    </w:p>
    <w:p w14:paraId="4B8AA759" w14:textId="40861F7D" w:rsidR="00B263A8" w:rsidRDefault="007107B4">
      <w:pPr>
        <w:pStyle w:val="BodyText"/>
        <w:tabs>
          <w:tab w:val="left" w:pos="567"/>
        </w:tabs>
        <w:ind w:left="140" w:right="136"/>
        <w:jc w:val="center"/>
        <w:rPr>
          <w:sz w:val="20"/>
          <w:szCs w:val="20"/>
        </w:rPr>
      </w:pPr>
      <w:r>
        <w:rPr>
          <w:b/>
          <w:bCs/>
          <w:sz w:val="20"/>
          <w:szCs w:val="20"/>
        </w:rPr>
        <w:t>Table 1.</w:t>
      </w:r>
      <w:r>
        <w:rPr>
          <w:sz w:val="20"/>
          <w:szCs w:val="20"/>
        </w:rPr>
        <w:t xml:space="preserve"> Environmental </w:t>
      </w:r>
      <w:r w:rsidR="00FD3C6B">
        <w:rPr>
          <w:sz w:val="20"/>
          <w:szCs w:val="20"/>
        </w:rPr>
        <w:t>awareness programs by</w:t>
      </w:r>
      <w:r>
        <w:rPr>
          <w:sz w:val="20"/>
          <w:szCs w:val="20"/>
        </w:rPr>
        <w:t xml:space="preserve"> Landasan Lumayan Sdn Bhd</w:t>
      </w:r>
    </w:p>
    <w:p w14:paraId="2142D0AF" w14:textId="77777777" w:rsidR="00B263A8" w:rsidRDefault="00B263A8">
      <w:pPr>
        <w:pStyle w:val="BodyText"/>
        <w:tabs>
          <w:tab w:val="left" w:pos="567"/>
        </w:tabs>
        <w:ind w:left="140" w:right="136"/>
        <w:jc w:val="center"/>
        <w:rPr>
          <w:sz w:val="20"/>
          <w:szCs w:val="20"/>
        </w:rPr>
      </w:pPr>
    </w:p>
    <w:tbl>
      <w:tblPr>
        <w:tblStyle w:val="PlainTable21"/>
        <w:tblW w:w="8505" w:type="dxa"/>
        <w:jc w:val="center"/>
        <w:tblBorders>
          <w:top w:val="single" w:sz="4" w:space="0" w:color="auto"/>
          <w:bottom w:val="single" w:sz="4" w:space="0" w:color="auto"/>
        </w:tblBorders>
        <w:tblLook w:val="04A0" w:firstRow="1" w:lastRow="0" w:firstColumn="1" w:lastColumn="0" w:noHBand="0" w:noVBand="1"/>
      </w:tblPr>
      <w:tblGrid>
        <w:gridCol w:w="1701"/>
        <w:gridCol w:w="6804"/>
      </w:tblGrid>
      <w:tr w:rsidR="00B263A8" w14:paraId="1F3E0713" w14:textId="77777777" w:rsidTr="00FD3C6B">
        <w:trPr>
          <w:cnfStyle w:val="100000000000" w:firstRow="1" w:lastRow="0" w:firstColumn="0" w:lastColumn="0" w:oddVBand="0" w:evenVBand="0" w:oddHBand="0"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95B3D7" w:themeFill="accent1" w:themeFillTint="99"/>
          </w:tcPr>
          <w:p w14:paraId="1B4C8AC4" w14:textId="77777777" w:rsidR="00B263A8" w:rsidRDefault="007107B4" w:rsidP="00FD3C6B">
            <w:pPr>
              <w:pStyle w:val="BodyText"/>
              <w:tabs>
                <w:tab w:val="left" w:pos="567"/>
              </w:tabs>
              <w:ind w:right="136"/>
              <w:jc w:val="center"/>
              <w:rPr>
                <w:b w:val="0"/>
                <w:bCs w:val="0"/>
                <w:sz w:val="20"/>
                <w:szCs w:val="20"/>
                <w:lang w:val="en-US"/>
              </w:rPr>
            </w:pPr>
            <w:r>
              <w:rPr>
                <w:sz w:val="20"/>
                <w:szCs w:val="20"/>
                <w:lang w:val="en-MY"/>
              </w:rPr>
              <w:t>Year</w:t>
            </w:r>
          </w:p>
        </w:tc>
        <w:tc>
          <w:tcPr>
            <w:tcW w:w="6804" w:type="dxa"/>
            <w:tcBorders>
              <w:top w:val="single" w:sz="4" w:space="0" w:color="auto"/>
              <w:bottom w:val="single" w:sz="4" w:space="0" w:color="auto"/>
            </w:tcBorders>
            <w:shd w:val="clear" w:color="auto" w:fill="95B3D7" w:themeFill="accent1" w:themeFillTint="99"/>
          </w:tcPr>
          <w:p w14:paraId="627435BA" w14:textId="58C2EBC8" w:rsidR="00B263A8" w:rsidRDefault="007107B4" w:rsidP="00FD3C6B">
            <w:pPr>
              <w:pStyle w:val="BodyText"/>
              <w:tabs>
                <w:tab w:val="left" w:pos="567"/>
              </w:tabs>
              <w:ind w:right="136"/>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Pr>
                <w:sz w:val="20"/>
                <w:szCs w:val="20"/>
                <w:lang w:val="en-MY"/>
              </w:rPr>
              <w:t xml:space="preserve">Environmental </w:t>
            </w:r>
            <w:r w:rsidR="00FD3C6B">
              <w:rPr>
                <w:sz w:val="20"/>
                <w:szCs w:val="20"/>
                <w:lang w:val="en-MY"/>
              </w:rPr>
              <w:t>awareness programs</w:t>
            </w:r>
          </w:p>
        </w:tc>
      </w:tr>
      <w:tr w:rsidR="00B263A8" w14:paraId="5BF119EB" w14:textId="77777777" w:rsidTr="00FD3C6B">
        <w:trPr>
          <w:trHeight w:val="177"/>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29A229F6" w14:textId="77777777" w:rsidR="00B263A8" w:rsidRDefault="007107B4" w:rsidP="00FD3C6B">
            <w:pPr>
              <w:pStyle w:val="BodyText"/>
              <w:tabs>
                <w:tab w:val="left" w:pos="567"/>
              </w:tabs>
              <w:ind w:right="136"/>
              <w:jc w:val="center"/>
              <w:rPr>
                <w:b w:val="0"/>
                <w:bCs w:val="0"/>
                <w:sz w:val="20"/>
                <w:szCs w:val="20"/>
                <w:lang w:val="en-US"/>
              </w:rPr>
            </w:pPr>
            <w:r>
              <w:rPr>
                <w:sz w:val="20"/>
                <w:szCs w:val="20"/>
                <w:lang w:val="en-MY"/>
              </w:rPr>
              <w:t>2016</w:t>
            </w:r>
          </w:p>
        </w:tc>
        <w:tc>
          <w:tcPr>
            <w:tcW w:w="6804" w:type="dxa"/>
            <w:tcBorders>
              <w:top w:val="single" w:sz="4" w:space="0" w:color="auto"/>
            </w:tcBorders>
          </w:tcPr>
          <w:p w14:paraId="4D3095D6" w14:textId="56FCAAAD" w:rsidR="00B263A8" w:rsidRDefault="007107B4" w:rsidP="00FD3C6B">
            <w:pPr>
              <w:pStyle w:val="BodyText"/>
              <w:tabs>
                <w:tab w:val="left" w:pos="567"/>
              </w:tabs>
              <w:ind w:right="136"/>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MY"/>
              </w:rPr>
              <w:t>Volunteering of river patrol unit (supervising river trail).</w:t>
            </w:r>
          </w:p>
        </w:tc>
      </w:tr>
      <w:tr w:rsidR="00B263A8" w14:paraId="1995A69B" w14:textId="77777777" w:rsidTr="00FD3C6B">
        <w:trPr>
          <w:trHeight w:val="96"/>
          <w:jc w:val="center"/>
        </w:trPr>
        <w:tc>
          <w:tcPr>
            <w:cnfStyle w:val="001000000000" w:firstRow="0" w:lastRow="0" w:firstColumn="1" w:lastColumn="0" w:oddVBand="0" w:evenVBand="0" w:oddHBand="0" w:evenHBand="0" w:firstRowFirstColumn="0" w:firstRowLastColumn="0" w:lastRowFirstColumn="0" w:lastRowLastColumn="0"/>
            <w:tcW w:w="1701" w:type="dxa"/>
          </w:tcPr>
          <w:p w14:paraId="4B7C2AC8" w14:textId="77777777" w:rsidR="00B263A8" w:rsidRDefault="007107B4" w:rsidP="00FD3C6B">
            <w:pPr>
              <w:pStyle w:val="BodyText"/>
              <w:tabs>
                <w:tab w:val="left" w:pos="567"/>
              </w:tabs>
              <w:ind w:right="136"/>
              <w:jc w:val="center"/>
              <w:rPr>
                <w:b w:val="0"/>
                <w:bCs w:val="0"/>
                <w:sz w:val="20"/>
                <w:szCs w:val="20"/>
                <w:lang w:val="en-US"/>
              </w:rPr>
            </w:pPr>
            <w:r>
              <w:rPr>
                <w:sz w:val="20"/>
                <w:szCs w:val="20"/>
                <w:lang w:val="en-MY"/>
              </w:rPr>
              <w:t>2017</w:t>
            </w:r>
          </w:p>
        </w:tc>
        <w:tc>
          <w:tcPr>
            <w:tcW w:w="6804" w:type="dxa"/>
          </w:tcPr>
          <w:p w14:paraId="75820F66" w14:textId="77777777" w:rsidR="00B263A8" w:rsidRDefault="007107B4" w:rsidP="00FD3C6B">
            <w:pPr>
              <w:pStyle w:val="BodyText"/>
              <w:tabs>
                <w:tab w:val="left" w:pos="567"/>
              </w:tabs>
              <w:ind w:right="136"/>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MY"/>
              </w:rPr>
              <w:t>Volunteering of river patrol unit (supervising river trail).</w:t>
            </w:r>
          </w:p>
        </w:tc>
      </w:tr>
      <w:tr w:rsidR="00B263A8" w14:paraId="26970D59" w14:textId="77777777" w:rsidTr="00FD3C6B">
        <w:trPr>
          <w:trHeight w:val="425"/>
          <w:jc w:val="center"/>
        </w:trPr>
        <w:tc>
          <w:tcPr>
            <w:cnfStyle w:val="001000000000" w:firstRow="0" w:lastRow="0" w:firstColumn="1" w:lastColumn="0" w:oddVBand="0" w:evenVBand="0" w:oddHBand="0" w:evenHBand="0" w:firstRowFirstColumn="0" w:firstRowLastColumn="0" w:lastRowFirstColumn="0" w:lastRowLastColumn="0"/>
            <w:tcW w:w="1701" w:type="dxa"/>
          </w:tcPr>
          <w:p w14:paraId="1D25472D" w14:textId="77777777" w:rsidR="00B263A8" w:rsidRDefault="007107B4" w:rsidP="00FD3C6B">
            <w:pPr>
              <w:pStyle w:val="BodyText"/>
              <w:tabs>
                <w:tab w:val="left" w:pos="567"/>
              </w:tabs>
              <w:ind w:right="136"/>
              <w:jc w:val="center"/>
              <w:rPr>
                <w:b w:val="0"/>
                <w:bCs w:val="0"/>
                <w:sz w:val="20"/>
                <w:szCs w:val="20"/>
                <w:lang w:val="en-US"/>
              </w:rPr>
            </w:pPr>
            <w:r>
              <w:rPr>
                <w:sz w:val="20"/>
                <w:szCs w:val="20"/>
                <w:lang w:val="en-MY"/>
              </w:rPr>
              <w:t>2018</w:t>
            </w:r>
          </w:p>
        </w:tc>
        <w:tc>
          <w:tcPr>
            <w:tcW w:w="6804" w:type="dxa"/>
          </w:tcPr>
          <w:p w14:paraId="3A284C09" w14:textId="77777777" w:rsidR="00B263A8" w:rsidRDefault="007107B4" w:rsidP="00FD3C6B">
            <w:pPr>
              <w:pStyle w:val="BodyText"/>
              <w:numPr>
                <w:ilvl w:val="0"/>
                <w:numId w:val="1"/>
              </w:numPr>
              <w:tabs>
                <w:tab w:val="left" w:pos="567"/>
              </w:tabs>
              <w:ind w:right="136"/>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MY"/>
              </w:rPr>
              <w:t>Volunteering of river patrol unit (supervising river trail).</w:t>
            </w:r>
          </w:p>
          <w:p w14:paraId="36F9C212" w14:textId="77777777" w:rsidR="00B263A8" w:rsidRDefault="007107B4" w:rsidP="00FD3C6B">
            <w:pPr>
              <w:pStyle w:val="BodyText"/>
              <w:numPr>
                <w:ilvl w:val="0"/>
                <w:numId w:val="1"/>
              </w:numPr>
              <w:tabs>
                <w:tab w:val="left" w:pos="567"/>
              </w:tabs>
              <w:ind w:right="136"/>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MY"/>
              </w:rPr>
              <w:t>Townhall.</w:t>
            </w:r>
          </w:p>
        </w:tc>
      </w:tr>
      <w:tr w:rsidR="00B263A8" w14:paraId="623FC834" w14:textId="77777777" w:rsidTr="00FD3C6B">
        <w:trPr>
          <w:trHeight w:val="623"/>
          <w:jc w:val="center"/>
        </w:trPr>
        <w:tc>
          <w:tcPr>
            <w:cnfStyle w:val="001000000000" w:firstRow="0" w:lastRow="0" w:firstColumn="1" w:lastColumn="0" w:oddVBand="0" w:evenVBand="0" w:oddHBand="0" w:evenHBand="0" w:firstRowFirstColumn="0" w:firstRowLastColumn="0" w:lastRowFirstColumn="0" w:lastRowLastColumn="0"/>
            <w:tcW w:w="1701" w:type="dxa"/>
          </w:tcPr>
          <w:p w14:paraId="0BE7DCE3" w14:textId="77777777" w:rsidR="00B263A8" w:rsidRDefault="007107B4" w:rsidP="00FD3C6B">
            <w:pPr>
              <w:pStyle w:val="BodyText"/>
              <w:tabs>
                <w:tab w:val="left" w:pos="567"/>
              </w:tabs>
              <w:ind w:right="136"/>
              <w:jc w:val="center"/>
              <w:rPr>
                <w:b w:val="0"/>
                <w:bCs w:val="0"/>
                <w:sz w:val="20"/>
                <w:szCs w:val="20"/>
                <w:lang w:val="en-US"/>
              </w:rPr>
            </w:pPr>
            <w:r>
              <w:rPr>
                <w:sz w:val="20"/>
                <w:szCs w:val="20"/>
                <w:lang w:val="en-MY"/>
              </w:rPr>
              <w:t>2019</w:t>
            </w:r>
          </w:p>
        </w:tc>
        <w:tc>
          <w:tcPr>
            <w:tcW w:w="6804" w:type="dxa"/>
          </w:tcPr>
          <w:p w14:paraId="5911A3DD" w14:textId="77777777" w:rsidR="00B263A8" w:rsidRDefault="007107B4" w:rsidP="00FD3C6B">
            <w:pPr>
              <w:pStyle w:val="BodyText"/>
              <w:numPr>
                <w:ilvl w:val="0"/>
                <w:numId w:val="2"/>
              </w:numPr>
              <w:tabs>
                <w:tab w:val="left" w:pos="567"/>
              </w:tabs>
              <w:ind w:right="136"/>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River tributary cleaning activities.</w:t>
            </w:r>
          </w:p>
          <w:p w14:paraId="14C8465B" w14:textId="77777777" w:rsidR="00B263A8" w:rsidRDefault="007107B4" w:rsidP="00FD3C6B">
            <w:pPr>
              <w:pStyle w:val="BodyText"/>
              <w:numPr>
                <w:ilvl w:val="0"/>
                <w:numId w:val="2"/>
              </w:numPr>
              <w:tabs>
                <w:tab w:val="left" w:pos="567"/>
              </w:tabs>
              <w:ind w:right="136"/>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Beautification of fishermen jetties.</w:t>
            </w:r>
          </w:p>
        </w:tc>
      </w:tr>
      <w:tr w:rsidR="00B263A8" w14:paraId="030E09C7" w14:textId="77777777" w:rsidTr="00FD3C6B">
        <w:trPr>
          <w:trHeight w:val="2694"/>
          <w:jc w:val="center"/>
        </w:trPr>
        <w:tc>
          <w:tcPr>
            <w:cnfStyle w:val="001000000000" w:firstRow="0" w:lastRow="0" w:firstColumn="1" w:lastColumn="0" w:oddVBand="0" w:evenVBand="0" w:oddHBand="0" w:evenHBand="0" w:firstRowFirstColumn="0" w:firstRowLastColumn="0" w:lastRowFirstColumn="0" w:lastRowLastColumn="0"/>
            <w:tcW w:w="1701" w:type="dxa"/>
          </w:tcPr>
          <w:p w14:paraId="43F0671B" w14:textId="77777777" w:rsidR="00B263A8" w:rsidRDefault="007107B4" w:rsidP="00FD3C6B">
            <w:pPr>
              <w:pStyle w:val="BodyText"/>
              <w:tabs>
                <w:tab w:val="left" w:pos="567"/>
              </w:tabs>
              <w:ind w:right="136"/>
              <w:jc w:val="center"/>
              <w:rPr>
                <w:b w:val="0"/>
                <w:bCs w:val="0"/>
                <w:sz w:val="20"/>
                <w:szCs w:val="20"/>
                <w:lang w:val="en-US"/>
              </w:rPr>
            </w:pPr>
            <w:r>
              <w:rPr>
                <w:sz w:val="20"/>
                <w:szCs w:val="20"/>
                <w:lang w:val="en-MY"/>
              </w:rPr>
              <w:lastRenderedPageBreak/>
              <w:t>2020</w:t>
            </w:r>
          </w:p>
        </w:tc>
        <w:tc>
          <w:tcPr>
            <w:tcW w:w="6804" w:type="dxa"/>
          </w:tcPr>
          <w:p w14:paraId="78B04614" w14:textId="77777777" w:rsidR="00B263A8" w:rsidRDefault="007107B4" w:rsidP="00FD3C6B">
            <w:pPr>
              <w:pStyle w:val="BodyText"/>
              <w:numPr>
                <w:ilvl w:val="0"/>
                <w:numId w:val="3"/>
              </w:numPr>
              <w:tabs>
                <w:tab w:val="left" w:pos="567"/>
              </w:tabs>
              <w:ind w:right="136"/>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Community engagement to increase public awareness of proper plastic bottle disposal.</w:t>
            </w:r>
          </w:p>
          <w:p w14:paraId="1D7D7437" w14:textId="77777777" w:rsidR="00B263A8" w:rsidRDefault="007107B4" w:rsidP="00FD3C6B">
            <w:pPr>
              <w:pStyle w:val="BodyText"/>
              <w:numPr>
                <w:ilvl w:val="0"/>
                <w:numId w:val="3"/>
              </w:numPr>
              <w:tabs>
                <w:tab w:val="left" w:pos="567"/>
              </w:tabs>
              <w:ind w:right="136"/>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Media interview series with BFM, Malay Mail, Astro Awani, RTM, The Star &amp; Malaysian Insight.</w:t>
            </w:r>
          </w:p>
          <w:p w14:paraId="70E01AB3" w14:textId="77777777" w:rsidR="00B263A8" w:rsidRDefault="007107B4" w:rsidP="00FD3C6B">
            <w:pPr>
              <w:pStyle w:val="BodyText"/>
              <w:numPr>
                <w:ilvl w:val="0"/>
                <w:numId w:val="3"/>
              </w:numPr>
              <w:tabs>
                <w:tab w:val="left" w:pos="567"/>
              </w:tabs>
              <w:ind w:right="136"/>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Competition of ‘SMG Water Doing? Show Us Your Art’.</w:t>
            </w:r>
          </w:p>
          <w:p w14:paraId="606D321F" w14:textId="77777777" w:rsidR="00B263A8" w:rsidRDefault="007107B4" w:rsidP="00FD3C6B">
            <w:pPr>
              <w:pStyle w:val="BodyText"/>
              <w:numPr>
                <w:ilvl w:val="0"/>
                <w:numId w:val="3"/>
              </w:numPr>
              <w:tabs>
                <w:tab w:val="left" w:pos="567"/>
              </w:tabs>
              <w:ind w:right="136"/>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Flag relay and plogging in conjunction with Malaysia’s 63</w:t>
            </w:r>
            <w:r>
              <w:rPr>
                <w:sz w:val="20"/>
                <w:szCs w:val="20"/>
                <w:vertAlign w:val="superscript"/>
                <w:lang w:val="en-US"/>
              </w:rPr>
              <w:t>rd</w:t>
            </w:r>
            <w:r>
              <w:rPr>
                <w:sz w:val="20"/>
                <w:szCs w:val="20"/>
                <w:lang w:val="en-US"/>
              </w:rPr>
              <w:t xml:space="preserve"> National Day at Interceptor™ as depart location.</w:t>
            </w:r>
          </w:p>
          <w:p w14:paraId="5828BB15" w14:textId="77777777" w:rsidR="00B263A8" w:rsidRDefault="007107B4" w:rsidP="00FD3C6B">
            <w:pPr>
              <w:pStyle w:val="BodyText"/>
              <w:numPr>
                <w:ilvl w:val="0"/>
                <w:numId w:val="3"/>
              </w:numPr>
              <w:tabs>
                <w:tab w:val="left" w:pos="567"/>
              </w:tabs>
              <w:ind w:right="136"/>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River Tour with Freda Liu (influencer) for media social coverage in conjunction with the World River Day on 27</w:t>
            </w:r>
            <w:r>
              <w:rPr>
                <w:sz w:val="20"/>
                <w:szCs w:val="20"/>
                <w:vertAlign w:val="superscript"/>
                <w:lang w:val="en-US"/>
              </w:rPr>
              <w:t>th</w:t>
            </w:r>
            <w:r>
              <w:rPr>
                <w:sz w:val="20"/>
                <w:szCs w:val="20"/>
                <w:lang w:val="en-US"/>
              </w:rPr>
              <w:t xml:space="preserve"> Sept 2020.</w:t>
            </w:r>
          </w:p>
          <w:p w14:paraId="2D9DFD15" w14:textId="77777777" w:rsidR="00B263A8" w:rsidRDefault="007107B4" w:rsidP="00FD3C6B">
            <w:pPr>
              <w:pStyle w:val="BodyText"/>
              <w:numPr>
                <w:ilvl w:val="0"/>
                <w:numId w:val="3"/>
              </w:numPr>
              <w:tabs>
                <w:tab w:val="left" w:pos="567"/>
              </w:tabs>
              <w:ind w:right="136"/>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Documentary shooting of Selangor Maritime Gateway Project broadcasting by FINAS at RTM.</w:t>
            </w:r>
          </w:p>
          <w:p w14:paraId="2102CA0D" w14:textId="77777777" w:rsidR="00B263A8" w:rsidRDefault="007107B4" w:rsidP="00FD3C6B">
            <w:pPr>
              <w:pStyle w:val="BodyText"/>
              <w:numPr>
                <w:ilvl w:val="0"/>
                <w:numId w:val="3"/>
              </w:numPr>
              <w:tabs>
                <w:tab w:val="left" w:pos="567"/>
              </w:tabs>
              <w:ind w:right="136"/>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Selangor World River Day 2020 – gotong royong activities.</w:t>
            </w:r>
          </w:p>
        </w:tc>
      </w:tr>
    </w:tbl>
    <w:p w14:paraId="4C99BB7C" w14:textId="1796B531" w:rsidR="00B263A8" w:rsidRDefault="00FD3C6B" w:rsidP="00FD3C6B">
      <w:pPr>
        <w:pStyle w:val="BodyText"/>
        <w:tabs>
          <w:tab w:val="left" w:pos="567"/>
        </w:tabs>
        <w:ind w:left="140" w:right="136"/>
      </w:pPr>
      <w:r>
        <w:rPr>
          <w:sz w:val="20"/>
          <w:szCs w:val="20"/>
        </w:rPr>
        <w:t xml:space="preserve">Source: </w:t>
      </w:r>
      <w:r w:rsidR="007107B4">
        <w:rPr>
          <w:sz w:val="20"/>
          <w:szCs w:val="20"/>
        </w:rPr>
        <w:fldChar w:fldCharType="begin" w:fldLock="1"/>
      </w:r>
      <w:r w:rsidR="009655B0">
        <w:rPr>
          <w:sz w:val="20"/>
          <w:szCs w:val="20"/>
        </w:rPr>
        <w:instrText>ADDIN CSL_CITATION {"citationItems":[{"id":"ITEM-1","itemData":{"author":[{"dropping-particle":"","family":"Landasan Lumayan Sdn Bhd","given":"","non-dropping-particle":"","parse-names":false,"suffix":""}],"id":"ITEM-1","issued":{"date-parts":[["2022"]]},"number-of-pages":"1-10","publisher-place":"Shah Alam, Selangor","title":"Laporan Kerja-kerja Pembersihan 56km Jajaran Sungai Klang","type":"report"},"uris":["http://www.mendeley.com/documents/?uuid=877ba3c5-ad11-4786-b094-9a92a95103ca"]}],"mendeley":{"formattedCitation":"(Landasan Lumayan Sdn Bhd, 2022)","plainTextFormattedCitation":"(Landasan Lumayan Sdn Bhd, 2022)","previouslyFormattedCitation":"(Landasan Lumayan Sdn Bhd, 2022)"},"properties":{"noteIndex":0},"schema":"https://github.com/citation-style-language/schema/raw/master/csl-citation.json"}</w:instrText>
      </w:r>
      <w:r w:rsidR="007107B4">
        <w:rPr>
          <w:sz w:val="20"/>
          <w:szCs w:val="20"/>
        </w:rPr>
        <w:fldChar w:fldCharType="separate"/>
      </w:r>
      <w:r w:rsidR="004B1C27" w:rsidRPr="004B1C27">
        <w:rPr>
          <w:noProof/>
          <w:sz w:val="20"/>
          <w:szCs w:val="20"/>
        </w:rPr>
        <w:t>Landasan Lumayan Sdn Bhd, 2022</w:t>
      </w:r>
      <w:r w:rsidR="007107B4">
        <w:rPr>
          <w:sz w:val="20"/>
          <w:szCs w:val="20"/>
        </w:rPr>
        <w:fldChar w:fldCharType="end"/>
      </w:r>
    </w:p>
    <w:p w14:paraId="40BA53A0" w14:textId="77777777" w:rsidR="00B263A8" w:rsidRPr="00CD12C5" w:rsidRDefault="007107B4" w:rsidP="00CD12C5">
      <w:pPr>
        <w:pStyle w:val="BodyText"/>
        <w:tabs>
          <w:tab w:val="left" w:pos="567"/>
        </w:tabs>
        <w:ind w:left="140" w:right="136"/>
      </w:pPr>
      <w:r>
        <w:tab/>
      </w:r>
    </w:p>
    <w:p w14:paraId="4726E7DB" w14:textId="47D665DC" w:rsidR="00B263A8" w:rsidRPr="00CD12C5" w:rsidRDefault="007107B4" w:rsidP="00CD12C5">
      <w:pPr>
        <w:pStyle w:val="BodyText"/>
        <w:tabs>
          <w:tab w:val="left" w:pos="567"/>
        </w:tabs>
        <w:ind w:left="140" w:right="136"/>
      </w:pPr>
      <w:r w:rsidRPr="00CD12C5">
        <w:tab/>
        <w:t xml:space="preserve">Through the evaluation of the data obtained, it is clear that non-structural measures of the river cleaning initiative still require greater improvement and involvement. The sustainability of the Klang River demands intensified public education and participation in river care and responsible waste management to transform mindsets and curtail rampant river pollution. It is highlighted through news reports of indiscriminate waste dumping, which underscores the urgent need to raise public awareness about preserving our </w:t>
      </w:r>
      <w:r w:rsidR="009655B0" w:rsidRPr="00CD12C5">
        <w:fldChar w:fldCharType="begin" w:fldLock="1"/>
      </w:r>
      <w:r w:rsidR="009655B0" w:rsidRPr="00CD12C5">
        <w:instrText>ADDIN CSL_CITATION {"citationItems":[{"id":"ITEM-1","itemData":{"author":[{"dropping-particle":"","family":"Malaysian Plastics Manufacturers Association","given":"","non-dropping-particle":"","parse-names":false,"suffix":""},{"dropping-particle":"","family":"Malaysian Plastics Recyclers Association","given":"","non-dropping-particle":"","parse-names":false,"suffix":""}],"container-title":"New Straits Times Press (M) Bhd","id":"ITEM-1","issued":{"date-parts":[["2019","12","21"]]},"page":"1-20","title":"Education, awareness key to tackling illegal dumping","type":"article-newspaper"},"uris":["http://www.mendeley.com/documents/?uuid=358e3606-ffe8-3045-99f7-f0c9b3dfd01b"]},{"id":"ITEM-2","itemData":{"author":[{"dropping-particle":"","family":"Muhammad Saufi","given":"Hassan","non-dropping-particle":"","parse-names":false,"suffix":""},{"dropping-particle":"","family":"Nor ‘Asyikin","given":"Mat Hayin","non-dropping-particle":"","parse-names":false,"suffix":""},{"dropping-particle":"","family":"Muhamaad Razis","given":"Ismail","non-dropping-particle":"","parse-names":false,"suffix":""},{"dropping-particle":"","family":"Nurul Husna","given":"Mahmud","non-dropping-particle":"","parse-names":false,"suffix":""}],"container-title":"Harian Metro","id":"ITEM-2","issued":{"date-parts":[["2021","7","20"]]},"title":"Pernah dinobat antara 50 sungai paling kotor di dunia","type":"article-newspaper"},"uris":["http://www.mendeley.com/documents/?uuid=5ce4a266-cf0c-3cdd-bd63-69da8129e069"]},{"id":"ITEM-3","itemData":{"URL":"https://twentytwo13.my/issues/klang-river-sees-life-again-but-businesses-must-educate-consumers-on-downside-of-dumping/","accessed":{"date-parts":[["2020","12","19"]]},"author":[{"dropping-particle":"","family":"Nunis","given":"Graig","non-dropping-particle":"","parse-names":false,"suffix":""}],"container-title":"Professional Storytellers PLT","id":"ITEM-3","issued":{"date-parts":[["2020"]]},"title":"Klang River sees life again but businesses must educate consumers on downside of dumping - Twentytwo13.my","type":"webpage"},"uris":["http://www.mendeley.com/documents/?uuid=cb05beec-d3d5-3315-a1d1-37eca1c51aa6"]},{"id":"ITEM-4","itemData":{"URL":"https://www.thestar.com.my/news/nation/2021/06/24/interactive-identified-as-source-of-plastic-waste-into-the-sea-klang-river-faces-major-cleanup","accessed":{"date-parts":[["2022","3","8"]]},"author":[{"dropping-particle":"","family":"Pfordten","given":"Diyana","non-dropping-particle":"","parse-names":false,"suffix":""}],"container-title":"The Star","id":"ITEM-4","issued":{"date-parts":[["2021","6","24"]]},"title":"INTERACTIVE: Identified as source of plastic waste into the sea, Klang River faces major cleanup | The Star","type":"webpage"},"uris":["http://www.mendeley.com/documents/?uuid=ffcc33dc-2fc5-3c13-ba7d-5fc3c2e20d9f"]}],"mendeley":{"formattedCitation":"(Malaysian Plastics Manufacturers Association &amp; Malaysian Plastics Recyclers Association, 2019; Muhammad Saufi et al., 2021; Nunis, 2020; Pfordten, 2021)","plainTextFormattedCitation":"(Malaysian Plastics Manufacturers Association &amp; Malaysian Plastics Recyclers Association, 2019; Muhammad Saufi et al., 2021; Nunis, 2020; Pfordten, 2021)","previouslyFormattedCitation":"(Malaysian Plastics Manufacturers Association &amp; Malaysian Plastics Recyclers Association, 2019; Muhammad Saufi et al., 2021; Nunis, 2020; Pfordten, 2021)"},"properties":{"noteIndex":0},"schema":"https://github.com/citation-style-language/schema/raw/master/csl-citation.json"}</w:instrText>
      </w:r>
      <w:r w:rsidR="009655B0" w:rsidRPr="00CD12C5">
        <w:fldChar w:fldCharType="separate"/>
      </w:r>
      <w:r w:rsidR="009655B0" w:rsidRPr="00CD12C5">
        <w:rPr>
          <w:noProof/>
        </w:rPr>
        <w:t>(Malaysian Plastics Manufacturers Association &amp; Malaysian Plastics Recyclers Association, 2019; Muhammad Saufi et al., 2021; Nunis, 2020; Pfordten, 2021)</w:t>
      </w:r>
      <w:r w:rsidR="009655B0" w:rsidRPr="00CD12C5">
        <w:fldChar w:fldCharType="end"/>
      </w:r>
      <w:r w:rsidRPr="00CD12C5">
        <w:t xml:space="preserve">. Therefore, the above fact suggests that there is a research gap </w:t>
      </w:r>
      <w:r w:rsidRPr="00CD12C5">
        <w:rPr>
          <w:lang w:val="en-GB"/>
        </w:rPr>
        <w:t>regarding</w:t>
      </w:r>
      <w:r w:rsidRPr="00CD12C5">
        <w:t xml:space="preserve"> the importance of </w:t>
      </w:r>
      <w:r w:rsidR="00D41C74" w:rsidRPr="00CD12C5">
        <w:t>the general public</w:t>
      </w:r>
      <w:r w:rsidRPr="00CD12C5">
        <w:t xml:space="preserve"> roles in addressing the </w:t>
      </w:r>
      <w:r w:rsidRPr="00CD12C5">
        <w:rPr>
          <w:lang w:val="en-GB"/>
        </w:rPr>
        <w:t>issue</w:t>
      </w:r>
      <w:r w:rsidRPr="00CD12C5">
        <w:t xml:space="preserve"> of river pollution.</w:t>
      </w:r>
    </w:p>
    <w:p w14:paraId="3A99A862" w14:textId="5C5E4CC4" w:rsidR="00B263A8" w:rsidRPr="00CD12C5" w:rsidRDefault="007107B4" w:rsidP="00CD12C5">
      <w:pPr>
        <w:pStyle w:val="BodyText"/>
        <w:tabs>
          <w:tab w:val="left" w:pos="567"/>
        </w:tabs>
        <w:ind w:left="140" w:right="136"/>
      </w:pPr>
      <w:r w:rsidRPr="00CD12C5">
        <w:tab/>
      </w:r>
      <w:bookmarkStart w:id="3" w:name="_Hlk173087366"/>
      <w:r w:rsidR="00FA169C" w:rsidRPr="00CD12C5">
        <w:t>This study aims to predict the relationship of green self-efficacy (GSE) and green trust (GT) on the intention to participate in river cleaning initiatives located at the downstream of Klang River. This study enhances our understanding of reducing river pollution by evaluating and improving existing theories. By examining the factors that influence people's intention to participate in river cleaning initiatives, it reveals how individuals perceive themselves and their actions. The inclusion of green self-efficacy and green trust as predictors helps design effective interventions and enriches the academic literature on environmental behavior</w:t>
      </w:r>
      <w:r w:rsidRPr="00CD12C5">
        <w:t>.</w:t>
      </w:r>
      <w:bookmarkEnd w:id="3"/>
    </w:p>
    <w:p w14:paraId="33DD79B0" w14:textId="77777777" w:rsidR="00B263A8" w:rsidRPr="00CD12C5" w:rsidRDefault="00B263A8" w:rsidP="00CD12C5">
      <w:pPr>
        <w:pStyle w:val="BodyText"/>
      </w:pPr>
    </w:p>
    <w:p w14:paraId="529236B8" w14:textId="77777777" w:rsidR="00B263A8" w:rsidRPr="00CD12C5" w:rsidRDefault="00B263A8" w:rsidP="00CD12C5">
      <w:pPr>
        <w:pStyle w:val="BodyText"/>
      </w:pPr>
    </w:p>
    <w:p w14:paraId="4E4A0C41" w14:textId="77777777" w:rsidR="00B263A8" w:rsidRPr="00CD12C5" w:rsidRDefault="007107B4" w:rsidP="00CD12C5">
      <w:pPr>
        <w:pStyle w:val="Heading2"/>
        <w:jc w:val="both"/>
      </w:pPr>
      <w:r w:rsidRPr="00CD12C5">
        <w:t>Literature review</w:t>
      </w:r>
    </w:p>
    <w:p w14:paraId="09C50A89" w14:textId="77777777" w:rsidR="00B263A8" w:rsidRPr="00CD12C5" w:rsidRDefault="00B263A8" w:rsidP="00CD12C5">
      <w:pPr>
        <w:pStyle w:val="BodyText"/>
        <w:rPr>
          <w:b/>
        </w:rPr>
      </w:pPr>
    </w:p>
    <w:p w14:paraId="6731D2FA" w14:textId="1C03ACB1" w:rsidR="00B263A8" w:rsidRDefault="007107B4" w:rsidP="00CD12C5">
      <w:pPr>
        <w:pStyle w:val="Heading3"/>
        <w:spacing w:before="0" w:after="0"/>
        <w:ind w:left="140"/>
      </w:pPr>
      <w:r w:rsidRPr="00CD12C5">
        <w:t xml:space="preserve">Intention to </w:t>
      </w:r>
      <w:r w:rsidR="00CD12C5" w:rsidRPr="00CD12C5">
        <w:t>participate in river cleaning initiatives</w:t>
      </w:r>
    </w:p>
    <w:p w14:paraId="1EB4038A" w14:textId="77777777" w:rsidR="00CD12C5" w:rsidRPr="00CD12C5" w:rsidRDefault="00CD12C5" w:rsidP="00CD12C5"/>
    <w:p w14:paraId="7D77BD46" w14:textId="05830CE6" w:rsidR="00B263A8" w:rsidRPr="00CD12C5" w:rsidRDefault="007107B4" w:rsidP="00CD12C5">
      <w:pPr>
        <w:pStyle w:val="BodyText"/>
        <w:ind w:left="140"/>
      </w:pPr>
      <w:r w:rsidRPr="00CD12C5">
        <w:t xml:space="preserve">The term "participation" is often used in the academic literature on environmental sustainability when referring to the involvement of local communities in achieving conservation goals. However, </w:t>
      </w:r>
      <w:r w:rsidR="009655B0" w:rsidRPr="00CD12C5">
        <w:fldChar w:fldCharType="begin" w:fldLock="1"/>
      </w:r>
      <w:r w:rsidR="009655B0" w:rsidRPr="00CD12C5">
        <w:instrText>ADDIN CSL_CITATION {"citationItems":[{"id":"ITEM-1","itemData":{"DOI":"10.3390/land11020170","ISSN":"2073445X","abstract":"As a management strategy, community participation is to implement the coordinated development of communities and protected areas. In recent years, the development of China’s national parks has faced many challenges related to human and environmental constraints. Community participation plays an essential role in solving such issues. As one of the critical indicators to test community participation, community residents’ willingness to participate significantly impacts community participation in constructing national parks. As such, this study was conducted using the extended model of the theory of planned behavior (TPB) and the structural equation model. Taking the Tianzhu county and Sunan Yugu county as examples, and based on 230 valid questionnaires, we investigated the impacts of the Qilian Mountain National Park System Pilot Area on community residents’ willingness to participate and provided relevant suggestions for amendments. The results indicated that, for the Qilian Mountain National Park System Pilot Area, behavioral attitude, subjective norms, and perceptual behavior control positively impacted the participation intention of community residents. At the same time, the variables mentioned above positively impacted the implementation of the participation intention of community residents. Specifically, the order of impacts is as follows: perceptual behavior control (path coefficient = 0.89) &gt; participation behavior attitude (path coefficient = 0.68) &gt; related impact system (path coefficient = 0.41) &gt; subjective norms (path coefficient = 0.38). According to the results, we put forward three suggestions: (1) providing relevant instructions and guidance on various methods to ensure that the pilot policies on the construction of national parks can form a positive relationship with the participation intentions of the community residents; (2) making full use of the function of perceptual behavior control, so the subjective initiative of community residents can be maximized, thereby enhancing the willingness of community residents to participate in constructing national parks; and (3) strengthening the impacts of subjective norms, enhancing the soft culture of national park communities’ participation, reshaping the community cultural landscapes with the goal of constructing national parks, and establishing community residents’ sense of honor as the builders of national parks.","author":[{"dropping-particle":"","family":"Jia","given":"Liqi","non-dropping-particle":"","parse-names":false,"suffix":""},{"dropping-particle":"","family":"Wei","given":"Junqing","non-dropping-particle":"","parse-names":false,"suffix":""},{"dropping-particle":"","family":"Wang","given":"Zibin","non-dropping-particle":"","parse-names":false,"suffix":""}],"container-title":"Land","id":"ITEM-1","issue":"2","issued":{"date-parts":[["2022"]]},"title":"The Intention of Community Participation in the Qilian Mountain National Park Policy Pilot","type":"article-journal","volume":"11"},"uris":["http://www.mendeley.com/documents/?uuid=12deaaa6-18e5-480f-8471-4d437a467008"]}],"mendeley":{"formattedCitation":"(Jia et al., 2022)","manualFormatting":"Jia et al. (2022)","plainTextFormattedCitation":"(Jia et al., 2022)","previouslyFormattedCitation":"(Jia et al., 2022)"},"properties":{"noteIndex":0},"schema":"https://github.com/citation-style-language/schema/raw/master/csl-citation.json"}</w:instrText>
      </w:r>
      <w:r w:rsidR="009655B0" w:rsidRPr="00CD12C5">
        <w:fldChar w:fldCharType="separate"/>
      </w:r>
      <w:r w:rsidR="009655B0" w:rsidRPr="00CD12C5">
        <w:rPr>
          <w:noProof/>
        </w:rPr>
        <w:t>Jia et al. (2022)</w:t>
      </w:r>
      <w:r w:rsidR="009655B0" w:rsidRPr="00CD12C5">
        <w:fldChar w:fldCharType="end"/>
      </w:r>
      <w:r w:rsidR="009655B0" w:rsidRPr="00CD12C5">
        <w:t xml:space="preserve"> </w:t>
      </w:r>
      <w:r w:rsidRPr="00CD12C5">
        <w:t xml:space="preserve">argue that a desire to participate must first exist within the community to drive engagement in such initiatives. In other words, the feeling of wanting to take part is a prerequisite for establishing an effective participation mechanism. "Community participation" or "public participation" refers to the involvement of various stakeholders at the local level </w:t>
      </w:r>
      <w:r w:rsidR="009655B0" w:rsidRPr="00CD12C5">
        <w:fldChar w:fldCharType="begin" w:fldLock="1"/>
      </w:r>
      <w:r w:rsidR="009655B0" w:rsidRPr="00CD12C5">
        <w:instrText>ADDIN CSL_CITATION {"citationItems":[{"id":"ITEM-1","itemData":{"DOI":"10.1016/j.ejrh.2020.100737","ISSN":"22145818","abstract":"Study region: Inadequate public participation has already been reported in the sustainable water resources management at Langat River Basin, Malaysia, primarily due to weak enforcement of policies along with public apathy. Study focus: A questionnaire survey was conducted among 402 random households in the study area in 2017 to assess people's attitudes, perceptions and behaviour through partial least squares structural equation modelling (PLS-SEM) in order to predict their willingness to participate in water resources management. Although there are a few studies on public participation in water management globally, this study is the pioneer in predicting public participation in water management with moderate predictive power based on a PLS-SEM model. New hydrological insights for the region: The model showed significant positive mediating effects of public's attitudes towards and perceptions of river and drinking water (APRDW) as well as positive moderating effects of their perceived water quality (PWQ) to enhance their willingness to participate in water management at a 99 % confidence interval. However, people's awareness about river and drinking water (ARDW) and the value of river and drinking water (VRDW) showed no significant mediating and moderating effects, respectively to increase their participation in a water management platform. Therefore, environmental education along with information concerning water management programmes should be well disseminated to people via awareness-raising and capacity-building activities by relevant authorities to increase their willingness to participate in sustainable water resources management in Langat River Basin, Malaysia.","author":[{"dropping-particle":"","family":"Ahmed","given":"Minhaz Farid","non-dropping-particle":"","parse-names":false,"suffix":""},{"dropping-particle":"Bin","family":"Mokhtar","given":"Mazlin","non-dropping-particle":"","parse-names":false,"suffix":""},{"dropping-particle":"","family":"Alam","given":"Lubna","non-dropping-particle":"","parse-names":false,"suffix":""}],"container-title":"Journal of Hydrology: Regional Studies","id":"ITEM-1","issued":{"date-parts":[["2020"]]},"page":"1-20","title":"Factors influencing people's willingness to participate in sustainable water resources management in Malaysia","type":"article-journal","volume":"31"},"uris":["http://www.mendeley.com/documents/?uuid=9e767b99-8e83-4a21-80e2-af615b999990"]}],"mendeley":{"formattedCitation":"(Ahmed et al., 2020)","plainTextFormattedCitation":"(Ahmed et al., 2020)","previouslyFormattedCitation":"(Ahmed et al., 2020)"},"properties":{"noteIndex":0},"schema":"https://github.com/citation-style-language/schema/raw/master/csl-citation.json"}</w:instrText>
      </w:r>
      <w:r w:rsidR="009655B0" w:rsidRPr="00CD12C5">
        <w:fldChar w:fldCharType="separate"/>
      </w:r>
      <w:r w:rsidR="009655B0" w:rsidRPr="00CD12C5">
        <w:rPr>
          <w:noProof/>
        </w:rPr>
        <w:t>(Ahmed et al., 2020)</w:t>
      </w:r>
      <w:r w:rsidR="009655B0" w:rsidRPr="00CD12C5">
        <w:fldChar w:fldCharType="end"/>
      </w:r>
      <w:r w:rsidR="009655B0" w:rsidRPr="00CD12C5">
        <w:t xml:space="preserve">. </w:t>
      </w:r>
      <w:r w:rsidRPr="00CD12C5">
        <w:t xml:space="preserve">Initiatives that engage communities in caring for the environment are called community-based conservation. According to </w:t>
      </w:r>
      <w:r w:rsidR="009655B0" w:rsidRPr="00CD12C5">
        <w:fldChar w:fldCharType="begin" w:fldLock="1"/>
      </w:r>
      <w:r w:rsidR="009655B0" w:rsidRPr="00CD12C5">
        <w:instrText>ADDIN CSL_CITATION {"citationItems":[{"id":"ITEM-1","itemData":{"ISBN":"0478220219","abstract":"Community-based conservation initiatives are bottom-up (or grass-root) activities. They have as their axiom two broad concepts. The first is that people who participate in decision-making will be more inclined to implement any resulting solution. The second is that the participants if provided with sufficient information and support are capable of determining for themselves what the most appropriate solution should be. There are no set procedures for establishing community-based conservation initiatives. While all need to take place within the overall context of ecosystem management, each will be unique in its needs. Experience has brought to light practices that assist or deter successful implementation. These are discussed in this paper. Lake Horowhenua (Waipunahau) is used as a case study.","author":[{"dropping-particle":"","family":"Forgie","given":"Vicky","non-dropping-particle":"","parse-names":false,"suffix":""},{"dropping-particle":"","family":"Horsley","given":"Peter","non-dropping-particle":"","parse-names":false,"suffix":""},{"dropping-particle":"","family":"Johnston","given":"Jane","non-dropping-particle":"","parse-names":false,"suffix":""}],"id":"ITEM-1","issue":"August","issued":{"date-parts":[["2019"]]},"number-of-pages":"1-6","title":"Facilitating community-based conservation initiatives: Science for Conservation 169","type":"report"},"uris":["http://www.mendeley.com/documents/?uuid=917d66ec-5b37-477c-9443-802b967dfd92"]}],"mendeley":{"formattedCitation":"(Forgie et al., 2019)","manualFormatting":"Forgie et al. (2019)","plainTextFormattedCitation":"(Forgie et al., 2019)","previouslyFormattedCitation":"(Forgie et al., 2019)"},"properties":{"noteIndex":0},"schema":"https://github.com/citation-style-language/schema/raw/master/csl-citation.json"}</w:instrText>
      </w:r>
      <w:r w:rsidR="009655B0" w:rsidRPr="00CD12C5">
        <w:fldChar w:fldCharType="separate"/>
      </w:r>
      <w:r w:rsidR="009655B0" w:rsidRPr="00CD12C5">
        <w:rPr>
          <w:noProof/>
        </w:rPr>
        <w:t>Forgie et al. (2019)</w:t>
      </w:r>
      <w:r w:rsidR="009655B0" w:rsidRPr="00CD12C5">
        <w:fldChar w:fldCharType="end"/>
      </w:r>
      <w:r w:rsidR="009655B0" w:rsidRPr="00CD12C5">
        <w:t xml:space="preserve"> </w:t>
      </w:r>
      <w:r w:rsidRPr="00CD12C5">
        <w:t xml:space="preserve">community-based conservation consists of grassroots activities that lead individuals and organizations to cooperate towards targeted environmental objectives. The concept helps decentralize natural resource management powers to the local level </w:t>
      </w:r>
      <w:r w:rsidR="009655B0" w:rsidRPr="00CD12C5">
        <w:fldChar w:fldCharType="begin" w:fldLock="1"/>
      </w:r>
      <w:r w:rsidR="00B55658" w:rsidRPr="00CD12C5">
        <w:instrText>ADDIN CSL_CITATION {"citationItems":[{"id":"ITEM-1","itemData":{"DOI":"10.1016/j.worlddev.2004.01.002","ISSN":"0305750X","abstract":"Community-based management (CBM) has progressed from the conceptual fringe to the dialogical heart of environmental management. Despite its rhetorical popularity, limited quantitative data exist on factors influencing local involvement. A quantitative survey of three Venezuelan fishing villages resulted in a predictive model of willingness to participate in CBM. Sense of community and fishery dependence were significant positive influences. High level of concern about the current and future state of the fishery correlated with an unwillingness to participate, indicating a defeatist attitude about perceived insurmountable problems. We explore sense of community, defeatist attitudes, and education in CBM project formulation and implementation. © 2004 Elsevier Ltd. All rights reserved.","author":[{"dropping-particle":"","family":"Zanetell","given":"Brooke Ann","non-dropping-particle":"","parse-names":false,"suffix":""},{"dropping-particle":"","family":"Knuth","given":"Barbara A.","non-dropping-particle":"","parse-names":false,"suffix":""}],"container-title":"World Development","id":"ITEM-1","issue":"5","issued":{"date-parts":[["2004"]]},"page":"793-807","title":"Participation rhetoric or community-based management reality? Influences on willingness to participate in a Venezuelan freshwater fishery","type":"article-journal","volume":"32"},"uris":["http://www.mendeley.com/documents/?uuid=959bde4b-34a5-4c9a-a61e-af8bc10b6b94"]}],"mendeley":{"formattedCitation":"(Zanetell &amp; Knuth, 2004)","plainTextFormattedCitation":"(Zanetell &amp; Knuth, 2004)","previouslyFormattedCitation":"(Zanetell &amp; Knuth, 2004)"},"properties":{"noteIndex":0},"schema":"https://github.com/citation-style-language/schema/raw/master/csl-citation.json"}</w:instrText>
      </w:r>
      <w:r w:rsidR="009655B0" w:rsidRPr="00CD12C5">
        <w:fldChar w:fldCharType="separate"/>
      </w:r>
      <w:r w:rsidR="009655B0" w:rsidRPr="00CD12C5">
        <w:rPr>
          <w:noProof/>
        </w:rPr>
        <w:t>(Zanetell &amp; Knuth, 2004)</w:t>
      </w:r>
      <w:r w:rsidR="009655B0" w:rsidRPr="00CD12C5">
        <w:fldChar w:fldCharType="end"/>
      </w:r>
      <w:r w:rsidR="009655B0" w:rsidRPr="00CD12C5">
        <w:t xml:space="preserve">. </w:t>
      </w:r>
      <w:r w:rsidRPr="00CD12C5">
        <w:t xml:space="preserve">Thus, it encompasses diverse efforts, from river cleanups to water quality monitoring, that can achieve cleaner rivers more effectively than </w:t>
      </w:r>
      <w:r w:rsidRPr="00CD12C5">
        <w:rPr>
          <w:lang w:val="en-GB"/>
        </w:rPr>
        <w:t xml:space="preserve">solely </w:t>
      </w:r>
      <w:r w:rsidRPr="00CD12C5">
        <w:t>relying  on expensive machinery.</w:t>
      </w:r>
    </w:p>
    <w:p w14:paraId="75A51B51" w14:textId="77458B52" w:rsidR="00B263A8" w:rsidRPr="00CD12C5" w:rsidRDefault="007107B4" w:rsidP="00CD12C5">
      <w:pPr>
        <w:pStyle w:val="BodyText"/>
        <w:ind w:left="140" w:firstLine="427"/>
      </w:pPr>
      <w:r w:rsidRPr="00CD12C5">
        <w:lastRenderedPageBreak/>
        <w:t xml:space="preserve">Despite </w:t>
      </w:r>
      <w:r w:rsidRPr="00CD12C5">
        <w:rPr>
          <w:lang w:val="en-GB"/>
        </w:rPr>
        <w:t xml:space="preserve">the </w:t>
      </w:r>
      <w:r w:rsidRPr="00CD12C5">
        <w:t xml:space="preserve">differences in how it is defined, the common thread across various definitions of the desire to participate seems to </w:t>
      </w:r>
      <w:r w:rsidR="00F11EE6" w:rsidRPr="00CD12C5">
        <w:t>concern</w:t>
      </w:r>
      <w:r w:rsidRPr="00CD12C5">
        <w:t xml:space="preserve"> environmental conservation and preservation</w:t>
      </w:r>
      <w:r w:rsidR="00F11EE6" w:rsidRPr="00CD12C5">
        <w:t>, which</w:t>
      </w:r>
      <w:r w:rsidRPr="00CD12C5">
        <w:t xml:space="preserve"> motivates involvement in related activities. In other words, </w:t>
      </w:r>
      <w:r w:rsidR="00F11EE6" w:rsidRPr="00CD12C5">
        <w:t>individuals generally wish</w:t>
      </w:r>
      <w:r w:rsidRPr="00CD12C5">
        <w:t xml:space="preserve"> to participate in environmental protection efforts when they feel intrinsically driven to engage in such initiatives. As</w:t>
      </w:r>
      <w:r w:rsidR="00B55658" w:rsidRPr="00CD12C5">
        <w:t xml:space="preserve"> </w:t>
      </w:r>
      <w:r w:rsidR="00B55658" w:rsidRPr="00CD12C5">
        <w:fldChar w:fldCharType="begin" w:fldLock="1"/>
      </w:r>
      <w:r w:rsidR="00B55658" w:rsidRPr="00CD12C5">
        <w:instrText>ADDIN CSL_CITATION {"citationItems":[{"id":"ITEM-1","itemData":{"DOI":"10.1016/j.resconrec.2021.105445","ISSN":"18790658","abstract":"The classification of municipal household waste is a complex, adaptive system containing multiple agents, where behavior between the agents is interactive. This study focuses on the willingness of bounded, rational individuals to sort waste within complex social networks, and the evolution of group behavior. An individual cognition-behavior model was established, based on the theory of planned behavior. In this model, the intention underpinning individual waste classification is influenced by the behavioral attitude of the individual, perceived behavioral control, subjective norms, and perceived behavioral results. A multi-agent-based simulation within a social network based on the opinion propagation dynamics and a scale-free network was developed to simulate the behavior change of the agents. The results suggest that under the principle of selective connection and the hypothesis of network growth, the clustering trend of the whole network towards several central nodes becomes increasingly apparent; this means, the degree of network node centralization becomes clear. Lowering the threshold of social information interaction improved the transmission of waste classification information and increased the proportion of urban residents who carry out waste classification. Economic profits and spiritual satisfaction were considered important driving factors that impacted decision-making on waste classification, and effectively stimulated the willingness of urban residents to implement waste sorting behavior. Notably, official organizations and institutions, that is, influencers with higher connectivity were found to have a greater influence on the decisions made by residents. These findings are useful as a theoretical reference to inform the development of waste management policies.","author":[{"dropping-particle":"","family":"Chen","given":"Liqiang","non-dropping-particle":"","parse-names":false,"suffix":""},{"dropping-particle":"","family":"Gao","given":"Ming","non-dropping-particle":"","parse-names":false,"suffix":""}],"container-title":"Resources, Conservation and Recycling","id":"ITEM-1","issue":"January","issued":{"date-parts":[["2021"]]},"page":"105445","publisher":"Elsevier B.V.","title":"Novel information interaction rule for municipal household waste classification behavior based on an evolving scale-free network","type":"article-journal","volume":"168"},"uris":["http://www.mendeley.com/documents/?uuid=5f8a75ce-8f85-4157-ac05-84d3e9a03423"]}],"mendeley":{"formattedCitation":"(L. Chen &amp; Gao, 2021)","manualFormatting":"Chen &amp; Gao (2021)","plainTextFormattedCitation":"(L. Chen &amp; Gao, 2021)","previouslyFormattedCitation":"(L. Chen &amp; Gao, 2021)"},"properties":{"noteIndex":0},"schema":"https://github.com/citation-style-language/schema/raw/master/csl-citation.json"}</w:instrText>
      </w:r>
      <w:r w:rsidR="00B55658" w:rsidRPr="00CD12C5">
        <w:fldChar w:fldCharType="separate"/>
      </w:r>
      <w:r w:rsidR="00B55658" w:rsidRPr="00CD12C5">
        <w:rPr>
          <w:noProof/>
        </w:rPr>
        <w:t>Chen &amp; Gao (2021)</w:t>
      </w:r>
      <w:r w:rsidR="00B55658" w:rsidRPr="00CD12C5">
        <w:fldChar w:fldCharType="end"/>
      </w:r>
      <w:r w:rsidRPr="00CD12C5">
        <w:t xml:space="preserve"> stated, an individual's intention is the cause of a behavior. </w:t>
      </w:r>
      <w:r w:rsidR="00F11EE6" w:rsidRPr="00CD12C5">
        <w:t>Forming</w:t>
      </w:r>
      <w:r w:rsidRPr="00CD12C5">
        <w:t xml:space="preserve"> implementation intentions strengthens the mental association between a situation and the intended action </w:t>
      </w:r>
      <w:r w:rsidR="00B55658" w:rsidRPr="00CD12C5">
        <w:fldChar w:fldCharType="begin" w:fldLock="1"/>
      </w:r>
      <w:r w:rsidR="000F193B" w:rsidRPr="00CD12C5">
        <w:instrText>ADDIN CSL_CITATION {"citationItems":[{"id":"ITEM-1","itemData":{"DOI":"10.1016/j.resconrec.2021.105783","ISSN":"18790658","abstract":"Mental simulation is a potentially effective intervention method for pursuing goals and enhancing task performance. Little is known, however, about the application of this method for enhancing pro-environmental behavior. We examined whether asking individuals to mentally simulate themselves recycling impacted their intention to recycle and how the imagery perspective (i.e., actor's vs. observer's perspective) and thought focus (i.e., process vs. outcome focus) can enhance the potential effectiveness of mental simulation. Across three studies, we found support for the efficacy of recycling simulation in enhancing individuals’ recycling behavior and intentions to recycle. This effect partly comes from warm-glow feelings about recycling. Furthermore, when individuals focus on the outcomes of recycling, adopting an observer's perspective leads to greater pro-recycling intentions. In contrast, when individuals focus on the processes of recycling, adopting an actor's perspective enhances pro-recycling intentions. The mechanisms that underlie the interaction effect, along with theoretical and practical implications, are examined and discussed.","author":[{"dropping-particle":"","family":"Zhang","given":"Jin","non-dropping-particle":"","parse-names":false,"suffix":""},{"dropping-particle":"","family":"Zhao","given":"Lijun","non-dropping-particle":"","parse-names":false,"suffix":""},{"dropping-particle":"","family":"Hu","given":"Saiquan","non-dropping-particle":"","parse-names":false,"suffix":""}],"container-title":"Resources, Conservation and Recycling","id":"ITEM-1","issue":"July","issued":{"date-parts":[["2021"]]},"page":"105783","publisher":"Elsevier B.V.","title":"Visualizing recycling: Promoting recycling through mental simulation","type":"article-journal","volume":"174"},"uris":["http://www.mendeley.com/documents/?uuid=2b6f9a1c-f873-41d1-ae37-a1f90510bcb1"]}],"mendeley":{"formattedCitation":"(Zhang et al., 2021)","plainTextFormattedCitation":"(Zhang et al., 2021)","previouslyFormattedCitation":"(Zhang et al., 2021)"},"properties":{"noteIndex":0},"schema":"https://github.com/citation-style-language/schema/raw/master/csl-citation.json"}</w:instrText>
      </w:r>
      <w:r w:rsidR="00B55658" w:rsidRPr="00CD12C5">
        <w:fldChar w:fldCharType="separate"/>
      </w:r>
      <w:r w:rsidR="00B55658" w:rsidRPr="00CD12C5">
        <w:rPr>
          <w:noProof/>
        </w:rPr>
        <w:t>(Zhang et al., 2021)</w:t>
      </w:r>
      <w:r w:rsidR="00B55658" w:rsidRPr="00CD12C5">
        <w:fldChar w:fldCharType="end"/>
      </w:r>
      <w:r w:rsidR="00B55658" w:rsidRPr="00CD12C5">
        <w:t xml:space="preserve">. </w:t>
      </w:r>
      <w:r w:rsidRPr="00CD12C5">
        <w:t xml:space="preserve">For this study, the intention to participate in the river cleaning initiative is defined as when an individual feels motivated or compelled from within to </w:t>
      </w:r>
      <w:r w:rsidR="00F11EE6" w:rsidRPr="00CD12C5">
        <w:t>participate</w:t>
      </w:r>
      <w:r w:rsidRPr="00CD12C5">
        <w:t xml:space="preserve"> in activities related to the river cleaning effort. The intention itself, stemming from pro-environmental attitudes, </w:t>
      </w:r>
      <w:r w:rsidRPr="00CD12C5">
        <w:rPr>
          <w:lang w:val="en-GB"/>
        </w:rPr>
        <w:t>encourages</w:t>
      </w:r>
      <w:r w:rsidRPr="00CD12C5">
        <w:t xml:space="preserve"> participation rather than any external incentive. </w:t>
      </w:r>
      <w:r w:rsidR="00F11EE6" w:rsidRPr="00CD12C5">
        <w:t>The</w:t>
      </w:r>
      <w:r w:rsidRPr="00CD12C5">
        <w:t xml:space="preserve"> literature suggests that harnessing </w:t>
      </w:r>
      <w:r w:rsidR="00F11EE6" w:rsidRPr="00CD12C5">
        <w:t xml:space="preserve">intrinsic motivation and local knowledge within a community is </w:t>
      </w:r>
      <w:r w:rsidRPr="00CD12C5">
        <w:t xml:space="preserve">key </w:t>
      </w:r>
      <w:r w:rsidR="00F11EE6" w:rsidRPr="00CD12C5">
        <w:rPr>
          <w:lang w:val="en-GB"/>
        </w:rPr>
        <w:t>to</w:t>
      </w:r>
      <w:r w:rsidRPr="00CD12C5">
        <w:t xml:space="preserve"> sustaining conservation outcomes. Focusing on fostering this intrinsic motivation may be </w:t>
      </w:r>
      <w:r w:rsidRPr="00CD12C5">
        <w:rPr>
          <w:lang w:val="en-GB"/>
        </w:rPr>
        <w:t>lead</w:t>
      </w:r>
      <w:r w:rsidRPr="00CD12C5">
        <w:t xml:space="preserve"> to encouraging engagement in conservation initiatives.</w:t>
      </w:r>
    </w:p>
    <w:p w14:paraId="5A15DA0D" w14:textId="089C88D2" w:rsidR="00B263A8" w:rsidRPr="00CD12C5" w:rsidRDefault="007107B4" w:rsidP="00CD12C5">
      <w:pPr>
        <w:pStyle w:val="BodyText"/>
        <w:ind w:left="140" w:firstLine="427"/>
      </w:pPr>
      <w:r w:rsidRPr="00CD12C5">
        <w:t xml:space="preserve">In the context of river conservation, the participation of communities living near the river is critical, as </w:t>
      </w:r>
      <w:r w:rsidR="000F193B" w:rsidRPr="00CD12C5">
        <w:fldChar w:fldCharType="begin" w:fldLock="1"/>
      </w:r>
      <w:r w:rsidR="000F193B" w:rsidRPr="00CD12C5">
        <w:instrText>ADDIN CSL_CITATION {"citationItems":[{"id":"ITEM-1","itemData":{"DOI":"10.15405/epsbs.2020.10.02.14","author":[{"dropping-particle":"","family":"Leng","given":"See Too Kay","non-dropping-particle":"","parse-names":false,"suffix":""},{"dropping-particle":"","family":"Weng","given":"Chan Ngai","non-dropping-particle":"","parse-names":false,"suffix":""},{"dropping-particle":"","family":"Samat","given":"Narimah","non-dropping-particle":"","parse-names":false,"suffix":""}],"container-title":"European Proceedings of Social and Behavioural Sciences","id":"ITEM-1","issued":{"date-parts":[["2020"]]},"page":"152-162","title":"Community Awareness And Involvement In River Conservation In Pasir Mas, Kelantan","type":"paper-conference"},"uris":["http://www.mendeley.com/documents/?uuid=543de3b8-2f3e-40ce-b197-6c80f54b7a59"]}],"mendeley":{"formattedCitation":"(Leng et al., 2020)","manualFormatting":"Leng et al. (2020)","plainTextFormattedCitation":"(Leng et al., 2020)","previouslyFormattedCitation":"(Leng et al., 2020)"},"properties":{"noteIndex":0},"schema":"https://github.com/citation-style-language/schema/raw/master/csl-citation.json"}</w:instrText>
      </w:r>
      <w:r w:rsidR="000F193B" w:rsidRPr="00CD12C5">
        <w:fldChar w:fldCharType="separate"/>
      </w:r>
      <w:r w:rsidR="000F193B" w:rsidRPr="00CD12C5">
        <w:rPr>
          <w:noProof/>
        </w:rPr>
        <w:t>Leng et al. (2020)</w:t>
      </w:r>
      <w:r w:rsidR="000F193B" w:rsidRPr="00CD12C5">
        <w:fldChar w:fldCharType="end"/>
      </w:r>
      <w:r w:rsidR="000F193B" w:rsidRPr="00CD12C5">
        <w:t xml:space="preserve"> </w:t>
      </w:r>
      <w:r w:rsidRPr="00CD12C5">
        <w:t xml:space="preserve">stated that local communities </w:t>
      </w:r>
      <w:r w:rsidR="00F11EE6" w:rsidRPr="00CD12C5">
        <w:t>can</w:t>
      </w:r>
      <w:r w:rsidRPr="00CD12C5">
        <w:t xml:space="preserve"> detect sources of pollution faster than people living farther away. For example, </w:t>
      </w:r>
      <w:r w:rsidR="000F193B" w:rsidRPr="00CD12C5">
        <w:fldChar w:fldCharType="begin" w:fldLock="1"/>
      </w:r>
      <w:r w:rsidR="000F193B" w:rsidRPr="00CD12C5">
        <w:instrText>ADDIN CSL_CITATION {"citationItems":[{"id":"ITEM-1","itemData":{"author":[{"dropping-particle":"","family":"Mumbi","given":"Anne Wambui","non-dropping-particle":"","parse-names":false,"suffix":""},{"dropping-particle":"","family":"Watanabe","given":"Tsunemi","non-dropping-particle":"","parse-names":false,"suffix":""}],"container-title":"Sustainability (Switzerland)","id":"ITEM-1","issue":"1934","issued":{"date-parts":[["2021"]]},"page":"1-30","title":"Willingness to Pay and Participate in Improved Water Quality by Lay People and Factory Workers: A Case Study of River Sosiani, Eldoret Municipality, Kenya","type":"article-journal","volume":"13"},"uris":["http://www.mendeley.com/documents/?uuid=e2b77afa-7d96-4dfe-bd12-dc5363358eed"]}],"mendeley":{"formattedCitation":"(Mumbi &amp; Watanabe, 2021)","manualFormatting":"Mumbi &amp; Watanabe (2021)","plainTextFormattedCitation":"(Mumbi &amp; Watanabe, 2021)","previouslyFormattedCitation":"(Mumbi &amp; Watanabe, 2021)"},"properties":{"noteIndex":0},"schema":"https://github.com/citation-style-language/schema/raw/master/csl-citation.json"}</w:instrText>
      </w:r>
      <w:r w:rsidR="000F193B" w:rsidRPr="00CD12C5">
        <w:fldChar w:fldCharType="separate"/>
      </w:r>
      <w:r w:rsidR="000F193B" w:rsidRPr="00CD12C5">
        <w:rPr>
          <w:noProof/>
        </w:rPr>
        <w:t xml:space="preserve">Mumbi </w:t>
      </w:r>
      <w:r w:rsidR="00367E5B">
        <w:rPr>
          <w:noProof/>
        </w:rPr>
        <w:t>and</w:t>
      </w:r>
      <w:r w:rsidR="000F193B" w:rsidRPr="00CD12C5">
        <w:rPr>
          <w:noProof/>
        </w:rPr>
        <w:t xml:space="preserve"> Watanabe (2021)</w:t>
      </w:r>
      <w:r w:rsidR="000F193B" w:rsidRPr="00CD12C5">
        <w:fldChar w:fldCharType="end"/>
      </w:r>
      <w:r w:rsidR="000F193B" w:rsidRPr="00CD12C5">
        <w:t xml:space="preserve"> </w:t>
      </w:r>
      <w:r w:rsidRPr="00CD12C5">
        <w:t xml:space="preserve">selected upstream, downstream, and industrial communities along a river as their sample </w:t>
      </w:r>
      <w:r w:rsidRPr="00CD12C5">
        <w:rPr>
          <w:lang w:val="en-GB"/>
        </w:rPr>
        <w:t>for investigating the</w:t>
      </w:r>
      <w:r w:rsidRPr="00CD12C5">
        <w:t xml:space="preserve"> willingness to participate in conservation volunteer programs. Community-based conservation encompasses practices that directly or indirectly lead to preservation </w:t>
      </w:r>
      <w:r w:rsidR="000F193B" w:rsidRPr="00CD12C5">
        <w:fldChar w:fldCharType="begin" w:fldLock="1"/>
      </w:r>
      <w:r w:rsidR="000F193B" w:rsidRPr="00CD12C5">
        <w:instrText>ADDIN CSL_CITATION {"citationItems":[{"id":"ITEM-1","itemData":{"DOI":"10.15405/epsbs.2020.10.02.14","author":[{"dropping-particle":"","family":"Leng","given":"See Too Kay","non-dropping-particle":"","parse-names":false,"suffix":""},{"dropping-particle":"","family":"Weng","given":"Chan Ngai","non-dropping-particle":"","parse-names":false,"suffix":""},{"dropping-particle":"","family":"Samat","given":"Narimah","non-dropping-particle":"","parse-names":false,"suffix":""}],"container-title":"European Proceedings of Social and Behavioural Sciences","id":"ITEM-1","issued":{"date-parts":[["2020"]]},"page":"152-162","title":"Community Awareness And Involvement In River Conservation In Pasir Mas, Kelantan","type":"paper-conference"},"uris":["http://www.mendeley.com/documents/?uuid=543de3b8-2f3e-40ce-b197-6c80f54b7a59"]}],"mendeley":{"formattedCitation":"(Leng et al., 2020)","plainTextFormattedCitation":"(Leng et al., 2020)","previouslyFormattedCitation":"(Leng et al., 2020)"},"properties":{"noteIndex":0},"schema":"https://github.com/citation-style-language/schema/raw/master/csl-citation.json"}</w:instrText>
      </w:r>
      <w:r w:rsidR="000F193B" w:rsidRPr="00CD12C5">
        <w:fldChar w:fldCharType="separate"/>
      </w:r>
      <w:r w:rsidR="000F193B" w:rsidRPr="00CD12C5">
        <w:rPr>
          <w:noProof/>
        </w:rPr>
        <w:t>(Leng et al., 2020)</w:t>
      </w:r>
      <w:r w:rsidR="000F193B" w:rsidRPr="00CD12C5">
        <w:fldChar w:fldCharType="end"/>
      </w:r>
      <w:r w:rsidR="000F193B" w:rsidRPr="00CD12C5">
        <w:t xml:space="preserve">. </w:t>
      </w:r>
      <w:r w:rsidRPr="00CD12C5">
        <w:t xml:space="preserve">Thus, to foster an intention to participate in river cleaning initiatives, </w:t>
      </w:r>
      <w:r w:rsidR="00F11EE6" w:rsidRPr="00CD12C5">
        <w:t>engaging communities proximate to the resource is vital</w:t>
      </w:r>
      <w:r w:rsidRPr="00CD12C5">
        <w:t>.</w:t>
      </w:r>
    </w:p>
    <w:p w14:paraId="135B06A8" w14:textId="2D8084AF" w:rsidR="00B263A8" w:rsidRPr="00CD12C5" w:rsidRDefault="007107B4" w:rsidP="00CD12C5">
      <w:pPr>
        <w:pStyle w:val="BodyText"/>
        <w:ind w:left="140" w:firstLine="427"/>
      </w:pPr>
      <w:r w:rsidRPr="00CD12C5">
        <w:t>Residents of areas bordering the Klang River represent a key stakeholder group whose involvement is crucial for implementing effective and sustainable conservation efforts. However, the intention to participate in river cleaning initiatives remains limited presently due to minimal awareness of the importance of caring for the river. Therefore, t</w:t>
      </w:r>
      <w:r w:rsidRPr="00CD12C5">
        <w:rPr>
          <w:lang w:val="en-GB"/>
        </w:rPr>
        <w:t>he focus of this study</w:t>
      </w:r>
      <w:r w:rsidRPr="00CD12C5">
        <w:t xml:space="preserve"> on Klang River adjacent communities is essential for understanding and cultivating local participation in the cleanup initiative. Tapping into the intimate knowledge and vested interests of riverside residents could be a key factor in ensuring the sustainability of conservation outcomes along the Klang River.</w:t>
      </w:r>
    </w:p>
    <w:p w14:paraId="261B1E05" w14:textId="77777777" w:rsidR="00B263A8" w:rsidRPr="00CD12C5" w:rsidRDefault="00B263A8" w:rsidP="00CD12C5">
      <w:pPr>
        <w:pStyle w:val="BodyText"/>
        <w:ind w:left="140"/>
      </w:pPr>
    </w:p>
    <w:p w14:paraId="795B6820" w14:textId="77777777" w:rsidR="00B263A8" w:rsidRDefault="007107B4" w:rsidP="00CD12C5">
      <w:pPr>
        <w:pStyle w:val="Heading3"/>
        <w:spacing w:before="0" w:after="0"/>
        <w:ind w:left="140"/>
      </w:pPr>
      <w:r w:rsidRPr="00CD12C5">
        <w:t>Green Self-efficacy (GSE)</w:t>
      </w:r>
    </w:p>
    <w:p w14:paraId="56565BCF" w14:textId="77777777" w:rsidR="00367E5B" w:rsidRPr="00367E5B" w:rsidRDefault="00367E5B" w:rsidP="00367E5B"/>
    <w:p w14:paraId="42B68A50" w14:textId="01904F26" w:rsidR="00B263A8" w:rsidRPr="00CD12C5" w:rsidRDefault="007107B4" w:rsidP="00CD12C5">
      <w:pPr>
        <w:ind w:left="140"/>
        <w:jc w:val="both"/>
        <w:rPr>
          <w:sz w:val="24"/>
          <w:szCs w:val="24"/>
        </w:rPr>
      </w:pPr>
      <w:r w:rsidRPr="00CD12C5">
        <w:rPr>
          <w:sz w:val="24"/>
          <w:szCs w:val="24"/>
        </w:rPr>
        <w:t xml:space="preserve">The term "Green Self-efficacy" originates from the term self-efficacy, which means an individual's belief in their ability to organize and carry out a course of action </w:t>
      </w:r>
      <w:r w:rsidR="000F193B" w:rsidRPr="00CD12C5">
        <w:rPr>
          <w:sz w:val="24"/>
          <w:szCs w:val="24"/>
        </w:rPr>
        <w:fldChar w:fldCharType="begin" w:fldLock="1"/>
      </w:r>
      <w:r w:rsidR="000F193B" w:rsidRPr="00CD12C5">
        <w:rPr>
          <w:sz w:val="24"/>
          <w:szCs w:val="24"/>
        </w:rPr>
        <w:instrText>ADDIN CSL_CITATION {"citationItems":[{"id":"ITEM-1","itemData":{"ISBN":"0-7167-2626-2 (Hardcover); 0-7167-2850-8 (Paperback)","abstract":"\"Self Efficacy\" is the result of over 20 yrs of research by the psychologist, Albert Bandura, and the ever-widening circle of related research that has emerged from Bandura's original work.  Intended for advanced undergraduate or graduate courses, or for professional use, the book is based on Bandura's theory that those with high self-efficacy expectancies—the belief that one can achieve what one sets out to do—are healthier, more effective, and generally more successful than those with low self-efficacy expectancies. (PsycINFO Database Record (c) 2016 APA, all rights reserved)","author":[{"dropping-particle":"","family":"Bandura","given":"Albert","non-dropping-particle":"","parse-names":false,"suffix":""}],"container-title":"Self-efficacy:  The exercise of control.","id":"ITEM-1","issued":{"date-parts":[["1997"]]},"number-of-pages":"ix, 604-ix, 604","publisher":"W H Freeman/Times Books/ Henry Holt &amp; Co","publisher-place":"New York,  NY,  US","title":"Self-efficacy:  The exercise of control.","type":"book"},"uris":["http://www.mendeley.com/documents/?uuid=eea6240c-3113-42ca-868f-3354f70d234e"]}],"mendeley":{"formattedCitation":"(Bandura, 1997)","plainTextFormattedCitation":"(Bandura, 1997)","previouslyFormattedCitation":"(Bandura, 1997)"},"properties":{"noteIndex":0},"schema":"https://github.com/citation-style-language/schema/raw/master/csl-citation.json"}</w:instrText>
      </w:r>
      <w:r w:rsidR="000F193B" w:rsidRPr="00CD12C5">
        <w:rPr>
          <w:sz w:val="24"/>
          <w:szCs w:val="24"/>
        </w:rPr>
        <w:fldChar w:fldCharType="separate"/>
      </w:r>
      <w:r w:rsidR="000F193B" w:rsidRPr="00CD12C5">
        <w:rPr>
          <w:noProof/>
          <w:sz w:val="24"/>
          <w:szCs w:val="24"/>
        </w:rPr>
        <w:t>(Bandura, 1997)</w:t>
      </w:r>
      <w:r w:rsidR="000F193B" w:rsidRPr="00CD12C5">
        <w:rPr>
          <w:sz w:val="24"/>
          <w:szCs w:val="24"/>
        </w:rPr>
        <w:fldChar w:fldCharType="end"/>
      </w:r>
      <w:r w:rsidR="000F193B" w:rsidRPr="00CD12C5">
        <w:rPr>
          <w:sz w:val="24"/>
          <w:szCs w:val="24"/>
        </w:rPr>
        <w:t xml:space="preserve">. </w:t>
      </w:r>
      <w:r w:rsidRPr="00CD12C5">
        <w:rPr>
          <w:sz w:val="24"/>
          <w:szCs w:val="24"/>
        </w:rPr>
        <w:t>According to</w:t>
      </w:r>
      <w:r w:rsidR="000F193B" w:rsidRPr="00CD12C5">
        <w:rPr>
          <w:sz w:val="24"/>
          <w:szCs w:val="24"/>
        </w:rPr>
        <w:t xml:space="preserve"> </w:t>
      </w:r>
      <w:r w:rsidR="000F193B" w:rsidRPr="00CD12C5">
        <w:rPr>
          <w:sz w:val="24"/>
          <w:szCs w:val="24"/>
        </w:rPr>
        <w:fldChar w:fldCharType="begin" w:fldLock="1"/>
      </w:r>
      <w:r w:rsidR="00AF1D3A" w:rsidRPr="00CD12C5">
        <w:rPr>
          <w:sz w:val="24"/>
          <w:szCs w:val="24"/>
        </w:rPr>
        <w:instrText>ADDIN CSL_CITATION {"citationItems":[{"id":"ITEM-1","itemData":{"DOI":"10.18848/2325-1166/cgp/v08i04/55412","ISSN":"23251182","abstract":"In this paper, we summarize past research regarding the relationship between environmental attitudes and time perspective with pro-environmental behaviors (PEB), identify the construct environmental efficacy, and describe the development of a scale designed to measure it. The results of our initial scale validation study demonstrate a high level of internal reliability. Convergent validity was demonstrated between ecocentric attitudes, future time perspective, and higher levels of motivation, as well as between anthropocentric attitudes, present time perspective, and amotivation. Discriminant validity was demonstrated between ecocentric and anthropocentric attitudes, as well as between future time perspective, ecocentric attitudes, and amotivation. Areas for future research are identified, including specifying these relationships and developing a model that incorporates these various factors and the explicit relationships between them. The potential benefits of this research include, on a small, proximal scale, encouraging environmental efficacy, and on a larger, distal scale, advancing collective efficacy and furthering the widespread adoption of sustainable ecocentric behaviors.","author":[{"dropping-particle":"","family":"Sellers","given":"Brittany C.","non-dropping-particle":"","parse-names":false,"suffix":""},{"dropping-particle":"","family":"Fiore","given":"Stephen M.","non-dropping-particle":"","parse-names":false,"suffix":""},{"dropping-particle":"","family":"Szalma","given":"James","non-dropping-particle":"","parse-names":false,"suffix":""}],"container-title":"International Journal of Sustainability Policy and Practice","id":"ITEM-1","issue":"4","issued":{"date-parts":[["2013"]]},"page":"169-195","title":"Developing a scale of environmental efficacy","type":"article-journal","volume":"8"},"uris":["http://www.mendeley.com/documents/?uuid=5885fc18-6c2b-4252-9921-fd5fea139c4f"]}],"mendeley":{"formattedCitation":"(Sellers et al., 2013)","manualFormatting":"Sellers et al., (2013)","plainTextFormattedCitation":"(Sellers et al., 2013)","previouslyFormattedCitation":"(Sellers et al., 2013)"},"properties":{"noteIndex":0},"schema":"https://github.com/citation-style-language/schema/raw/master/csl-citation.json"}</w:instrText>
      </w:r>
      <w:r w:rsidR="000F193B" w:rsidRPr="00CD12C5">
        <w:rPr>
          <w:sz w:val="24"/>
          <w:szCs w:val="24"/>
        </w:rPr>
        <w:fldChar w:fldCharType="separate"/>
      </w:r>
      <w:r w:rsidR="000F193B" w:rsidRPr="00CD12C5">
        <w:rPr>
          <w:noProof/>
          <w:sz w:val="24"/>
          <w:szCs w:val="24"/>
        </w:rPr>
        <w:t>Sellers et al., (2013)</w:t>
      </w:r>
      <w:r w:rsidR="000F193B" w:rsidRPr="00CD12C5">
        <w:rPr>
          <w:sz w:val="24"/>
          <w:szCs w:val="24"/>
        </w:rPr>
        <w:fldChar w:fldCharType="end"/>
      </w:r>
      <w:r w:rsidRPr="00CD12C5">
        <w:rPr>
          <w:sz w:val="24"/>
          <w:szCs w:val="24"/>
        </w:rPr>
        <w:t xml:space="preserve">, self-efficacy explains the extent to which an individual believes they are capable of engaging effectively in an activity. The concept of self-efficacy, an individual's belief in their ability to organize and execute actions, has been adapted to the environmental realm through the term "Green Self-efficacy." This powerfully captures one's conviction that they possess the capability and </w:t>
      </w:r>
      <w:r w:rsidRPr="00CD12C5">
        <w:rPr>
          <w:sz w:val="24"/>
          <w:szCs w:val="24"/>
          <w:lang w:val="en-GB"/>
        </w:rPr>
        <w:t>decide</w:t>
      </w:r>
      <w:r w:rsidRPr="00CD12C5">
        <w:rPr>
          <w:sz w:val="24"/>
          <w:szCs w:val="24"/>
        </w:rPr>
        <w:t xml:space="preserve"> to take the necessary measures to attain environmental objectives</w:t>
      </w:r>
      <w:r w:rsidR="00AF1D3A" w:rsidRPr="00CD12C5">
        <w:rPr>
          <w:sz w:val="24"/>
          <w:szCs w:val="24"/>
        </w:rPr>
        <w:t xml:space="preserve"> </w:t>
      </w:r>
      <w:r w:rsidR="00AF1D3A" w:rsidRPr="00CD12C5">
        <w:rPr>
          <w:sz w:val="24"/>
          <w:szCs w:val="24"/>
        </w:rPr>
        <w:fldChar w:fldCharType="begin" w:fldLock="1"/>
      </w:r>
      <w:r w:rsidR="00CB5E04" w:rsidRPr="00CD12C5">
        <w:rPr>
          <w:sz w:val="24"/>
          <w:szCs w:val="24"/>
        </w:rPr>
        <w:instrText>ADDIN CSL_CITATION {"citationItems":[{"id":"ITEM-1","itemData":{"DOI":"10.3390/su70810135","ISSN":"20711050","abstract":"As global green trends became more prevalent, green marketing also developed into an important issue. Although prior literature explored the main factors affecting green trust, it was inconclusive as to how environmental friendliness could affect the green trust in green marketing. This study aims to focus on the positive influence of environmental friendliness on green trust, and explore the mediation effects of green satisfaction and green perceived quality. This study undertakes an empirical study by means of questionnaire survey. The respondents are consumers who have experience purchasing green products. This study applies structural equation modeling (SEM) to test the hypotheses. The findings of this study indicate that (1) environmental friendliness has a significant positive impact on green satisfaction, green perceived quality, and green trust; (2) both green satisfaction and green perceived quality positively affect green trust; and (3) green satisfaction and green perceived quality partially mediate the positive relationship between environmental friendliness and green trust.","author":[{"dropping-particle":"","family":"Chen","given":"Yu Shan","non-dropping-particle":"","parse-names":false,"suffix":""},{"dropping-particle":"","family":"Lin","given":"Ching Ying","non-dropping-particle":"","parse-names":false,"suffix":""},{"dropping-particle":"","family":"Weng","given":"Chia Sui","non-dropping-particle":"","parse-names":false,"suffix":""}],"container-title":"Sustainability (Switzerland)","id":"ITEM-1","issue":"8","issued":{"date-parts":[["2015"]]},"page":"10135-10152","title":"The influence of environmental friendliness on green trust: The mediation effects of green satisfaction and green perceived quality","type":"article-journal","volume":"7"},"uris":["http://www.mendeley.com/documents/?uuid=da622148-2188-4eb4-a126-58eb9b7010c5"]},{"id":"ITEM-2","itemData":{"DOI":"10.1108/IJOES-05-2020-0072","ISSN":"25149369","abstract":"Purpose: The purpose of this study is to examine the effect of green trust (GT), environmental quality awareness (EQA), green self-efficacy (GSE) and environmental attitude (EA) towards green purchase behaviour (GPB). The mediating effect of EA is also investigated. Design/methodology/approach: Attribution theory and the attitude-behaviour gap model were used to develop the research model. Data were collected through an online survey, which yielded 321 complete and usable responses. The partial least square-structural equation modelling (PLS-SEM; SmartPLS, Version 3) technique was used to test the study hypotheses. Findings: The analysis revealed that GT, GSE and EA affect GPB positively. It was also found that EA mediates the relationship between “environmental quality awareness and green purchase behaviour” and “green self-efficacy and green purchase behaviour”. However, EA did not mediate the link between “green trust and green purchase behaviour”. Practical implications: The findings of this study provide insightful implications for social and green marketers, including an understanding of the complex customer behaviour in purchasing green products, which will eventually enable them to formulate better green marketing strategies. Originality/value: This study is amongst the pioneers in investigating the effect of EQA in relation to GPB. Furthermore, the mediating effect of EA in the link between “environmental quality awareness and green purchase behaviour”, “green trust and green purchase behaviour” and “green self-efficacy and green purchase behaviour” is also a new contribution to the literature. Finally, this study explains the drivers of consumers’ GPB, thereby providing a novel understanding of the field.","author":[{"dropping-particle":"","family":"Sh. Ahmad","given":"Fauziah","non-dropping-particle":"","parse-names":false,"suffix":""},{"dropping-particle":"","family":"Rosli","given":"Nennie Trianna","non-dropping-particle":"","parse-names":false,"suffix":""},{"dropping-particle":"","family":"Quoquab","given":"Farzana","non-dropping-particle":"","parse-names":false,"suffix":""}],"container-title":"International Journal of Ethics and Systems","id":"ITEM-2","issue":"1","issued":{"date-parts":[["2022"]]},"page":"68-90","title":"Environmental quality awareness, green trust, green self-efficacy and environmental attitude in influencing green purchase behaviour","type":"article-journal","volume":"38"},"uris":["http://www.mendeley.com/documents/?uuid=2d8ebdce-2ab0-4208-a6f8-67f7428157cb"]},{"id":"ITEM-3","itemData":{"DOI":"10.1016/j.jenvman.2021.114025","ISSN":"10958630","PMID":"34737125","abstract":"Previous studies have highlighted ecosystem-based management (EBM) related pro-environmental behaviors. EBM is based on the engagement of local communities in disaster-affected areas. However, few studies have explored the association between residents' health conditions and their perceptions of and capacities for EBM in post-disaster community development. Residents' health and psychological well-being is essential to maintaining their EBM-related motivations. Thus, this article investigated whether the awareness of personal health and Ecosystem-based disaster risk reduction (Eco-DRR) can be reflected in pro-environmental behaviors in the health belief model (HBM) in post-disaster contexts. As part of a case study in a disaster-affected rural community in Japan's Miyagi prefecture, a survey was conducted and the hypotheses were tested using a structural equation model (SEM). The Great East Japan Earthquakes and Tsunami in 2011 affected the study site, in the Maehama community, the Camellia Forest Project was initiated following this disaster as part of the ecosystem-based adaptation (EbA) and ecosystem-based disaster risk reduction (Eco-DRR) initiatives for post-disaster development. The empirical results confirmed the indirect influence of Eco-DRR factors and health perceptions on pro-environmental behaviors. In particular, the analysis showed that among HBM's perceived factors, perceived benefits of health promotion, Eco-DRR perceptions, social cohesion were positively associated with residents' ordinary green management. It also showed that green self-efficacy positively affected ordinary green management. Mowing/weeding experience was a significant representative cue to action and had a positive effect on residents' green management. Thus, this article shows that practicing a healthy lifestyle through green management, integrating Eco-DRR development benefits the sustainability and environmental health of resilient communities.","author":[{"dropping-particle":"","family":"Tashiro","given":"Ai","non-dropping-particle":"","parse-names":false,"suffix":""}],"container-title":"Journal of Environmental Management","id":"ITEM-3","issue":"PA","issued":{"date-parts":[["2022"]]},"page":"114025","publisher":"Elsevier Ltd","title":"Assessing green management in health belief model: An analysis of a post-disaster rural context","type":"article-journal","volume":"302"},"uris":["http://www.mendeley.com/documents/?uuid=78bdffeb-c660-4ecc-8996-1fcb83f00761"]},{"id":"ITEM-4","itemData":{"ISBN":"9781792361241","ISSN":"21698767","abstract":"Sustaining a promising future for the earth and its neighbours are the core principle of sustainable growth. Several studies proved that human activities are among the major causes of environmental problems, pro-environmental behaviour crucial for the future. The present study aims to foster and enhance more sustainable behaviour in households, workplaces, schools, and higher educational institutions. Previous research has placed increasing attention on the identification of factors of pro-environmental behaviour. Accordingly, this study aims to examine the elements influencing the pro-environmental behaviour of employees in the workplace. A survey was performed from January to February 2020 on 84 employees of an organisation in Terengganu. In line with this study prediction, it was found that green self-efficacy positively affected pro-environmental behaviour. However, the impacts of environmental commitment, environmental consciousness, green lifestyles, and green human resource management were insignificant. Provided that data were developed using a cross-sectional design, the assessment of causality among the constructs was a risky process. Furthermore, the study collected data from a single source, namely the employees, which would enhance the relationships through common method bias. The findings of this study also offered several managerial implications for green organisations.","author":[{"dropping-particle":"","family":"Yusliza","given":"Mohd Yusoff","non-dropping-particle":"","parse-names":false,"suffix":""},{"dropping-particle":"","family":"Faezah","given":"Juhari Noor","non-dropping-particle":"","parse-names":false,"suffix":""},{"dropping-particle":"","family":"Mat","given":"Nik Hazimah Nik","non-dropping-particle":"","parse-names":false,"suffix":""},{"dropping-particle":"","family":"Saputra","given":"Jumadil","non-dropping-particle":"","parse-names":false,"suffix":""},{"dropping-particle":"","family":"Muhammad","given":"Zikri","non-dropping-particle":"","parse-names":false,"suffix":""},{"dropping-particle":"","family":"Muhamad","given":"Aina Syuhaila","non-dropping-particle":"","parse-names":false,"suffix":""},{"dropping-particle":"","family":"Ramayah","given":"T.","non-dropping-particle":"","parse-names":false,"suffix":""}],"container-title":"Proceedings of the International Conference on Industrial Engineering and Operations Management","id":"ITEM-4","issue":"July","issued":{"date-parts":[["2021"]]},"page":"3953-3963","title":"Modelling pro-environmental behaviour in the workplace: a preliminary study","type":"article-journal"},"uris":["http://www.mendeley.com/documents/?uuid=4ade6f95-9d8c-46b5-a04c-e72fb6075125"]}],"mendeley":{"formattedCitation":"(Y. S. Chen et al., 2015; Sh. Ahmad et al., 2022; Tashiro, 2022; Yusliza et al., 2021)","manualFormatting":"(Chen et al., 2015; Sh. Ahmad et al., 2022; Tashiro, 2022; Yusliza et al., 2021)","plainTextFormattedCitation":"(Y. S. Chen et al., 2015; Sh. Ahmad et al., 2022; Tashiro, 2022; Yusliza et al., 2021)","previouslyFormattedCitation":"(Y. S. Chen et al., 2015; Sh. Ahmad et al., 2022; Tashiro, 2022; Yusliza et al., 2021)"},"properties":{"noteIndex":0},"schema":"https://github.com/citation-style-language/schema/raw/master/csl-citation.json"}</w:instrText>
      </w:r>
      <w:r w:rsidR="00AF1D3A" w:rsidRPr="00CD12C5">
        <w:rPr>
          <w:sz w:val="24"/>
          <w:szCs w:val="24"/>
        </w:rPr>
        <w:fldChar w:fldCharType="separate"/>
      </w:r>
      <w:r w:rsidR="00AF1D3A" w:rsidRPr="00CD12C5">
        <w:rPr>
          <w:noProof/>
          <w:sz w:val="24"/>
          <w:szCs w:val="24"/>
        </w:rPr>
        <w:t>(Chen et al., 2015; Sh. Ahmad et al., 2022; Tashiro, 2022; Yusliza et al., 2021)</w:t>
      </w:r>
      <w:r w:rsidR="00AF1D3A" w:rsidRPr="00CD12C5">
        <w:rPr>
          <w:sz w:val="24"/>
          <w:szCs w:val="24"/>
        </w:rPr>
        <w:fldChar w:fldCharType="end"/>
      </w:r>
      <w:r w:rsidR="000F193B" w:rsidRPr="00CD12C5">
        <w:rPr>
          <w:sz w:val="24"/>
          <w:szCs w:val="24"/>
        </w:rPr>
        <w:t xml:space="preserve"> </w:t>
      </w:r>
      <w:r w:rsidRPr="00CD12C5">
        <w:rPr>
          <w:sz w:val="24"/>
          <w:szCs w:val="24"/>
        </w:rPr>
        <w:t xml:space="preserve"> This definition finds resounding agreement among </w:t>
      </w:r>
      <w:r w:rsidR="00AF1D3A" w:rsidRPr="00CD12C5">
        <w:rPr>
          <w:sz w:val="24"/>
          <w:szCs w:val="24"/>
        </w:rPr>
        <w:fldChar w:fldCharType="begin" w:fldLock="1"/>
      </w:r>
      <w:r w:rsidR="00AF1D3A" w:rsidRPr="00CD12C5">
        <w:rPr>
          <w:sz w:val="24"/>
          <w:szCs w:val="24"/>
        </w:rPr>
        <w:instrText>ADDIN CSL_CITATION {"citationItems":[{"id":"ITEM-1","itemData":{"DOI":"10.1080/02650487.2015.1101908","author":[{"dropping-particle":"","family":"Chen","given":"M.F.","non-dropping-particle":"","parse-names":false,"suffix":""}],"container-title":"International Journal of Advertising","id":"ITEM-1","issue":"1","issued":{"date-parts":[["2016"]]},"page":"74-92","publisher":"Routledge","title":"Impact of fear appeals on pro-environmental behavior and crucial determinants","type":"article-journal","volume":"35"},"uris":["http://www.mendeley.com/documents/?uuid=7a9f9d88-5949-493c-a5bb-e5546ecbfe87"]}],"mendeley":{"formattedCitation":"(M. F. Chen, 2016)","manualFormatting":"Chen (2016)","plainTextFormattedCitation":"(M. F. Chen, 2016)","previouslyFormattedCitation":"(M. F. Chen, 2016)"},"properties":{"noteIndex":0},"schema":"https://github.com/citation-style-language/schema/raw/master/csl-citation.json"}</w:instrText>
      </w:r>
      <w:r w:rsidR="00AF1D3A" w:rsidRPr="00CD12C5">
        <w:rPr>
          <w:sz w:val="24"/>
          <w:szCs w:val="24"/>
        </w:rPr>
        <w:fldChar w:fldCharType="separate"/>
      </w:r>
      <w:r w:rsidR="00AF1D3A" w:rsidRPr="00CD12C5">
        <w:rPr>
          <w:noProof/>
          <w:sz w:val="24"/>
          <w:szCs w:val="24"/>
        </w:rPr>
        <w:t>Chen (2016)</w:t>
      </w:r>
      <w:r w:rsidR="00AF1D3A" w:rsidRPr="00CD12C5">
        <w:rPr>
          <w:sz w:val="24"/>
          <w:szCs w:val="24"/>
        </w:rPr>
        <w:fldChar w:fldCharType="end"/>
      </w:r>
      <w:r w:rsidR="00AF1D3A" w:rsidRPr="00CD12C5">
        <w:rPr>
          <w:sz w:val="24"/>
          <w:szCs w:val="24"/>
        </w:rPr>
        <w:t xml:space="preserve">, </w:t>
      </w:r>
      <w:r w:rsidR="00AF1D3A" w:rsidRPr="00CD12C5">
        <w:rPr>
          <w:sz w:val="24"/>
          <w:szCs w:val="24"/>
        </w:rPr>
        <w:fldChar w:fldCharType="begin" w:fldLock="1"/>
      </w:r>
      <w:r w:rsidR="00AF1D3A" w:rsidRPr="00CD12C5">
        <w:rPr>
          <w:sz w:val="24"/>
          <w:szCs w:val="24"/>
        </w:rPr>
        <w:instrText>ADDIN CSL_CITATION {"citationItems":[{"id":"ITEM-1","itemData":{"DOI":"https://doi.org/10.1016/j.jbusres.2015.12.031","ISSN":"0148-2963","abstract":"Global warming poses a major challenge to humankind. To mitigate this phenomenon, identifying factors affecting individuals' pro-environmental behavior is critical. This study uses a synthetic model to examine the effects of global warming media use on environmental actions. The results from a national survey in Taiwan demonstrate that individuals rely on the media (television, newspapers and the Internet) to acquire information about global warming. Individuals' exposure and attention to global warming media coverage have positive direct effects on three types of pro-environmental behavior, including accommodating, promotional and proactive behavior. Environmental beliefs and self-efficacy also have indirect effects on all types of environmental behavior through media use. These findings reveal the vital function of global warming media use on people's environmental behavior. Governments and organizations can use the media as promotional tools and actively market mitigation policies and efforts through various media channels to induce more environmental actions by individuals.","author":[{"dropping-particle":"","family":"Huang","given":"Huiping","non-dropping-particle":"","parse-names":false,"suffix":""}],"container-title":"Journal of Business Research","id":"ITEM-1","issue":"6","issued":{"date-parts":[["2016"]]},"page":"2206-2212","title":"Media use, environmental beliefs, self-efficacy, and pro-environmental behavior","type":"article-journal","volume":"69"},"uris":["http://www.mendeley.com/documents/?uuid=e2063b05-5208-4370-9684-096be6ddcd99"]}],"mendeley":{"formattedCitation":"(Huang, 2016)","manualFormatting":"Huang (2016)","plainTextFormattedCitation":"(Huang, 2016)","previouslyFormattedCitation":"(Huang, 2016)"},"properties":{"noteIndex":0},"schema":"https://github.com/citation-style-language/schema/raw/master/csl-citation.json"}</w:instrText>
      </w:r>
      <w:r w:rsidR="00AF1D3A" w:rsidRPr="00CD12C5">
        <w:rPr>
          <w:sz w:val="24"/>
          <w:szCs w:val="24"/>
        </w:rPr>
        <w:fldChar w:fldCharType="separate"/>
      </w:r>
      <w:r w:rsidR="00AF1D3A" w:rsidRPr="00CD12C5">
        <w:rPr>
          <w:noProof/>
          <w:sz w:val="24"/>
          <w:szCs w:val="24"/>
        </w:rPr>
        <w:t>Huang (2016)</w:t>
      </w:r>
      <w:r w:rsidR="00AF1D3A" w:rsidRPr="00CD12C5">
        <w:rPr>
          <w:sz w:val="24"/>
          <w:szCs w:val="24"/>
        </w:rPr>
        <w:fldChar w:fldCharType="end"/>
      </w:r>
      <w:r w:rsidR="00AF1D3A" w:rsidRPr="00CD12C5">
        <w:rPr>
          <w:sz w:val="24"/>
          <w:szCs w:val="24"/>
        </w:rPr>
        <w:t xml:space="preserve">, </w:t>
      </w:r>
      <w:r w:rsidR="00AF1D3A" w:rsidRPr="00CD12C5">
        <w:rPr>
          <w:sz w:val="24"/>
          <w:szCs w:val="24"/>
        </w:rPr>
        <w:fldChar w:fldCharType="begin" w:fldLock="1"/>
      </w:r>
      <w:r w:rsidR="00AF1D3A" w:rsidRPr="00CD12C5">
        <w:rPr>
          <w:sz w:val="24"/>
          <w:szCs w:val="24"/>
        </w:rPr>
        <w:instrText>ADDIN CSL_CITATION {"citationItems":[{"id":"ITEM-1","itemData":{"DOI":"10.1177/0013916510379759","abstract":" The authors examine whether self-efficacy relates to the environmentally responsible behavior of recycling and whether intrinsic motivation serves to mediate the relationship between self-efficacy and recycling. The authors measure those constructs, along with extrinsic motivation and the self- regulatory behaviors of satisfaction with and intentions toward recycling. Residents (n = 1,501) of 55 localities in Cordoba Spain are interviewed at home. Results show that all variables are positively related to self-reported recycling, except that extrinsic motivation is negatively related to recycling. As the authors hypothesize, the relationship between self-efficacy and recycling diminishes when intrinsic motivation is added to the model, which suggests that intrinsic motivation accounts for some of the relationship between self-efficacy and recycling. With the use of structural equation modelling, all variables, except extrinsic motivation, provide a good model fit; explained variance in reported in-home recycling is also substantial (adjusted R2 = .45). The meditational analysis provides insight regarding the dynamics of motivation; the model suggests that self-efficacy relates to recycling directly, by giving rise to intrinsic motivation, which in turn relates to recycling. ","author":[{"dropping-particle":"","family":"Tabernero","given":"Carmen","non-dropping-particle":"","parse-names":false,"suffix":""},{"dropping-particle":"","family":"Hernández","given":"Bernardo","non-dropping-particle":"","parse-names":false,"suffix":""}],"container-title":"Environment and Behavior","id":"ITEM-1","issue":"5","issued":{"date-parts":[["2011"]]},"page":"658-675","title":"Self-Efficacy and Intrinsic Motivation Guiding Environmental Behavior","type":"article-journal","volume":"43"},"uris":["http://www.mendeley.com/documents/?uuid=ba507eb3-e17c-4b03-87f1-a739805e86f3"]}],"mendeley":{"formattedCitation":"(Tabernero &amp; Hernández, 2011)","manualFormatting":"Tabernero &amp; Hernández (2011)","plainTextFormattedCitation":"(Tabernero &amp; Hernández, 2011)","previouslyFormattedCitation":"(Tabernero &amp; Hernández, 2011)"},"properties":{"noteIndex":0},"schema":"https://github.com/citation-style-language/schema/raw/master/csl-citation.json"}</w:instrText>
      </w:r>
      <w:r w:rsidR="00AF1D3A" w:rsidRPr="00CD12C5">
        <w:rPr>
          <w:sz w:val="24"/>
          <w:szCs w:val="24"/>
        </w:rPr>
        <w:fldChar w:fldCharType="separate"/>
      </w:r>
      <w:r w:rsidR="00AF1D3A" w:rsidRPr="00CD12C5">
        <w:rPr>
          <w:noProof/>
          <w:sz w:val="24"/>
          <w:szCs w:val="24"/>
        </w:rPr>
        <w:t xml:space="preserve">Tabernero </w:t>
      </w:r>
      <w:r w:rsidR="00367E5B">
        <w:rPr>
          <w:noProof/>
          <w:sz w:val="24"/>
          <w:szCs w:val="24"/>
        </w:rPr>
        <w:t>and</w:t>
      </w:r>
      <w:r w:rsidR="00AF1D3A" w:rsidRPr="00CD12C5">
        <w:rPr>
          <w:noProof/>
          <w:sz w:val="24"/>
          <w:szCs w:val="24"/>
        </w:rPr>
        <w:t xml:space="preserve"> Hernández (2011)</w:t>
      </w:r>
      <w:r w:rsidR="00AF1D3A" w:rsidRPr="00CD12C5">
        <w:rPr>
          <w:sz w:val="24"/>
          <w:szCs w:val="24"/>
        </w:rPr>
        <w:fldChar w:fldCharType="end"/>
      </w:r>
      <w:r w:rsidRPr="00CD12C5">
        <w:rPr>
          <w:sz w:val="24"/>
          <w:szCs w:val="24"/>
        </w:rPr>
        <w:t xml:space="preserve"> and </w:t>
      </w:r>
      <w:r w:rsidR="00AF1D3A" w:rsidRPr="00CD12C5">
        <w:rPr>
          <w:sz w:val="24"/>
          <w:szCs w:val="24"/>
        </w:rPr>
        <w:fldChar w:fldCharType="begin" w:fldLock="1"/>
      </w:r>
      <w:r w:rsidR="00AF1D3A" w:rsidRPr="00CD12C5">
        <w:rPr>
          <w:sz w:val="24"/>
          <w:szCs w:val="24"/>
        </w:rPr>
        <w:instrText>ADDIN CSL_CITATION {"citationItems":[{"id":"ITEM-1","itemData":{"DOI":"10.3390/su12177083","ISSN":"20711050","abstract":"This study aimed to examine the role of environmental commitment, environmental consciousness, green lifestyle, and green self-efficacy in influencing pro-environmental behaviour. Data were obtained through a survey of 72 students at one of the training centers in Malaysia. The hypothesized relationships were tested using partial least squares (PLS) methodology. Results showed that environmental commitment, environmental consciousness, green lifestyle, and green self-efficacy positively influenced pro-environmental behaviour, thereby providing new insights to existing literature on environmental sustainability. The results may be used by educational institutions, the government, and private agencies to strengthen students' knowledge, attitude, and behaviour that support environment-based education. The scope of the study was limited to students at a training center, so the results may not be generalizable to different settings. Another limitation was that the study used limited contextual elements. The novelty of this study is that it examined the role of environmental commitment, environmental consciousness, green lifestyle, and green self-efficacy as determinants of pro-environmental behaviour among students in an educational setting in Malaysia.","author":[{"dropping-particle":"","family":"Yusliza","given":"Mohd Yusoff","non-dropping-particle":"","parse-names":false,"suffix":""},{"dropping-particle":"","family":"Amirudin","given":"Amirudin","non-dropping-particle":"","parse-names":false,"suffix":""},{"dropping-particle":"","family":"Rahadi","given":"Raden Aswin","non-dropping-particle":"","parse-names":false,"suffix":""},{"dropping-particle":"","family":"Athirah","given":"Nik Afzan Nik Sarah","non-dropping-particle":"","parse-names":false,"suffix":""},{"dropping-particle":"","family":"Ramayah","given":"Thurasamy","non-dropping-particle":"","parse-names":false,"suffix":""},{"dropping-particle":"","family":"Muhammad","given":"Zikri","non-dropping-particle":"","parse-names":false,"suffix":""},{"dropping-particle":"","family":"Dal Mas","given":"Francesca","non-dropping-particle":"","parse-names":false,"suffix":""},{"dropping-particle":"","family":"Massaro","given":"Maurizio","non-dropping-particle":"","parse-names":false,"suffix":""},{"dropping-particle":"","family":"Saputra","given":"Jumadil","non-dropping-particle":"","parse-names":false,"suffix":""},{"dropping-particle":"","family":"Mokhlis","given":"Safiek","non-dropping-particle":"","parse-names":false,"suffix":""}],"container-title":"Sustainability (Switzerland)","id":"ITEM-1","issue":"17","issued":{"date-parts":[["2020"]]},"page":"1-21","title":"An investigation of pro-environmental behaviour and sustainable development in Malaysia","type":"article-journal","volume":"12"},"uris":["http://www.mendeley.com/documents/?uuid=74100aeb-d6d7-49e1-9ef5-6b728b3a4da6"]}],"mendeley":{"formattedCitation":"(Yusliza et al., 2020)","manualFormatting":"Yusliza et al., (2020)","plainTextFormattedCitation":"(Yusliza et al., 2020)","previouslyFormattedCitation":"(Yusliza et al., 2020)"},"properties":{"noteIndex":0},"schema":"https://github.com/citation-style-language/schema/raw/master/csl-citation.json"}</w:instrText>
      </w:r>
      <w:r w:rsidR="00AF1D3A" w:rsidRPr="00CD12C5">
        <w:rPr>
          <w:sz w:val="24"/>
          <w:szCs w:val="24"/>
        </w:rPr>
        <w:fldChar w:fldCharType="separate"/>
      </w:r>
      <w:r w:rsidR="00AF1D3A" w:rsidRPr="00CD12C5">
        <w:rPr>
          <w:noProof/>
          <w:sz w:val="24"/>
          <w:szCs w:val="24"/>
        </w:rPr>
        <w:t>Yusliza et al. (2020)</w:t>
      </w:r>
      <w:r w:rsidR="00AF1D3A" w:rsidRPr="00CD12C5">
        <w:rPr>
          <w:sz w:val="24"/>
          <w:szCs w:val="24"/>
        </w:rPr>
        <w:fldChar w:fldCharType="end"/>
      </w:r>
      <w:r w:rsidRPr="00CD12C5">
        <w:rPr>
          <w:sz w:val="24"/>
          <w:szCs w:val="24"/>
        </w:rPr>
        <w:t>, who emphatically state</w:t>
      </w:r>
      <w:r w:rsidRPr="00CD12C5">
        <w:rPr>
          <w:sz w:val="24"/>
          <w:szCs w:val="24"/>
          <w:lang w:val="en-GB"/>
        </w:rPr>
        <w:t>d</w:t>
      </w:r>
      <w:r w:rsidRPr="00CD12C5">
        <w:rPr>
          <w:sz w:val="24"/>
          <w:szCs w:val="24"/>
        </w:rPr>
        <w:t xml:space="preserve"> that individuals with high green self-efficacy can channel their unwavering focus into combating environmental degradation. Emboldened by their self-belief, they possess the profound ability to influence their own mindset, surmounting any obstacles that may arise in </w:t>
      </w:r>
      <w:r w:rsidR="00F11EE6" w:rsidRPr="00CD12C5">
        <w:rPr>
          <w:sz w:val="24"/>
          <w:szCs w:val="24"/>
        </w:rPr>
        <w:t>pursuing</w:t>
      </w:r>
      <w:r w:rsidRPr="00CD12C5">
        <w:rPr>
          <w:sz w:val="24"/>
          <w:szCs w:val="24"/>
        </w:rPr>
        <w:t xml:space="preserve"> their ecological objectives. Their commitment is </w:t>
      </w:r>
      <w:r w:rsidR="00F11EE6" w:rsidRPr="00CD12C5">
        <w:rPr>
          <w:sz w:val="24"/>
          <w:szCs w:val="24"/>
        </w:rPr>
        <w:t>unshakable</w:t>
      </w:r>
      <w:r w:rsidRPr="00CD12C5">
        <w:rPr>
          <w:sz w:val="24"/>
          <w:szCs w:val="24"/>
        </w:rPr>
        <w:t>, providing the necessary drive to realize their environmental goals. Moreover, these eco-champions can adeptly strategize more productive avenues by optimizing available resources</w:t>
      </w:r>
      <w:r w:rsidR="00F11EE6" w:rsidRPr="00CD12C5">
        <w:rPr>
          <w:sz w:val="24"/>
          <w:szCs w:val="24"/>
        </w:rPr>
        <w:t xml:space="preserve"> and </w:t>
      </w:r>
      <w:r w:rsidRPr="00CD12C5">
        <w:rPr>
          <w:sz w:val="24"/>
          <w:szCs w:val="24"/>
        </w:rPr>
        <w:t xml:space="preserve">charting an efficient course </w:t>
      </w:r>
      <w:r w:rsidR="00F11EE6" w:rsidRPr="00CD12C5">
        <w:rPr>
          <w:sz w:val="24"/>
          <w:szCs w:val="24"/>
        </w:rPr>
        <w:t>toward</w:t>
      </w:r>
      <w:r w:rsidRPr="00CD12C5">
        <w:rPr>
          <w:sz w:val="24"/>
          <w:szCs w:val="24"/>
        </w:rPr>
        <w:t xml:space="preserve"> their targeted sustainability benchmarks. In this study's context, GSE encapsulates an </w:t>
      </w:r>
      <w:r w:rsidRPr="00CD12C5">
        <w:rPr>
          <w:sz w:val="24"/>
          <w:szCs w:val="24"/>
        </w:rPr>
        <w:lastRenderedPageBreak/>
        <w:t xml:space="preserve">individual's confidence in their capability to undertake river cleaning activities with unparalleled effectiveness. As astutely noted by </w:t>
      </w:r>
      <w:r w:rsidR="00AF1D3A" w:rsidRPr="00CD12C5">
        <w:rPr>
          <w:sz w:val="24"/>
          <w:szCs w:val="24"/>
        </w:rPr>
        <w:fldChar w:fldCharType="begin" w:fldLock="1"/>
      </w:r>
      <w:r w:rsidR="00AF1D3A" w:rsidRPr="00CD12C5">
        <w:rPr>
          <w:sz w:val="24"/>
          <w:szCs w:val="24"/>
        </w:rPr>
        <w:instrText>ADDIN CSL_CITATION {"citationItems":[{"id":"ITEM-1","itemData":{"DOI":"10.3390/su11184976","ISSN":"20711050","abstract":"Firms' performance in sustainable development has caused increasing concerns. A key issue is that the environmental characteristics of business managers may be an important driver to promote the sustainable practice of enterprises. This study explores the relationship between ascribed responsibility of managers and green sustainable practice of enterprises by introducing the waste management as mediation variable and green self-efficacy as a moderating variable. A survey was conducted in manufacturing enterprises from the Yangtze River Delta in China in 2019, where 149 valid questionnaires were collected out of 200 surveyed enterprises. Subsequently, the data were analyzed through an analytic hierarchy process. The results show that: (1) ascribed responsibility of managers has a positive impact on green sustainable practices (β = 0.428, p &lt; 0.001), and waste management plays a full mediating role during this process (β = 0.428, p &lt; 0.001); (2) managers' green self-efficacy strengthens the positive impact of waste management on sustainable practices (β = 0.284, p &lt; 0.05); (3) green self-efficacy has positively moderated the indirect effect of managers' ascribed responsibility for sustainable practice through waste management. The research enriches the theories on sustainable practice of enterprises from the perspective of managers' environmental characteristics and provides insights for enterprises to promote sustainable development practice.","author":[{"dropping-particle":"","family":"Guo","given":"Lingjun","non-dropping-particle":"","parse-names":false,"suffix":""},{"dropping-particle":"","family":"Xu","given":"Yi","non-dropping-particle":"","parse-names":false,"suffix":""},{"dropping-particle":"","family":"Liu","given":"Guangfu","non-dropping-particle":"","parse-names":false,"suffix":""},{"dropping-particle":"","family":"Wang","given":"Tao","non-dropping-particle":"","parse-names":false,"suffix":""},{"dropping-particle":"","family":"Du","given":"Chengliang","non-dropping-particle":"","parse-names":false,"suffix":""}],"container-title":"Sustainability (Switzerland)","id":"ITEM-1","issue":"18","issued":{"date-parts":[["2019"]]},"page":"1-16","title":"Understanding firm performance on green sustainable practices through managers' ascribed responsibility and waste management: Green self-efficacy as moderator","type":"article-journal","volume":"11"},"uris":["http://www.mendeley.com/documents/?uuid=e54ea631-b856-4d25-b05f-93344de222c2"]}],"mendeley":{"formattedCitation":"(Guo et al., 2019)","manualFormatting":"Guo et al. (2019)","plainTextFormattedCitation":"(Guo et al., 2019)","previouslyFormattedCitation":"(Guo et al., 2019)"},"properties":{"noteIndex":0},"schema":"https://github.com/citation-style-language/schema/raw/master/csl-citation.json"}</w:instrText>
      </w:r>
      <w:r w:rsidR="00AF1D3A" w:rsidRPr="00CD12C5">
        <w:rPr>
          <w:sz w:val="24"/>
          <w:szCs w:val="24"/>
        </w:rPr>
        <w:fldChar w:fldCharType="separate"/>
      </w:r>
      <w:r w:rsidR="00AF1D3A" w:rsidRPr="00CD12C5">
        <w:rPr>
          <w:noProof/>
          <w:sz w:val="24"/>
          <w:szCs w:val="24"/>
        </w:rPr>
        <w:t>Guo et al. (2019)</w:t>
      </w:r>
      <w:r w:rsidR="00AF1D3A" w:rsidRPr="00CD12C5">
        <w:rPr>
          <w:sz w:val="24"/>
          <w:szCs w:val="24"/>
        </w:rPr>
        <w:fldChar w:fldCharType="end"/>
      </w:r>
      <w:r w:rsidR="00AF1D3A" w:rsidRPr="00CD12C5">
        <w:rPr>
          <w:sz w:val="24"/>
          <w:szCs w:val="24"/>
        </w:rPr>
        <w:t xml:space="preserve"> </w:t>
      </w:r>
      <w:r w:rsidRPr="00CD12C5">
        <w:rPr>
          <w:sz w:val="24"/>
          <w:szCs w:val="24"/>
        </w:rPr>
        <w:t xml:space="preserve">pro-environmental conduct emanates from within when one's green self-efficacy soars to remarkable </w:t>
      </w:r>
      <w:r w:rsidRPr="00CD12C5">
        <w:rPr>
          <w:sz w:val="24"/>
          <w:szCs w:val="24"/>
          <w:lang w:val="en-GB"/>
        </w:rPr>
        <w:t>levels</w:t>
      </w:r>
      <w:r w:rsidRPr="00CD12C5">
        <w:rPr>
          <w:sz w:val="24"/>
          <w:szCs w:val="24"/>
        </w:rPr>
        <w:t>. This deep-rooted belief ignites the passion to safeguard nature's delicate balance.</w:t>
      </w:r>
    </w:p>
    <w:p w14:paraId="6FE4EE1C" w14:textId="76A5CBE9" w:rsidR="00B263A8" w:rsidRPr="00CD12C5" w:rsidRDefault="007107B4" w:rsidP="00CD12C5">
      <w:pPr>
        <w:tabs>
          <w:tab w:val="left" w:pos="567"/>
        </w:tabs>
        <w:ind w:left="142"/>
        <w:jc w:val="both"/>
        <w:rPr>
          <w:sz w:val="24"/>
          <w:szCs w:val="24"/>
        </w:rPr>
      </w:pPr>
      <w:r w:rsidRPr="00CD12C5">
        <w:rPr>
          <w:sz w:val="24"/>
          <w:szCs w:val="24"/>
        </w:rPr>
        <w:tab/>
        <w:t xml:space="preserve">According to </w:t>
      </w:r>
      <w:r w:rsidR="00AF1D3A" w:rsidRPr="00CD12C5">
        <w:rPr>
          <w:sz w:val="24"/>
          <w:szCs w:val="24"/>
        </w:rPr>
        <w:fldChar w:fldCharType="begin" w:fldLock="1"/>
      </w:r>
      <w:r w:rsidR="00AF1D3A" w:rsidRPr="00CD12C5">
        <w:rPr>
          <w:sz w:val="24"/>
          <w:szCs w:val="24"/>
        </w:rPr>
        <w:instrText>ADDIN CSL_CITATION {"citationItems":[{"id":"ITEM-1","itemData":{"DOI":"10.18848/2325-1166/cgp/v08i04/55412","ISSN":"23251182","abstract":"In this paper, we summarize past research regarding the relationship between environmental attitudes and time perspective with pro-environmental behaviors (PEB), identify the construct environmental efficacy, and describe the development of a scale designed to measure it. The results of our initial scale validation study demonstrate a high level of internal reliability. Convergent validity was demonstrated between ecocentric attitudes, future time perspective, and higher levels of motivation, as well as between anthropocentric attitudes, present time perspective, and amotivation. Discriminant validity was demonstrated between ecocentric and anthropocentric attitudes, as well as between future time perspective, ecocentric attitudes, and amotivation. Areas for future research are identified, including specifying these relationships and developing a model that incorporates these various factors and the explicit relationships between them. The potential benefits of this research include, on a small, proximal scale, encouraging environmental efficacy, and on a larger, distal scale, advancing collective efficacy and furthering the widespread adoption of sustainable ecocentric behaviors.","author":[{"dropping-particle":"","family":"Sellers","given":"Brittany C.","non-dropping-particle":"","parse-names":false,"suffix":""},{"dropping-particle":"","family":"Fiore","given":"Stephen M.","non-dropping-particle":"","parse-names":false,"suffix":""},{"dropping-particle":"","family":"Szalma","given":"James","non-dropping-particle":"","parse-names":false,"suffix":""}],"container-title":"International Journal of Sustainability Policy and Practice","id":"ITEM-1","issue":"4","issued":{"date-parts":[["2013"]]},"page":"169-195","title":"Developing a scale of environmental efficacy","type":"article-journal","volume":"8"},"uris":["http://www.mendeley.com/documents/?uuid=5885fc18-6c2b-4252-9921-fd5fea139c4f"]}],"mendeley":{"formattedCitation":"(Sellers et al., 2013)","manualFormatting":"Sellers et al. (2013)","plainTextFormattedCitation":"(Sellers et al., 2013)","previouslyFormattedCitation":"(Sellers et al., 2013)"},"properties":{"noteIndex":0},"schema":"https://github.com/citation-style-language/schema/raw/master/csl-citation.json"}</w:instrText>
      </w:r>
      <w:r w:rsidR="00AF1D3A" w:rsidRPr="00CD12C5">
        <w:rPr>
          <w:sz w:val="24"/>
          <w:szCs w:val="24"/>
        </w:rPr>
        <w:fldChar w:fldCharType="separate"/>
      </w:r>
      <w:r w:rsidR="00AF1D3A" w:rsidRPr="00CD12C5">
        <w:rPr>
          <w:noProof/>
          <w:sz w:val="24"/>
          <w:szCs w:val="24"/>
        </w:rPr>
        <w:t>Sellers et al. (2013)</w:t>
      </w:r>
      <w:r w:rsidR="00AF1D3A" w:rsidRPr="00CD12C5">
        <w:rPr>
          <w:sz w:val="24"/>
          <w:szCs w:val="24"/>
        </w:rPr>
        <w:fldChar w:fldCharType="end"/>
      </w:r>
      <w:r w:rsidR="00AF1D3A" w:rsidRPr="00CD12C5">
        <w:rPr>
          <w:sz w:val="24"/>
          <w:szCs w:val="24"/>
        </w:rPr>
        <w:t xml:space="preserve"> </w:t>
      </w:r>
      <w:r w:rsidRPr="00CD12C5">
        <w:rPr>
          <w:sz w:val="24"/>
          <w:szCs w:val="24"/>
        </w:rPr>
        <w:t xml:space="preserve">self-efficacy can be understood through the lens of Self-Determination Theory (SDT) and its subsidiary Cognitive Evaluation Theory. These theoretical frameworks reveal that individuals are motivated to pursue and achieve goals when their fundamental needs for competence, autonomy, and social connectedness are met. </w:t>
      </w:r>
      <w:r w:rsidR="00AF1D3A" w:rsidRPr="00CD12C5">
        <w:rPr>
          <w:sz w:val="24"/>
          <w:szCs w:val="24"/>
        </w:rPr>
        <w:fldChar w:fldCharType="begin" w:fldLock="1"/>
      </w:r>
      <w:r w:rsidR="00AF1D3A" w:rsidRPr="00CD12C5">
        <w:rPr>
          <w:sz w:val="24"/>
          <w:szCs w:val="24"/>
        </w:rPr>
        <w:instrText>ADDIN CSL_CITATION {"citationItems":[{"id":"ITEM-1","itemData":{"DOI":"10.1146/annurev.ps.33.020182.003053","ISBN":"0-8058-1644-5 (Hardcover)","abstract":"self-efficacy beliefs regulate human functioning through 4 major types of processes: cognitive, motivational, emotional, and selection / document the diverse ways in which perceived self-efficacy affects the quality of human functioning at the individual level (PsycInfo Database Record (c) 2022 APA, all rights reserved)","author":[{"dropping-particle":"","family":"Bandura","given":"Albert","non-dropping-particle":"","parse-names":false,"suffix":""}],"container-title":"Personnel selection and classification.","id":"ITEM-1","issued":{"date-parts":[["1994"]]},"page":"261-271","publisher":"Lawrence Erlbaum Associates, Inc","publisher-place":"Hillsdale,  NJ,  US","title":"Regulative function of perceived self-efficacy.","type":"chapter"},"uris":["http://www.mendeley.com/documents/?uuid=e1ab1b59-12c8-49fe-8931-51a663f74f31"]}],"mendeley":{"formattedCitation":"(Bandura, 1994)","manualFormatting":"Bandura (1994)","plainTextFormattedCitation":"(Bandura, 1994)","previouslyFormattedCitation":"(Bandura, 1994)"},"properties":{"noteIndex":0},"schema":"https://github.com/citation-style-language/schema/raw/master/csl-citation.json"}</w:instrText>
      </w:r>
      <w:r w:rsidR="00AF1D3A" w:rsidRPr="00CD12C5">
        <w:rPr>
          <w:sz w:val="24"/>
          <w:szCs w:val="24"/>
        </w:rPr>
        <w:fldChar w:fldCharType="separate"/>
      </w:r>
      <w:r w:rsidR="00AF1D3A" w:rsidRPr="00CD12C5">
        <w:rPr>
          <w:noProof/>
          <w:sz w:val="24"/>
          <w:szCs w:val="24"/>
        </w:rPr>
        <w:t>Bandura (1994)</w:t>
      </w:r>
      <w:r w:rsidR="00AF1D3A" w:rsidRPr="00CD12C5">
        <w:rPr>
          <w:sz w:val="24"/>
          <w:szCs w:val="24"/>
        </w:rPr>
        <w:fldChar w:fldCharType="end"/>
      </w:r>
      <w:r w:rsidR="00AF1D3A" w:rsidRPr="00CD12C5">
        <w:rPr>
          <w:sz w:val="24"/>
          <w:szCs w:val="24"/>
        </w:rPr>
        <w:t xml:space="preserve"> </w:t>
      </w:r>
      <w:r w:rsidRPr="00CD12C5">
        <w:rPr>
          <w:sz w:val="24"/>
          <w:szCs w:val="24"/>
        </w:rPr>
        <w:t xml:space="preserve">the founder of self-efficacy theory, identifies three essential pillars: First, individuals must </w:t>
      </w:r>
      <w:r w:rsidR="00F11EE6" w:rsidRPr="00CD12C5">
        <w:rPr>
          <w:sz w:val="24"/>
          <w:szCs w:val="24"/>
        </w:rPr>
        <w:t>thoroughly understand the task and</w:t>
      </w:r>
      <w:r w:rsidRPr="00CD12C5">
        <w:rPr>
          <w:sz w:val="24"/>
          <w:szCs w:val="24"/>
        </w:rPr>
        <w:t xml:space="preserve"> execute it effectively. Second, they must have the freedom to take appropriate actions. Third, strong social bonds must reinforce their belief in their own ability to behave effectively. This interplay shows that when individuals have sufficient knowledge and insight, they develop a strong confidence in their ability to take action. As they receive positive feedback on their actions, their effective behaviors are reinforced and intensified </w:t>
      </w:r>
      <w:r w:rsidR="00AF1D3A" w:rsidRPr="00CD12C5">
        <w:rPr>
          <w:sz w:val="24"/>
          <w:szCs w:val="24"/>
        </w:rPr>
        <w:fldChar w:fldCharType="begin" w:fldLock="1"/>
      </w:r>
      <w:r w:rsidR="00B6520F" w:rsidRPr="00CD12C5">
        <w:rPr>
          <w:sz w:val="24"/>
          <w:szCs w:val="24"/>
        </w:rPr>
        <w:instrText>ADDIN CSL_CITATION {"citationItems":[{"id":"ITEM-1","itemData":{"DOI":"10.18848/2325-1166/cgp/v08i04/55412","ISSN":"23251182","abstract":"In this paper, we summarize past research regarding the relationship between environmental attitudes and time perspective with pro-environmental behaviors (PEB), identify the construct environmental efficacy, and describe the development of a scale designed to measure it. The results of our initial scale validation study demonstrate a high level of internal reliability. Convergent validity was demonstrated between ecocentric attitudes, future time perspective, and higher levels of motivation, as well as between anthropocentric attitudes, present time perspective, and amotivation. Discriminant validity was demonstrated between ecocentric and anthropocentric attitudes, as well as between future time perspective, ecocentric attitudes, and amotivation. Areas for future research are identified, including specifying these relationships and developing a model that incorporates these various factors and the explicit relationships between them. The potential benefits of this research include, on a small, proximal scale, encouraging environmental efficacy, and on a larger, distal scale, advancing collective efficacy and furthering the widespread adoption of sustainable ecocentric behaviors.","author":[{"dropping-particle":"","family":"Sellers","given":"Brittany C.","non-dropping-particle":"","parse-names":false,"suffix":""},{"dropping-particle":"","family":"Fiore","given":"Stephen M.","non-dropping-particle":"","parse-names":false,"suffix":""},{"dropping-particle":"","family":"Szalma","given":"James","non-dropping-particle":"","parse-names":false,"suffix":""}],"container-title":"International Journal of Sustainability Policy and Practice","id":"ITEM-1","issue":"4","issued":{"date-parts":[["2013"]]},"page":"169-195","title":"Developing a scale of environmental efficacy","type":"article-journal","volume":"8"},"uris":["http://www.mendeley.com/documents/?uuid=5885fc18-6c2b-4252-9921-fd5fea139c4f"]}],"mendeley":{"formattedCitation":"(Sellers et al., 2013)","plainTextFormattedCitation":"(Sellers et al., 2013)","previouslyFormattedCitation":"(Sellers et al., 2013)"},"properties":{"noteIndex":0},"schema":"https://github.com/citation-style-language/schema/raw/master/csl-citation.json"}</w:instrText>
      </w:r>
      <w:r w:rsidR="00AF1D3A" w:rsidRPr="00CD12C5">
        <w:rPr>
          <w:sz w:val="24"/>
          <w:szCs w:val="24"/>
        </w:rPr>
        <w:fldChar w:fldCharType="separate"/>
      </w:r>
      <w:r w:rsidR="00AF1D3A" w:rsidRPr="00CD12C5">
        <w:rPr>
          <w:noProof/>
          <w:sz w:val="24"/>
          <w:szCs w:val="24"/>
        </w:rPr>
        <w:t>(Sellers et al., 2013)</w:t>
      </w:r>
      <w:r w:rsidR="00AF1D3A" w:rsidRPr="00CD12C5">
        <w:rPr>
          <w:sz w:val="24"/>
          <w:szCs w:val="24"/>
        </w:rPr>
        <w:fldChar w:fldCharType="end"/>
      </w:r>
      <w:r w:rsidR="00AF1D3A" w:rsidRPr="00CD12C5">
        <w:rPr>
          <w:sz w:val="24"/>
          <w:szCs w:val="24"/>
        </w:rPr>
        <w:t>.</w:t>
      </w:r>
      <w:r w:rsidRPr="00CD12C5">
        <w:rPr>
          <w:sz w:val="24"/>
          <w:szCs w:val="24"/>
        </w:rPr>
        <w:t xml:space="preserve">This positive cycle unleashes the full potential of human agency, propelling individuals </w:t>
      </w:r>
      <w:r w:rsidR="00F11EE6" w:rsidRPr="00CD12C5">
        <w:rPr>
          <w:sz w:val="24"/>
          <w:szCs w:val="24"/>
        </w:rPr>
        <w:t>toward</w:t>
      </w:r>
      <w:r w:rsidRPr="00CD12C5">
        <w:rPr>
          <w:sz w:val="24"/>
          <w:szCs w:val="24"/>
        </w:rPr>
        <w:t xml:space="preserve"> their goals with unwavering self-assurance. </w:t>
      </w:r>
      <w:r w:rsidR="00F11EE6" w:rsidRPr="00CD12C5">
        <w:rPr>
          <w:sz w:val="24"/>
          <w:szCs w:val="24"/>
        </w:rPr>
        <w:t>Individuals are empowered to combat environmental degradation with a strong sense of GSE</w:t>
      </w:r>
      <w:r w:rsidRPr="00CD12C5">
        <w:rPr>
          <w:sz w:val="24"/>
          <w:szCs w:val="24"/>
        </w:rPr>
        <w:t xml:space="preserve">. This inner drive strengthens their commitment and reduces perceived obstacles </w:t>
      </w:r>
      <w:r w:rsidRPr="00CD12C5">
        <w:rPr>
          <w:sz w:val="24"/>
          <w:szCs w:val="24"/>
          <w:lang w:val="en-GB"/>
        </w:rPr>
        <w:t>in</w:t>
      </w:r>
      <w:r w:rsidRPr="00CD12C5">
        <w:rPr>
          <w:sz w:val="24"/>
          <w:szCs w:val="24"/>
        </w:rPr>
        <w:t xml:space="preserve"> achieving ecological goals. It enables them to strategize effectively and optimize limited resources </w:t>
      </w:r>
      <w:r w:rsidR="00F11EE6" w:rsidRPr="00CD12C5">
        <w:rPr>
          <w:sz w:val="24"/>
          <w:szCs w:val="24"/>
          <w:lang w:val="en-GB"/>
        </w:rPr>
        <w:t>to</w:t>
      </w:r>
      <w:r w:rsidRPr="00CD12C5">
        <w:rPr>
          <w:sz w:val="24"/>
          <w:szCs w:val="24"/>
        </w:rPr>
        <w:t xml:space="preserve"> meet sustainability targets. GSE fuels an unstoppable determination to restore nature's delicate balance, fostering a harmonious relationship between humanity and the nurturing planet. Those who embody this belief become environmental guardians, taking resolute actions that pave the way for a sustainable ecological renaissance. In their capable hands, the fate of the natural world finds its most dedicated protectors </w:t>
      </w:r>
      <w:r w:rsidR="00B6520F" w:rsidRPr="00CD12C5">
        <w:rPr>
          <w:sz w:val="24"/>
          <w:szCs w:val="24"/>
        </w:rPr>
        <w:fldChar w:fldCharType="begin" w:fldLock="1"/>
      </w:r>
      <w:r w:rsidR="00CB5E04" w:rsidRPr="00CD12C5">
        <w:rPr>
          <w:sz w:val="24"/>
          <w:szCs w:val="24"/>
        </w:rPr>
        <w:instrText>ADDIN CSL_CITATION {"citationItems":[{"id":"ITEM-1","itemData":{"DOI":"10.1007/s11135-014-0041-8","ISSN":"15737845","abstract":"Because no previous literature discusses the determinants of green creativity, this study develops an original framework to fill the research gap. This study explores the influence of green shared vision on green creativity and investigates the mediation roles of green mindfulness and green self-efficacy. We apply structural equation modeling to test the hypotheses. The results demonstrate that green shared vision positively influences green mindfulness, green self-efficacy, and green creativity. Besides, this study indicates that the positive relationship between green shared vision and green creativity is partially mediated by the two mediators: green mindfulness and green self-efficacy. It means that green shared vision can not only directly affect green creativity positively, but also indirectly affect it positively via green mindfulness and green self-efficacy. Thus, companies have to increase their green shared vision, green mindfulness, and green self-efficacy to enhance their green creativity.","author":[{"dropping-particle":"","family":"Chen","given":"Yu-Shan","non-dropping-particle":"","parse-names":false,"suffix":""},{"dropping-particle":"","family":"Chang","given":"Ching-Hsun","non-dropping-particle":"","parse-names":false,"suffix":""},{"dropping-particle":"","family":"Yeh","given":"Shu-Ling","non-dropping-particle":"","parse-names":false,"suffix":""},{"dropping-particle":"","family":"Cheng","given":"Hsin-I","non-dropping-particle":"","parse-names":false,"suffix":""}],"container-title":"Quality and Quantity","id":"ITEM-1","issue":"3","issued":{"date-parts":[["2015"]]},"page":"1169-1184","title":"Green shared vision and green creativity: the mediation roles of green mindfulness and green self-efficacy","type":"article-journal","volume":"49"},"uris":["http://www.mendeley.com/documents/?uuid=4290f5ee-fc23-4c69-8d99-643756fedafd"]},{"id":"ITEM-2","itemData":{"DOI":"10.3390/su12177083","ISSN":"20711050","abstract":"This study aimed to examine the role of environmental commitment, environmental consciousness, green lifestyle, and green self-efficacy in influencing pro-environmental behaviour. Data were obtained through a survey of 72 students at one of the training centers in Malaysia. The hypothesized relationships were tested using partial least squares (PLS) methodology. Results showed that environmental commitment, environmental consciousness, green lifestyle, and green self-efficacy positively influenced pro-environmental behaviour, thereby providing new insights to existing literature on environmental sustainability. The results may be used by educational institutions, the government, and private agencies to strengthen students' knowledge, attitude, and behaviour that support environment-based education. The scope of the study was limited to students at a training center, so the results may not be generalizable to different settings. Another limitation was that the study used limited contextual elements. The novelty of this study is that it examined the role of environmental commitment, environmental consciousness, green lifestyle, and green self-efficacy as determinants of pro-environmental behaviour among students in an educational setting in Malaysia.","author":[{"dropping-particle":"","family":"Yusliza","given":"Mohd Yusoff","non-dropping-particle":"","parse-names":false,"suffix":""},{"dropping-particle":"","family":"Amirudin","given":"Amirudin","non-dropping-particle":"","parse-names":false,"suffix":""},{"dropping-particle":"","family":"Rahadi","given":"Raden Aswin","non-dropping-particle":"","parse-names":false,"suffix":""},{"dropping-particle":"","family":"Athirah","given":"Nik Afzan Nik Sarah","non-dropping-particle":"","parse-names":false,"suffix":""},{"dropping-particle":"","family":"Ramayah","given":"Thurasamy","non-dropping-particle":"","parse-names":false,"suffix":""},{"dropping-particle":"","family":"Muhammad","given":"Zikri","non-dropping-particle":"","parse-names":false,"suffix":""},{"dropping-particle":"","family":"Dal Mas","given":"Francesca","non-dropping-particle":"","parse-names":false,"suffix":""},{"dropping-particle":"","family":"Massaro","given":"Maurizio","non-dropping-particle":"","parse-names":false,"suffix":""},{"dropping-particle":"","family":"Saputra","given":"Jumadil","non-dropping-particle":"","parse-names":false,"suffix":""},{"dropping-particle":"","family":"Mokhlis","given":"Safiek","non-dropping-particle":"","parse-names":false,"suffix":""}],"container-title":"Sustainability (Switzerland)","id":"ITEM-2","issue":"17","issued":{"date-parts":[["2020"]]},"page":"1-21","title":"An investigation of pro-environmental behaviour and sustainable development in Malaysia","type":"article-journal","volume":"12"},"uris":["http://www.mendeley.com/documents/?uuid=74100aeb-d6d7-49e1-9ef5-6b728b3a4da6"]}],"mendeley":{"formattedCitation":"(Y.-S. Chen et al., 2015; Yusliza et al., 2020)","manualFormatting":"(Chen et al., 2015; Yusliza et al., 2020)","plainTextFormattedCitation":"(Y.-S. Chen et al., 2015; Yusliza et al., 2020)","previouslyFormattedCitation":"(Y.-S. Chen et al., 2015; Yusliza et al., 2020)"},"properties":{"noteIndex":0},"schema":"https://github.com/citation-style-language/schema/raw/master/csl-citation.json"}</w:instrText>
      </w:r>
      <w:r w:rsidR="00B6520F" w:rsidRPr="00CD12C5">
        <w:rPr>
          <w:sz w:val="24"/>
          <w:szCs w:val="24"/>
        </w:rPr>
        <w:fldChar w:fldCharType="separate"/>
      </w:r>
      <w:r w:rsidR="00B6520F" w:rsidRPr="00CD12C5">
        <w:rPr>
          <w:noProof/>
          <w:sz w:val="24"/>
          <w:szCs w:val="24"/>
        </w:rPr>
        <w:t>(Chen et al., 2015; Yusliza et al., 2020)</w:t>
      </w:r>
      <w:r w:rsidR="00B6520F" w:rsidRPr="00CD12C5">
        <w:rPr>
          <w:sz w:val="24"/>
          <w:szCs w:val="24"/>
        </w:rPr>
        <w:fldChar w:fldCharType="end"/>
      </w:r>
      <w:r w:rsidR="00B6520F" w:rsidRPr="00CD12C5">
        <w:rPr>
          <w:sz w:val="24"/>
          <w:szCs w:val="24"/>
        </w:rPr>
        <w:t>.</w:t>
      </w:r>
      <w:r w:rsidRPr="00CD12C5">
        <w:rPr>
          <w:sz w:val="24"/>
          <w:szCs w:val="24"/>
        </w:rPr>
        <w:t xml:space="preserve"> </w:t>
      </w:r>
      <w:r w:rsidR="00B6520F" w:rsidRPr="00CD12C5">
        <w:rPr>
          <w:sz w:val="24"/>
          <w:szCs w:val="24"/>
        </w:rPr>
        <w:fldChar w:fldCharType="begin" w:fldLock="1"/>
      </w:r>
      <w:r w:rsidR="00B6520F" w:rsidRPr="00CD12C5">
        <w:rPr>
          <w:sz w:val="24"/>
          <w:szCs w:val="24"/>
        </w:rPr>
        <w:instrText>ADDIN CSL_CITATION {"citationItems":[{"id":"ITEM-1","itemData":{"DOI":"10.3390/su11184976","ISSN":"20711050","abstract":"Firms' performance in sustainable development has caused increasing concerns. A key issue is that the environmental characteristics of business managers may be an important driver to promote the sustainable practice of enterprises. This study explores the relationship between ascribed responsibility of managers and green sustainable practice of enterprises by introducing the waste management as mediation variable and green self-efficacy as a moderating variable. A survey was conducted in manufacturing enterprises from the Yangtze River Delta in China in 2019, where 149 valid questionnaires were collected out of 200 surveyed enterprises. Subsequently, the data were analyzed through an analytic hierarchy process. The results show that: (1) ascribed responsibility of managers has a positive impact on green sustainable practices (β = 0.428, p &lt; 0.001), and waste management plays a full mediating role during this process (β = 0.428, p &lt; 0.001); (2) managers' green self-efficacy strengthens the positive impact of waste management on sustainable practices (β = 0.284, p &lt; 0.05); (3) green self-efficacy has positively moderated the indirect effect of managers' ascribed responsibility for sustainable practice through waste management. The research enriches the theories on sustainable practice of enterprises from the perspective of managers' environmental characteristics and provides insights for enterprises to promote sustainable development practice.","author":[{"dropping-particle":"","family":"Guo","given":"Lingjun","non-dropping-particle":"","parse-names":false,"suffix":""},{"dropping-particle":"","family":"Xu","given":"Yi","non-dropping-particle":"","parse-names":false,"suffix":""},{"dropping-particle":"","family":"Liu","given":"Guangfu","non-dropping-particle":"","parse-names":false,"suffix":""},{"dropping-particle":"","family":"Wang","given":"Tao","non-dropping-particle":"","parse-names":false,"suffix":""},{"dropping-particle":"","family":"Du","given":"Chengliang","non-dropping-particle":"","parse-names":false,"suffix":""}],"container-title":"Sustainability (Switzerland)","id":"ITEM-1","issue":"18","issued":{"date-parts":[["2019"]]},"page":"1-16","title":"Understanding firm performance on green sustainable practices through managers' ascribed responsibility and waste management: Green self-efficacy as moderator","type":"article-journal","volume":"11"},"uris":["http://www.mendeley.com/documents/?uuid=e54ea631-b856-4d25-b05f-93344de222c2"]}],"mendeley":{"formattedCitation":"(Guo et al., 2019)","manualFormatting":"Guo et al. (2019)","plainTextFormattedCitation":"(Guo et al., 2019)","previouslyFormattedCitation":"(Guo et al., 2019)"},"properties":{"noteIndex":0},"schema":"https://github.com/citation-style-language/schema/raw/master/csl-citation.json"}</w:instrText>
      </w:r>
      <w:r w:rsidR="00B6520F" w:rsidRPr="00CD12C5">
        <w:rPr>
          <w:sz w:val="24"/>
          <w:szCs w:val="24"/>
        </w:rPr>
        <w:fldChar w:fldCharType="separate"/>
      </w:r>
      <w:r w:rsidR="00B6520F" w:rsidRPr="00CD12C5">
        <w:rPr>
          <w:noProof/>
          <w:sz w:val="24"/>
          <w:szCs w:val="24"/>
        </w:rPr>
        <w:t>Guo et al. (2019)</w:t>
      </w:r>
      <w:r w:rsidR="00B6520F" w:rsidRPr="00CD12C5">
        <w:rPr>
          <w:sz w:val="24"/>
          <w:szCs w:val="24"/>
        </w:rPr>
        <w:fldChar w:fldCharType="end"/>
      </w:r>
      <w:r w:rsidR="00B6520F" w:rsidRPr="00CD12C5">
        <w:rPr>
          <w:sz w:val="24"/>
          <w:szCs w:val="24"/>
        </w:rPr>
        <w:t xml:space="preserve"> </w:t>
      </w:r>
      <w:r w:rsidRPr="00CD12C5">
        <w:rPr>
          <w:sz w:val="24"/>
          <w:szCs w:val="24"/>
        </w:rPr>
        <w:t>further emphasize that GSE is a fundamental form of self-awareness that shapes an individual's perception of their ability to drive environmental change. This self-awareness guides actions and strengthens determination, empowering people to overcome limitations and work towards sustainability. GSE is a powerful force for self-actualization, igniting the passion to preserve nature's delicate balance.</w:t>
      </w:r>
    </w:p>
    <w:p w14:paraId="3C8F9A37" w14:textId="09A93494" w:rsidR="00B263A8" w:rsidRPr="00CD12C5" w:rsidRDefault="007107B4" w:rsidP="00CD12C5">
      <w:pPr>
        <w:tabs>
          <w:tab w:val="left" w:pos="567"/>
        </w:tabs>
        <w:jc w:val="both"/>
        <w:rPr>
          <w:sz w:val="24"/>
          <w:szCs w:val="24"/>
        </w:rPr>
      </w:pPr>
      <w:r w:rsidRPr="00CD12C5">
        <w:rPr>
          <w:sz w:val="24"/>
          <w:szCs w:val="24"/>
        </w:rPr>
        <w:tab/>
        <w:t xml:space="preserve">Moreover, the literature reveals that GSE is often utilized as a moderating and mediating variable </w:t>
      </w:r>
      <w:r w:rsidR="00B6520F" w:rsidRPr="00CD12C5">
        <w:rPr>
          <w:sz w:val="24"/>
          <w:szCs w:val="24"/>
        </w:rPr>
        <w:fldChar w:fldCharType="begin" w:fldLock="1"/>
      </w:r>
      <w:r w:rsidR="003C7440" w:rsidRPr="00CD12C5">
        <w:rPr>
          <w:sz w:val="24"/>
          <w:szCs w:val="24"/>
        </w:rPr>
        <w:instrText>ADDIN CSL_CITATION {"citationItems":[{"id":"ITEM-1","itemData":{"DOI":"10.3390/su11184976","ISSN":"20711050","abstract":"Firms' performance in sustainable development has caused increasing concerns. A key issue is that the environmental characteristics of business managers may be an important driver to promote the sustainable practice of enterprises. This study explores the relationship between ascribed responsibility of managers and green sustainable practice of enterprises by introducing the waste management as mediation variable and green self-efficacy as a moderating variable. A survey was conducted in manufacturing enterprises from the Yangtze River Delta in China in 2019, where 149 valid questionnaires were collected out of 200 surveyed enterprises. Subsequently, the data were analyzed through an analytic hierarchy process. The results show that: (1) ascribed responsibility of managers has a positive impact on green sustainable practices (β = 0.428, p &lt; 0.001), and waste management plays a full mediating role during this process (β = 0.428, p &lt; 0.001); (2) managers' green self-efficacy strengthens the positive impact of waste management on sustainable practices (β = 0.284, p &lt; 0.05); (3) green self-efficacy has positively moderated the indirect effect of managers' ascribed responsibility for sustainable practice through waste management. The research enriches the theories on sustainable practice of enterprises from the perspective of managers' environmental characteristics and provides insights for enterprises to promote sustainable development practice.","author":[{"dropping-particle":"","family":"Guo","given":"Lingjun","non-dropping-particle":"","parse-names":false,"suffix":""},{"dropping-particle":"","family":"Xu","given":"Yi","non-dropping-particle":"","parse-names":false,"suffix":""},{"dropping-particle":"","family":"Liu","given":"Guangfu","non-dropping-particle":"","parse-names":false,"suffix":""},{"dropping-particle":"","family":"Wang","given":"Tao","non-dropping-particle":"","parse-names":false,"suffix":""},{"dropping-particle":"","family":"Du","given":"Chengliang","non-dropping-particle":"","parse-names":false,"suffix":""}],"container-title":"Sustainability (Switzerland)","id":"ITEM-1","issue":"18","issued":{"date-parts":[["2019"]]},"page":"1-16","title":"Understanding firm performance on green sustainable practices through managers' ascribed responsibility and waste management: Green self-efficacy as moderator","type":"article-journal","volume":"11"},"uris":["http://www.mendeley.com/documents/?uuid=e54ea631-b856-4d25-b05f-93344de222c2"]},{"id":"ITEM-2","itemData":{"DOI":"10.1108/IJOES-05-2020-0072","ISSN":"25149369","abstract":"Purpose: The purpose of this study is to examine the effect of green trust (GT), environmental quality awareness (EQA), green self-efficacy (GSE) and environmental attitude (EA) towards green purchase behaviour (GPB). The mediating effect of EA is also investigated. Design/methodology/approach: Attribution theory and the attitude-behaviour gap model were used to develop the research model. Data were collected through an online survey, which yielded 321 complete and usable responses. The partial least square-structural equation modelling (PLS-SEM; SmartPLS, Version 3) technique was used to test the study hypotheses. Findings: The analysis revealed that GT, GSE and EA affect GPB positively. It was also found that EA mediates the relationship between “environmental quality awareness and green purchase behaviour” and “green self-efficacy and green purchase behaviour”. However, EA did not mediate the link between “green trust and green purchase behaviour”. Practical implications: The findings of this study provide insightful implications for social and green marketers, including an understanding of the complex customer behaviour in purchasing green products, which will eventually enable them to formulate better green marketing strategies. Originality/value: This study is amongst the pioneers in investigating the effect of EQA in relation to GPB. Furthermore, the mediating effect of EA in the link between “environmental quality awareness and green purchase behaviour”, “green trust and green purchase behaviour” and “green self-efficacy and green purchase behaviour” is also a new contribution to the literature. Finally, this study explains the drivers of consumers’ GPB, thereby providing a novel understanding of the field.","author":[{"dropping-particle":"","family":"Sh. Ahmad","given":"Fauziah","non-dropping-particle":"","parse-names":false,"suffix":""},{"dropping-particle":"","family":"Rosli","given":"Nennie Trianna","non-dropping-particle":"","parse-names":false,"suffix":""},{"dropping-particle":"","family":"Quoquab","given":"Farzana","non-dropping-particle":"","parse-names":false,"suffix":""}],"container-title":"International Journal of Ethics and Systems","id":"ITEM-2","issue":"1","issued":{"date-parts":[["2022"]]},"page":"68-90","title":"Environmental quality awareness, green trust, green self-efficacy and environmental attitude in influencing green purchase behaviour","type":"article-journal","volume":"38"},"uris":["http://www.mendeley.com/documents/?uuid=2d8ebdce-2ab0-4208-a6f8-67f7428157cb"]},{"id":"ITEM-3","itemData":{"DOI":"10.1016/j.jenvman.2021.114025","ISSN":"10958630","PMID":"34737125","abstract":"Previous studies have highlighted ecosystem-based management (EBM) related pro-environmental behaviors. EBM is based on the engagement of local communities in disaster-affected areas. However, few studies have explored the association between residents' health conditions and their perceptions of and capacities for EBM in post-disaster community development. Residents' health and psychological well-being is essential to maintaining their EBM-related motivations. Thus, this article investigated whether the awareness of personal health and Ecosystem-based disaster risk reduction (Eco-DRR) can be reflected in pro-environmental behaviors in the health belief model (HBM) in post-disaster contexts. As part of a case study in a disaster-affected rural community in Japan's Miyagi prefecture, a survey was conducted and the hypotheses were tested using a structural equation model (SEM). The Great East Japan Earthquakes and Tsunami in 2011 affected the study site, in the Maehama community, the Camellia Forest Project was initiated following this disaster as part of the ecosystem-based adaptation (EbA) and ecosystem-based disaster risk reduction (Eco-DRR) initiatives for post-disaster development. The empirical results confirmed the indirect influence of Eco-DRR factors and health perceptions on pro-environmental behaviors. In particular, the analysis showed that among HBM's perceived factors, perceived benefits of health promotion, Eco-DRR perceptions, social cohesion were positively associated with residents' ordinary green management. It also showed that green self-efficacy positively affected ordinary green management. Mowing/weeding experience was a significant representative cue to action and had a positive effect on residents' green management. Thus, this article shows that practicing a healthy lifestyle through green management, integrating Eco-DRR development benefits the sustainability and environmental health of resilient communities.","author":[{"dropping-particle":"","family":"Tashiro","given":"Ai","non-dropping-particle":"","parse-names":false,"suffix":""}],"container-title":"Journal of Environmental Management","id":"ITEM-3","issue":"PA","issued":{"date-parts":[["2022"]]},"page":"114025","publisher":"Elsevier Ltd","title":"Assessing green management in health belief model: An analysis of a post-disaster rural context","type":"article-journal","volume":"302"},"uris":["http://www.mendeley.com/documents/?uuid=78bdffeb-c660-4ecc-8996-1fcb83f00761"]}],"mendeley":{"formattedCitation":"(Guo et al., 2019; Sh. Ahmad et al., 2022; Tashiro, 2022)","plainTextFormattedCitation":"(Guo et al., 2019; Sh. Ahmad et al., 2022; Tashiro, 2022)","previouslyFormattedCitation":"(Guo et al., 2019; Sh. Ahmad et al., 2022; Tashiro, 2022)"},"properties":{"noteIndex":0},"schema":"https://github.com/citation-style-language/schema/raw/master/csl-citation.json"}</w:instrText>
      </w:r>
      <w:r w:rsidR="00B6520F" w:rsidRPr="00CD12C5">
        <w:rPr>
          <w:sz w:val="24"/>
          <w:szCs w:val="24"/>
        </w:rPr>
        <w:fldChar w:fldCharType="separate"/>
      </w:r>
      <w:r w:rsidR="00B6520F" w:rsidRPr="00CD12C5">
        <w:rPr>
          <w:noProof/>
          <w:sz w:val="24"/>
          <w:szCs w:val="24"/>
        </w:rPr>
        <w:t>(Guo et al., 2019; Sh. Ahmad et al., 2022; Tashiro, 2022)</w:t>
      </w:r>
      <w:r w:rsidR="00B6520F" w:rsidRPr="00CD12C5">
        <w:rPr>
          <w:sz w:val="24"/>
          <w:szCs w:val="24"/>
        </w:rPr>
        <w:fldChar w:fldCharType="end"/>
      </w:r>
      <w:r w:rsidR="00B6520F" w:rsidRPr="00CD12C5">
        <w:rPr>
          <w:sz w:val="24"/>
          <w:szCs w:val="24"/>
        </w:rPr>
        <w:t xml:space="preserve">, </w:t>
      </w:r>
      <w:r w:rsidRPr="00CD12C5">
        <w:rPr>
          <w:sz w:val="24"/>
          <w:szCs w:val="24"/>
        </w:rPr>
        <w:t xml:space="preserve">while recent studies position it as an independent variable </w:t>
      </w:r>
      <w:r w:rsidRPr="00CD12C5">
        <w:rPr>
          <w:sz w:val="24"/>
          <w:szCs w:val="24"/>
        </w:rPr>
        <w:fldChar w:fldCharType="begin" w:fldLock="1"/>
      </w:r>
      <w:r w:rsidRPr="00CD12C5">
        <w:rPr>
          <w:sz w:val="24"/>
          <w:szCs w:val="24"/>
        </w:rPr>
        <w:instrText>ADDIN CSL_CITATION {"citationItems":[{"id":"ITEM-1","itemData":{"DOI":"10.3390/su12177083","ISSN":"20711050","abstract":"This study aimed to examine the role of environmental commitment, environmental consciousness, green lifestyle, and green self-efficacy in influencing pro-environmental behaviour. Data were obtained through a survey of 72 students at one of the training centers in Malaysia. The hypothesized relationships were tested using partial least squares (PLS) methodology. Results showed that environmental commitment, environmental consciousness, green lifestyle, and green self-efficacy positively influenced pro-environmental behaviour, thereby providing new insights to existing literature on environmental sustainability. The results may be used by educational institutions, the government, and private agencies to strengthen students' knowledge, attitude, and behaviour that support environment-based education. The scope of the study was limited to students at a training center, so the results may not be generalizable to different settings. Another limitation was that the study used limited contextual elements. The novelty of this study is that it examined the role of environmental commitment, environmental consciousness, green lifestyle, and green self-efficacy as determinants of pro-environmental behaviour among students in an educational setting in Malaysia.","author":[{"dropping-particle":"","family":"Yusliza","given":"Mohd Yusoff","non-dropping-particle":"","parse-names":false,"suffix":""},{"dropping-particle":"","family":"Amirudin","given":"Amirudin","non-dropping-particle":"","parse-names":false,"suffix":""},{"dropping-particle":"","family":"Rahadi","given":"Raden Aswin","non-dropping-particle":"","parse-names":false,"suffix":""},{"dropping-particle":"","family":"Athirah","given":"Nik Afzan Nik Sarah","non-dropping-particle":"","parse-names":false,"suffix":""},{"dropping-particle":"","family":"Ramayah","given":"Thurasamy","non-dropping-particle":"","parse-names":false,"suffix":""},{"dropping-particle":"","family":"Muhammad","given":"Zikri","non-dropping-particle":"","parse-names":false,"suffix":""},{"dropping-particle":"","family":"Dal Mas","given":"Francesca","non-dropping-particle":"","parse-names":false,"suffix":""},{"dropping-particle":"","family":"Massaro","given":"Maurizio","non-dropping-particle":"","parse-names":false,"suffix":""},{"dropping-particle":"","family":"Saputra","given":"Jumadil","non-dropping-particle":"","parse-names":false,"suffix":""},{"dropping-particle":"","family":"Mokhlis","given":"Safiek","non-dropping-particle":"","parse-names":false,"suffix":""}],"container-title":"Sustainability (Switzerland)","id":"ITEM-1","issue":"17","issued":{"date-parts":[["2020"]]},"page":"1-21","title":"An investigation of pro-environmental behaviour and sustainable development in Malaysia","type":"article-journal","volume":"12"},"uris":["http://www.mendeley.com/documents/?uuid=74100aeb-d6d7-49e1-9ef5-6b728b3a4da6"]},{"id":"ITEM-2","itemData":{"ISBN":"9781792361241","ISSN":"21698767","abstract":"Sustaining a promising future for the earth and its neighbours are the core principle of sustainable growth. Several studies proved that human activities are among the major causes of environmental problems, pro-environmental behaviour crucial for the future. The present study aims to foster and enhance more sustainable behaviour in households, workplaces, schools, and higher educational institutions. Previous research has placed increasing attention on the identification of factors of pro-environmental behaviour. Accordingly, this study aims to examine the elements influencing the pro-environmental behaviour of employees in the workplace. A survey was performed from January to February 2020 on 84 employees of an organisation in Terengganu. In line with this study prediction, it was found that green self-efficacy positively affected pro-environmental behaviour. However, the impacts of environmental commitment, environmental consciousness, green lifestyles, and green human resource management were insignificant. Provided that data were developed using a cross-sectional design, the assessment of causality among the constructs was a risky process. Furthermore, the study collected data from a single source, namely the employees, which would enhance the relationships through common method bias. The findings of this study also offered several managerial implications for green organisations.","author":[{"dropping-particle":"","family":"Yusliza","given":"Mohd Yusoff","non-dropping-particle":"","parse-names":false,"suffix":""},{"dropping-particle":"","family":"Faezah","given":"Juhari Noor","non-dropping-particle":"","parse-names":false,"suffix":""},{"dropping-particle":"","family":"Mat","given":"Nik Hazimah Nik","non-dropping-particle":"","parse-names":false,"suffix":""},{"dropping-particle":"","family":"Saputra","given":"Jumadil","non-dropping-particle":"","parse-names":false,"suffix":""},{"dropping-particle":"","family":"Muhammad","given":"Zikri","non-dropping-particle":"","parse-names":false,"suffix":""},{"dropping-particle":"","family":"Muhamad","given":"Aina Syuhaila","non-dropping-particle":"","parse-names":false,"suffix":""},{"dropping-particle":"","family":"Ramayah","given":"T.","non-dropping-particle":"","parse-names":false,"suffix":""}],"container-title":"Proceedings of the International Conference on Industrial Engineering and Operations Management","id":"ITEM-2","issue":"July","issued":{"date-parts":[["2021"]]},"page":"3953-3963","title":"Modelling pro-environmental behaviour in the workplace: a preliminary study","type":"article-journal"},"uris":["http://www.mendeley.com/documents/?uuid=4ade6f95-9d8c-46b5-a04c-e72fb6075125"]}],"mendeley":{"formattedCitation":"(Yusliza et al., 2020, 2021)","plainTextFormattedCitation":"(Yusliza et al., 2020, 2021)","previouslyFormattedCitation":"(Yusliza et al., 2020, 2021)"},"properties":{"noteIndex":0},"schema":"https://github.com/citation-style-language/schema/raw/master/csl-citation.json"}</w:instrText>
      </w:r>
      <w:r w:rsidRPr="00CD12C5">
        <w:rPr>
          <w:sz w:val="24"/>
          <w:szCs w:val="24"/>
        </w:rPr>
        <w:fldChar w:fldCharType="separate"/>
      </w:r>
      <w:r w:rsidRPr="00CD12C5">
        <w:rPr>
          <w:noProof/>
          <w:sz w:val="24"/>
          <w:szCs w:val="24"/>
        </w:rPr>
        <w:t>(Yusliza et al., 2020, 2021)</w:t>
      </w:r>
      <w:r w:rsidRPr="00CD12C5">
        <w:rPr>
          <w:sz w:val="24"/>
          <w:szCs w:val="24"/>
        </w:rPr>
        <w:fldChar w:fldCharType="end"/>
      </w:r>
      <w:r w:rsidRPr="00CD12C5">
        <w:rPr>
          <w:sz w:val="24"/>
          <w:szCs w:val="24"/>
        </w:rPr>
        <w:t xml:space="preserve">. This study employs GSE as an independent variable to understand how it drives participation in river cleaning initiatives. </w:t>
      </w:r>
      <w:r w:rsidRPr="00CD12C5">
        <w:rPr>
          <w:sz w:val="24"/>
          <w:szCs w:val="24"/>
        </w:rPr>
        <w:fldChar w:fldCharType="begin" w:fldLock="1"/>
      </w:r>
      <w:r w:rsidRPr="00CD12C5">
        <w:rPr>
          <w:sz w:val="24"/>
          <w:szCs w:val="24"/>
        </w:rPr>
        <w:instrText>ADDIN CSL_CITATION {"citationItems":[{"id":"ITEM-1","itemData":{"DOI":"https://doi.org/10.1016/j.jbusres.2015.12.031","ISSN":"0148-2963","abstract":"Global warming poses a major challenge to humankind. To mitigate this phenomenon, identifying factors affecting individuals' pro-environmental behavior is critical. This study uses a synthetic model to examine the effects of global warming media use on environmental actions. The results from a national survey in Taiwan demonstrate that individuals rely on the media (television, newspapers and the Internet) to acquire information about global warming. Individuals' exposure and attention to global warming media coverage have positive direct effects on three types of pro-environmental behavior, including accommodating, promotional and proactive behavior. Environmental beliefs and self-efficacy also have indirect effects on all types of environmental behavior through media use. These findings reveal the vital function of global warming media use on people's environmental behavior. Governments and organizations can use the media as promotional tools and actively market mitigation policies and efforts through various media channels to induce more environmental actions by individuals.","author":[{"dropping-particle":"","family":"Huang","given":"Huiping","non-dropping-particle":"","parse-names":false,"suffix":""}],"container-title":"Journal of Business Research","id":"ITEM-1","issue":"6","issued":{"date-parts":[["2016"]]},"page":"2206-2212","title":"Media use, environmental beliefs, self-efficacy, and pro-environmental behavior","type":"article-journal","volume":"69"},"uris":["http://www.mendeley.com/documents/?uuid=e2063b05-5208-4370-9684-096be6ddcd99"]},{"id":"ITEM-2","itemData":{"DOI":"10.1108/JIBR-05-2019-0170","ISSN":"1755-4195","abstract":"Purpose Sustainability is seeking for a new approach to bolster organisational success as it is expected to be mobilised through collaborative efforts of employees and management. The present study aims to examine the moderating role of sustainability practices between self-efficacy and organisational citizenship behaviour (OCB). Design/methodology/approach A total of 527 full-time executives employed in Indian public and private manufacturing industries were surveyed. Harman’s single-factor test was carried out using analysis of moment structures (AMOS 20.0) to test the bias associated because of common method variance (CMV). Moderated regression analysis was used through hierarchical models to test the proposed hypotheses. Findings The results indicate a positive relationship between self-efficacy and OCB. The significant moderation effect was observed in the interaction graph, as the simple slope analysis indicated relatively high level of sustainability practices and self-efficacy and they were found to be positively associated with OCB. Research limitations/implications The cross-sectional sample of executives employed in Indian manufacturing organisations limits the generalisation of the findings. The study has not figured the temporal effects and hence longitudinal studies have also been proposed for the assessment of causality. Practical implications Organisations are expected to foster inclusiveness and open channel of communication with their employees to execute best sustainable practices. HR department need to create awareness among their employees and establish an ongoing feedback mechanism to promote such psychological drives. Originality/value The proposed model and the subsequent findings of the study extend the literature on the relationship among self-efficacy, OCB and sustainability practices. The outcome of this work can be used by HR functionaries and senior management practitioners while formulating and implementing the sustainability strategies.","author":[{"dropping-particle":"","family":"Pradhan","given":"Rabindra Kumar","non-dropping-particle":"","parse-names":false,"suffix":""},{"dropping-particle":"","family":"Jena","given":"Lalatendu Kesari","non-dropping-particle":"","parse-names":false,"suffix":""},{"dropping-particle":"","family":"Panigrahy","given":"Nrusingh Prasad","non-dropping-particle":"","parse-names":false,"suffix":""}],"container-title":"Journal of Indian Business Research","id":"ITEM-2","issue":"4","issued":{"date-parts":[["2020","1","1"]]},"page":"509-528","publisher":"Emerald Publishing Limited","title":"Do sustainability practices buffer the impact of self-efficacy on organisational citizenship behaviour?","type":"article-journal","volume":"12"},"uris":["http://www.mendeley.com/documents/?uuid=aa542776-fa43-4a12-9774-461025d2021f"]},{"id":"ITEM-3","itemData":{"ISBN":"9781792361241","ISSN":"21698767","abstract":"Sustaining a promising future for the earth and its neighbours are the core principle of sustainable growth. Several studies proved that human activities are among the major causes of environmental problems, pro-environmental behaviour crucial for the future. The present study aims to foster and enhance more sustainable behaviour in households, workplaces, schools, and higher educational institutions. Previous research has placed increasing attention on the identification of factors of pro-environmental behaviour. Accordingly, this study aims to examine the elements influencing the pro-environmental behaviour of employees in the workplace. A survey was performed from January to February 2020 on 84 employees of an organisation in Terengganu. In line with this study prediction, it was found that green self-efficacy positively affected pro-environmental behaviour. However, the impacts of environmental commitment, environmental consciousness, green lifestyles, and green human resource management were insignificant. Provided that data were developed using a cross-sectional design, the assessment of causality among the constructs was a risky process. Furthermore, the study collected data from a single source, namely the employees, which would enhance the relationships through common method bias. The findings of this study also offered several managerial implications for green organisations.","author":[{"dropping-particle":"","family":"Yusliza","given":"Mohd Yusoff","non-dropping-particle":"","parse-names":false,"suffix":""},{"dropping-particle":"","family":"Faezah","given":"Juhari Noor","non-dropping-particle":"","parse-names":false,"suffix":""},{"dropping-particle":"","family":"Mat","given":"Nik Hazimah Nik","non-dropping-particle":"","parse-names":false,"suffix":""},{"dropping-particle":"","family":"Saputra","given":"Jumadil","non-dropping-particle":"","parse-names":false,"suffix":""},{"dropping-particle":"","family":"Muhammad","given":"Zikri","non-dropping-particle":"","parse-names":false,"suffix":""},{"dropping-particle":"","family":"Muhamad","given":"Aina Syuhaila","non-dropping-particle":"","parse-names":false,"suffix":""},{"dropping-particle":"","family":"Ramayah","given":"T.","non-dropping-particle":"","parse-names":false,"suffix":""}],"container-title":"Proceedings of the International Conference on Industrial Engineering and Operations Management","id":"ITEM-3","issue":"July","issued":{"date-parts":[["2021"]]},"page":"3953-3963","title":"Modelling pro-environmental behaviour in the workplace: a preliminary study","type":"article-journal"},"uris":["http://www.mendeley.com/documents/?uuid=4ade6f95-9d8c-46b5-a04c-e72fb6075125"]}],"mendeley":{"formattedCitation":"(Huang, 2016; Pradhan et al., 2020; Yusliza et al., 2021)","manualFormatting":"Huang (2016), Pradhan et al. (2020) and Yusliza et al. (2021)","plainTextFormattedCitation":"(Huang, 2016; Pradhan et al., 2020; Yusliza et al., 2021)","previouslyFormattedCitation":"(Huang, 2016; Pradhan et al., 2020; Yusliza et al., 2021)"},"properties":{"noteIndex":0},"schema":"https://github.com/citation-style-language/schema/raw/master/csl-citation.json"}</w:instrText>
      </w:r>
      <w:r w:rsidRPr="00CD12C5">
        <w:rPr>
          <w:sz w:val="24"/>
          <w:szCs w:val="24"/>
        </w:rPr>
        <w:fldChar w:fldCharType="separate"/>
      </w:r>
      <w:r w:rsidRPr="00CD12C5">
        <w:rPr>
          <w:noProof/>
          <w:sz w:val="24"/>
          <w:szCs w:val="24"/>
        </w:rPr>
        <w:t>Huang (2016), Pradhan et al. (2020) and Yusliza et al. (2021)</w:t>
      </w:r>
      <w:r w:rsidRPr="00CD12C5">
        <w:rPr>
          <w:sz w:val="24"/>
          <w:szCs w:val="24"/>
        </w:rPr>
        <w:fldChar w:fldCharType="end"/>
      </w:r>
      <w:r w:rsidRPr="00CD12C5">
        <w:rPr>
          <w:sz w:val="24"/>
          <w:szCs w:val="24"/>
        </w:rPr>
        <w:t xml:space="preserve"> assert that individuals with high GSE possess confidence in their ability to control motivations, behaviors, and social environments. Consequently, those with elevated GSE are more likely to strive towards cleaner rivers by engaging in cleaning initiatives, transcending prior conditions. Thus, it is possible to hypothesize that:</w:t>
      </w:r>
    </w:p>
    <w:p w14:paraId="6C1BF523" w14:textId="77777777" w:rsidR="00B263A8" w:rsidRPr="00CD12C5" w:rsidRDefault="00B263A8" w:rsidP="00CD12C5">
      <w:pPr>
        <w:tabs>
          <w:tab w:val="left" w:pos="567"/>
        </w:tabs>
        <w:jc w:val="both"/>
        <w:rPr>
          <w:sz w:val="24"/>
          <w:szCs w:val="24"/>
        </w:rPr>
      </w:pPr>
    </w:p>
    <w:p w14:paraId="079832A9" w14:textId="77777777" w:rsidR="00B263A8" w:rsidRPr="00CD12C5" w:rsidRDefault="007107B4" w:rsidP="00CD12C5">
      <w:pPr>
        <w:tabs>
          <w:tab w:val="left" w:pos="567"/>
        </w:tabs>
        <w:jc w:val="center"/>
        <w:rPr>
          <w:i/>
          <w:iCs/>
          <w:sz w:val="24"/>
          <w:szCs w:val="24"/>
        </w:rPr>
      </w:pPr>
      <w:r w:rsidRPr="00CD12C5">
        <w:rPr>
          <w:i/>
          <w:iCs/>
          <w:sz w:val="24"/>
          <w:szCs w:val="24"/>
        </w:rPr>
        <w:t>H1. GSE has a positive relationship with the intention to participate in the river cleaning initiative</w:t>
      </w:r>
    </w:p>
    <w:p w14:paraId="74DC2315" w14:textId="77777777" w:rsidR="00B263A8" w:rsidRPr="00CD12C5" w:rsidRDefault="00B263A8" w:rsidP="00CD12C5">
      <w:pPr>
        <w:jc w:val="both"/>
        <w:rPr>
          <w:sz w:val="24"/>
          <w:szCs w:val="24"/>
        </w:rPr>
      </w:pPr>
    </w:p>
    <w:p w14:paraId="3C3AC47B" w14:textId="77777777" w:rsidR="00B263A8" w:rsidRDefault="007107B4" w:rsidP="00CD12C5">
      <w:pPr>
        <w:pStyle w:val="Heading3"/>
        <w:spacing w:before="0" w:after="0"/>
      </w:pPr>
      <w:r w:rsidRPr="00CD12C5">
        <w:t>Green Trust (GT)</w:t>
      </w:r>
    </w:p>
    <w:p w14:paraId="5F31ED2D" w14:textId="77777777" w:rsidR="00367E5B" w:rsidRPr="00367E5B" w:rsidRDefault="00367E5B" w:rsidP="00367E5B"/>
    <w:p w14:paraId="3590733C" w14:textId="48E6C973" w:rsidR="00B263A8" w:rsidRPr="00CD12C5" w:rsidRDefault="007107B4" w:rsidP="00CD12C5">
      <w:pPr>
        <w:jc w:val="both"/>
        <w:rPr>
          <w:sz w:val="24"/>
          <w:szCs w:val="24"/>
        </w:rPr>
      </w:pPr>
      <w:r w:rsidRPr="00CD12C5">
        <w:rPr>
          <w:sz w:val="24"/>
          <w:szCs w:val="24"/>
        </w:rPr>
        <w:t xml:space="preserve">The term ‘Green Trust’ originates from the word ‘trust’, which conveys the belief that a party can be relied upon and depended on because they do not manipulate and firmly uphold their promises </w:t>
      </w:r>
      <w:r w:rsidRPr="00CD12C5">
        <w:rPr>
          <w:sz w:val="24"/>
          <w:szCs w:val="24"/>
        </w:rPr>
        <w:fldChar w:fldCharType="begin" w:fldLock="1"/>
      </w:r>
      <w:r w:rsidRPr="00CD12C5">
        <w:rPr>
          <w:sz w:val="24"/>
          <w:szCs w:val="24"/>
        </w:rPr>
        <w:instrText>ADDIN CSL_CITATION {"citationItems":[{"id":"ITEM-1","itemData":{"DOI":"10.3390/su70810135","ISSN":"20711050","abstract":"As global green trends became more prevalent, green marketing also developed into an important issue. Although prior literature explored the main factors affecting green trust, it was inconclusive as to how environmental friendliness could affect the green trust in green marketing. This study aims to focus on the positive influence of environmental friendliness on green trust, and explore the mediation effects of green satisfaction and green perceived quality. This study undertakes an empirical study by means of questionnaire survey. The respondents are consumers who have experience purchasing green products. This study applies structural equation modeling (SEM) to test the hypotheses. The findings of this study indicate that (1) environmental friendliness has a significant positive impact on green satisfaction, green perceived quality, and green trust; (2) both green satisfaction and green perceived quality positively affect green trust; and (3) green satisfaction and green perceived quality partially mediate the positive relationship between environmental friendliness and green trust.","author":[{"dropping-particle":"","family":"Chen","given":"Yu Shan","non-dropping-particle":"","parse-names":false,"suffix":""},{"dropping-particle":"","family":"Lin","given":"Ching Ying","non-dropping-particle":"","parse-names":false,"suffix":""},{"dropping-particle":"","family":"Weng","given":"Chia Sui","non-dropping-particle":"","parse-names":false,"suffix":""}],"container-title":"Sustainability (Switzerland)","id":"ITEM-1","issue":"8","issued":{"date-parts":[["2015"]]},"page":"10135-10152","title":"The influence of environmental friendliness on green trust: The mediation effects of green satisfaction and green perceived quality","type":"article-journal","volume":"7"},"uris":["http://www.mendeley.com/documents/?uuid=da622148-2188-4eb4-a126-58eb9b7010c5"]}],"mendeley":{"formattedCitation":"(Y. S. Chen et al., 2015)","plainTextFormattedCitation":"(Y. S. Chen et al., 2015)","previouslyFormattedCitation":"(Y. S. Chen et al., 2015)"},"properties":{"noteIndex":0},"schema":"https://github.com/citation-style-language/schema/raw/master/csl-citation.json"}</w:instrText>
      </w:r>
      <w:r w:rsidRPr="00CD12C5">
        <w:rPr>
          <w:sz w:val="24"/>
          <w:szCs w:val="24"/>
        </w:rPr>
        <w:fldChar w:fldCharType="separate"/>
      </w:r>
      <w:r w:rsidRPr="00CD12C5">
        <w:rPr>
          <w:noProof/>
          <w:sz w:val="24"/>
          <w:szCs w:val="24"/>
        </w:rPr>
        <w:t>(Chen et al., 2015)</w:t>
      </w:r>
      <w:r w:rsidRPr="00CD12C5">
        <w:rPr>
          <w:sz w:val="24"/>
          <w:szCs w:val="24"/>
        </w:rPr>
        <w:fldChar w:fldCharType="end"/>
      </w:r>
      <w:r w:rsidRPr="00CD12C5">
        <w:rPr>
          <w:sz w:val="24"/>
          <w:szCs w:val="24"/>
        </w:rPr>
        <w:t xml:space="preserve">. </w:t>
      </w:r>
      <w:r w:rsidRPr="00CD12C5">
        <w:rPr>
          <w:sz w:val="24"/>
          <w:szCs w:val="24"/>
        </w:rPr>
        <w:fldChar w:fldCharType="begin" w:fldLock="1"/>
      </w:r>
      <w:r w:rsidRPr="00CD12C5">
        <w:rPr>
          <w:sz w:val="24"/>
          <w:szCs w:val="24"/>
        </w:rPr>
        <w:instrText>ADDIN CSL_CITATION {"citationItems":[{"id":"ITEM-1","itemData":{"DOI":"10.1007/s10551-009-0223-9","ISSN":"01674544","abstract":"This article proposed four novel constructs - green brand image, green satisfaction, green trust, and green brand equity, and explored the positive relationships between green brand equity and its three drivers - green brand image, green satisfaction, and green trust. The object of this research study was information and electronics products in Taiwan. This research employed an empirical study by use of the questionnaire survey method. The questionnaires were randomly mailed to consumers who had the experience of purchasing information and electronics products. The results showed that green brand image, green satisfaction, and green trust are positively related to green brand equity. Furthermore, the positive relationship between green brand image and green brand equity is partially mediated by green satisfaction and green trust. Hence, investing on resources to increase green brand image, green satisfaction, and green trust is helpful to enhance green brand equity. © Springer 2009.","author":[{"dropping-particle":"","family":"Chen","given":"Yu-Shan","non-dropping-particle":"","parse-names":false,"suffix":""}],"container-title":"Journal of Business Ethics","id":"ITEM-1","issue":"2","issued":{"date-parts":[["2010"]]},"page":"307-319","title":"The drivers of green brand equity: Green brand image, green satisfaction, and green trust","type":"article-journal","volume":"93"},"uris":["http://www.mendeley.com/documents/?uuid=99b1208e-6925-4ffb-9e2b-f56e7e9c80b0"]}],"mendeley":{"formattedCitation":"(Y.-S. Chen, 2010)","manualFormatting":"Chen (2010)","plainTextFormattedCitation":"(Y.-S. Chen, 2010)","previouslyFormattedCitation":"(Y.-S. Chen, 2010)"},"properties":{"noteIndex":0},"schema":"https://github.com/citation-style-language/schema/raw/master/csl-citation.json"}</w:instrText>
      </w:r>
      <w:r w:rsidRPr="00CD12C5">
        <w:rPr>
          <w:sz w:val="24"/>
          <w:szCs w:val="24"/>
        </w:rPr>
        <w:fldChar w:fldCharType="separate"/>
      </w:r>
      <w:r w:rsidRPr="00CD12C5">
        <w:rPr>
          <w:noProof/>
          <w:sz w:val="24"/>
          <w:szCs w:val="24"/>
        </w:rPr>
        <w:t>Chen (2010)</w:t>
      </w:r>
      <w:r w:rsidRPr="00CD12C5">
        <w:rPr>
          <w:sz w:val="24"/>
          <w:szCs w:val="24"/>
        </w:rPr>
        <w:fldChar w:fldCharType="end"/>
      </w:r>
      <w:r w:rsidRPr="00CD12C5">
        <w:rPr>
          <w:sz w:val="24"/>
          <w:szCs w:val="24"/>
        </w:rPr>
        <w:t xml:space="preserve"> defined trust as one's willingness to accept vulnerability based on positive behavioral expectations towards another party and their intentions. Trust exists based on three factors: ability, integrity, and benevolence</w:t>
      </w:r>
      <w:r w:rsidR="003C7440" w:rsidRPr="00CD12C5">
        <w:rPr>
          <w:sz w:val="24"/>
          <w:szCs w:val="24"/>
        </w:rPr>
        <w:t xml:space="preserve"> </w:t>
      </w:r>
      <w:r w:rsidR="003C7440" w:rsidRPr="00CD12C5">
        <w:rPr>
          <w:sz w:val="24"/>
          <w:szCs w:val="24"/>
        </w:rPr>
        <w:fldChar w:fldCharType="begin" w:fldLock="1"/>
      </w:r>
      <w:r w:rsidR="00BA532F" w:rsidRPr="00CD12C5">
        <w:rPr>
          <w:sz w:val="24"/>
          <w:szCs w:val="24"/>
        </w:rPr>
        <w:instrText>ADDIN CSL_CITATION {"citationItems":[{"id":"ITEM-1","itemData":{"DOI":"10.1007/s10551-009-0223-9","ISSN":"01674544","abstract":"This article proposed four novel constructs - green brand image, green satisfaction, green trust, and green brand equity, and explored the positive relationships between green brand equity and its three drivers - green brand image, green satisfaction, and green trust. The object of this research study was information and electronics products in Taiwan. This research employed an empirical study by use of the questionnaire survey method. The questionnaires were randomly mailed to consumers who had the experience of purchasing information and electronics products. The results showed that green brand image, green satisfaction, and green trust are positively related to green brand equity. Furthermore, the positive relationship between green brand image and green brand equity is partially mediated by green satisfaction and green trust. Hence, investing on resources to increase green brand image, green satisfaction, and green trust is helpful to enhance green brand equity. © Springer 2009.","author":[{"dropping-particle":"","family":"Chen","given":"Yu-Shan","non-dropping-particle":"","parse-names":false,"suffix":""}],"container-title":"Journal of Business Ethics","id":"ITEM-1","issue":"2","issued":{"date-parts":[["2010"]]},"page":"307-319","title":"The drivers of green brand equity: Green brand image, green satisfaction, and green trust","type":"article-journal","volume":"93"},"uris":["http://www.mendeley.com/documents/?uuid=99b1208e-6925-4ffb-9e2b-f56e7e9c80b0"]},{"id":"ITEM-2","itemData":{"DOI":"10.1007/s11135-014-0041-8","ISSN":"15737845","abstract":"Because no previous literature discusses the determinants of green creativity, this study develops an original framework to fill the research gap. This study explores the influence of green shared vision on green creativity and investigates the mediation roles of green mindfulness and green self-efficacy. We apply structural equation modeling to test the hypotheses. The results demonstrate that green shared vision positively influences green mindfulness, green self-efficacy, and green creativity. Besides, this study indicates that the positive relationship between green shared vision and green creativity is partially mediated by the two mediators: green mindfulness and green self-efficacy. It means that green shared vision can not only directly affect green creativity positively, but also indirectly affect it positively via green mindfulness and green self-efficacy. Thus, companies have to increase their green shared vision, green mindfulness, and green self-efficacy to enhance their green creativity.","author":[{"dropping-particle":"","family":"Chen","given":"Yu-Shan","non-dropping-particle":"","parse-names":false,"suffix":""},{"dropping-particle":"","family":"Chang","given":"Ching-Hsun","non-dropping-particle":"","parse-names":false,"suffix":""},{"dropping-particle":"","family":"Yeh","given":"Shu-Ling","non-dropping-particle":"","parse-names":false,"suffix":""},{"dropping-particle":"","family":"Cheng","given":"Hsin-I","non-dropping-particle":"","parse-names":false,"suffix":""}],"container-title":"Quality and Quantity","id":"ITEM-2","issue":"3","issued":{"date-parts":[["2015"]]},"page":"1169-1184","title":"Green shared vision and green creativity: the mediation roles of green mindfulness and green self-efficacy","type":"article-journal","volume":"49"},"uris":["http://www.mendeley.com/documents/?uuid=4290f5ee-fc23-4c69-8d99-643756fedafd"]},{"id":"ITEM-3","itemData":{"DOI":"10.1108/00251741211216250","ISSN":"00251747","abstract":"Purpose: The purpose of this study is to develop an original framework to explore the influences of green perceived value and green perceived risk on green purchase intentions and to discuss the mediation role of green trust. Design/methodology/approach: This study applies four original concepts - green perceived value, green perceived risk, green trust, and green purchase intentions - to develop an integral model to enhance green purchase intentions. In addition, this research employs an empirical study by means of the questionnaire survey method to verify the hypotheses and to explore its managerial implications. Structural equation modeling (SEM) is applied to verify the research framework. Findings: The empirical results show that green perceived value would positively affect green trust and green purchase intentions, while green perceived risk would negatively influence both of them. Furthermore, this study demonstrates that the relationships between green purchase intentions and their two antecedents - green perceived value and green perceived risk - are partially mediated by green trust. Hence, investing resources to increase green perceived value and to decrease green perceived risk is helpful to enhance green trust and green purchase intentions. Originality/value: This study summarizes the literature on green marketing and relationship marketing into a new managerial framework of green purchase intentions. It utilizes four novel constructs - green perceived value, green perceived risk, green trust, and green purchase intentions - to develop an original research framework to enhance green purchase intentions. Although past research has highlighted the relevant issues about purchase intentions, none explores it about green management. Therefore, this paper develops the research framework of green purchase intentions to fill the research gap. © Emerald Group Publishing Limited.","author":[{"dropping-particle":"","family":"Chen","given":"Yu Shan","non-dropping-particle":"","parse-names":false,"suffix":""},{"dropping-particle":"","family":"Chang","given":"Ching Hsun","non-dropping-particle":"","parse-names":false,"suffix":""}],"container-title":"Management Decision","id":"ITEM-3","issue":"3","issued":{"date-parts":[["2012"]]},"page":"502-520","title":"Enhance green purchase intentions: The roles of green perceived value, green perceived risk, and green trust","type":"article-journal","volume":"50"},"uris":["http://www.mendeley.com/documents/?uuid=3ba69d03-74f9-4c5c-a21d-7c3a884e29d8"]},{"id":"ITEM-4","itemData":{"DOI":"10.1108/00251741311291319","ISSN":"00251747","abstract":"Purpose: This study aims to combine the literature on green marketing and relationship marketing into a new managerial framework of green trust. In addition, this study seeks to elaborate the relationships among green perceived quality, green perceived risk, green satisfaction, and green trust. Design/methodology/approach: The research object of this paper focuses on Taiwan's consumers who have the purchase experience of information and electronics products. This study undertakes an empirical study by means of the questionnaire survey method. The questionnaires were randomly mailed to consumers who had the purchase experience of information and electronics products. Structural equation modeling (SEM) is applied to test the research framework. Findings: The empirical results indicate that green perceived quality would positively affect green satisfaction and green trust, whereas green perceived risk would negatively influence both of them. In addition, this study points out that the relationships between green trust and its two antecedents - green perceived quality and green perceived risk - are partially mediated by green satisfaction. Hence, investing resources in the increase of green perceived quality and the decrease of green perceived risk is useful to enhance green satisfaction and green trust. Originality/value: Although previous research has explored the relevant issues about trust, none highlights trust about green or environmental issues from the perspectives of perceived quality and perceived risk. This study proposes a research framework, which can help companies enhance their green trust via its three determinants: green perceived quality, green perceived risk, and green satisfaction. © Emerald Group Publishing Limited.","author":[{"dropping-particle":"","family":"Chen","given":"Yu Shan","non-dropping-particle":"","parse-names":false,"suffix":""},{"dropping-particle":"","family":"Chang","given":"Ching Hsun","non-dropping-particle":"","parse-names":false,"suffix":""}],"container-title":"Management Decision","id":"ITEM-4","issue":"1","issued":{"date-parts":[["2013"]]},"page":"63-82","title":"Towards green trust: The influences of green perceived quality, green perceived risk, and green satisfaction","type":"article-journal","volume":"51"},"uris":["http://www.mendeley.com/documents/?uuid=a0a1a21f-6443-49e2-939a-35113f5cf190"]}],"mendeley":{"formattedCitation":"(Y.-S. Chen, 2010; Y.-S. Chen et al., 2015; Y. S. Chen &amp; Chang, 2012, 2013)","manualFormatting":"(Chen, 2010; Chen et al., 2015; Chen &amp; Chang, 2012, 2013)","plainTextFormattedCitation":"(Y.-S. Chen, 2010; Y.-S. Chen et al., 2015; Y. S. Chen &amp; Chang, 2012, 2013)","previouslyFormattedCitation":"(Y.-S. Chen, 2010; Y.-S. Chen et al., 2015; Y. S. Chen &amp; Chang, 2012, 2013)"},"properties":{"noteIndex":0},"schema":"https://github.com/citation-style-language/schema/raw/master/csl-citation.json"}</w:instrText>
      </w:r>
      <w:r w:rsidR="003C7440" w:rsidRPr="00CD12C5">
        <w:rPr>
          <w:sz w:val="24"/>
          <w:szCs w:val="24"/>
        </w:rPr>
        <w:fldChar w:fldCharType="separate"/>
      </w:r>
      <w:r w:rsidR="003C7440" w:rsidRPr="00CD12C5">
        <w:rPr>
          <w:noProof/>
          <w:sz w:val="24"/>
          <w:szCs w:val="24"/>
        </w:rPr>
        <w:t>(Chen, 2010; Chen et al., 2015; Chen &amp; Chang, 2012, 2013)</w:t>
      </w:r>
      <w:r w:rsidR="003C7440" w:rsidRPr="00CD12C5">
        <w:rPr>
          <w:sz w:val="24"/>
          <w:szCs w:val="24"/>
        </w:rPr>
        <w:fldChar w:fldCharType="end"/>
      </w:r>
      <w:r w:rsidR="003C7440" w:rsidRPr="00CD12C5">
        <w:rPr>
          <w:sz w:val="24"/>
          <w:szCs w:val="24"/>
        </w:rPr>
        <w:t>.</w:t>
      </w:r>
      <w:r w:rsidRPr="00CD12C5">
        <w:rPr>
          <w:sz w:val="24"/>
          <w:szCs w:val="24"/>
        </w:rPr>
        <w:t xml:space="preserve"> </w:t>
      </w:r>
      <w:r w:rsidRPr="00CD12C5">
        <w:rPr>
          <w:sz w:val="24"/>
          <w:szCs w:val="24"/>
        </w:rPr>
        <w:fldChar w:fldCharType="begin" w:fldLock="1"/>
      </w:r>
      <w:r w:rsidRPr="00CD12C5">
        <w:rPr>
          <w:sz w:val="24"/>
          <w:szCs w:val="24"/>
        </w:rPr>
        <w:instrText>ADDIN CSL_CITATION {"citationItems":[{"id":"ITEM-1","itemData":{"DOI":"10.1007/s10668-020-01219-6","ISSN":"15732975","abstract":"The current study explores the role of green trust, green perceived risk and green perceived quality in changing green purchase intention. Environmental awareness plays the role of a moderator here. Analyses of the sample of 306 consumers, taken from different consumers of energy savers in southern Punjab, Pakistan, revealed interesting findings. Green trust, green perceived risk and green perceived quality were found significant in predicting green purchase intention. Further, environmental awareness significantly moderated the relationships between green purchase intentions and its predictors. Previous studies on green purchase intentions have predominantly fixated on simple models at any given time. However, researchers increasingly claim that an elaborate demonstration may provide a better understanding of customers’ green purchase intention.","author":[{"dropping-particle":"","family":"Wasaya","given":"Allah","non-dropping-particle":"","parse-names":false,"suffix":""},{"dropping-particle":"","family":"Saleem","given":"Muhammad Abid","non-dropping-particle":"","parse-names":false,"suffix":""},{"dropping-particle":"","family":"Ahmad","given":"Jamil","non-dropping-particle":"","parse-names":false,"suffix":""},{"dropping-particle":"","family":"Nazam","given":"Muhammad","non-dropping-particle":"","parse-names":false,"suffix":""},{"dropping-particle":"","family":"Khan","given":"M. Mohsin Ali","non-dropping-particle":"","parse-names":false,"suffix":""},{"dropping-particle":"","family":"Ishfaq","given":"Mohammad","non-dropping-particle":"","parse-names":false,"suffix":""}],"container-title":"Environment, Development and Sustainability","id":"ITEM-1","issue":"9","issued":{"date-parts":[["2021"]]},"page":"13418-13435","publisher":"Springer Netherlands","title":"Impact of green trust and green perceived quality on green purchase intentions: a moderation study","type":"article-journal","volume":"23"},"uris":["http://www.mendeley.com/documents/?uuid=34f95af5-d2f8-4394-935e-e76fbbf38e7f"]}],"mendeley":{"formattedCitation":"(Wasaya et al., 2021)","manualFormatting":"Wasaya et al. (2021)","plainTextFormattedCitation":"(Wasaya et al., 2021)","previouslyFormattedCitation":"(Wasaya et al., 2021)"},"properties":{"noteIndex":0},"schema":"https://github.com/citation-style-language/schema/raw/master/csl-citation.json"}</w:instrText>
      </w:r>
      <w:r w:rsidRPr="00CD12C5">
        <w:rPr>
          <w:sz w:val="24"/>
          <w:szCs w:val="24"/>
        </w:rPr>
        <w:fldChar w:fldCharType="separate"/>
      </w:r>
      <w:r w:rsidRPr="00CD12C5">
        <w:rPr>
          <w:noProof/>
          <w:sz w:val="24"/>
          <w:szCs w:val="24"/>
        </w:rPr>
        <w:t>Wasaya et al. (2021)</w:t>
      </w:r>
      <w:r w:rsidRPr="00CD12C5">
        <w:rPr>
          <w:sz w:val="24"/>
          <w:szCs w:val="24"/>
        </w:rPr>
        <w:fldChar w:fldCharType="end"/>
      </w:r>
      <w:r w:rsidRPr="00CD12C5">
        <w:rPr>
          <w:sz w:val="24"/>
          <w:szCs w:val="24"/>
        </w:rPr>
        <w:t xml:space="preserve"> stated that trust is </w:t>
      </w:r>
      <w:r w:rsidRPr="00CD12C5">
        <w:rPr>
          <w:sz w:val="24"/>
          <w:szCs w:val="24"/>
        </w:rPr>
        <w:lastRenderedPageBreak/>
        <w:t xml:space="preserve">grounded in three critical elements with similar terms: credibility, validity, and benevolence. Thus, trust in a party arises from the willingness to be vulnerable due to their integrity, benevolence, and capability </w:t>
      </w:r>
      <w:r w:rsidR="00F11EE6" w:rsidRPr="00CD12C5">
        <w:rPr>
          <w:sz w:val="24"/>
          <w:szCs w:val="24"/>
        </w:rPr>
        <w:t>to undertake</w:t>
      </w:r>
      <w:r w:rsidRPr="00CD12C5">
        <w:rPr>
          <w:sz w:val="24"/>
          <w:szCs w:val="24"/>
        </w:rPr>
        <w:t xml:space="preserve"> actions</w:t>
      </w:r>
      <w:r w:rsidR="003C7440" w:rsidRPr="00CD12C5">
        <w:rPr>
          <w:sz w:val="24"/>
          <w:szCs w:val="24"/>
        </w:rPr>
        <w:t xml:space="preserve"> </w:t>
      </w:r>
      <w:r w:rsidR="003C7440" w:rsidRPr="00CD12C5">
        <w:rPr>
          <w:sz w:val="24"/>
          <w:szCs w:val="24"/>
        </w:rPr>
        <w:fldChar w:fldCharType="begin" w:fldLock="1"/>
      </w:r>
      <w:r w:rsidR="000163F4" w:rsidRPr="00CD12C5">
        <w:rPr>
          <w:sz w:val="24"/>
          <w:szCs w:val="24"/>
        </w:rPr>
        <w:instrText>ADDIN CSL_CITATION {"citationItems":[{"id":"ITEM-1","itemData":{"DOI":"10.1007/s10551-009-0223-9","ISSN":"01674544","abstract":"This article proposed four novel constructs - green brand image, green satisfaction, green trust, and green brand equity, and explored the positive relationships between green brand equity and its three drivers - green brand image, green satisfaction, and green trust. The object of this research study was information and electronics products in Taiwan. This research employed an empirical study by use of the questionnaire survey method. The questionnaires were randomly mailed to consumers who had the experience of purchasing information and electronics products. The results showed that green brand image, green satisfaction, and green trust are positively related to green brand equity. Furthermore, the positive relationship between green brand image and green brand equity is partially mediated by green satisfaction and green trust. Hence, investing on resources to increase green brand image, green satisfaction, and green trust is helpful to enhance green brand equity. © Springer 2009.","author":[{"dropping-particle":"","family":"Chen","given":"Yu-Shan","non-dropping-particle":"","parse-names":false,"suffix":""}],"container-title":"Journal of Business Ethics","id":"ITEM-1","issue":"2","issued":{"date-parts":[["2010"]]},"page":"307-319","title":"The drivers of green brand equity: Green brand image, green satisfaction, and green trust","type":"article-journal","volume":"93"},"uris":["http://www.mendeley.com/documents/?uuid=99b1208e-6925-4ffb-9e2b-f56e7e9c80b0"]},{"id":"ITEM-2","itemData":{"DOI":"10.1108/00251741311291319","ISSN":"00251747","abstract":"Purpose: This study aims to combine the literature on green marketing and relationship marketing into a new managerial framework of green trust. In addition, this study seeks to elaborate the relationships among green perceived quality, green perceived risk, green satisfaction, and green trust. Design/methodology/approach: The research object of this paper focuses on Taiwan's consumers who have the purchase experience of information and electronics products. This study undertakes an empirical study by means of the questionnaire survey method. The questionnaires were randomly mailed to consumers who had the purchase experience of information and electronics products. Structural equation modeling (SEM) is applied to test the research framework. Findings: The empirical results indicate that green perceived quality would positively affect green satisfaction and green trust, whereas green perceived risk would negatively influence both of them. In addition, this study points out that the relationships between green trust and its two antecedents - green perceived quality and green perceived risk - are partially mediated by green satisfaction. Hence, investing resources in the increase of green perceived quality and the decrease of green perceived risk is useful to enhance green satisfaction and green trust. Originality/value: Although previous research has explored the relevant issues about trust, none highlights trust about green or environmental issues from the perspectives of perceived quality and perceived risk. This study proposes a research framework, which can help companies enhance their green trust via its three determinants: green perceived quality, green perceived risk, and green satisfaction. © Emerald Group Publishing Limited.","author":[{"dropping-particle":"","family":"Chen","given":"Yu Shan","non-dropping-particle":"","parse-names":false,"suffix":""},{"dropping-particle":"","family":"Chang","given":"Ching Hsun","non-dropping-particle":"","parse-names":false,"suffix":""}],"container-title":"Management Decision","id":"ITEM-2","issue":"1","issued":{"date-parts":[["2013"]]},"page":"63-82","title":"Towards green trust: The influences of green perceived quality, green perceived risk, and green satisfaction","type":"article-journal","volume":"51"},"uris":["http://www.mendeley.com/documents/?uuid=a0a1a21f-6443-49e2-939a-35113f5cf190"]},{"id":"ITEM-3","itemData":{"author":[{"dropping-particle":"","family":"Lal","given":"Madan","non-dropping-particle":"","parse-names":false,"suffix":""},{"dropping-particle":"","family":"Sharma","given":"CS","non-dropping-particle":"","parse-names":false,"suffix":""},{"dropping-particle":"","family":"Sharma","given":"Nitika","non-dropping-particle":"","parse-names":false,"suffix":""}],"container-title":"Reaching Consumers of Emerging Markets","id":"ITEM-3","issue":"January","issued":{"date-parts":[["2017"]]},"page":"5-7","title":"Green Trust in Green Purchase Intentions: A Study of Antecedents and Consequents","type":"article-journal"},"uris":["http://www.mendeley.com/documents/?uuid=180f2621-ce1e-4922-9e41-e20c779c7ca2"]}],"mendeley":{"formattedCitation":"(Y.-S. Chen, 2010; Y. S. Chen &amp; Chang, 2013; Lal et al., 2017)","manualFormatting":"(Chen, 2010; Chen &amp; Chang, 2013; Lal et al., 2017)","plainTextFormattedCitation":"(Y.-S. Chen, 2010; Y. S. Chen &amp; Chang, 2013; Lal et al., 2017)","previouslyFormattedCitation":"(Y.-S. Chen, 2010; Y. S. Chen &amp; Chang, 2013; Lal et al., 2017)"},"properties":{"noteIndex":0},"schema":"https://github.com/citation-style-language/schema/raw/master/csl-citation.json"}</w:instrText>
      </w:r>
      <w:r w:rsidR="003C7440" w:rsidRPr="00CD12C5">
        <w:rPr>
          <w:sz w:val="24"/>
          <w:szCs w:val="24"/>
        </w:rPr>
        <w:fldChar w:fldCharType="separate"/>
      </w:r>
      <w:r w:rsidR="003C7440" w:rsidRPr="00CD12C5">
        <w:rPr>
          <w:noProof/>
          <w:sz w:val="24"/>
          <w:szCs w:val="24"/>
        </w:rPr>
        <w:t>(Chen, 2010; Chen &amp; Chang, 2013; Lal et al., 2017)</w:t>
      </w:r>
      <w:r w:rsidR="003C7440" w:rsidRPr="00CD12C5">
        <w:rPr>
          <w:sz w:val="24"/>
          <w:szCs w:val="24"/>
        </w:rPr>
        <w:fldChar w:fldCharType="end"/>
      </w:r>
      <w:r w:rsidRPr="00CD12C5">
        <w:rPr>
          <w:sz w:val="24"/>
          <w:szCs w:val="24"/>
        </w:rPr>
        <w:t xml:space="preserve">. As for Green Trust, </w:t>
      </w:r>
      <w:r w:rsidRPr="00CD12C5">
        <w:rPr>
          <w:sz w:val="24"/>
          <w:szCs w:val="24"/>
        </w:rPr>
        <w:fldChar w:fldCharType="begin" w:fldLock="1"/>
      </w:r>
      <w:r w:rsidRPr="00CD12C5">
        <w:rPr>
          <w:sz w:val="24"/>
          <w:szCs w:val="24"/>
        </w:rPr>
        <w:instrText>ADDIN CSL_CITATION {"citationItems":[{"id":"ITEM-1","itemData":{"DOI":"10.1007/s10551-009-0223-9","ISSN":"01674544","abstract":"This article proposed four novel constructs - green brand image, green satisfaction, green trust, and green brand equity, and explored the positive relationships between green brand equity and its three drivers - green brand image, green satisfaction, and green trust. The object of this research study was information and electronics products in Taiwan. This research employed an empirical study by use of the questionnaire survey method. The questionnaires were randomly mailed to consumers who had the experience of purchasing information and electronics products. The results showed that green brand image, green satisfaction, and green trust are positively related to green brand equity. Furthermore, the positive relationship between green brand image and green brand equity is partially mediated by green satisfaction and green trust. Hence, investing on resources to increase green brand image, green satisfaction, and green trust is helpful to enhance green brand equity. © Springer 2009.","author":[{"dropping-particle":"","family":"Chen","given":"Yu-Shan","non-dropping-particle":"","parse-names":false,"suffix":""}],"container-title":"Journal of Business Ethics","id":"ITEM-1","issue":"2","issued":{"date-parts":[["2010"]]},"page":"307-319","title":"The drivers of green brand equity: Green brand image, green satisfaction, and green trust","type":"article-journal","volume":"93"},"uris":["http://www.mendeley.com/documents/?uuid=99b1208e-6925-4ffb-9e2b-f56e7e9c80b0"]}],"mendeley":{"formattedCitation":"(Y.-S. Chen, 2010)","manualFormatting":"Chen (2010)","plainTextFormattedCitation":"(Y.-S. Chen, 2010)","previouslyFormattedCitation":"(Y.-S. Chen, 2010)"},"properties":{"noteIndex":0},"schema":"https://github.com/citation-style-language/schema/raw/master/csl-citation.json"}</w:instrText>
      </w:r>
      <w:r w:rsidRPr="00CD12C5">
        <w:rPr>
          <w:sz w:val="24"/>
          <w:szCs w:val="24"/>
        </w:rPr>
        <w:fldChar w:fldCharType="separate"/>
      </w:r>
      <w:r w:rsidRPr="00CD12C5">
        <w:rPr>
          <w:noProof/>
          <w:sz w:val="24"/>
          <w:szCs w:val="24"/>
        </w:rPr>
        <w:t>Chen (2010)</w:t>
      </w:r>
      <w:r w:rsidRPr="00CD12C5">
        <w:rPr>
          <w:sz w:val="24"/>
          <w:szCs w:val="24"/>
        </w:rPr>
        <w:fldChar w:fldCharType="end"/>
      </w:r>
      <w:r w:rsidRPr="00CD12C5">
        <w:rPr>
          <w:sz w:val="24"/>
          <w:szCs w:val="24"/>
        </w:rPr>
        <w:t xml:space="preserve"> defines it as the willingness to depend on a product or service based on the belief or expectation that</w:t>
      </w:r>
      <w:r w:rsidR="00F11EE6" w:rsidRPr="00CD12C5">
        <w:rPr>
          <w:sz w:val="24"/>
          <w:szCs w:val="24"/>
        </w:rPr>
        <w:t xml:space="preserve"> it </w:t>
      </w:r>
      <w:r w:rsidRPr="00CD12C5">
        <w:rPr>
          <w:sz w:val="24"/>
          <w:szCs w:val="24"/>
        </w:rPr>
        <w:t>possesses credibility, benevolence, and capability in delivering environmental performance impact. In this study's context, when an individual has high confidence in a service or initiative's ability to reduce environmental pollution, particularly river pollution, that person will develop trust to continue engaging with that initiative. GT represents a profound belief that the endeavor will uphold its promise of environmental stewardship, fostering an unwavering commitment to contribute towards a cleaner, more sustainable world.</w:t>
      </w:r>
    </w:p>
    <w:p w14:paraId="01A18264" w14:textId="05BAFE6F" w:rsidR="00B263A8" w:rsidRPr="00CD12C5" w:rsidRDefault="007107B4" w:rsidP="00CD12C5">
      <w:pPr>
        <w:tabs>
          <w:tab w:val="left" w:pos="567"/>
        </w:tabs>
        <w:jc w:val="both"/>
        <w:rPr>
          <w:sz w:val="24"/>
          <w:szCs w:val="24"/>
        </w:rPr>
      </w:pPr>
      <w:r w:rsidRPr="00CD12C5">
        <w:rPr>
          <w:sz w:val="24"/>
          <w:szCs w:val="24"/>
        </w:rPr>
        <w:tab/>
        <w:t xml:space="preserve">According to </w:t>
      </w:r>
      <w:r w:rsidRPr="00CD12C5">
        <w:rPr>
          <w:sz w:val="24"/>
          <w:szCs w:val="24"/>
        </w:rPr>
        <w:fldChar w:fldCharType="begin" w:fldLock="1"/>
      </w:r>
      <w:r w:rsidRPr="00CD12C5">
        <w:rPr>
          <w:sz w:val="24"/>
          <w:szCs w:val="24"/>
        </w:rPr>
        <w:instrText>ADDIN CSL_CITATION {"citationItems":[{"id":"ITEM-1","itemData":{"DOI":"10.1108/IJOES-05-2020-0072","ISSN":"25149369","abstract":"Purpose: The purpose of this study is to examine the effect of green trust (GT), environmental quality awareness (EQA), green self-efficacy (GSE) and environmental attitude (EA) towards green purchase behaviour (GPB). The mediating effect of EA is also investigated. Design/methodology/approach: Attribution theory and the attitude-behaviour gap model were used to develop the research model. Data were collected through an online survey, which yielded 321 complete and usable responses. The partial least square-structural equation modelling (PLS-SEM; SmartPLS, Version 3) technique was used to test the study hypotheses. Findings: The analysis revealed that GT, GSE and EA affect GPB positively. It was also found that EA mediates the relationship between “environmental quality awareness and green purchase behaviour” and “green self-efficacy and green purchase behaviour”. However, EA did not mediate the link between “green trust and green purchase behaviour”. Practical implications: The findings of this study provide insightful implications for social and green marketers, including an understanding of the complex customer behaviour in purchasing green products, which will eventually enable them to formulate better green marketing strategies. Originality/value: This study is amongst the pioneers in investigating the effect of EQA in relation to GPB. Furthermore, the mediating effect of EA in the link between “environmental quality awareness and green purchase behaviour”, “green trust and green purchase behaviour” and “green self-efficacy and green purchase behaviour” is also a new contribution to the literature. Finally, this study explains the drivers of consumers’ GPB, thereby providing a novel understanding of the field.","author":[{"dropping-particle":"","family":"Sh. Ahmad","given":"Fauziah","non-dropping-particle":"","parse-names":false,"suffix":""},{"dropping-particle":"","family":"Rosli","given":"Nennie Trianna","non-dropping-particle":"","parse-names":false,"suffix":""},{"dropping-particle":"","family":"Quoquab","given":"Farzana","non-dropping-particle":"","parse-names":false,"suffix":""}],"container-title":"International Journal of Ethics and Systems","id":"ITEM-1","issue":"1","issued":{"date-parts":[["2022"]]},"page":"68-90","title":"Environmental quality awareness, green trust, green self-efficacy and environmental attitude in influencing green purchase behaviour","type":"article-journal","volume":"38"},"uris":["http://www.mendeley.com/documents/?uuid=2d8ebdce-2ab0-4208-a6f8-67f7428157cb"]}],"mendeley":{"formattedCitation":"(Sh. Ahmad et al., 2022)","manualFormatting":"Sh. Ahmad et al. (2022)","plainTextFormattedCitation":"(Sh. Ahmad et al., 2022)","previouslyFormattedCitation":"(Sh. Ahmad et al., 2022)"},"properties":{"noteIndex":0},"schema":"https://github.com/citation-style-language/schema/raw/master/csl-citation.json"}</w:instrText>
      </w:r>
      <w:r w:rsidRPr="00CD12C5">
        <w:rPr>
          <w:sz w:val="24"/>
          <w:szCs w:val="24"/>
        </w:rPr>
        <w:fldChar w:fldCharType="separate"/>
      </w:r>
      <w:r w:rsidRPr="00CD12C5">
        <w:rPr>
          <w:noProof/>
          <w:sz w:val="24"/>
          <w:szCs w:val="24"/>
        </w:rPr>
        <w:t>Sh. Ahmad et al. (2022)</w:t>
      </w:r>
      <w:r w:rsidRPr="00CD12C5">
        <w:rPr>
          <w:sz w:val="24"/>
          <w:szCs w:val="24"/>
        </w:rPr>
        <w:fldChar w:fldCharType="end"/>
      </w:r>
      <w:r w:rsidRPr="00CD12C5">
        <w:rPr>
          <w:sz w:val="24"/>
          <w:szCs w:val="24"/>
        </w:rPr>
        <w:t>, trust is a determinant of commitment to a relationship. This is because trust is an influential driver for individuals to engage with green movements. Previous studies indicate that GT positively correlates with and influences one's desire and behavior to participate in green initiatives</w:t>
      </w:r>
      <w:r w:rsidR="00F11EE6" w:rsidRPr="00CD12C5">
        <w:rPr>
          <w:sz w:val="24"/>
          <w:szCs w:val="24"/>
        </w:rPr>
        <w:t>,</w:t>
      </w:r>
      <w:r w:rsidRPr="00CD12C5">
        <w:rPr>
          <w:sz w:val="24"/>
          <w:szCs w:val="24"/>
        </w:rPr>
        <w:t xml:space="preserve"> such as purchasing green products, exhibiting pro-environmental conduct, and selecting services that reduce environmental impact</w:t>
      </w:r>
      <w:r w:rsidR="00DE70CC" w:rsidRPr="00CD12C5">
        <w:rPr>
          <w:sz w:val="24"/>
          <w:szCs w:val="24"/>
        </w:rPr>
        <w:t xml:space="preserve"> </w:t>
      </w:r>
      <w:r w:rsidR="00DE70CC" w:rsidRPr="00CD12C5">
        <w:rPr>
          <w:sz w:val="24"/>
          <w:szCs w:val="24"/>
        </w:rPr>
        <w:fldChar w:fldCharType="begin" w:fldLock="1"/>
      </w:r>
      <w:r w:rsidR="000163F4" w:rsidRPr="00CD12C5">
        <w:rPr>
          <w:sz w:val="24"/>
          <w:szCs w:val="24"/>
        </w:rPr>
        <w:instrText>ADDIN CSL_CITATION {"citationItems":[{"id":"ITEM-1","itemData":{"DOI":"10.1007/s11135-014-0041-8","ISSN":"15737845","abstract":"Because no previous literature discusses the determinants of green creativity, this study develops an original framework to fill the research gap. This study explores the influence of green shared vision on green creativity and investigates the mediation roles of green mindfulness and green self-efficacy. We apply structural equation modeling to test the hypotheses. The results demonstrate that green shared vision positively influences green mindfulness, green self-efficacy, and green creativity. Besides, this study indicates that the positive relationship between green shared vision and green creativity is partially mediated by the two mediators: green mindfulness and green self-efficacy. It means that green shared vision can not only directly affect green creativity positively, but also indirectly affect it positively via green mindfulness and green self-efficacy. Thus, companies have to increase their green shared vision, green mindfulness, and green self-efficacy to enhance their green creativity.","author":[{"dropping-particle":"","family":"Chen","given":"Yu-Shan","non-dropping-particle":"","parse-names":false,"suffix":""},{"dropping-particle":"","family":"Chang","given":"Ching-Hsun","non-dropping-particle":"","parse-names":false,"suffix":""},{"dropping-particle":"","family":"Yeh","given":"Shu-Ling","non-dropping-particle":"","parse-names":false,"suffix":""},{"dropping-particle":"","family":"Cheng","given":"Hsin-I","non-dropping-particle":"","parse-names":false,"suffix":""}],"container-title":"Quality and Quantity","id":"ITEM-1","issue":"3","issued":{"date-parts":[["2015"]]},"page":"1169-1184","title":"Green shared vision and green creativity: the mediation roles of green mindfulness and green self-efficacy","type":"article-journal","volume":"49"},"uris":["http://www.mendeley.com/documents/?uuid=4290f5ee-fc23-4c69-8d99-643756fedafd"]},{"id":"ITEM-2","itemData":{"DOI":"10.1108/00251741211216250","ISSN":"00251747","abstract":"Purpose: The purpose of this study is to develop an original framework to explore the influences of green perceived value and green perceived risk on green purchase intentions and to discuss the mediation role of green trust. Design/methodology/approach: This study applies four original concepts - green perceived value, green perceived risk, green trust, and green purchase intentions - to develop an integral model to enhance green purchase intentions. In addition, this research employs an empirical study by means of the questionnaire survey method to verify the hypotheses and to explore its managerial implications. Structural equation modeling (SEM) is applied to verify the research framework. Findings: The empirical results show that green perceived value would positively affect green trust and green purchase intentions, while green perceived risk would negatively influence both of them. Furthermore, this study demonstrates that the relationships between green purchase intentions and their two antecedents - green perceived value and green perceived risk - are partially mediated by green trust. Hence, investing resources to increase green perceived value and to decrease green perceived risk is helpful to enhance green trust and green purchase intentions. Originality/value: This study summarizes the literature on green marketing and relationship marketing into a new managerial framework of green purchase intentions. It utilizes four novel constructs - green perceived value, green perceived risk, green trust, and green purchase intentions - to develop an original research framework to enhance green purchase intentions. Although past research has highlighted the relevant issues about purchase intentions, none explores it about green management. Therefore, this paper develops the research framework of green purchase intentions to fill the research gap. © Emerald Group Publishing Limited.","author":[{"dropping-particle":"","family":"Chen","given":"Yu Shan","non-dropping-particle":"","parse-names":false,"suffix":""},{"dropping-particle":"","family":"Chang","given":"Ching Hsun","non-dropping-particle":"","parse-names":false,"suffix":""}],"container-title":"Management Decision","id":"ITEM-2","issue":"3","issued":{"date-parts":[["2012"]]},"page":"502-520","title":"Enhance green purchase intentions: The roles of green perceived value, green perceived risk, and green trust","type":"article-journal","volume":"50"},"uris":["http://www.mendeley.com/documents/?uuid=3ba69d03-74f9-4c5c-a21d-7c3a884e29d8"]},{"id":"ITEM-3","itemData":{"DOI":"10.1108/00251741311291319","ISSN":"00251747","abstract":"Purpose: This study aims to combine the literature on green marketing and relationship marketing into a new managerial framework of green trust. In addition, this study seeks to elaborate the relationships among green perceived quality, green perceived risk, green satisfaction, and green trust. Design/methodology/approach: The research object of this paper focuses on Taiwan's consumers who have the purchase experience of information and electronics products. This study undertakes an empirical study by means of the questionnaire survey method. The questionnaires were randomly mailed to consumers who had the purchase experience of information and electronics products. Structural equation modeling (SEM) is applied to test the research framework. Findings: The empirical results indicate that green perceived quality would positively affect green satisfaction and green trust, whereas green perceived risk would negatively influence both of them. In addition, this study points out that the relationships between green trust and its two antecedents - green perceived quality and green perceived risk - are partially mediated by green satisfaction. Hence, investing resources in the increase of green perceived quality and the decrease of green perceived risk is useful to enhance green satisfaction and green trust. Originality/value: Although previous research has explored the relevant issues about trust, none highlights trust about green or environmental issues from the perspectives of perceived quality and perceived risk. This study proposes a research framework, which can help companies enhance their green trust via its three determinants: green perceived quality, green perceived risk, and green satisfaction. © Emerald Group Publishing Limited.","author":[{"dropping-particle":"","family":"Chen","given":"Yu Shan","non-dropping-particle":"","parse-names":false,"suffix":""},{"dropping-particle":"","family":"Chang","given":"Ching Hsun","non-dropping-particle":"","parse-names":false,"suffix":""}],"container-title":"Management Decision","id":"ITEM-3","issue":"1","issued":{"date-parts":[["2013"]]},"page":"63-82","title":"Towards green trust: The influences of green perceived quality, green perceived risk, and green satisfaction","type":"article-journal","volume":"51"},"uris":["http://www.mendeley.com/documents/?uuid=a0a1a21f-6443-49e2-939a-35113f5cf190"]},{"id":"ITEM-4","itemData":{"DOI":"10.3390/su70810135","ISSN":"20711050","abstract":"As global green trends became more prevalent, green marketing also developed into an important issue. Although prior literature explored the main factors affecting green trust, it was inconclusive as to how environmental friendliness could affect the green trust in green marketing. This study aims to focus on the positive influence of environmental friendliness on green trust, and explore the mediation effects of green satisfaction and green perceived quality. This study undertakes an empirical study by means of questionnaire survey. The respondents are consumers who have experience purchasing green products. This study applies structural equation modeling (SEM) to test the hypotheses. The findings of this study indicate that (1) environmental friendliness has a significant positive impact on green satisfaction, green perceived quality, and green trust; (2) both green satisfaction and green perceived quality positively affect green trust; and (3) green satisfaction and green perceived quality partially mediate the positive relationship between environmental friendliness and green trust.","author":[{"dropping-particle":"","family":"Chen","given":"Yu Shan","non-dropping-particle":"","parse-names":false,"suffix":""},{"dropping-particle":"","family":"Lin","given":"Ching Ying","non-dropping-particle":"","parse-names":false,"suffix":""},{"dropping-particle":"","family":"Weng","given":"Chia Sui","non-dropping-particle":"","parse-names":false,"suffix":""}],"container-title":"Sustainability (Switzerland)","id":"ITEM-4","issue":"8","issued":{"date-parts":[["2015"]]},"page":"10135-10152","title":"The influence of environmental friendliness on green trust: The mediation effects of green satisfaction and green perceived quality","type":"article-journal","volume":"7"},"uris":["http://www.mendeley.com/documents/?uuid=da622148-2188-4eb4-a126-58eb9b7010c5"]},{"id":"ITEM-5","itemData":{"DOI":"10.3390/su13147877","ISSN":"20711050","abstract":"An increasing interest in environmental problems around the world has significantly expanded the demand for green goods, transforming green marketing into an effective tool for businesses to achieve competitive advantage. Yet, as more firms become aware of this strategic advantage, greenwashing activities can also flourish, and customers grow more cautious about green efforts by firms. The present research examines how greenwashing expectations of customers affect their green buying decisions by studying how green trust, consumer brand engagement and green word-of-mouth mediate this relationship. A total of 302 subjects participated in a survey to study greenwashing effects using a high involvement green ad and a low involvement green ad. Results were analyzed using a PLS-SEM approach. The findings show that the greenwashing expectations of customers have no direct effect on green purchase decisions, but that green trust and green word-of-mouth mediate this relationship. Likewise, greenwashing perception significantly affects customer brand engagement indirectly through green trust and there is a full mediation between greenwashing perception and green purchasing intention through green trust, customer brand engagement and green word of mouth. Therefore, the study shows that having a low perception of greenwashing is not enough to increase purchases. For that to occur, companies need to ensure that WOM communicates such efforts and that consumers trust these green initiatives.","author":[{"dropping-particle":"","family":"Guerreiro","given":"João","non-dropping-particle":"","parse-names":false,"suffix":""},{"dropping-particle":"","family":"Pacheco","given":"Mariana","non-dropping-particle":"","parse-names":false,"suffix":""}],"container-title":"Sustainability (Switzerland)","id":"ITEM-5","issue":"14","issued":{"date-parts":[["2021"]]},"page":"1-13","title":"How green trust, consumer brand engagement and green word-of-mouth mediate purchasing intentions","type":"article-journal","volume":"13"},"uris":["http://www.mendeley.com/documents/?uuid=f393dfc2-1629-445d-b635-5c112d86bb7c"]}],"mendeley":{"formattedCitation":"(Y.-S. Chen et al., 2015; Y. S. Chen et al., 2015; Y. S. Chen &amp; Chang, 2012, 2013; Guerreiro &amp; Pacheco, 2021)","manualFormatting":"(Chen et al., 2015; Chen et al., 2015; Chen &amp; Chang, 2012, 2013; Guerreiro &amp; Pacheco, 2021)","plainTextFormattedCitation":"(Y.-S. Chen et al., 2015; Y. S. Chen et al., 2015; Y. S. Chen &amp; Chang, 2012, 2013; Guerreiro &amp; Pacheco, 2021)","previouslyFormattedCitation":"(Y.-S. Chen et al., 2015; Y. S. Chen et al., 2015; Y. S. Chen &amp; Chang, 2012, 2013; Guerreiro &amp; Pacheco, 2021)"},"properties":{"noteIndex":0},"schema":"https://github.com/citation-style-language/schema/raw/master/csl-citation.json"}</w:instrText>
      </w:r>
      <w:r w:rsidR="00DE70CC" w:rsidRPr="00CD12C5">
        <w:rPr>
          <w:sz w:val="24"/>
          <w:szCs w:val="24"/>
        </w:rPr>
        <w:fldChar w:fldCharType="separate"/>
      </w:r>
      <w:r w:rsidR="00DE70CC" w:rsidRPr="00CD12C5">
        <w:rPr>
          <w:noProof/>
          <w:sz w:val="24"/>
          <w:szCs w:val="24"/>
        </w:rPr>
        <w:t>(Chen et al., 2015; Chen et al., 2015; Chen &amp; Chang, 2012, 2013; Guerreiro &amp; Pacheco, 2021)</w:t>
      </w:r>
      <w:r w:rsidR="00DE70CC" w:rsidRPr="00CD12C5">
        <w:rPr>
          <w:sz w:val="24"/>
          <w:szCs w:val="24"/>
        </w:rPr>
        <w:fldChar w:fldCharType="end"/>
      </w:r>
      <w:r w:rsidRPr="00CD12C5">
        <w:rPr>
          <w:sz w:val="24"/>
          <w:szCs w:val="24"/>
        </w:rPr>
        <w:t>. Through GT, individuals are more inclined to sustain their confidence and belief in the green movement they undertake for an extended period, deriving greater satisfaction from their choice</w:t>
      </w:r>
      <w:r w:rsidR="007E7CC9" w:rsidRPr="00CD12C5">
        <w:rPr>
          <w:sz w:val="24"/>
          <w:szCs w:val="24"/>
        </w:rPr>
        <w:t xml:space="preserve"> </w:t>
      </w:r>
      <w:r w:rsidR="007E7CC9" w:rsidRPr="00CD12C5">
        <w:rPr>
          <w:sz w:val="24"/>
          <w:szCs w:val="24"/>
        </w:rPr>
        <w:fldChar w:fldCharType="begin" w:fldLock="1"/>
      </w:r>
      <w:r w:rsidR="000163F4" w:rsidRPr="00CD12C5">
        <w:rPr>
          <w:sz w:val="24"/>
          <w:szCs w:val="24"/>
        </w:rPr>
        <w:instrText>ADDIN CSL_CITATION {"citationItems":[{"id":"ITEM-1","itemData":{"DOI":"10.1108/00251741211216250","ISSN":"00251747","abstract":"Purpose: The purpose of this study is to develop an original framework to explore the influences of green perceived value and green perceived risk on green purchase intentions and to discuss the mediation role of green trust. Design/methodology/approach: This study applies four original concepts - green perceived value, green perceived risk, green trust, and green purchase intentions - to develop an integral model to enhance green purchase intentions. In addition, this research employs an empirical study by means of the questionnaire survey method to verify the hypotheses and to explore its managerial implications. Structural equation modeling (SEM) is applied to verify the research framework. Findings: The empirical results show that green perceived value would positively affect green trust and green purchase intentions, while green perceived risk would negatively influence both of them. Furthermore, this study demonstrates that the relationships between green purchase intentions and their two antecedents - green perceived value and green perceived risk - are partially mediated by green trust. Hence, investing resources to increase green perceived value and to decrease green perceived risk is helpful to enhance green trust and green purchase intentions. Originality/value: This study summarizes the literature on green marketing and relationship marketing into a new managerial framework of green purchase intentions. It utilizes four novel constructs - green perceived value, green perceived risk, green trust, and green purchase intentions - to develop an original research framework to enhance green purchase intentions. Although past research has highlighted the relevant issues about purchase intentions, none explores it about green management. Therefore, this paper develops the research framework of green purchase intentions to fill the research gap. © Emerald Group Publishing Limited.","author":[{"dropping-particle":"","family":"Chen","given":"Yu Shan","non-dropping-particle":"","parse-names":false,"suffix":""},{"dropping-particle":"","family":"Chang","given":"Ching Hsun","non-dropping-particle":"","parse-names":false,"suffix":""}],"container-title":"Management Decision","id":"ITEM-1","issue":"3","issued":{"date-parts":[["2012"]]},"page":"502-520","title":"Enhance green purchase intentions: The roles of green perceived value, green perceived risk, and green trust","type":"article-journal","volume":"50"},"uris":["http://www.mendeley.com/documents/?uuid=3ba69d03-74f9-4c5c-a21d-7c3a884e29d8"]},{"id":"ITEM-2","itemData":{"DOI":"10.1108/00251741311291319","ISSN":"00251747","abstract":"Purpose: This study aims to combine the literature on green marketing and relationship marketing into a new managerial framework of green trust. In addition, this study seeks to elaborate the relationships among green perceived quality, green perceived risk, green satisfaction, and green trust. Design/methodology/approach: The research object of this paper focuses on Taiwan's consumers who have the purchase experience of information and electronics products. This study undertakes an empirical study by means of the questionnaire survey method. The questionnaires were randomly mailed to consumers who had the purchase experience of information and electronics products. Structural equation modeling (SEM) is applied to test the research framework. Findings: The empirical results indicate that green perceived quality would positively affect green satisfaction and green trust, whereas green perceived risk would negatively influence both of them. In addition, this study points out that the relationships between green trust and its two antecedents - green perceived quality and green perceived risk - are partially mediated by green satisfaction. Hence, investing resources in the increase of green perceived quality and the decrease of green perceived risk is useful to enhance green satisfaction and green trust. Originality/value: Although previous research has explored the relevant issues about trust, none highlights trust about green or environmental issues from the perspectives of perceived quality and perceived risk. This study proposes a research framework, which can help companies enhance their green trust via its three determinants: green perceived quality, green perceived risk, and green satisfaction. © Emerald Group Publishing Limited.","author":[{"dropping-particle":"","family":"Chen","given":"Yu Shan","non-dropping-particle":"","parse-names":false,"suffix":""},{"dropping-particle":"","family":"Chang","given":"Ching Hsun","non-dropping-particle":"","parse-names":false,"suffix":""}],"container-title":"Management Decision","id":"ITEM-2","issue":"1","issued":{"date-parts":[["2013"]]},"page":"63-82","title":"Towards green trust: The influences of green perceived quality, green perceived risk, and green satisfaction","type":"article-journal","volume":"51"},"uris":["http://www.mendeley.com/documents/?uuid=a0a1a21f-6443-49e2-939a-35113f5cf190"]},{"id":"ITEM-3","itemData":{"DOI":"10.3390/su13147877","ISSN":"20711050","abstract":"An increasing interest in environmental problems around the world has significantly expanded the demand for green goods, transforming green marketing into an effective tool for businesses to achieve competitive advantage. Yet, as more firms become aware of this strategic advantage, greenwashing activities can also flourish, and customers grow more cautious about green efforts by firms. The present research examines how greenwashing expectations of customers affect their green buying decisions by studying how green trust, consumer brand engagement and green word-of-mouth mediate this relationship. A total of 302 subjects participated in a survey to study greenwashing effects using a high involvement green ad and a low involvement green ad. Results were analyzed using a PLS-SEM approach. The findings show that the greenwashing expectations of customers have no direct effect on green purchase decisions, but that green trust and green word-of-mouth mediate this relationship. Likewise, greenwashing perception significantly affects customer brand engagement indirectly through green trust and there is a full mediation between greenwashing perception and green purchasing intention through green trust, customer brand engagement and green word of mouth. Therefore, the study shows that having a low perception of greenwashing is not enough to increase purchases. For that to occur, companies need to ensure that WOM communicates such efforts and that consumers trust these green initiatives.","author":[{"dropping-particle":"","family":"Guerreiro","given":"João","non-dropping-particle":"","parse-names":false,"suffix":""},{"dropping-particle":"","family":"Pacheco","given":"Mariana","non-dropping-particle":"","parse-names":false,"suffix":""}],"container-title":"Sustainability (Switzerland)","id":"ITEM-3","issue":"14","issued":{"date-parts":[["2021"]]},"page":"1-13","title":"How green trust, consumer brand engagement and green word-of-mouth mediate purchasing intentions","type":"article-journal","volume":"13"},"uris":["http://www.mendeley.com/documents/?uuid=f393dfc2-1629-445d-b635-5c112d86bb7c"]}],"mendeley":{"formattedCitation":"(Y. S. Chen &amp; Chang, 2012, 2013; Guerreiro &amp; Pacheco, 2021)","manualFormatting":"(Chen &amp; Chang, 2012, 2013; Guerreiro &amp; Pacheco, 2021)","plainTextFormattedCitation":"(Y. S. Chen &amp; Chang, 2012, 2013; Guerreiro &amp; Pacheco, 2021)","previouslyFormattedCitation":"(Y. S. Chen &amp; Chang, 2012, 2013; Guerreiro &amp; Pacheco, 2021)"},"properties":{"noteIndex":0},"schema":"https://github.com/citation-style-language/schema/raw/master/csl-citation.json"}</w:instrText>
      </w:r>
      <w:r w:rsidR="007E7CC9" w:rsidRPr="00CD12C5">
        <w:rPr>
          <w:sz w:val="24"/>
          <w:szCs w:val="24"/>
        </w:rPr>
        <w:fldChar w:fldCharType="separate"/>
      </w:r>
      <w:r w:rsidR="007E7CC9" w:rsidRPr="00CD12C5">
        <w:rPr>
          <w:noProof/>
          <w:sz w:val="24"/>
          <w:szCs w:val="24"/>
        </w:rPr>
        <w:t>(Chen &amp; Chang, 2012, 2013; Guerreiro &amp; Pacheco, 2021)</w:t>
      </w:r>
      <w:r w:rsidR="007E7CC9" w:rsidRPr="00CD12C5">
        <w:rPr>
          <w:sz w:val="24"/>
          <w:szCs w:val="24"/>
        </w:rPr>
        <w:fldChar w:fldCharType="end"/>
      </w:r>
      <w:r w:rsidR="007E7CC9" w:rsidRPr="00CD12C5">
        <w:rPr>
          <w:sz w:val="24"/>
          <w:szCs w:val="24"/>
        </w:rPr>
        <w:t>.</w:t>
      </w:r>
      <w:r w:rsidRPr="00CD12C5">
        <w:rPr>
          <w:sz w:val="24"/>
          <w:szCs w:val="24"/>
        </w:rPr>
        <w:t xml:space="preserve"> According to </w:t>
      </w:r>
      <w:r w:rsidRPr="00CD12C5">
        <w:rPr>
          <w:sz w:val="24"/>
          <w:szCs w:val="24"/>
        </w:rPr>
        <w:fldChar w:fldCharType="begin" w:fldLock="1"/>
      </w:r>
      <w:r w:rsidRPr="00CD12C5">
        <w:rPr>
          <w:sz w:val="24"/>
          <w:szCs w:val="24"/>
        </w:rPr>
        <w:instrText>ADDIN CSL_CITATION {"citationItems":[{"id":"ITEM-1","itemData":{"DOI":"10.3390/su70810135","ISSN":"20711050","abstract":"As global green trends became more prevalent, green marketing also developed into an important issue. Although prior literature explored the main factors affecting green trust, it was inconclusive as to how environmental friendliness could affect the green trust in green marketing. This study aims to focus on the positive influence of environmental friendliness on green trust, and explore the mediation effects of green satisfaction and green perceived quality. This study undertakes an empirical study by means of questionnaire survey. The respondents are consumers who have experience purchasing green products. This study applies structural equation modeling (SEM) to test the hypotheses. The findings of this study indicate that (1) environmental friendliness has a significant positive impact on green satisfaction, green perceived quality, and green trust; (2) both green satisfaction and green perceived quality positively affect green trust; and (3) green satisfaction and green perceived quality partially mediate the positive relationship between environmental friendliness and green trust.","author":[{"dropping-particle":"","family":"Chen","given":"Yu Shan","non-dropping-particle":"","parse-names":false,"suffix":""},{"dropping-particle":"","family":"Lin","given":"Ching Ying","non-dropping-particle":"","parse-names":false,"suffix":""},{"dropping-particle":"","family":"Weng","given":"Chia Sui","non-dropping-particle":"","parse-names":false,"suffix":""}],"container-title":"Sustainability (Switzerland)","id":"ITEM-1","issue":"8","issued":{"date-parts":[["2015"]]},"page":"10135-10152","title":"The influence of environmental friendliness on green trust: The mediation effects of green satisfaction and green perceived quality","type":"article-journal","volume":"7"},"uris":["http://www.mendeley.com/documents/?uuid=da622148-2188-4eb4-a126-58eb9b7010c5"]}],"mendeley":{"formattedCitation":"(Y. S. Chen et al., 2015)","manualFormatting":"Chen, Lin, et al. (2015)","plainTextFormattedCitation":"(Y. S. Chen et al., 2015)","previouslyFormattedCitation":"(Y. S. Chen et al., 2015)"},"properties":{"noteIndex":0},"schema":"https://github.com/citation-style-language/schema/raw/master/csl-citation.json"}</w:instrText>
      </w:r>
      <w:r w:rsidRPr="00CD12C5">
        <w:rPr>
          <w:sz w:val="24"/>
          <w:szCs w:val="24"/>
        </w:rPr>
        <w:fldChar w:fldCharType="separate"/>
      </w:r>
      <w:r w:rsidRPr="00CD12C5">
        <w:rPr>
          <w:noProof/>
          <w:sz w:val="24"/>
          <w:szCs w:val="24"/>
        </w:rPr>
        <w:t>Chen, Lin, et al. (2015)</w:t>
      </w:r>
      <w:r w:rsidRPr="00CD12C5">
        <w:rPr>
          <w:sz w:val="24"/>
          <w:szCs w:val="24"/>
        </w:rPr>
        <w:fldChar w:fldCharType="end"/>
      </w:r>
      <w:r w:rsidRPr="00CD12C5">
        <w:rPr>
          <w:sz w:val="24"/>
          <w:szCs w:val="24"/>
        </w:rPr>
        <w:t xml:space="preserve">, trust exists based on dependence and a sense of goodwill. Dependence refers to the level of confidence in someone's words and behaviors. Goodwill pertains to mutually beneficial goals and welfare. They assert </w:t>
      </w:r>
      <w:r w:rsidRPr="00CD12C5">
        <w:rPr>
          <w:sz w:val="24"/>
          <w:szCs w:val="24"/>
          <w:lang w:val="en-GB"/>
        </w:rPr>
        <w:t xml:space="preserve">that </w:t>
      </w:r>
      <w:r w:rsidRPr="00CD12C5">
        <w:rPr>
          <w:sz w:val="24"/>
          <w:szCs w:val="24"/>
        </w:rPr>
        <w:t xml:space="preserve">trust helps reduce an individual's vulnerability and apprehensions. However, trust must be cultivated through information and knowledge about the offered product or service </w:t>
      </w:r>
      <w:r w:rsidRPr="00CD12C5">
        <w:rPr>
          <w:sz w:val="24"/>
          <w:szCs w:val="24"/>
        </w:rPr>
        <w:fldChar w:fldCharType="begin" w:fldLock="1"/>
      </w:r>
      <w:r w:rsidRPr="00CD12C5">
        <w:rPr>
          <w:sz w:val="24"/>
          <w:szCs w:val="24"/>
        </w:rPr>
        <w:instrText>ADDIN CSL_CITATION {"citationItems":[{"id":"ITEM-1","itemData":{"author":[{"dropping-particle":"","family":"Lal","given":"Madan","non-dropping-particle":"","parse-names":false,"suffix":""},{"dropping-particle":"","family":"Sharma","given":"CS","non-dropping-particle":"","parse-names":false,"suffix":""},{"dropping-particle":"","family":"Sharma","given":"Nitika","non-dropping-particle":"","parse-names":false,"suffix":""}],"container-title":"Reaching Consumers of Emerging Markets","id":"ITEM-1","issue":"January","issued":{"date-parts":[["2017"]]},"page":"5-7","title":"Green Trust in Green Purchase Intentions: A Study of Antecedents and Consequents","type":"article-journal"},"uris":["http://www.mendeley.com/documents/?uuid=180f2621-ce1e-4922-9e41-e20c779c7ca2"]}],"mendeley":{"formattedCitation":"(Lal et al., 2017)","plainTextFormattedCitation":"(Lal et al., 2017)","previouslyFormattedCitation":"(Lal et al., 2017)"},"properties":{"noteIndex":0},"schema":"https://github.com/citation-style-language/schema/raw/master/csl-citation.json"}</w:instrText>
      </w:r>
      <w:r w:rsidRPr="00CD12C5">
        <w:rPr>
          <w:sz w:val="24"/>
          <w:szCs w:val="24"/>
        </w:rPr>
        <w:fldChar w:fldCharType="separate"/>
      </w:r>
      <w:r w:rsidRPr="00CD12C5">
        <w:rPr>
          <w:noProof/>
          <w:sz w:val="24"/>
          <w:szCs w:val="24"/>
        </w:rPr>
        <w:t>(Lal et al., 2017)</w:t>
      </w:r>
      <w:r w:rsidRPr="00CD12C5">
        <w:rPr>
          <w:sz w:val="24"/>
          <w:szCs w:val="24"/>
        </w:rPr>
        <w:fldChar w:fldCharType="end"/>
      </w:r>
      <w:r w:rsidRPr="00CD12C5">
        <w:rPr>
          <w:sz w:val="24"/>
          <w:szCs w:val="24"/>
        </w:rPr>
        <w:t>. GT can be nurtured within individuals when they obtain sufficient information about the intended green initiative. Knowledge about the objectives, application, and benefits indirectly provides them with understanding. Consequently, this fosters trust within them to commit to the green movement they wish to participate in. GT represents an unshakable belief that the endeavor aligns with their values and will deliver on its environmental promises.</w:t>
      </w:r>
    </w:p>
    <w:p w14:paraId="2C13F5A5" w14:textId="7B0F4E7C" w:rsidR="00B263A8" w:rsidRPr="00CD12C5" w:rsidRDefault="007107B4" w:rsidP="00CD12C5">
      <w:pPr>
        <w:tabs>
          <w:tab w:val="left" w:pos="567"/>
        </w:tabs>
        <w:jc w:val="both"/>
        <w:rPr>
          <w:sz w:val="24"/>
          <w:szCs w:val="24"/>
        </w:rPr>
      </w:pPr>
      <w:r w:rsidRPr="00CD12C5">
        <w:rPr>
          <w:sz w:val="24"/>
          <w:szCs w:val="24"/>
        </w:rPr>
        <w:tab/>
        <w:t>Past studies have frequently utilized GT in researching green marketing strategies</w:t>
      </w:r>
      <w:r w:rsidR="005765DC" w:rsidRPr="00CD12C5">
        <w:rPr>
          <w:sz w:val="24"/>
          <w:szCs w:val="24"/>
        </w:rPr>
        <w:t xml:space="preserve"> </w:t>
      </w:r>
      <w:r w:rsidR="005765DC" w:rsidRPr="00CD12C5">
        <w:rPr>
          <w:sz w:val="24"/>
          <w:szCs w:val="24"/>
        </w:rPr>
        <w:fldChar w:fldCharType="begin" w:fldLock="1"/>
      </w:r>
      <w:r w:rsidR="000163F4" w:rsidRPr="00CD12C5">
        <w:rPr>
          <w:sz w:val="24"/>
          <w:szCs w:val="24"/>
        </w:rPr>
        <w:instrText>ADDIN CSL_CITATION {"citationItems":[{"id":"ITEM-1","itemData":{"DOI":"10.1007/s10551-009-0223-9","ISSN":"01674544","abstract":"This article proposed four novel constructs - green brand image, green satisfaction, green trust, and green brand equity, and explored the positive relationships between green brand equity and its three drivers - green brand image, green satisfaction, and green trust. The object of this research study was information and electronics products in Taiwan. This research employed an empirical study by use of the questionnaire survey method. The questionnaires were randomly mailed to consumers who had the experience of purchasing information and electronics products. The results showed that green brand image, green satisfaction, and green trust are positively related to green brand equity. Furthermore, the positive relationship between green brand image and green brand equity is partially mediated by green satisfaction and green trust. Hence, investing on resources to increase green brand image, green satisfaction, and green trust is helpful to enhance green brand equity. © Springer 2009.","author":[{"dropping-particle":"","family":"Chen","given":"Yu-Shan","non-dropping-particle":"","parse-names":false,"suffix":""}],"container-title":"Journal of Business Ethics","id":"ITEM-1","issue":"2","issued":{"date-parts":[["2010"]]},"page":"307-319","title":"The drivers of green brand equity: Green brand image, green satisfaction, and green trust","type":"article-journal","volume":"93"},"uris":["http://www.mendeley.com/documents/?uuid=99b1208e-6925-4ffb-9e2b-f56e7e9c80b0"]},{"id":"ITEM-2","itemData":{"DOI":"10.1007/s11135-014-0041-8","ISSN":"15737845","abstract":"Because no previous literature discusses the determinants of green creativity, this study develops an original framework to fill the research gap. This study explores the influence of green shared vision on green creativity and investigates the mediation roles of green mindfulness and green self-efficacy. We apply structural equation modeling to test the hypotheses. The results demonstrate that green shared vision positively influences green mindfulness, green self-efficacy, and green creativity. Besides, this study indicates that the positive relationship between green shared vision and green creativity is partially mediated by the two mediators: green mindfulness and green self-efficacy. It means that green shared vision can not only directly affect green creativity positively, but also indirectly affect it positively via green mindfulness and green self-efficacy. Thus, companies have to increase their green shared vision, green mindfulness, and green self-efficacy to enhance their green creativity.","author":[{"dropping-particle":"","family":"Chen","given":"Yu-Shan","non-dropping-particle":"","parse-names":false,"suffix":""},{"dropping-particle":"","family":"Chang","given":"Ching-Hsun","non-dropping-particle":"","parse-names":false,"suffix":""},{"dropping-particle":"","family":"Yeh","given":"Shu-Ling","non-dropping-particle":"","parse-names":false,"suffix":""},{"dropping-particle":"","family":"Cheng","given":"Hsin-I","non-dropping-particle":"","parse-names":false,"suffix":""}],"container-title":"Quality and Quantity","id":"ITEM-2","issue":"3","issued":{"date-parts":[["2015"]]},"page":"1169-1184","title":"Green shared vision and green creativity: the mediation roles of green mindfulness and green self-efficacy","type":"article-journal","volume":"49"},"uris":["http://www.mendeley.com/documents/?uuid=4290f5ee-fc23-4c69-8d99-643756fedafd"]},{"id":"ITEM-3","itemData":{"DOI":"10.3390/su70810135","ISSN":"20711050","abstract":"As global green trends became more prevalent, green marketing also developed into an important issue. Although prior literature explored the main factors affecting green trust, it was inconclusive as to how environmental friendliness could affect the green trust in green marketing. This study aims to focus on the positive influence of environmental friendliness on green trust, and explore the mediation effects of green satisfaction and green perceived quality. This study undertakes an empirical study by means of questionnaire survey. The respondents are consumers who have experience purchasing green products. This study applies structural equation modeling (SEM) to test the hypotheses. The findings of this study indicate that (1) environmental friendliness has a significant positive impact on green satisfaction, green perceived quality, and green trust; (2) both green satisfaction and green perceived quality positively affect green trust; and (3) green satisfaction and green perceived quality partially mediate the positive relationship between environmental friendliness and green trust.","author":[{"dropping-particle":"","family":"Chen","given":"Yu Shan","non-dropping-particle":"","parse-names":false,"suffix":""},{"dropping-particle":"","family":"Lin","given":"Ching Ying","non-dropping-particle":"","parse-names":false,"suffix":""},{"dropping-particle":"","family":"Weng","given":"Chia Sui","non-dropping-particle":"","parse-names":false,"suffix":""}],"container-title":"Sustainability (Switzerland)","id":"ITEM-3","issue":"8","issued":{"date-parts":[["2015"]]},"page":"10135-10152","title":"The influence of environmental friendliness on green trust: The mediation effects of green satisfaction and green perceived quality","type":"article-journal","volume":"7"},"uris":["http://www.mendeley.com/documents/?uuid=da622148-2188-4eb4-a126-58eb9b7010c5"]},{"id":"ITEM-4","itemData":{"DOI":"10.1016/j.jclepro.2020.121348","ISSN":"09596526","abstract":"Prior studies on high-fit corporate social responsibility programs have yield equivocal findings; some studies have shown a positive impact on desirable customer outcomes and others have shown a negative impact. To reconcile these two divergent views, this study proposes that the relationship between perceived corporate social responsibility-brand fit and sustainable customer engagement behavior is serially mediated by self-cause and/or brand integration. Furthermore, such serial mediation mechanism is moderated by environmental concern and green trust. The results of an empirical study carried out in the airline industry confirm that the link between perceived corporate social responsibility-brand fit and sustainable customer engagement behavior is serially mediated by self-cause and/or brand integration and moderated by environmental concern and green trust. Sustainable customer engagement behavior, in turn, drives customers’ extra-role, citizenship behavior that goes beyond their in-role, loyalty behavior. This study contributes to the micro-corporate social responsibility stream of cleaner production by demonstrating that the relationship between perceived corporate social responsibility-brand fit and sustainable customer engagement behavior is not straightforward and by providing a theoretical framework to better explain the psychological mechanisms and boundary conditions affecting this relationship.","author":[{"dropping-particle":"","family":"Chuah","given":"Stephanie Hui Wen","non-dropping-particle":"","parse-names":false,"suffix":""},{"dropping-particle":"","family":"El-Manstrly","given":"Dahlia","non-dropping-particle":"","parse-names":false,"suffix":""},{"dropping-particle":"","family":"Tseng","given":"Ming Lang","non-dropping-particle":"","parse-names":false,"suffix":""},{"dropping-particle":"","family":"Ramayah","given":"Thurasamy","non-dropping-particle":"","parse-names":false,"suffix":""}],"container-title":"Journal of Cleaner Production","id":"ITEM-4","issue":"July","issued":{"date-parts":[["2020"]]},"title":"Sustaining customer engagement behavior through corporate social responsibility: The roles of environmental concern and green trust","type":"article-journal","volume":"262"},"uris":["http://www.mendeley.com/documents/?uuid=20434e08-ff99-4196-b983-703fd6c381a3"]},{"id":"ITEM-5","itemData":{"DOI":"10.1108/IJOES-05-2020-0072","ISSN":"25149369","abstract":"Purpose: The purpose of this study is to examine the effect of green trust (GT), environmental quality awareness (EQA), green self-efficacy (GSE) and environmental attitude (EA) towards green purchase behaviour (GPB). The mediating effect of EA is also investigated. Design/methodology/approach: Attribution theory and the attitude-behaviour gap model were used to develop the research model. Data were collected through an online survey, which yielded 321 complete and usable responses. The partial least square-structural equation modelling (PLS-SEM; SmartPLS, Version 3) technique was used to test the study hypotheses. Findings: The analysis revealed that GT, GSE and EA affect GPB positively. It was also found that EA mediates the relationship between “environmental quality awareness and green purchase behaviour” and “green self-efficacy and green purchase behaviour”. However, EA did not mediate the link between “green trust and green purchase behaviour”. Practical implications: The findings of this study provide insightful implications for social and green marketers, including an understanding of the complex customer behaviour in purchasing green products, which will eventually enable them to formulate better green marketing strategies. Originality/value: This study is amongst the pioneers in investigating the effect of EQA in relation to GPB. Furthermore, the mediating effect of EA in the link between “environmental quality awareness and green purchase behaviour”, “green trust and green purchase behaviour” and “green self-efficacy and green purchase behaviour” is also a new contribution to the literature. Finally, this study explains the drivers of consumers’ GPB, thereby providing a novel understanding of the field.","author":[{"dropping-particle":"","family":"Sh. Ahmad","given":"Fauziah","non-dropping-particle":"","parse-names":false,"suffix":""},{"dropping-particle":"","family":"Rosli","given":"Nennie Trianna","non-dropping-particle":"","parse-names":false,"suffix":""},{"dropping-particle":"","family":"Quoquab","given":"Farzana","non-dropping-particle":"","parse-names":false,"suffix":""}],"container-title":"International Journal of Ethics and Systems","id":"ITEM-5","issue":"1","issued":{"date-parts":[["2022"]]},"page":"68-90","title":"Environmental quality awareness, green trust, green self-efficacy and environmental attitude in influencing green purchase behaviour","type":"article-journal","volume":"38"},"uris":["http://www.mendeley.com/documents/?uuid=2d8ebdce-2ab0-4208-a6f8-67f7428157cb"]},{"id":"ITEM-6","itemData":{"DOI":"10.1007/s10668-020-01219-6","ISSN":"15732975","abstract":"The current study explores the role of green trust, green perceived risk and green perceived quality in changing green purchase intention. Environmental awareness plays the role of a moderator here. Analyses of the sample of 306 consumers, taken from different consumers of energy savers in southern Punjab, Pakistan, revealed interesting findings. Green trust, green perceived risk and green perceived quality were found significant in predicting green purchase intention. Further, environmental awareness significantly moderated the relationships between green purchase intentions and its predictors. Previous studies on green purchase intentions have predominantly fixated on simple models at any given time. However, researchers increasingly claim that an elaborate demonstration may provide a better understanding of customers’ green purchase intention.","author":[{"dropping-particle":"","family":"Wasaya","given":"Allah","non-dropping-particle":"","parse-names":false,"suffix":""},{"dropping-particle":"","family":"Saleem","given":"Muhammad Abid","non-dropping-particle":"","parse-names":false,"suffix":""},{"dropping-particle":"","family":"Ahmad","given":"Jamil","non-dropping-particle":"","parse-names":false,"suffix":""},{"dropping-particle":"","family":"Nazam","given":"Muhammad","non-dropping-particle":"","parse-names":false,"suffix":""},{"dropping-particle":"","family":"Khan","given":"M. Mohsin Ali","non-dropping-particle":"","parse-names":false,"suffix":""},{"dropping-particle":"","family":"Ishfaq","given":"Mohammad","non-dropping-particle":"","parse-names":false,"suffix":""}],"container-title":"Environment, Development and Sustainability","id":"ITEM-6","issue":"9","issued":{"date-parts":[["2021"]]},"page":"13418-13435","publisher":"Springer Netherlands","title":"Impact of green trust and green perceived quality on green purchase intentions: a moderation study","type":"article-journal","volume":"23"},"uris":["http://www.mendeley.com/documents/?uuid=34f95af5-d2f8-4394-935e-e76fbbf38e7f"]}],"mendeley":{"formattedCitation":"(Y.-S. Chen, 2010; Y.-S. Chen et al., 2015; Y. S. Chen et al., 2015; Chuah et al., 2020; Sh. Ahmad et al., 2022; Wasaya et al., 2021)","manualFormatting":"(Chen, 2010; Chen et al., 2015; Chuah et al., 2020; Sh. Ahmad et al., 2022; Wasaya et al., 2021)","plainTextFormattedCitation":"(Y.-S. Chen, 2010; Y.-S. Chen et al., 2015; Y. S. Chen et al., 2015; Chuah et al., 2020; Sh. Ahmad et al., 2022; Wasaya et al., 2021)","previouslyFormattedCitation":"(Y.-S. Chen, 2010; Y.-S. Chen et al., 2015; Y. S. Chen et al., 2015; Chuah et al., 2020; Sh. Ahmad et al., 2022; Wasaya et al., 2021)"},"properties":{"noteIndex":0},"schema":"https://github.com/citation-style-language/schema/raw/master/csl-citation.json"}</w:instrText>
      </w:r>
      <w:r w:rsidR="005765DC" w:rsidRPr="00CD12C5">
        <w:rPr>
          <w:sz w:val="24"/>
          <w:szCs w:val="24"/>
        </w:rPr>
        <w:fldChar w:fldCharType="separate"/>
      </w:r>
      <w:r w:rsidR="005765DC" w:rsidRPr="00CD12C5">
        <w:rPr>
          <w:noProof/>
          <w:sz w:val="24"/>
          <w:szCs w:val="24"/>
        </w:rPr>
        <w:t>(Chen, 2010; Chen et al., 2015; Chuah et al., 2020; Sh. Ahmad et al., 2022; Wasaya et al., 2021)</w:t>
      </w:r>
      <w:r w:rsidR="005765DC" w:rsidRPr="00CD12C5">
        <w:rPr>
          <w:sz w:val="24"/>
          <w:szCs w:val="24"/>
        </w:rPr>
        <w:fldChar w:fldCharType="end"/>
      </w:r>
      <w:r w:rsidRPr="00CD12C5">
        <w:rPr>
          <w:sz w:val="24"/>
          <w:szCs w:val="24"/>
        </w:rPr>
        <w:t>. The focus lies on promoting and marketing an organization's or company's products, services, and brands, with studies aiming to increase consumer demand for green offerings. Additionally, GT is often employed as a moderator and mediator</w:t>
      </w:r>
      <w:r w:rsidR="005765DC" w:rsidRPr="00CD12C5">
        <w:rPr>
          <w:sz w:val="24"/>
          <w:szCs w:val="24"/>
        </w:rPr>
        <w:t xml:space="preserve"> </w:t>
      </w:r>
      <w:r w:rsidR="005765DC" w:rsidRPr="00CD12C5">
        <w:rPr>
          <w:sz w:val="24"/>
          <w:szCs w:val="24"/>
        </w:rPr>
        <w:fldChar w:fldCharType="begin" w:fldLock="1"/>
      </w:r>
      <w:r w:rsidR="00BA532F" w:rsidRPr="00CD12C5">
        <w:rPr>
          <w:sz w:val="24"/>
          <w:szCs w:val="24"/>
        </w:rPr>
        <w:instrText>ADDIN CSL_CITATION {"citationItems":[{"id":"ITEM-1","itemData":{"DOI":"10.1007/s10551-009-0223-9","ISSN":"01674544","abstract":"This article proposed four novel constructs - green brand image, green satisfaction, green trust, and green brand equity, and explored the positive relationships between green brand equity and its three drivers - green brand image, green satisfaction, and green trust. The object of this research study was information and electronics products in Taiwan. This research employed an empirical study by use of the questionnaire survey method. The questionnaires were randomly mailed to consumers who had the experience of purchasing information and electronics products. The results showed that green brand image, green satisfaction, and green trust are positively related to green brand equity. Furthermore, the positive relationship between green brand image and green brand equity is partially mediated by green satisfaction and green trust. Hence, investing on resources to increase green brand image, green satisfaction, and green trust is helpful to enhance green brand equity. © Springer 2009.","author":[{"dropping-particle":"","family":"Chen","given":"Yu-Shan","non-dropping-particle":"","parse-names":false,"suffix":""}],"container-title":"Journal of Business Ethics","id":"ITEM-1","issue":"2","issued":{"date-parts":[["2010"]]},"page":"307-319","title":"The drivers of green brand equity: Green brand image, green satisfaction, and green trust","type":"article-journal","volume":"93"},"uris":["http://www.mendeley.com/documents/?uuid=99b1208e-6925-4ffb-9e2b-f56e7e9c80b0"]},{"id":"ITEM-2","itemData":{"DOI":"10.1016/j.jclepro.2020.121348","ISSN":"09596526","abstract":"Prior studies on high-fit corporate social responsibility programs have yield equivocal findings; some studies have shown a positive impact on desirable customer outcomes and others have shown a negative impact. To reconcile these two divergent views, this study proposes that the relationship between perceived corporate social responsibility-brand fit and sustainable customer engagement behavior is serially mediated by self-cause and/or brand integration. Furthermore, such serial mediation mechanism is moderated by environmental concern and green trust. The results of an empirical study carried out in the airline industry confirm that the link between perceived corporate social responsibility-brand fit and sustainable customer engagement behavior is serially mediated by self-cause and/or brand integration and moderated by environmental concern and green trust. Sustainable customer engagement behavior, in turn, drives customers’ extra-role, citizenship behavior that goes beyond their in-role, loyalty behavior. This study contributes to the micro-corporate social responsibility stream of cleaner production by demonstrating that the relationship between perceived corporate social responsibility-brand fit and sustainable customer engagement behavior is not straightforward and by providing a theoretical framework to better explain the psychological mechanisms and boundary conditions affecting this relationship.","author":[{"dropping-particle":"","family":"Chuah","given":"Stephanie Hui Wen","non-dropping-particle":"","parse-names":false,"suffix":""},{"dropping-particle":"","family":"El-Manstrly","given":"Dahlia","non-dropping-particle":"","parse-names":false,"suffix":""},{"dropping-particle":"","family":"Tseng","given":"Ming Lang","non-dropping-particle":"","parse-names":false,"suffix":""},{"dropping-particle":"","family":"Ramayah","given":"Thurasamy","non-dropping-particle":"","parse-names":false,"suffix":""}],"container-title":"Journal of Cleaner Production","id":"ITEM-2","issue":"July","issued":{"date-parts":[["2020"]]},"title":"Sustaining customer engagement behavior through corporate social responsibility: The roles of environmental concern and green trust","type":"article-journal","volume":"262"},"uris":["http://www.mendeley.com/documents/?uuid=20434e08-ff99-4196-b983-703fd6c381a3"]}],"mendeley":{"formattedCitation":"(Y.-S. Chen, 2010; Chuah et al., 2020)","manualFormatting":"(Chen, 2010; Chuah et al., 2020)","plainTextFormattedCitation":"(Y.-S. Chen, 2010; Chuah et al., 2020)","previouslyFormattedCitation":"(Y.-S. Chen, 2010; Chuah et al., 2020)"},"properties":{"noteIndex":0},"schema":"https://github.com/citation-style-language/schema/raw/master/csl-citation.json"}</w:instrText>
      </w:r>
      <w:r w:rsidR="005765DC" w:rsidRPr="00CD12C5">
        <w:rPr>
          <w:sz w:val="24"/>
          <w:szCs w:val="24"/>
        </w:rPr>
        <w:fldChar w:fldCharType="separate"/>
      </w:r>
      <w:r w:rsidR="005765DC" w:rsidRPr="00CD12C5">
        <w:rPr>
          <w:noProof/>
          <w:sz w:val="24"/>
          <w:szCs w:val="24"/>
        </w:rPr>
        <w:t>(Chen, 2010; Chuah et al., 2020)</w:t>
      </w:r>
      <w:r w:rsidR="005765DC" w:rsidRPr="00CD12C5">
        <w:rPr>
          <w:sz w:val="24"/>
          <w:szCs w:val="24"/>
        </w:rPr>
        <w:fldChar w:fldCharType="end"/>
      </w:r>
      <w:r w:rsidRPr="00CD12C5">
        <w:rPr>
          <w:sz w:val="24"/>
          <w:szCs w:val="24"/>
        </w:rPr>
        <w:t xml:space="preserve"> to investigate changes in buyer</w:t>
      </w:r>
      <w:r w:rsidRPr="00CD12C5">
        <w:rPr>
          <w:sz w:val="24"/>
          <w:szCs w:val="24"/>
          <w:lang w:val="en-GB"/>
        </w:rPr>
        <w:t>’s</w:t>
      </w:r>
      <w:r w:rsidRPr="00CD12C5">
        <w:rPr>
          <w:sz w:val="24"/>
          <w:szCs w:val="24"/>
        </w:rPr>
        <w:t xml:space="preserve"> behavior or purchase intentions. Few researchers have used GT as a predictor of consumer demand </w:t>
      </w:r>
      <w:r w:rsidRPr="00CD12C5">
        <w:rPr>
          <w:sz w:val="24"/>
          <w:szCs w:val="24"/>
        </w:rPr>
        <w:fldChar w:fldCharType="begin" w:fldLock="1"/>
      </w:r>
      <w:r w:rsidRPr="00CD12C5">
        <w:rPr>
          <w:sz w:val="24"/>
          <w:szCs w:val="24"/>
        </w:rPr>
        <w:instrText>ADDIN CSL_CITATION {"citationItems":[{"id":"ITEM-1","itemData":{"DOI":"10.1108/IJOES-05-2020-0072","ISSN":"25149369","abstract":"Purpose: The purpose of this study is to examine the effect of green trust (GT), environmental quality awareness (EQA), green self-efficacy (GSE) and environmental attitude (EA) towards green purchase behaviour (GPB). The mediating effect of EA is also investigated. Design/methodology/approach: Attribution theory and the attitude-behaviour gap model were used to develop the research model. Data were collected through an online survey, which yielded 321 complete and usable responses. The partial least square-structural equation modelling (PLS-SEM; SmartPLS, Version 3) technique was used to test the study hypotheses. Findings: The analysis revealed that GT, GSE and EA affect GPB positively. It was also found that EA mediates the relationship between “environmental quality awareness and green purchase behaviour” and “green self-efficacy and green purchase behaviour”. However, EA did not mediate the link between “green trust and green purchase behaviour”. Practical implications: The findings of this study provide insightful implications for social and green marketers, including an understanding of the complex customer behaviour in purchasing green products, which will eventually enable them to formulate better green marketing strategies. Originality/value: This study is amongst the pioneers in investigating the effect of EQA in relation to GPB. Furthermore, the mediating effect of EA in the link between “environmental quality awareness and green purchase behaviour”, “green trust and green purchase behaviour” and “green self-efficacy and green purchase behaviour” is also a new contribution to the literature. Finally, this study explains the drivers of consumers’ GPB, thereby providing a novel understanding of the field.","author":[{"dropping-particle":"","family":"Sh. Ahmad","given":"Fauziah","non-dropping-particle":"","parse-names":false,"suffix":""},{"dropping-particle":"","family":"Rosli","given":"Nennie Trianna","non-dropping-particle":"","parse-names":false,"suffix":""},{"dropping-particle":"","family":"Quoquab","given":"Farzana","non-dropping-particle":"","parse-names":false,"suffix":""}],"container-title":"International Journal of Ethics and Systems","id":"ITEM-1","issue":"1","issued":{"date-parts":[["2022"]]},"page":"68-90","title":"Environmental quality awareness, green trust, green self-efficacy and environmental attitude in influencing green purchase behaviour","type":"article-journal","volume":"38"},"uris":["http://www.mendeley.com/documents/?uuid=2d8ebdce-2ab0-4208-a6f8-67f7428157cb"]},{"id":"ITEM-2","itemData":{"DOI":"10.1007/s10668-020-01219-6","ISSN":"15732975","abstract":"The current study explores the role of green trust, green perceived risk and green perceived quality in changing green purchase intention. Environmental awareness plays the role of a moderator here. Analyses of the sample of 306 consumers, taken from different consumers of energy savers in southern Punjab, Pakistan, revealed interesting findings. Green trust, green perceived risk and green perceived quality were found significant in predicting green purchase intention. Further, environmental awareness significantly moderated the relationships between green purchase intentions and its predictors. Previous studies on green purchase intentions have predominantly fixated on simple models at any given time. However, researchers increasingly claim that an elaborate demonstration may provide a better understanding of customers’ green purchase intention.","author":[{"dropping-particle":"","family":"Wasaya","given":"Allah","non-dropping-particle":"","parse-names":false,"suffix":""},{"dropping-particle":"","family":"Saleem","given":"Muhammad Abid","non-dropping-particle":"","parse-names":false,"suffix":""},{"dropping-particle":"","family":"Ahmad","given":"Jamil","non-dropping-particle":"","parse-names":false,"suffix":""},{"dropping-particle":"","family":"Nazam","given":"Muhammad","non-dropping-particle":"","parse-names":false,"suffix":""},{"dropping-particle":"","family":"Khan","given":"M. Mohsin Ali","non-dropping-particle":"","parse-names":false,"suffix":""},{"dropping-particle":"","family":"Ishfaq","given":"Mohammad","non-dropping-particle":"","parse-names":false,"suffix":""}],"container-title":"Environment, Development and Sustainability","id":"ITEM-2","issue":"9","issued":{"date-parts":[["2021"]]},"page":"13418-13435","publisher":"Springer Netherlands","title":"Impact of green trust and green perceived quality on green purchase intentions: a moderation study","type":"article-journal","volume":"23"},"uris":["http://www.mendeley.com/documents/?uuid=34f95af5-d2f8-4394-935e-e76fbbf38e7f"]}],"mendeley":{"formattedCitation":"(Sh. Ahmad et al., 2022; Wasaya et al., 2021)","plainTextFormattedCitation":"(Sh. Ahmad et al., 2022; Wasaya et al., 2021)","previouslyFormattedCitation":"(Sh. Ahmad et al., 2022; Wasaya et al., 2021)"},"properties":{"noteIndex":0},"schema":"https://github.com/citation-style-language/schema/raw/master/csl-citation.json"}</w:instrText>
      </w:r>
      <w:r w:rsidRPr="00CD12C5">
        <w:rPr>
          <w:sz w:val="24"/>
          <w:szCs w:val="24"/>
        </w:rPr>
        <w:fldChar w:fldCharType="separate"/>
      </w:r>
      <w:r w:rsidRPr="00CD12C5">
        <w:rPr>
          <w:noProof/>
          <w:sz w:val="24"/>
          <w:szCs w:val="24"/>
        </w:rPr>
        <w:t>(Sh. Ahmad et al., 2022; Wasaya et al., 2021)</w:t>
      </w:r>
      <w:r w:rsidRPr="00CD12C5">
        <w:rPr>
          <w:sz w:val="24"/>
          <w:szCs w:val="24"/>
        </w:rPr>
        <w:fldChar w:fldCharType="end"/>
      </w:r>
      <w:r w:rsidRPr="00CD12C5">
        <w:rPr>
          <w:sz w:val="24"/>
          <w:szCs w:val="24"/>
        </w:rPr>
        <w:t xml:space="preserve">. Hence, this study utilizes GT as a predictor or independent variable in a different context, </w:t>
      </w:r>
      <w:r w:rsidRPr="00CD12C5">
        <w:rPr>
          <w:sz w:val="24"/>
          <w:szCs w:val="24"/>
          <w:lang w:val="en-GB"/>
        </w:rPr>
        <w:t>namely</w:t>
      </w:r>
      <w:r w:rsidRPr="00CD12C5">
        <w:rPr>
          <w:sz w:val="24"/>
          <w:szCs w:val="24"/>
        </w:rPr>
        <w:t xml:space="preserve"> individual behavior to participate in river cleaning initiatives. Sh. Ahmad et al. (2022) found </w:t>
      </w:r>
      <w:r w:rsidR="00F11EE6" w:rsidRPr="00CD12C5">
        <w:rPr>
          <w:sz w:val="24"/>
          <w:szCs w:val="24"/>
        </w:rPr>
        <w:t xml:space="preserve">that </w:t>
      </w:r>
      <w:r w:rsidRPr="00CD12C5">
        <w:rPr>
          <w:sz w:val="24"/>
          <w:szCs w:val="24"/>
        </w:rPr>
        <w:t xml:space="preserve">GT drives one's desire to join green movement activities. In this study's context, when </w:t>
      </w:r>
      <w:r w:rsidR="00F11EE6" w:rsidRPr="00CD12C5">
        <w:rPr>
          <w:sz w:val="24"/>
          <w:szCs w:val="24"/>
        </w:rPr>
        <w:t>individuals have</w:t>
      </w:r>
      <w:r w:rsidRPr="00CD12C5">
        <w:rPr>
          <w:sz w:val="24"/>
          <w:szCs w:val="24"/>
        </w:rPr>
        <w:t xml:space="preserve"> high confidence in a service's ability to reduce environmental pollution, particularly river pollution, they will continue engaging with that initiative. Those with elevated GT possess a keen desire to participate in river cleanups, believing such initiatives will enhance river cleanliness and mitigate pollution. Therefore, it is possible to hypothesize that:</w:t>
      </w:r>
    </w:p>
    <w:p w14:paraId="14C38114" w14:textId="77777777" w:rsidR="00B263A8" w:rsidRPr="00CD12C5" w:rsidRDefault="00B263A8" w:rsidP="00CD12C5">
      <w:pPr>
        <w:tabs>
          <w:tab w:val="left" w:pos="567"/>
        </w:tabs>
        <w:jc w:val="both"/>
        <w:rPr>
          <w:sz w:val="24"/>
          <w:szCs w:val="24"/>
        </w:rPr>
      </w:pPr>
    </w:p>
    <w:p w14:paraId="2B3B9BD8" w14:textId="77777777" w:rsidR="00B263A8" w:rsidRPr="00CD12C5" w:rsidRDefault="007107B4" w:rsidP="00CD12C5">
      <w:pPr>
        <w:tabs>
          <w:tab w:val="left" w:pos="567"/>
        </w:tabs>
        <w:jc w:val="center"/>
        <w:rPr>
          <w:i/>
          <w:iCs/>
          <w:sz w:val="24"/>
          <w:szCs w:val="24"/>
        </w:rPr>
      </w:pPr>
      <w:r w:rsidRPr="00CD12C5">
        <w:rPr>
          <w:i/>
          <w:iCs/>
          <w:sz w:val="24"/>
          <w:szCs w:val="24"/>
        </w:rPr>
        <w:t>H2. GT has a positive relationship with the intention to participate in the river cleaning initiative</w:t>
      </w:r>
    </w:p>
    <w:p w14:paraId="28D678D0" w14:textId="77777777" w:rsidR="00B263A8" w:rsidRPr="00CD12C5" w:rsidRDefault="00B263A8" w:rsidP="00CD12C5">
      <w:pPr>
        <w:rPr>
          <w:sz w:val="24"/>
          <w:szCs w:val="24"/>
        </w:rPr>
      </w:pPr>
    </w:p>
    <w:p w14:paraId="46E57C65" w14:textId="15BE8836" w:rsidR="00B263A8" w:rsidRDefault="007107B4" w:rsidP="00CD12C5">
      <w:pPr>
        <w:pStyle w:val="Heading3"/>
        <w:spacing w:before="0" w:after="0"/>
      </w:pPr>
      <w:r w:rsidRPr="00CD12C5">
        <w:lastRenderedPageBreak/>
        <w:t xml:space="preserve">Fundamental </w:t>
      </w:r>
      <w:r w:rsidR="00367E5B">
        <w:t>t</w:t>
      </w:r>
      <w:r w:rsidRPr="00CD12C5">
        <w:t>heories</w:t>
      </w:r>
    </w:p>
    <w:p w14:paraId="04166213" w14:textId="77777777" w:rsidR="00367E5B" w:rsidRPr="00367E5B" w:rsidRDefault="00367E5B" w:rsidP="00367E5B"/>
    <w:p w14:paraId="6CE2130E" w14:textId="5A1C903A" w:rsidR="00B263A8" w:rsidRPr="00CD12C5" w:rsidRDefault="007107B4" w:rsidP="00CD12C5">
      <w:pPr>
        <w:jc w:val="both"/>
        <w:rPr>
          <w:sz w:val="24"/>
          <w:szCs w:val="24"/>
        </w:rPr>
      </w:pPr>
      <w:r w:rsidRPr="00CD12C5">
        <w:rPr>
          <w:sz w:val="24"/>
          <w:szCs w:val="24"/>
        </w:rPr>
        <w:t xml:space="preserve">This study employs two theories to explain the relationships between predictors and the dependent variable. Self-determination Theory (SDT) </w:t>
      </w:r>
      <w:r w:rsidRPr="00CD12C5">
        <w:rPr>
          <w:sz w:val="24"/>
          <w:szCs w:val="24"/>
          <w:lang w:val="en-GB"/>
        </w:rPr>
        <w:t xml:space="preserve">is employed to </w:t>
      </w:r>
      <w:r w:rsidRPr="00CD12C5">
        <w:rPr>
          <w:sz w:val="24"/>
          <w:szCs w:val="24"/>
        </w:rPr>
        <w:t xml:space="preserve">elucidate the link between green self-efficacy (GSE) and the intention to participate in river cleaning initiatives. Additionally, Self-perception Theory (SPT) </w:t>
      </w:r>
      <w:r w:rsidRPr="00CD12C5">
        <w:rPr>
          <w:sz w:val="24"/>
          <w:szCs w:val="24"/>
          <w:lang w:val="en-GB"/>
        </w:rPr>
        <w:t>also</w:t>
      </w:r>
      <w:r w:rsidRPr="00CD12C5">
        <w:rPr>
          <w:sz w:val="24"/>
          <w:szCs w:val="24"/>
        </w:rPr>
        <w:t xml:space="preserve"> adopted to understand the connection between green trust (GT) and the same dependent variable.</w:t>
      </w:r>
    </w:p>
    <w:p w14:paraId="3801F8DF" w14:textId="35AB28DE" w:rsidR="00B263A8" w:rsidRPr="00CD12C5" w:rsidRDefault="007107B4" w:rsidP="00CD12C5">
      <w:pPr>
        <w:ind w:firstLine="567"/>
        <w:jc w:val="both"/>
        <w:rPr>
          <w:sz w:val="24"/>
          <w:szCs w:val="24"/>
        </w:rPr>
      </w:pPr>
      <w:r w:rsidRPr="00CD12C5">
        <w:rPr>
          <w:sz w:val="24"/>
          <w:szCs w:val="24"/>
        </w:rPr>
        <w:t xml:space="preserve">Diverging from the well-trodden theoretical paths of </w:t>
      </w:r>
      <w:r w:rsidRPr="00CD12C5">
        <w:rPr>
          <w:sz w:val="24"/>
          <w:szCs w:val="24"/>
        </w:rPr>
        <w:fldChar w:fldCharType="begin" w:fldLock="1"/>
      </w:r>
      <w:r w:rsidRPr="00CD12C5">
        <w:rPr>
          <w:sz w:val="24"/>
          <w:szCs w:val="24"/>
        </w:rPr>
        <w:instrText>ADDIN CSL_CITATION {"citationItems":[{"id":"ITEM-1","itemData":{"DOI":"10.1108/JCM-02-2016-1706","ISSN":"07363761","abstract":"Purpose: This study aims to focus on people’s pro-environmental behavior and investigates its dimensions and determinants. As environmental sustainability attracts increased scrutiny, understanding end consumers’ pro-environmental behavior becomes imperative for various stakeholders in our highly networked marketplace – e.g. policymakers, businesses, consumers, the public and society at large. Design/methodology/approach: Using data from the general public in the USA, the hypothesized relationships are tested using structural equation modeling (SEM). Findings: The results indicate that if people find enjoyment in nature, believe in achieving a balance between “mankind” and nature, and believe that the benefits of conservation activities are going to accrue in the near term (present), they are more likely to engage in pro-environmental behavior at all levels – supportive, active and lifestyle. Research limitations/implications: Although only one aspect of environmental sustainability – environmental conservation – is analyzed, these findings support assertions set forth in the theory of environmentally significant behavior (Stern, 1999), the norm-activation theory of altruism (Schwartz, 1973), the theory of reasoned action (Fishbein, 1979) and the theory of planned behavior (Ajzen, 1985). Practical implications: Messages about sustainability, environmental conservation and pro-environmental behavior should be framed using people’s fondness for and enjoyment of nature; should focus on present benefits of conservation; and should be targeted and differentiated for men, women and older people to encourage conservation behaviors among these differing demographic groups. Originality/value: This study identifies three different levels of intensity of pro-environmental behavior – supportive, active and lifestyle – and empirically examines the relationships between these behavior types and the attitudinal antecedents revolving around time when the benefits of environmental conservation accrue, nature and human–nature interaction.","author":[{"dropping-particle":"","family":"Paswan","given":"Audhesh","non-dropping-particle":"","parse-names":false,"suffix":""},{"dropping-particle":"","family":"Guzmán","given":"Francisco","non-dropping-particle":"","parse-names":false,"suffix":""},{"dropping-particle":"","family":"Lewin","given":"Jeffrey","non-dropping-particle":"","parse-names":false,"suffix":""}],"container-title":"Journal of Consumer Marketing","id":"ITEM-1","issue":"5","issued":{"date-parts":[["2017"]]},"page":"414-426","title":"Attitudinal determinants of environmentally sustainable behavior","type":"article-journal","volume":"34"},"uris":["http://www.mendeley.com/documents/?uuid=63bada17-9b51-4956-a5bd-0ce69f7546fa"]},{"id":"ITEM-2","itemData":{"DOI":"10.1111/csp2.170","ISSN":"25784854","abstract":"There is evidence that stakeholders' willingness and motivations to support sustainable river management strategies plays a crucial role in the success of water management policies. Earlier works have highlighted some of the drivers of stakeholders' willingness, however, the generalizability of much published research on this issue is problematic given that much of the research focuses on the Global North. By conducting in-depth interviews and applying content analysis, this paper aimed at exploring stakeholders' willingness and motivations to support sustainable water resource management as well as what stakeholders would do to support sustainable management of water resources. Results show that stakeholders appear to be willing to support water protection measures due to a wide range of motivations. Therefore, policymakers may need to emphasize those motivations when encouraging the public and/or segments of the society to engage in sustainable water resource management practices.","author":[{"dropping-particle":"","family":"Okumah","given":"Murat","non-dropping-particle":"","parse-names":false,"suffix":""},{"dropping-particle":"","family":"Yeboah","given":"Ata S.","non-dropping-particle":"","parse-names":false,"suffix":""},{"dropping-particle":"","family":"Amponsah","given":"Owusu","non-dropping-particle":"","parse-names":false,"suffix":""}],"container-title":"Conservation Science and Practice","id":"ITEM-2","issue":"3","issued":{"date-parts":[["2020"]]},"title":"Stakeholders' willingness and motivations to support sustainable water resources management: Insights from a Ghanaian study","type":"article-journal","volume":"2"},"uris":["http://www.mendeley.com/documents/?uuid=c1d87fbb-efd3-4432-ad80-aa1ea44544fa"]},{"id":"ITEM-3","itemData":{"ISBN":"9781792361241","ISSN":"21698767","abstract":"Sustaining a promising future for the earth and its neighbours are the core principle of sustainable growth. Several studies proved that human activities are among the major causes of environmental problems, pro-environmental behaviour crucial for the future. The present study aims to foster and enhance more sustainable behaviour in households, workplaces, schools, and higher educational institutions. Previous research has placed increasing attention on the identification of factors of pro-environmental behaviour. Accordingly, this study aims to examine the elements influencing the pro-environmental behaviour of employees in the workplace. A survey was performed from January to February 2020 on 84 employees of an organisation in Terengganu. In line with this study prediction, it was found that green self-efficacy positively affected pro-environmental behaviour. However, the impacts of environmental commitment, environmental consciousness, green lifestyles, and green human resource management were insignificant. Provided that data were developed using a cross-sectional design, the assessment of causality among the constructs was a risky process. Furthermore, the study collected data from a single source, namely the employees, which would enhance the relationships through common method bias. The findings of this study also offered several managerial implications for green organisations.","author":[{"dropping-particle":"","family":"Yusliza","given":"Mohd Yusoff","non-dropping-particle":"","parse-names":false,"suffix":""},{"dropping-particle":"","family":"Faezah","given":"Juhari Noor","non-dropping-particle":"","parse-names":false,"suffix":""},{"dropping-particle":"","family":"Mat","given":"Nik Hazimah Nik","non-dropping-particle":"","parse-names":false,"suffix":""},{"dropping-particle":"","family":"Saputra","given":"Jumadil","non-dropping-particle":"","parse-names":false,"suffix":""},{"dropping-particle":"","family":"Muhammad","given":"Zikri","non-dropping-particle":"","parse-names":false,"suffix":""},{"dropping-particle":"","family":"Muhamad","given":"Aina Syuhaila","non-dropping-particle":"","parse-names":false,"suffix":""},{"dropping-particle":"","family":"Ramayah","given":"T.","non-dropping-particle":"","parse-names":false,"suffix":""}],"container-title":"Proceedings of the International Conference on Industrial Engineering and Operations Management","id":"ITEM-3","issue":"July","issued":{"date-parts":[["2021"]]},"page":"3953-3963","title":"Modelling pro-environmental behaviour in the workplace: a preliminary study","type":"article-journal"},"uris":["http://www.mendeley.com/documents/?uuid=4ade6f95-9d8c-46b5-a04c-e72fb6075125"]},{"id":"ITEM-4","itemData":{"DOI":"10.3390/su12177083","ISSN":"20711050","abstract":"This study aimed to examine the role of environmental commitment, environmental consciousness, green lifestyle, and green self-efficacy in influencing pro-environmental behaviour. Data were obtained through a survey of 72 students at one of the training centers in Malaysia. The hypothesized relationships were tested using partial least squares (PLS) methodology. Results showed that environmental commitment, environmental consciousness, green lifestyle, and green self-efficacy positively influenced pro-environmental behaviour, thereby providing new insights to existing literature on environmental sustainability. The results may be used by educational institutions, the government, and private agencies to strengthen students' knowledge, attitude, and behaviour that support environment-based education. The scope of the study was limited to students at a training center, so the results may not be generalizable to different settings. Another limitation was that the study used limited contextual elements. The novelty of this study is that it examined the role of environmental commitment, environmental consciousness, green lifestyle, and green self-efficacy as determinants of pro-environmental behaviour among students in an educational setting in Malaysia.","author":[{"dropping-particle":"","family":"Yusliza","given":"Mohd Yusoff","non-dropping-particle":"","parse-names":false,"suffix":""},{"dropping-particle":"","family":"Amirudin","given":"Amirudin","non-dropping-particle":"","parse-names":false,"suffix":""},{"dropping-particle":"","family":"Rahadi","given":"Raden Aswin","non-dropping-particle":"","parse-names":false,"suffix":""},{"dropping-particle":"","family":"Athirah","given":"Nik Afzan Nik Sarah","non-dropping-particle":"","parse-names":false,"suffix":""},{"dropping-particle":"","family":"Ramayah","given":"Thurasamy","non-dropping-particle":"","parse-names":false,"suffix":""},{"dropping-particle":"","family":"Muhammad","given":"Zikri","non-dropping-particle":"","parse-names":false,"suffix":""},{"dropping-particle":"","family":"Dal Mas","given":"Francesca","non-dropping-particle":"","parse-names":false,"suffix":""},{"dropping-particle":"","family":"Massaro","given":"Maurizio","non-dropping-particle":"","parse-names":false,"suffix":""},{"dropping-particle":"","family":"Saputra","given":"Jumadil","non-dropping-particle":"","parse-names":false,"suffix":""},{"dropping-particle":"","family":"Mokhlis","given":"Safiek","non-dropping-particle":"","parse-names":false,"suffix":""}],"container-title":"Sustainability (Switzerland)","id":"ITEM-4","issue":"17","issued":{"date-parts":[["2020"]]},"page":"1-21","title":"An investigation of pro-environmental behaviour and sustainable development in Malaysia","type":"article-journal","volume":"12"},"uris":["http://www.mendeley.com/documents/?uuid=74100aeb-d6d7-49e1-9ef5-6b728b3a4da6"]},{"id":"ITEM-5","itemData":{"DOI":"10.3390/su11184976","ISSN":"20711050","abstract":"Firms' performance in sustainable development has caused increasing concerns. A key issue is that the environmental characteristics of business managers may be an important driver to promote the sustainable practice of enterprises. This study explores the relationship between ascribed responsibility of managers and green sustainable practice of enterprises by introducing the waste management as mediation variable and green self-efficacy as a moderating variable. A survey was conducted in manufacturing enterprises from the Yangtze River Delta in China in 2019, where 149 valid questionnaires were collected out of 200 surveyed enterprises. Subsequently, the data were analyzed through an analytic hierarchy process. The results show that: (1) ascribed responsibility of managers has a positive impact on green sustainable practices (β = 0.428, p &lt; 0.001), and waste management plays a full mediating role during this process (β = 0.428, p &lt; 0.001); (2) managers' green self-efficacy strengthens the positive impact of waste management on sustainable practices (β = 0.284, p &lt; 0.05); (3) green self-efficacy has positively moderated the indirect effect of managers' ascribed responsibility for sustainable practice through waste management. The research enriches the theories on sustainable practice of enterprises from the perspective of managers' environmental characteristics and provides insights for enterprises to promote sustainable development practice.","author":[{"dropping-particle":"","family":"Guo","given":"Lingjun","non-dropping-particle":"","parse-names":false,"suffix":""},{"dropping-particle":"","family":"Xu","given":"Yi","non-dropping-particle":"","parse-names":false,"suffix":""},{"dropping-particle":"","family":"Liu","given":"Guangfu","non-dropping-particle":"","parse-names":false,"suffix":""},{"dropping-particle":"","family":"Wang","given":"Tao","non-dropping-particle":"","parse-names":false,"suffix":""},{"dropping-particle":"","family":"Du","given":"Chengliang","non-dropping-particle":"","parse-names":false,"suffix":""}],"container-title":"Sustainability (Switzerland)","id":"ITEM-5","issue":"18","issued":{"date-parts":[["2019"]]},"page":"1-16","title":"Understanding firm performance on green sustainable practices through managers' ascribed responsibility and waste management: Green self-efficacy as moderator","type":"article-journal","volume":"11"},"uris":["http://www.mendeley.com/documents/?uuid=e54ea631-b856-4d25-b05f-93344de222c2"]}],"mendeley":{"formattedCitation":"(Guo et al., 2019; Okumah et al., 2020; Paswan et al., 2017; Yusliza et al., 2020, 2021)","manualFormatting":"Guo et al. (2019), Okumah et al. (2020), Paswan et al. (2017), Yusliza et al. (2020, 2021)","plainTextFormattedCitation":"(Guo et al., 2019; Okumah et al., 2020; Paswan et al., 2017; Yusliza et al., 2020, 2021)","previouslyFormattedCitation":"(Guo et al., 2019; Okumah et al., 2020; Paswan et al., 2017; Yusliza et al., 2020, 2021)"},"properties":{"noteIndex":0},"schema":"https://github.com/citation-style-language/schema/raw/master/csl-citation.json"}</w:instrText>
      </w:r>
      <w:r w:rsidRPr="00CD12C5">
        <w:rPr>
          <w:sz w:val="24"/>
          <w:szCs w:val="24"/>
        </w:rPr>
        <w:fldChar w:fldCharType="separate"/>
      </w:r>
      <w:r w:rsidRPr="00CD12C5">
        <w:rPr>
          <w:noProof/>
          <w:sz w:val="24"/>
          <w:szCs w:val="24"/>
        </w:rPr>
        <w:t>Guo et al. (2019), Okumah et al. (2020), Paswan et al. (2017), Yusliza et al. (2020, 2021)</w:t>
      </w:r>
      <w:r w:rsidRPr="00CD12C5">
        <w:rPr>
          <w:sz w:val="24"/>
          <w:szCs w:val="24"/>
        </w:rPr>
        <w:fldChar w:fldCharType="end"/>
      </w:r>
      <w:r w:rsidRPr="00CD12C5">
        <w:rPr>
          <w:sz w:val="24"/>
          <w:szCs w:val="24"/>
        </w:rPr>
        <w:t xml:space="preserve">, this study unleashes the underutilized potential of SDT to illuminate the nexus between GSE and the intention to participate in river cleaning initiatives. While SDT has </w:t>
      </w:r>
      <w:r w:rsidRPr="00CD12C5">
        <w:rPr>
          <w:sz w:val="24"/>
          <w:szCs w:val="24"/>
          <w:lang w:val="en-GB"/>
        </w:rPr>
        <w:t>b</w:t>
      </w:r>
      <w:r w:rsidRPr="00CD12C5">
        <w:rPr>
          <w:sz w:val="24"/>
          <w:szCs w:val="24"/>
        </w:rPr>
        <w:t xml:space="preserve">een </w:t>
      </w:r>
      <w:r w:rsidR="006D2F9C" w:rsidRPr="00CD12C5">
        <w:rPr>
          <w:sz w:val="24"/>
          <w:szCs w:val="24"/>
        </w:rPr>
        <w:t xml:space="preserve">less </w:t>
      </w:r>
      <w:r w:rsidRPr="00CD12C5">
        <w:rPr>
          <w:sz w:val="24"/>
          <w:szCs w:val="24"/>
        </w:rPr>
        <w:t>appli</w:t>
      </w:r>
      <w:r w:rsidRPr="00CD12C5">
        <w:rPr>
          <w:sz w:val="24"/>
          <w:szCs w:val="24"/>
          <w:lang w:val="en-GB"/>
        </w:rPr>
        <w:t>ed</w:t>
      </w:r>
      <w:r w:rsidRPr="00CD12C5">
        <w:rPr>
          <w:sz w:val="24"/>
          <w:szCs w:val="24"/>
        </w:rPr>
        <w:t xml:space="preserve"> in environmental contexts </w:t>
      </w:r>
      <w:r w:rsidRPr="00CD12C5">
        <w:rPr>
          <w:sz w:val="24"/>
          <w:szCs w:val="24"/>
        </w:rPr>
        <w:fldChar w:fldCharType="begin" w:fldLock="1"/>
      </w:r>
      <w:r w:rsidRPr="00CD12C5">
        <w:rPr>
          <w:sz w:val="24"/>
          <w:szCs w:val="24"/>
        </w:rPr>
        <w:instrText>ADDIN CSL_CITATION {"citationItems":[{"id":"ITEM-1","itemData":{"abstract":"A scientifically literate person is one who understands the nature of science, its processes, products, and their appropriate application to decision-making contexts. The impetus to make informed decisions about environmental issues is environmental motivation. I examined students' environmental motivation, its relationship to scientific knowledge, and how environmental motivation can be fostered in a science classroom. This study took place in a college-level environmental biology course in which the instructor attempted to support students' basic psychological needs, as defined by self-determination theory (SDT). The first question was to what extent does an SDT-guided environmental biology course differ from a non-SDT-guided course in the degree to which it fostered self-determined motivation toward the environment. The administration of a well-validated scale to two sections before, after, and six months following the end of the course indicated that SDT-guided instruction is a plausible way to foster environmental motivation in the classroom. The second question was what are the multiple influences on fostering self-determined motivation toward the environment in an SDT-guided course. Path analysis indicated that environmental motivation can be partially accomplished in an environmental biology course by conveying to students that they are cared for, are connected to others, and can trust others while solving environmental problems. The third question sought to characterize students' scientific conceptualizations as they solve environmental problems and the extent to which their conceptualizations relate to the satisfaction of their need for competence. Students were videotaped during in-class problem-solving, after which stimulated-recall interviews were conducted. Grounded theory and an established coding scheme were combined to analyze these data, which resulted in three grounded hypotheses about what characterizes students' scientific knowledge when they feel highly competent about solving environmental problems. The final research question sought to identify which classroom features students cite when they indicate that their basic psychological needs are being fulfilled or undermined. Grounded analysis resulted in seven features of the instructional environment. This dissertation marks the first application of SDT to a formal environmental education setting in which a goal was to foster environmental motivation. Several research prospects and…","author":[{"dropping-particle":"","family":"Darner","given":"Rebekka","non-dropping-particle":"","parse-names":false,"suffix":""}],"id":"ITEM-1","issued":{"date-parts":[["2007"]]},"number-of-pages":"1-50","publisher":"University of California, San Diego","title":"The Use of Self-Determination Theory to Foster Environmental Motivation in an Environmental Biology Course","type":"thesis"},"uris":["http://www.mendeley.com/documents/?uuid=972c7e2b-ad8d-469e-8fa5-26271fe799cb"]},{"id":"ITEM-2","itemData":{"DOI":"10.3200/JOEE.40.2.39-49","author":[{"dropping-particle":"","family":"Darner","given":"Rebekka","non-dropping-particle":"","parse-names":false,"suffix":""}],"container-title":"The Journal of Environmental Education","id":"ITEM-2","issue":"2","issued":{"date-parts":[["2009"]]},"page":"39-49","publisher":"Routledge","title":"Self-Determination Theory as a Guide to Fostering Environmental Motivation","type":"article-journal","volume":"40"},"uris":["http://www.mendeley.com/documents/?uuid=ed55372a-f74c-46eb-a122-ade924cd4c05"]},{"id":"ITEM-3","itemData":{"DOI":"10.12973/ijese.2014.201a","ISSN":"13063065","abstract":"According to self-determination theory, social contexts that support students' basic psychological needs of autonomy, competence, and relatedness foster motivation toward behaviors that are valued in that social context. This study investigated the socio-contextual elements of a learning environment that support or undermine students' basic psychological needs as they relate to solving environmental problems. Individual stimulated-recall interviews were conducted with a student group after they participated in environmental problem-solving tasks over the course of a semester. Data were taken on students' reported feelings of competence, relatedness, and autonomy, and the classroom features to which they attributed those feelings. Six features of the instructional environment were inferred to be supportive of students' basic psychological needs. These are referred to as curricular interconnectivity, conceptualization problem sets, instructional guidance, socio-scientific integration throughout the curriculum, student-guided lecture, and cohesive group dynamics. One feature of the instructional environment seemed to undermine students' basic psychological needs; it is referred to as the \"anything-goes\" norm. These features are explained with supporting evidence and consequences regarding students needs for competence, autonomy, and relatedness. The article concludes with a discussion of considerations when constructing science curricula, given the impacts on environmental motivation.","author":[{"dropping-particle":"","family":"Darner","given":"Rebekka","non-dropping-particle":"","parse-names":false,"suffix":""}],"container-title":"International Journal of Environmental and Science Education","id":"ITEM-3","issue":"1","issued":{"date-parts":[["2014"]]},"page":"21-39","title":"Influences on Students' Environmental Self-Determination and Implications for Science Curricula","type":"article-journal","volume":"9"},"uris":["http://www.mendeley.com/documents/?uuid=6370f288-6387-419f-b2ef-6705964d72aa"]},{"id":"ITEM-4","itemData":{"DOI":"10.3390/su12177083","ISSN":"20711050","abstract":"This study aimed to examine the role of environmental commitment, environmental consciousness, green lifestyle, and green self-efficacy in influencing pro-environmental behaviour. Data were obtained through a survey of 72 students at one of the training centers in Malaysia. The hypothesized relationships were tested using partial least squares (PLS) methodology. Results showed that environmental commitment, environmental consciousness, green lifestyle, and green self-efficacy positively influenced pro-environmental behaviour, thereby providing new insights to existing literature on environmental sustainability. The results may be used by educational institutions, the government, and private agencies to strengthen students' knowledge, attitude, and behaviour that support environment-based education. The scope of the study was limited to students at a training center, so the results may not be generalizable to different settings. Another limitation was that the study used limited contextual elements. The novelty of this study is that it examined the role of environmental commitment, environmental consciousness, green lifestyle, and green self-efficacy as determinants of pro-environmental behaviour among students in an educational setting in Malaysia.","author":[{"dropping-particle":"","family":"Yusliza","given":"Mohd Yusoff","non-dropping-particle":"","parse-names":false,"suffix":""},{"dropping-particle":"","family":"Amirudin","given":"Amirudin","non-dropping-particle":"","parse-names":false,"suffix":""},{"dropping-particle":"","family":"Rahadi","given":"Raden Aswin","non-dropping-particle":"","parse-names":false,"suffix":""},{"dropping-particle":"","family":"Athirah","given":"Nik Afzan Nik Sarah","non-dropping-particle":"","parse-names":false,"suffix":""},{"dropping-particle":"","family":"Ramayah","given":"Thurasamy","non-dropping-particle":"","parse-names":false,"suffix":""},{"dropping-particle":"","family":"Muhammad","given":"Zikri","non-dropping-particle":"","parse-names":false,"suffix":""},{"dropping-particle":"","family":"Dal Mas","given":"Francesca","non-dropping-particle":"","parse-names":false,"suffix":""},{"dropping-particle":"","family":"Massaro","given":"Maurizio","non-dropping-particle":"","parse-names":false,"suffix":""},{"dropping-particle":"","family":"Saputra","given":"Jumadil","non-dropping-particle":"","parse-names":false,"suffix":""},{"dropping-particle":"","family":"Mokhlis","given":"Safiek","non-dropping-particle":"","parse-names":false,"suffix":""}],"container-title":"Sustainability (Switzerland)","id":"ITEM-4","issue":"17","issued":{"date-parts":[["2020"]]},"page":"1-21","title":"An investigation of pro-environmental behaviour and sustainable development in Malaysia","type":"article-journal","volume":"12"},"uris":["http://www.mendeley.com/documents/?uuid=74100aeb-d6d7-49e1-9ef5-6b728b3a4da6"]}],"mendeley":{"formattedCitation":"(Darner, 2007, 2009, 2014; Yusliza et al., 2020)","plainTextFormattedCitation":"(Darner, 2007, 2009, 2014; Yusliza et al., 2020)","previouslyFormattedCitation":"(Darner, 2007, 2009, 2014; Yusliza et al., 2020)"},"properties":{"noteIndex":0},"schema":"https://github.com/citation-style-language/schema/raw/master/csl-citation.json"}</w:instrText>
      </w:r>
      <w:r w:rsidRPr="00CD12C5">
        <w:rPr>
          <w:sz w:val="24"/>
          <w:szCs w:val="24"/>
        </w:rPr>
        <w:fldChar w:fldCharType="separate"/>
      </w:r>
      <w:r w:rsidRPr="00CD12C5">
        <w:rPr>
          <w:noProof/>
          <w:sz w:val="24"/>
          <w:szCs w:val="24"/>
        </w:rPr>
        <w:t>(Darner, 2007, 2009, 2014; Yusliza et al., 2020)</w:t>
      </w:r>
      <w:r w:rsidRPr="00CD12C5">
        <w:rPr>
          <w:sz w:val="24"/>
          <w:szCs w:val="24"/>
        </w:rPr>
        <w:fldChar w:fldCharType="end"/>
      </w:r>
      <w:r w:rsidRPr="00CD12C5">
        <w:rPr>
          <w:sz w:val="24"/>
          <w:szCs w:val="24"/>
        </w:rPr>
        <w:t>, its focus on intrinsic motivation and psychological needs offers a fresh lens through which to view the drivers of pro-environmental engagement. By embracing this seldom-explored theoretical paradigm, this research endeavors to unearth novel insights into the psychological forces that catalyze ecological preservation efforts.</w:t>
      </w:r>
    </w:p>
    <w:p w14:paraId="3EB5555C" w14:textId="3D8D1B56" w:rsidR="00B263A8" w:rsidRPr="00CD12C5" w:rsidRDefault="007107B4" w:rsidP="00CD12C5">
      <w:pPr>
        <w:ind w:firstLine="567"/>
        <w:jc w:val="both"/>
        <w:rPr>
          <w:sz w:val="24"/>
          <w:szCs w:val="24"/>
        </w:rPr>
      </w:pPr>
      <w:r w:rsidRPr="00CD12C5">
        <w:rPr>
          <w:sz w:val="24"/>
          <w:szCs w:val="24"/>
        </w:rPr>
        <w:t>The self-determination theory (SDT) posits that individuals are intrinsically motivated to engage in activities when they experience a sense of autonomy, competence, and relatedness</w:t>
      </w:r>
      <w:r w:rsidR="005F2F24" w:rsidRPr="00CD12C5">
        <w:rPr>
          <w:sz w:val="24"/>
          <w:szCs w:val="24"/>
        </w:rPr>
        <w:t xml:space="preserve"> </w:t>
      </w:r>
      <w:r w:rsidR="005F2F24" w:rsidRPr="00CD12C5">
        <w:rPr>
          <w:sz w:val="24"/>
          <w:szCs w:val="24"/>
        </w:rPr>
        <w:fldChar w:fldCharType="begin" w:fldLock="1"/>
      </w:r>
      <w:r w:rsidR="005F2F24" w:rsidRPr="00CD12C5">
        <w:rPr>
          <w:sz w:val="24"/>
          <w:szCs w:val="24"/>
        </w:rPr>
        <w:instrText>ADDIN CSL_CITATION {"citationItems":[{"id":"ITEM-1","itemData":{"DOI":"10.12973/ijese.2014.201a","ISSN":"13063065","abstract":"According to self-determination theory, social contexts that support students' basic psychological needs of autonomy, competence, and relatedness foster motivation toward behaviors that are valued in that social context. This study investigated the socio-contextual elements of a learning environment that support or undermine students' basic psychological needs as they relate to solving environmental problems. Individual stimulated-recall interviews were conducted with a student group after they participated in environmental problem-solving tasks over the course of a semester. Data were taken on students' reported feelings of competence, relatedness, and autonomy, and the classroom features to which they attributed those feelings. Six features of the instructional environment were inferred to be supportive of students' basic psychological needs. These are referred to as curricular interconnectivity, conceptualization problem sets, instructional guidance, socio-scientific integration throughout the curriculum, student-guided lecture, and cohesive group dynamics. One feature of the instructional environment seemed to undermine students' basic psychological needs; it is referred to as the \"anything-goes\" norm. These features are explained with supporting evidence and consequences regarding students needs for competence, autonomy, and relatedness. The article concludes with a discussion of considerations when constructing science curricula, given the impacts on environmental motivation.","author":[{"dropping-particle":"","family":"Darner","given":"Rebekka","non-dropping-particle":"","parse-names":false,"suffix":""}],"container-title":"International Journal of Environmental and Science Education","id":"ITEM-1","issue":"1","issued":{"date-parts":[["2014"]]},"page":"21-39","title":"Influences on Students' Environmental Self-Determination and Implications for Science Curricula","type":"article-journal","volume":"9"},"uris":["http://www.mendeley.com/documents/?uuid=6370f288-6387-419f-b2ef-6705964d72aa"]},{"id":"ITEM-2","itemData":{"DOI":"10.1007/978-1-4899-2271-7_2","abstract":"Early in this century, most empirically oriented psychologists believed that all motivation was based in the physiology of a set of non-nervous- system tissue needs. The theories of that era reflected this belief and used it in an attempt to explain an increasing number of phenomena. It was not until the 1950s that it became irrefutably clear that much of human motivation is based not in these drives, but rather in a set of innate psychological needs. Their physiological basis is less understood; and as concepts, these needs lend themselves more easily to psycho- logical than to physiological theorizing. The convergence of evidence from a variety of scholarly efforts suggests that there are three such needs: self-determination, competence, and interpersonal relatedness. This book is primarily about self-determination and competence (with particular emphasis on the former), and about the processes and structures that relate to these needs. The need for interpersonal relat- edness, while no less important, remains to be explored, and the findings from those explorations will need to be integrated with the present theory to develop a broad, organismic theory of human motivation. Thus far, we have articulated self-determination theory, which is offered as a working theory-a theory in the making. To stimulate the research that will allow it to evolve further, we have stated self-determination theory in the form of minitheories that relate to more circumscribed domains, and we have developed paradigms for testing predictions from the various minitheories. In working toward a broad motivation theory, we hope to contribute to the accelerating movement toward a motivational analysis of human functioning. For the past several years, theorists have been increasingly turning to motivational variables as central explanatory concepts in order to explain phenomena that were not well handled by previous theories that focused exclusively on behavioral or cognitive variables. Our goal is to develop a truly organismic theory within empirical psychology. By assuming human agency (i.e., an active organism), by exploring the needs, processes, and structures that relate to it, and by exploring both the possibilities for and the limitations to human agency, we are attempting to explicate the dialectic of the organism's acting on and being acted upon by the social and physical environments. Since metatheories can be judged in part by the coherence and empirical utility of the t…","author":[{"dropping-particle":"","family":"Deci","given":"Edward L.","non-dropping-particle":"","parse-names":false,"suffix":""},{"dropping-particle":"","family":"Ryan","given":"Richard M.","non-dropping-particle":"","parse-names":false,"suffix":""}],"container-title":"Intrinsic Motivation and Self-Determination in Human Behavior","id":"ITEM-2","issued":{"date-parts":[["1985"]]},"page":"11-40","title":"Conceptualizations of Intrinsic Motivation and Self-Determination","type":"article-journal"},"uris":["http://www.mendeley.com/documents/?uuid=250d7009-bbfe-49c1-9edb-ac1589f974fc"]}],"mendeley":{"formattedCitation":"(Darner, 2014; Deci &amp; Ryan, 1985)","plainTextFormattedCitation":"(Darner, 2014; Deci &amp; Ryan, 1985)","previouslyFormattedCitation":"(Darner, 2014; Deci &amp; Ryan, 1985)"},"properties":{"noteIndex":0},"schema":"https://github.com/citation-style-language/schema/raw/master/csl-citation.json"}</w:instrText>
      </w:r>
      <w:r w:rsidR="005F2F24" w:rsidRPr="00CD12C5">
        <w:rPr>
          <w:sz w:val="24"/>
          <w:szCs w:val="24"/>
        </w:rPr>
        <w:fldChar w:fldCharType="separate"/>
      </w:r>
      <w:r w:rsidR="005F2F24" w:rsidRPr="00CD12C5">
        <w:rPr>
          <w:noProof/>
          <w:sz w:val="24"/>
          <w:szCs w:val="24"/>
        </w:rPr>
        <w:t>(Darner, 2014; Deci &amp; Ryan, 1985)</w:t>
      </w:r>
      <w:r w:rsidR="005F2F24" w:rsidRPr="00CD12C5">
        <w:rPr>
          <w:sz w:val="24"/>
          <w:szCs w:val="24"/>
        </w:rPr>
        <w:fldChar w:fldCharType="end"/>
      </w:r>
      <w:r w:rsidRPr="00CD12C5">
        <w:rPr>
          <w:sz w:val="24"/>
          <w:szCs w:val="24"/>
        </w:rPr>
        <w:t xml:space="preserve">. In the context of this study, SDT is pertinent because it suggests that individuals may </w:t>
      </w:r>
      <w:r w:rsidR="00F11EE6" w:rsidRPr="00CD12C5">
        <w:rPr>
          <w:sz w:val="24"/>
          <w:szCs w:val="24"/>
        </w:rPr>
        <w:t>voluntarily participate in river cleaning initiatives</w:t>
      </w:r>
      <w:r w:rsidRPr="00CD12C5">
        <w:rPr>
          <w:sz w:val="24"/>
          <w:szCs w:val="24"/>
        </w:rPr>
        <w:t>, driven by an inherent love for the environment and a desire to act without external monitoring</w:t>
      </w:r>
      <w:r w:rsidR="005F2F24" w:rsidRPr="00CD12C5">
        <w:rPr>
          <w:sz w:val="24"/>
          <w:szCs w:val="24"/>
        </w:rPr>
        <w:t xml:space="preserve"> </w:t>
      </w:r>
      <w:r w:rsidR="005F2F24" w:rsidRPr="00CD12C5">
        <w:rPr>
          <w:sz w:val="24"/>
          <w:szCs w:val="24"/>
        </w:rPr>
        <w:fldChar w:fldCharType="begin" w:fldLock="1"/>
      </w:r>
      <w:r w:rsidR="00FF55E4" w:rsidRPr="00CD12C5">
        <w:rPr>
          <w:sz w:val="24"/>
          <w:szCs w:val="24"/>
        </w:rPr>
        <w:instrText>ADDIN CSL_CITATION {"citationItems":[{"id":"ITEM-1","itemData":{"DOI":"10.12973/ijese.2014.201a","ISSN":"13063065","abstract":"According to self-determination theory, social contexts that support students' basic psychological needs of autonomy, competence, and relatedness foster motivation toward behaviors that are valued in that social context. This study investigated the socio-contextual elements of a learning environment that support or undermine students' basic psychological needs as they relate to solving environmental problems. Individual stimulated-recall interviews were conducted with a student group after they participated in environmental problem-solving tasks over the course of a semester. Data were taken on students' reported feelings of competence, relatedness, and autonomy, and the classroom features to which they attributed those feelings. Six features of the instructional environment were inferred to be supportive of students' basic psychological needs. These are referred to as curricular interconnectivity, conceptualization problem sets, instructional guidance, socio-scientific integration throughout the curriculum, student-guided lecture, and cohesive group dynamics. One feature of the instructional environment seemed to undermine students' basic psychological needs; it is referred to as the \"anything-goes\" norm. These features are explained with supporting evidence and consequences regarding students needs for competence, autonomy, and relatedness. The article concludes with a discussion of considerations when constructing science curricula, given the impacts on environmental motivation.","author":[{"dropping-particle":"","family":"Darner","given":"Rebekka","non-dropping-particle":"","parse-names":false,"suffix":""}],"container-title":"International Journal of Environmental and Science Education","id":"ITEM-1","issue":"1","issued":{"date-parts":[["2014"]]},"page":"21-39","title":"Influences on Students' Environmental Self-Determination and Implications for Science Curricula","type":"article-journal","volume":"9"},"uris":["http://www.mendeley.com/documents/?uuid=6370f288-6387-419f-b2ef-6705964d72aa"]},{"id":"ITEM-2","itemData":{"abstract":"In the classical, Aristotelian, view of human development, people arc assumed to possess an active tendency toward psychological growth and integration. Endowed with an innate stT·h~ng to exercise and elaborate their interests, individuals tt:nd naturally to seck challenges, to discover new perspectives, and 10 actively internalize and transform cultural practices. By stretching thei.r capacities and expressing thei. r talents and propensities, people actualize their human potentials. Within this perspective, active growth is complemented by a tendency toward synthesis, organization, or relative unity of both knowledge and personality. Moreover, the integration of that which is experienced providt-s the basis for a coherent sense of self-a sense of wholeness, vitalit}\\ and integrity.","author":[{"dropping-particle":"","family":"Ryan","given":"Richard M.","non-dropping-particle":"","parse-names":false,"suffix":""},{"dropping-particle":"","family":"Deci","given":"Edward L.","non-dropping-particle":"","parse-names":false,"suffix":""}],"container-title":"Handbook of Self-Determination Research","id":"ITEM-2","issued":{"date-parts":[["2002"]]},"page":"3-33","title":"Overview of Self-Determination Theory: An Organismic Dialectical Perspective","type":"article-journal"},"uris":["http://www.mendeley.com/documents/?uuid=6ebcdb8b-4581-4d3a-b6ec-cec5c2e32123"]}],"mendeley":{"formattedCitation":"(Darner, 2014; Ryan &amp; Deci, 2002)","plainTextFormattedCitation":"(Darner, 2014; Ryan &amp; Deci, 2002)","previouslyFormattedCitation":"(Darner, 2014; Ryan &amp; Deci, 2002)"},"properties":{"noteIndex":0},"schema":"https://github.com/citation-style-language/schema/raw/master/csl-citation.json"}</w:instrText>
      </w:r>
      <w:r w:rsidR="005F2F24" w:rsidRPr="00CD12C5">
        <w:rPr>
          <w:sz w:val="24"/>
          <w:szCs w:val="24"/>
        </w:rPr>
        <w:fldChar w:fldCharType="separate"/>
      </w:r>
      <w:r w:rsidR="005F2F24" w:rsidRPr="00CD12C5">
        <w:rPr>
          <w:noProof/>
          <w:sz w:val="24"/>
          <w:szCs w:val="24"/>
        </w:rPr>
        <w:t>(Darner, 2014; Ryan &amp; Deci, 2002)</w:t>
      </w:r>
      <w:r w:rsidR="005F2F24" w:rsidRPr="00CD12C5">
        <w:rPr>
          <w:sz w:val="24"/>
          <w:szCs w:val="24"/>
        </w:rPr>
        <w:fldChar w:fldCharType="end"/>
      </w:r>
      <w:r w:rsidR="00FF55E4" w:rsidRPr="00CD12C5">
        <w:rPr>
          <w:sz w:val="24"/>
          <w:szCs w:val="24"/>
        </w:rPr>
        <w:t>.</w:t>
      </w:r>
      <w:r w:rsidR="005F2F24" w:rsidRPr="00CD12C5">
        <w:rPr>
          <w:sz w:val="24"/>
          <w:szCs w:val="24"/>
        </w:rPr>
        <w:t xml:space="preserve"> </w:t>
      </w:r>
      <w:r w:rsidRPr="00CD12C5">
        <w:rPr>
          <w:sz w:val="24"/>
          <w:szCs w:val="24"/>
        </w:rPr>
        <w:t>Furthermore, SDT highlights the positive impact on pro-environmental behavior, as individuals derive satisfaction from such actions and experience guilt when they fail to engage</w:t>
      </w:r>
      <w:r w:rsidR="003A6E3C" w:rsidRPr="00CD12C5">
        <w:rPr>
          <w:sz w:val="24"/>
          <w:szCs w:val="24"/>
        </w:rPr>
        <w:t xml:space="preserve"> </w:t>
      </w:r>
      <w:r w:rsidR="003A6E3C" w:rsidRPr="00CD12C5">
        <w:rPr>
          <w:sz w:val="24"/>
          <w:szCs w:val="24"/>
        </w:rPr>
        <w:fldChar w:fldCharType="begin" w:fldLock="1"/>
      </w:r>
      <w:r w:rsidR="009F281D" w:rsidRPr="00CD12C5">
        <w:rPr>
          <w:sz w:val="24"/>
          <w:szCs w:val="24"/>
        </w:rPr>
        <w:instrText>ADDIN CSL_CITATION {"citationItems":[{"id":"ITEM-1","itemData":{"abstract":"A scientifically literate person is one who understands the nature of science, its processes, products, and their appropriate application to decision-making contexts. The impetus to make informed decisions about environmental issues is environmental motivation. I examined students' environmental motivation, its relationship to scientific knowledge, and how environmental motivation can be fostered in a science classroom. This study took place in a college-level environmental biology course in which the instructor attempted to support students' basic psychological needs, as defined by self-determination theory (SDT). The first question was to what extent does an SDT-guided environmental biology course differ from a non-SDT-guided course in the degree to which it fostered self-determined motivation toward the environment. The administration of a well-validated scale to two sections before, after, and six months following the end of the course indicated that SDT-guided instruction is a plausible way to foster environmental motivation in the classroom. The second question was what are the multiple influences on fostering self-determined motivation toward the environment in an SDT-guided course. Path analysis indicated that environmental motivation can be partially accomplished in an environmental biology course by conveying to students that they are cared for, are connected to others, and can trust others while solving environmental problems. The third question sought to characterize students' scientific conceptualizations as they solve environmental problems and the extent to which their conceptualizations relate to the satisfaction of their need for competence. Students were videotaped during in-class problem-solving, after which stimulated-recall interviews were conducted. Grounded theory and an established coding scheme were combined to analyze these data, which resulted in three grounded hypotheses about what characterizes students' scientific knowledge when they feel highly competent about solving environmental problems. The final research question sought to identify which classroom features students cite when they indicate that their basic psychological needs are being fulfilled or undermined. Grounded analysis resulted in seven features of the instructional environment. This dissertation marks the first application of SDT to a formal environmental education setting in which a goal was to foster environmental motivation. Several research prospects and…","author":[{"dropping-particle":"","family":"Darner","given":"Rebekka","non-dropping-particle":"","parse-names":false,"suffix":""}],"id":"ITEM-1","issued":{"date-parts":[["2007"]]},"number-of-pages":"1-50","publisher":"University of California, San Diego","title":"The Use of Self-Determination Theory to Foster Environmental Motivation in an Environmental Biology Course","type":"thesis"},"uris":["http://www.mendeley.com/documents/?uuid=972c7e2b-ad8d-469e-8fa5-26271fe799cb"]},{"id":"ITEM-2","itemData":{"DOI":"10.1037/a0012801","ISSN":"07085591","abstract":"Self-determination theory (SDT) is an empirically based theory of human motivation, development, and wellness. The theory focuses on types, rather than just amount, of motivation, paying particular attention to autonomous motivation, controlled motivation, and amotivation as predictors of performance, rela-tional, and well-being outcomes. It also addresses the social conditions that enhance versus diminish these types of motivation, proposing and finding that the degrees to which basic psychological needs for autonomy, competence, and relatedness are supported versus thwarted affect both the type and strength of motivation. SDT also examines people's life goals or aspirations, showing differential relations of intrinsic versus extrinsic life goals to performance and psychological health. In this introduction we also briefly discuss recent developments within SDT concerning mindfulness and vitality, and highlight the applicability of SDT within applied domains, including work, relationships, parenting, education, virtual environments, sport, sustainability, health care, and psychotherapy.","author":[{"dropping-particle":"","family":"Deci","given":"Edward L.","non-dropping-particle":"","parse-names":false,"suffix":""},{"dropping-particle":"","family":"Ryan","given":"Richard M.","non-dropping-particle":"","parse-names":false,"suffix":""}],"container-title":"Canadian Psychology","id":"ITEM-2","issue":"3","issued":{"date-parts":[["2008"]]},"page":"182-185","title":"Self-determination theory: A macrotheory of human motivation, development, and health","type":"article-journal","volume":"49"},"uris":["http://www.mendeley.com/documents/?uuid=2fb53c91-204b-44c3-912c-b85db464032c"]}],"mendeley":{"formattedCitation":"(Darner, 2007; Deci &amp; Ryan, 2008)","plainTextFormattedCitation":"(Darner, 2007; Deci &amp; Ryan, 2008)","previouslyFormattedCitation":"(Darner, 2007; Deci &amp; Ryan, 2008)"},"properties":{"noteIndex":0},"schema":"https://github.com/citation-style-language/schema/raw/master/csl-citation.json"}</w:instrText>
      </w:r>
      <w:r w:rsidR="003A6E3C" w:rsidRPr="00CD12C5">
        <w:rPr>
          <w:sz w:val="24"/>
          <w:szCs w:val="24"/>
        </w:rPr>
        <w:fldChar w:fldCharType="separate"/>
      </w:r>
      <w:r w:rsidR="003A6E3C" w:rsidRPr="00CD12C5">
        <w:rPr>
          <w:noProof/>
          <w:sz w:val="24"/>
          <w:szCs w:val="24"/>
        </w:rPr>
        <w:t>(Darner, 2007; Deci &amp; Ryan, 2008)</w:t>
      </w:r>
      <w:r w:rsidR="003A6E3C" w:rsidRPr="00CD12C5">
        <w:rPr>
          <w:sz w:val="24"/>
          <w:szCs w:val="24"/>
        </w:rPr>
        <w:fldChar w:fldCharType="end"/>
      </w:r>
      <w:r w:rsidR="003A6E3C" w:rsidRPr="00CD12C5">
        <w:rPr>
          <w:sz w:val="24"/>
          <w:szCs w:val="24"/>
        </w:rPr>
        <w:t xml:space="preserve">. </w:t>
      </w:r>
      <w:r w:rsidRPr="00CD12C5">
        <w:rPr>
          <w:sz w:val="24"/>
          <w:szCs w:val="24"/>
        </w:rPr>
        <w:t xml:space="preserve">For those with GSE, SDT fosters an intrinsic awareness of their ability to complete environmental tasks based on their own competencies when participating in river cleanup initiatives </w:t>
      </w:r>
      <w:r w:rsidRPr="00CD12C5">
        <w:rPr>
          <w:sz w:val="24"/>
          <w:szCs w:val="24"/>
        </w:rPr>
        <w:fldChar w:fldCharType="begin" w:fldLock="1"/>
      </w:r>
      <w:r w:rsidRPr="00CD12C5">
        <w:rPr>
          <w:sz w:val="24"/>
          <w:szCs w:val="24"/>
        </w:rPr>
        <w:instrText>ADDIN CSL_CITATION {"citationItems":[{"id":"ITEM-1","itemData":{"DOI":"10.3200/JOEE.40.2.39-49","author":[{"dropping-particle":"","family":"Darner","given":"Rebekka","non-dropping-particle":"","parse-names":false,"suffix":""}],"container-title":"The Journal of Environmental Education","id":"ITEM-1","issue":"2","issued":{"date-parts":[["2009"]]},"page":"39-49","publisher":"Routledge","title":"Self-Determination Theory as a Guide to Fostering Environmental Motivation","type":"article-journal","volume":"40"},"uris":["http://www.mendeley.com/documents/?uuid=ed55372a-f74c-46eb-a122-ade924cd4c05"]},{"id":"ITEM-2","itemData":{"DOI":"10.1108/MIP-04-2019-0218","ISSN":"02634503","abstract":"Purpose: The purpose of this paper is to understand the relationship between customer participation, co-created value and customer engagement as well as customer motivation involved in this process. Design/methodology/approach: Respondents were randomly exposed to one of the six types of social media scenarios. A total of 181 respondents were drawn from an MTurk opt-in survey panel of individuals who resided in America and were over the age of 18 years. Findings: Overall, the results of this study showed that as the level of customer participation increased, the level of co-created value decreased. The relationship between customer participation and customer engagement was fully mediated by co-created value. Extrinsic motivation was found to moderate the relationship between customer participation and co-created value but did not moderate the relationship between customer participation and customer engagement. Moreover, customer engagement was at its highest when an external reward was not offered, in other words, when customers were intrinsically motivated. Furthermore, when an external red was offered, a significant effect of privacy concern on customer engagement was observed. Originality/value: The study extends the current understanding of customer engagement through value co-creation, customer participation and perceptions of privacy in firm-initiated activities in social media.","author":[{"dropping-particle":"","family":"Quach","given":"Sara","non-dropping-particle":"","parse-names":false,"suffix":""},{"dropping-particle":"","family":"Shao","given":"Wei","non-dropping-particle":"","parse-names":false,"suffix":""},{"dropping-particle":"","family":"Ross","given":"Mitchell","non-dropping-particle":"","parse-names":false,"suffix":""},{"dropping-particle":"","family":"Thaichon","given":"Park","non-dropping-particle":"","parse-names":false,"suffix":""}],"container-title":"Marketing Intelligence and Planning","id":"ITEM-2","issue":"6","issued":{"date-parts":[["2020"]]},"page":"730-744","title":"Customer engagement and co-created value in social media","type":"article-journal","volume":"38"},"uris":["http://www.mendeley.com/documents/?uuid=6d91404b-22eb-41f2-90c5-77ec8d72b659"]}],"mendeley":{"formattedCitation":"(Darner, 2009; Quach et al., 2020)","plainTextFormattedCitation":"(Darner, 2009; Quach et al., 2020)","previouslyFormattedCitation":"(Darner, 2009; Quach et al., 2020)"},"properties":{"noteIndex":0},"schema":"https://github.com/citation-style-language/schema/raw/master/csl-citation.json"}</w:instrText>
      </w:r>
      <w:r w:rsidRPr="00CD12C5">
        <w:rPr>
          <w:sz w:val="24"/>
          <w:szCs w:val="24"/>
        </w:rPr>
        <w:fldChar w:fldCharType="separate"/>
      </w:r>
      <w:r w:rsidRPr="00CD12C5">
        <w:rPr>
          <w:noProof/>
          <w:sz w:val="24"/>
          <w:szCs w:val="24"/>
        </w:rPr>
        <w:t>(Darner, 2009; Quach et al., 2020)</w:t>
      </w:r>
      <w:r w:rsidRPr="00CD12C5">
        <w:rPr>
          <w:sz w:val="24"/>
          <w:szCs w:val="24"/>
        </w:rPr>
        <w:fldChar w:fldCharType="end"/>
      </w:r>
      <w:r w:rsidRPr="00CD12C5">
        <w:rPr>
          <w:sz w:val="24"/>
          <w:szCs w:val="24"/>
        </w:rPr>
        <w:t>.</w:t>
      </w:r>
    </w:p>
    <w:p w14:paraId="4D9875CD" w14:textId="10A9105F" w:rsidR="00B263A8" w:rsidRPr="00CD12C5" w:rsidRDefault="007107B4" w:rsidP="00CD12C5">
      <w:pPr>
        <w:ind w:firstLine="567"/>
        <w:jc w:val="both"/>
        <w:rPr>
          <w:sz w:val="24"/>
          <w:szCs w:val="24"/>
        </w:rPr>
      </w:pPr>
      <w:r w:rsidRPr="00CD12C5">
        <w:rPr>
          <w:sz w:val="24"/>
          <w:szCs w:val="24"/>
        </w:rPr>
        <w:t xml:space="preserve">Next is the Self-perception Theory (SPT), introduced by Daryl Bem in 1972, to explain the relationship between GT and the intention to participate in river cleaning initiatives. The theory posits that individuals draw inferences about their attitudes and beliefs based on observing their past behaviors </w:t>
      </w:r>
      <w:r w:rsidR="009F281D" w:rsidRPr="00CD12C5">
        <w:rPr>
          <w:sz w:val="24"/>
          <w:szCs w:val="24"/>
        </w:rPr>
        <w:fldChar w:fldCharType="begin" w:fldLock="1"/>
      </w:r>
      <w:r w:rsidR="005F10BD" w:rsidRPr="00CD12C5">
        <w:rPr>
          <w:sz w:val="24"/>
          <w:szCs w:val="24"/>
        </w:rPr>
        <w:instrText>ADDIN CSL_CITATION {"citationItems":[{"id":"ITEM-1","itemData":{"DOI":"10.2190/BP8D-04W5-7FJ7-C5J5","ISSN":"00472433","abstract":"Based on Bem's self-perception theory, the ″foot-in-the-door″ technique was utilized to induce the pro-environmental behavior of recycling in a sample with no prior history of such behavior. The sample consisted of 291 citizens of a small city chosen at random from nonstudent neighborhoods. Experimental conditions consisted of all permutations of three types of prior requests. Compliance with the final request (recycling), as assessed one to two months later and in an 18-month follow-up, was significantly higher for conditions eliciting compliance with multiple prior request which required subject-originated actions, and particularly for compliance with a prior request high in task similarity with the final request. The results were discussed in terms of implications for induction of enduring subject-originated behavioral compliance.","author":[{"dropping-particle":"","family":"Arbuthnot","given":"Jack","non-dropping-particle":"","parse-names":false,"suffix":""},{"dropping-particle":"","family":"Tedeschi","given":"Richard","non-dropping-particle":"","parse-names":false,"suffix":""},{"dropping-particle":"","family":"Wayner","given":"Marc","non-dropping-particle":"","parse-names":false,"suffix":""},{"dropping-particle":"","family":"Turner","given":"James","non-dropping-particle":"","parse-names":false,"suffix":""},{"dropping-particle":"","family":"Kressel","given":"Stuart","non-dropping-particle":"","parse-names":false,"suffix":""},{"dropping-particle":"","family":"Rush","given":"Robert","non-dropping-particle":"","parse-names":false,"suffix":""}],"container-title":"Journal of Environmental Systems","id":"ITEM-1","issue":"4","issued":{"date-parts":[["1976"]]},"page":"355-368","title":"Induction of Sustained Recycling Behavior Through the Foot-in-the-Door Technique.","type":"article-journal","volume":"6"},"uris":["http://www.mendeley.com/documents/?uuid=d152be51-ca87-4dd9-b4a3-b072abf3d950"]},{"id":"ITEM-2","itemData":{"DOI":"10.1177/0013916513520491","ISBN":"0013916513","ISSN":"1552390X","abstract":"Two studies investigated whether performing green behaviors may influence people’s political attitudes regarding climate change. A survey study revealed that self-reported green behaviors indirectly predicted American participants’ political attitudes regarding climate change, and that this relationship was mediated by their green self-perceptions. This relationship was relatively stronger for conservatives than for liberals. An experimental study included two conditions: one which led people to perceive that they often performed green behaviors and another that led them to perceive that they failed to perform green behaviors. Political-orientation was found to moderate the effect of green behavior perceptions on ratings of the importance of climate-related issues and on support for emissions-reducing policies. Liberals reported greater importance and greater policy support when perceiving that they failed to act green, while conservatives did not. Implications for green behavior campaigns and their political spillover effects are discussed.","author":[{"dropping-particle":"","family":"Lacasse","given":"Katherine","non-dropping-particle":"","parse-names":false,"suffix":""}],"container-title":"Environment and Behavior","id":"ITEM-2","issue":"7","issued":{"date-parts":[["2015"]]},"page":"754-781","title":"The Importance of Being Green: The Influence of Green Behaviors on Americans’ Political Attitudes Toward Climate Change","type":"article-journal","volume":"47"},"uris":["http://www.mendeley.com/documents/?uuid=a8726dcc-e5c8-406f-9153-2144164495ed"]}],"mendeley":{"formattedCitation":"(Arbuthnot et al., 1976; Lacasse, 2015)","plainTextFormattedCitation":"(Arbuthnot et al., 1976; Lacasse, 2015)","previouslyFormattedCitation":"(Arbuthnot et al., 1976; Lacasse, 2015)"},"properties":{"noteIndex":0},"schema":"https://github.com/citation-style-language/schema/raw/master/csl-citation.json"}</w:instrText>
      </w:r>
      <w:r w:rsidR="009F281D" w:rsidRPr="00CD12C5">
        <w:rPr>
          <w:sz w:val="24"/>
          <w:szCs w:val="24"/>
        </w:rPr>
        <w:fldChar w:fldCharType="separate"/>
      </w:r>
      <w:r w:rsidR="009F281D" w:rsidRPr="00CD12C5">
        <w:rPr>
          <w:noProof/>
          <w:sz w:val="24"/>
          <w:szCs w:val="24"/>
        </w:rPr>
        <w:t>(Arbuthnot et al., 1976; Lacasse, 2015)</w:t>
      </w:r>
      <w:r w:rsidR="009F281D" w:rsidRPr="00CD12C5">
        <w:rPr>
          <w:sz w:val="24"/>
          <w:szCs w:val="24"/>
        </w:rPr>
        <w:fldChar w:fldCharType="end"/>
      </w:r>
      <w:r w:rsidR="009F281D" w:rsidRPr="00CD12C5">
        <w:rPr>
          <w:sz w:val="24"/>
          <w:szCs w:val="24"/>
        </w:rPr>
        <w:t xml:space="preserve">. </w:t>
      </w:r>
      <w:r w:rsidRPr="00CD12C5">
        <w:rPr>
          <w:sz w:val="24"/>
          <w:szCs w:val="24"/>
        </w:rPr>
        <w:t xml:space="preserve">According to this perspective, one's prior experiences shape attitudes </w:t>
      </w:r>
      <w:r w:rsidR="009D2C1E" w:rsidRPr="00CD12C5">
        <w:rPr>
          <w:sz w:val="24"/>
          <w:szCs w:val="24"/>
        </w:rPr>
        <w:fldChar w:fldCharType="begin" w:fldLock="1"/>
      </w:r>
      <w:r w:rsidR="003A6E3C" w:rsidRPr="00CD12C5">
        <w:rPr>
          <w:sz w:val="24"/>
          <w:szCs w:val="24"/>
        </w:rPr>
        <w:instrText>ADDIN CSL_CITATION {"citationItems":[{"id":"ITEM-1","itemData":{"DOI":"10.1177/0013916513520491","ISBN":"0013916513","ISSN":"1552390X","abstract":"Two studies investigated whether performing green behaviors may influence people’s political attitudes regarding climate change. A survey study revealed that self-reported green behaviors indirectly predicted American participants’ political attitudes regarding climate change, and that this relationship was mediated by their green self-perceptions. This relationship was relatively stronger for conservatives than for liberals. An experimental study included two conditions: one which led people to perceive that they often performed green behaviors and another that led them to perceive that they failed to perform green behaviors. Political-orientation was found to moderate the effect of green behavior perceptions on ratings of the importance of climate-related issues and on support for emissions-reducing policies. Liberals reported greater importance and greater policy support when perceiving that they failed to act green, while conservatives did not. Implications for green behavior campaigns and their political spillover effects are discussed.","author":[{"dropping-particle":"","family":"Lacasse","given":"Katherine","non-dropping-particle":"","parse-names":false,"suffix":""}],"container-title":"Environment and Behavior","id":"ITEM-1","issue":"7","issued":{"date-parts":[["2015"]]},"page":"754-781","title":"The Importance of Being Green: The Influence of Green Behaviors on Americans’ Political Attitudes Toward Climate Change","type":"article-journal","volume":"47"},"uris":["http://www.mendeley.com/documents/?uuid=a8726dcc-e5c8-406f-9153-2144164495ed"]}],"mendeley":{"formattedCitation":"(Lacasse, 2015)","plainTextFormattedCitation":"(Lacasse, 2015)","previouslyFormattedCitation":"(Lacasse, 2015)"},"properties":{"noteIndex":0},"schema":"https://github.com/citation-style-language/schema/raw/master/csl-citation.json"}</w:instrText>
      </w:r>
      <w:r w:rsidR="009D2C1E" w:rsidRPr="00CD12C5">
        <w:rPr>
          <w:sz w:val="24"/>
          <w:szCs w:val="24"/>
        </w:rPr>
        <w:fldChar w:fldCharType="separate"/>
      </w:r>
      <w:r w:rsidR="009D2C1E" w:rsidRPr="00CD12C5">
        <w:rPr>
          <w:noProof/>
          <w:sz w:val="24"/>
          <w:szCs w:val="24"/>
        </w:rPr>
        <w:t>(Lacasse, 2015)</w:t>
      </w:r>
      <w:r w:rsidR="009D2C1E" w:rsidRPr="00CD12C5">
        <w:rPr>
          <w:sz w:val="24"/>
          <w:szCs w:val="24"/>
        </w:rPr>
        <w:fldChar w:fldCharType="end"/>
      </w:r>
      <w:r w:rsidR="009D2C1E" w:rsidRPr="00CD12C5">
        <w:rPr>
          <w:sz w:val="24"/>
          <w:szCs w:val="24"/>
        </w:rPr>
        <w:t xml:space="preserve">. </w:t>
      </w:r>
      <w:r w:rsidRPr="00CD12C5">
        <w:rPr>
          <w:sz w:val="24"/>
          <w:szCs w:val="24"/>
        </w:rPr>
        <w:t xml:space="preserve">SPT has been widely applied in consumer behavior research, particularly in the context of green product selection and perceptions </w:t>
      </w:r>
      <w:r w:rsidR="005F10BD" w:rsidRPr="00CD12C5">
        <w:rPr>
          <w:sz w:val="24"/>
          <w:szCs w:val="24"/>
        </w:rPr>
        <w:fldChar w:fldCharType="begin" w:fldLock="1"/>
      </w:r>
      <w:r w:rsidR="005F10BD" w:rsidRPr="00CD12C5">
        <w:rPr>
          <w:sz w:val="24"/>
          <w:szCs w:val="24"/>
        </w:rPr>
        <w:instrText>ADDIN CSL_CITATION {"citationItems":[{"id":"ITEM-1","itemData":{"DOI":"10.1016/j.ijresmar.2007.06.002","ISSN":"01678116","abstract":"People frequently fail to see themselves as environmentally conscious consumers; one reason for this is that they are oftentimes prone to dismissing their more common ecological behaviors (e.g., avoid littering) as non-diagnostic for that particular self-image. The cueing of commonly performed ecological behaviors as environmentally friendly (what we call positive cueing) renders both cued and non-cued common ecological behaviors more diagnostic for the inference of pro-environmental attitudes (Study 1). As a result, positive cueing increases the likelihood that people will see themselves as consumers who are concerned with the degree to which their behavior is environmentally responsible (Study 2). The cueing of common ecological behaviors leads participants to choose environmentally friendly products with greater frequency, and even to use scrap paper more efficiently (Study 3). We discuss the implications for effective social marketing campaigns. © 2007 Elsevier B.V. All rights reserved.","author":[{"dropping-particle":"","family":"Cornelissen","given":"Gert","non-dropping-particle":"","parse-names":false,"suffix":""},{"dropping-particle":"","family":"Pandelaere","given":"Mario","non-dropping-particle":"","parse-names":false,"suffix":""},{"dropping-particle":"","family":"Warlop","given":"Luk","non-dropping-particle":"","parse-names":false,"suffix":""},{"dropping-particle":"","family":"Dewitte","given":"Siegfried","non-dropping-particle":"","parse-names":false,"suffix":""}],"container-title":"International Journal of Research in Marketing","id":"ITEM-1","issue":"1","issued":{"date-parts":[["2008"]]},"page":"46-55","title":"Positive cueing: Promoting sustainable consumer behavior by cueing common environmental behaviors as environmental","type":"article-journal","volume":"25"},"uris":["http://www.mendeley.com/documents/?uuid=5842ff23-8dc8-4239-8b82-798c7da15f64"]},{"id":"ITEM-2","itemData":{"DOI":"10.3390/su14020689","ISSN":"20711050","abstract":"Many consumers are concerned about environmental issues and have expressed interest in purchasing green products. However, actual sales of green products are still not as high as expected. Therefore, marketers of green products may need to investigate the factors driving green purchase behaviors. In this study, we proposed an extended theory of planned behavior (TPB) model that links consumers’ environmental concerns, perceived image of the company, consumer innovativeness, and environmental knowledge with green product purchase behavior. We applied a quantitative approach to collect the data via online questionnaires through Amazon MTurk. With 974 useable samples, the data were analyzed with structural equation modeling (SEM) using Smart PLS. The results showed that green purchase intention positively and significantly affects green purchase behavior. Moreover, the multigroup analysis revealed that the direct influence of green purchase intention on green purchase behavior is higher in developing countries than in developed countries. Regarding the direct effect on green purchase intention, attitude toward green products, perceived consumer effectiveness (PCE), environmental concern, and company’s perceived green image are significant antecedents of the intention to purchase, with attitude toward green products being the most robust antecedent among the three. However, subjective norms do not act as a direct antecedent of purchase intention. For the indirect effect on green purchase intention, four main antecedents (attitude toward green products, subjective norms, PCE, and environmental concerns) indirectly impact purchase intention via the mediating role of the perceived green image of the company. This study contributes to existing literatures via extending the TPB model. Regarding attitude-intention-behavior model, we found that environmental concern complements the model as an antecedent of green purchase intention. Moreover, a company’s perceived green image mediates the relationship between four antecedents and green purchase intention. Therefore, marketers of green products may also enhance future purchases by promoting the green image of the company. Particularly, we found that environmental knowledge positively moderates the relationship between environmental concern and a company’s perceived green image. We added on the empirical evidence that PCE plays a crucial role in stimulating green purchases as its direct positive influence on green p…","author":[{"dropping-particle":"","family":"Kamalanon","given":"Piyanoot","non-dropping-particle":"","parse-names":false,"suffix":""},{"dropping-particle":"","family":"Chen","given":"Ja Shen","non-dropping-particle":"","parse-names":false,"suffix":""},{"dropping-particle":"","family":"Le","given":"Tran Thien Y.","non-dropping-particle":"","parse-names":false,"suffix":""}],"container-title":"Sustainability (Switzerland)","id":"ITEM-2","issue":"2","issued":{"date-parts":[["2022"]]},"page":"1-28","title":"“Why do We Buy Green Products?” An Extended Theory of the Planned Behavior Model for Green Product Purchase Behavior","type":"article-journal","volume":"14"},"uris":["http://www.mendeley.com/documents/?uuid=14804165-ff7d-47a9-a23d-a8b7e177319f"]}],"mendeley":{"formattedCitation":"(Cornelissen et al., 2008; Kamalanon et al., 2022)","plainTextFormattedCitation":"(Cornelissen et al., 2008; Kamalanon et al., 2022)","previouslyFormattedCitation":"(Cornelissen et al., 2008; Kamalanon et al., 2022)"},"properties":{"noteIndex":0},"schema":"https://github.com/citation-style-language/schema/raw/master/csl-citation.json"}</w:instrText>
      </w:r>
      <w:r w:rsidR="005F10BD" w:rsidRPr="00CD12C5">
        <w:rPr>
          <w:sz w:val="24"/>
          <w:szCs w:val="24"/>
        </w:rPr>
        <w:fldChar w:fldCharType="separate"/>
      </w:r>
      <w:r w:rsidR="005F10BD" w:rsidRPr="00CD12C5">
        <w:rPr>
          <w:noProof/>
          <w:sz w:val="24"/>
          <w:szCs w:val="24"/>
        </w:rPr>
        <w:t>(Cornelissen et al., 2008; Kamalanon et al., 2022)</w:t>
      </w:r>
      <w:r w:rsidR="005F10BD" w:rsidRPr="00CD12C5">
        <w:rPr>
          <w:sz w:val="24"/>
          <w:szCs w:val="24"/>
        </w:rPr>
        <w:fldChar w:fldCharType="end"/>
      </w:r>
      <w:r w:rsidRPr="00CD12C5">
        <w:rPr>
          <w:sz w:val="24"/>
          <w:szCs w:val="24"/>
        </w:rPr>
        <w:t>, as well as in influencing attitudes toward environmental issues</w:t>
      </w:r>
      <w:r w:rsidR="00456CEC" w:rsidRPr="00CD12C5">
        <w:rPr>
          <w:sz w:val="24"/>
          <w:szCs w:val="24"/>
        </w:rPr>
        <w:t xml:space="preserve"> </w:t>
      </w:r>
      <w:r w:rsidR="00456CEC" w:rsidRPr="00CD12C5">
        <w:rPr>
          <w:sz w:val="24"/>
          <w:szCs w:val="24"/>
        </w:rPr>
        <w:fldChar w:fldCharType="begin" w:fldLock="1"/>
      </w:r>
      <w:r w:rsidR="00CB5E04" w:rsidRPr="00CD12C5">
        <w:rPr>
          <w:sz w:val="24"/>
          <w:szCs w:val="24"/>
        </w:rPr>
        <w:instrText>ADDIN CSL_CITATION {"citationItems":[{"id":"ITEM-1","itemData":{"DOI":"10.2190/BP8D-04W5-7FJ7-C5J5","ISSN":"00472433","abstract":"Based on Bem's self-perception theory, the ″foot-in-the-door″ technique was utilized to induce the pro-environmental behavior of recycling in a sample with no prior history of such behavior. The sample consisted of 291 citizens of a small city chosen at random from nonstudent neighborhoods. Experimental conditions consisted of all permutations of three types of prior requests. Compliance with the final request (recycling), as assessed one to two months later and in an 18-month follow-up, was significantly higher for conditions eliciting compliance with multiple prior request which required subject-originated actions, and particularly for compliance with a prior request high in task similarity with the final request. The results were discussed in terms of implications for induction of enduring subject-originated behavioral compliance.","author":[{"dropping-particle":"","family":"Arbuthnot","given":"Jack","non-dropping-particle":"","parse-names":false,"suffix":""},{"dropping-particle":"","family":"Tedeschi","given":"Richard","non-dropping-particle":"","parse-names":false,"suffix":""},{"dropping-particle":"","family":"Wayner","given":"Marc","non-dropping-particle":"","parse-names":false,"suffix":""},{"dropping-particle":"","family":"Turner","given":"James","non-dropping-particle":"","parse-names":false,"suffix":""},{"dropping-particle":"","family":"Kressel","given":"Stuart","non-dropping-particle":"","parse-names":false,"suffix":""},{"dropping-particle":"","family":"Rush","given":"Robert","non-dropping-particle":"","parse-names":false,"suffix":""}],"container-title":"Journal of Environmental Systems","id":"ITEM-1","issue":"4","issued":{"date-parts":[["1976"]]},"page":"355-368","title":"Induction of Sustained Recycling Behavior Through the Foot-in-the-Door Technique.","type":"article-journal","volume":"6"},"uris":["http://www.mendeley.com/documents/?uuid=d152be51-ca87-4dd9-b4a3-b072abf3d950"]},{"id":"ITEM-2","itemData":{"DOI":"10.1177/0013916513520491","ISBN":"0013916513","ISSN":"1552390X","abstract":"Two studies investigated whether performing green behaviors may influence people’s political attitudes regarding climate change. A survey study revealed that self-reported green behaviors indirectly predicted American participants’ political attitudes regarding climate change, and that this relationship was mediated by their green self-perceptions. This relationship was relatively stronger for conservatives than for liberals. An experimental study included two conditions: one which led people to perceive that they often performed green behaviors and another that led them to perceive that they failed to perform green behaviors. Political-orientation was found to moderate the effect of green behavior perceptions on ratings of the importance of climate-related issues and on support for emissions-reducing policies. Liberals reported greater importance and greater policy support when perceiving that they failed to act green, while conservatives did not. Implications for green behavior campaigns and their political spillover effects are discussed.","author":[{"dropping-particle":"","family":"Lacasse","given":"Katherine","non-dropping-particle":"","parse-names":false,"suffix":""}],"container-title":"Environment and Behavior","id":"ITEM-2","issue":"7","issued":{"date-parts":[["2015"]]},"page":"754-781","title":"The Importance of Being Green: The Influence of Green Behaviors on Americans’ Political Attitudes Toward Climate Change","type":"article-journal","volume":"47"},"uris":["http://www.mendeley.com/documents/?uuid=a8726dcc-e5c8-406f-9153-2144164495ed"]},{"id":"ITEM-3","itemData":{"DOI":"10.1007/s12144-022-02773-0","ISBN":"0123456789","ISSN":"1046-1310","abstract":"How to motivate consumers to maintain environmentally responsible consumption choice rather than occasional green consumption is an important component of sustainability within modern society. Yet, past literature provides two contradictory routes for sequential pro-environmental decisions: consistency effect and licensing effect. The consistency effect builds on follows the logics of self-perception theory and implies that consumers tend to repeat their prior environmentally responsible and irresponsible decisions; the licensing effect follows a goal-based logic to highlight that past pro-environmental behaviour produces a “license” to engage in less pro-environmental behaviour. To reconcile these contradictory predictions, this study extends the existing literature by following a consistent, goal-based logic in theory and exploring self-construal as a moderator that switches from one mode of sequential pro-environmental decisions to the other. Three experimental studies affirm that self-consistency effect occurs for consumers with an accessible interdependent self-construal, but licensing effect is more pronounced for consumers with an accessible independent self-construal. In addition, the interdependent- consistency effect will be stronger and the independent-licensing effect will be weaker if consumers are reminded of high tendency of others’ pro-environmental behaviour in the first decision. Together, these results shed light on the downstream consequences for consumers of pro-environmental choice, with implications for the marketing and regulation of such products.","author":[{"dropping-particle":"","family":"Xiong","given":"Shasha","non-dropping-particle":"","parse-names":false,"suffix":""},{"dropping-particle":"","family":"Wang","given":"Kui","non-dropping-particle":"","parse-names":false,"suffix":""},{"dropping-particle":"","family":"Zhang","given":"Lei","non-dropping-particle":"","parse-names":false,"suffix":""},{"dropping-particle":"","family":"Xiao","given":"Haowen","non-dropping-particle":"","parse-names":false,"suffix":""}],"container-title":"Current Psychology","id":"ITEM-3","issue":"1","issued":{"date-parts":[["2022"]]},"page":"1-17","publisher":"Springer US","title":"“I” get license but “we” keep consistent: The role of self-construal in subsequent pro-environmental decision","type":"article-journal","volume":"42"},"uris":["http://www.mendeley.com/documents/?uuid=0b09b327-5cb1-4c89-a7de-a141466e2d27"]}],"mendeley":{"formattedCitation":"(Arbuthnot et al., 1976; Lacasse, 2015; Xiong et al., 2022)","plainTextFormattedCitation":"(Arbuthnot et al., 1976; Lacasse, 2015; Xiong et al., 2022)","previouslyFormattedCitation":"(Arbuthnot et al., 1976; Lacasse, 2015; Xiong et al., 2022)"},"properties":{"noteIndex":0},"schema":"https://github.com/citation-style-language/schema/raw/master/csl-citation.json"}</w:instrText>
      </w:r>
      <w:r w:rsidR="00456CEC" w:rsidRPr="00CD12C5">
        <w:rPr>
          <w:sz w:val="24"/>
          <w:szCs w:val="24"/>
        </w:rPr>
        <w:fldChar w:fldCharType="separate"/>
      </w:r>
      <w:r w:rsidR="00456CEC" w:rsidRPr="00CD12C5">
        <w:rPr>
          <w:noProof/>
          <w:sz w:val="24"/>
          <w:szCs w:val="24"/>
        </w:rPr>
        <w:t>(Arbuthnot et al., 1976; Lacasse, 2015; Xiong et al., 2022)</w:t>
      </w:r>
      <w:r w:rsidR="00456CEC" w:rsidRPr="00CD12C5">
        <w:rPr>
          <w:sz w:val="24"/>
          <w:szCs w:val="24"/>
        </w:rPr>
        <w:fldChar w:fldCharType="end"/>
      </w:r>
      <w:r w:rsidRPr="00CD12C5">
        <w:rPr>
          <w:sz w:val="24"/>
          <w:szCs w:val="24"/>
        </w:rPr>
        <w:t>. In this study, SPT suggests that individuals with GT will form positive attitudes toward</w:t>
      </w:r>
      <w:r w:rsidRPr="00CD12C5">
        <w:rPr>
          <w:sz w:val="24"/>
          <w:szCs w:val="24"/>
          <w:lang w:val="en-GB"/>
        </w:rPr>
        <w:t>s</w:t>
      </w:r>
      <w:r w:rsidRPr="00CD12C5">
        <w:rPr>
          <w:sz w:val="24"/>
          <w:szCs w:val="24"/>
        </w:rPr>
        <w:t xml:space="preserve"> participating in river cleaning initiatives based on their past engagement in such activities</w:t>
      </w:r>
      <w:r w:rsidR="005F10BD" w:rsidRPr="00CD12C5">
        <w:rPr>
          <w:sz w:val="24"/>
          <w:szCs w:val="24"/>
        </w:rPr>
        <w:t xml:space="preserve"> </w:t>
      </w:r>
      <w:r w:rsidR="005F10BD" w:rsidRPr="00CD12C5">
        <w:rPr>
          <w:sz w:val="24"/>
          <w:szCs w:val="24"/>
        </w:rPr>
        <w:fldChar w:fldCharType="begin" w:fldLock="1"/>
      </w:r>
      <w:r w:rsidR="005F10BD" w:rsidRPr="00CD12C5">
        <w:rPr>
          <w:sz w:val="24"/>
          <w:szCs w:val="24"/>
        </w:rPr>
        <w:instrText>ADDIN CSL_CITATION {"citationItems":[{"id":"ITEM-1","itemData":{"DOI":"10.2190/BP8D-04W5-7FJ7-C5J5","ISSN":"00472433","abstract":"Based on Bem's self-perception theory, the ″foot-in-the-door″ technique was utilized to induce the pro-environmental behavior of recycling in a sample with no prior history of such behavior. The sample consisted of 291 citizens of a small city chosen at random from nonstudent neighborhoods. Experimental conditions consisted of all permutations of three types of prior requests. Compliance with the final request (recycling), as assessed one to two months later and in an 18-month follow-up, was significantly higher for conditions eliciting compliance with multiple prior request which required subject-originated actions, and particularly for compliance with a prior request high in task similarity with the final request. The results were discussed in terms of implications for induction of enduring subject-originated behavioral compliance.","author":[{"dropping-particle":"","family":"Arbuthnot","given":"Jack","non-dropping-particle":"","parse-names":false,"suffix":""},{"dropping-particle":"","family":"Tedeschi","given":"Richard","non-dropping-particle":"","parse-names":false,"suffix":""},{"dropping-particle":"","family":"Wayner","given":"Marc","non-dropping-particle":"","parse-names":false,"suffix":""},{"dropping-particle":"","family":"Turner","given":"James","non-dropping-particle":"","parse-names":false,"suffix":""},{"dropping-particle":"","family":"Kressel","given":"Stuart","non-dropping-particle":"","parse-names":false,"suffix":""},{"dropping-particle":"","family":"Rush","given":"Robert","non-dropping-particle":"","parse-names":false,"suffix":""}],"container-title":"Journal of Environmental Systems","id":"ITEM-1","issue":"4","issued":{"date-parts":[["1976"]]},"page":"355-368","title":"Induction of Sustained Recycling Behavior Through the Foot-in-the-Door Technique.","type":"article-journal","volume":"6"},"uris":["http://www.mendeley.com/documents/?uuid=d152be51-ca87-4dd9-b4a3-b072abf3d950"]},{"id":"ITEM-2","itemData":{"DOI":"10.1016/j.ijresmar.2007.06.002","ISSN":"01678116","abstract":"People frequently fail to see themselves as environmentally conscious consumers; one reason for this is that they are oftentimes prone to dismissing their more common ecological behaviors (e.g., avoid littering) as non-diagnostic for that particular self-image. The cueing of commonly performed ecological behaviors as environmentally friendly (what we call positive cueing) renders both cued and non-cued common ecological behaviors more diagnostic for the inference of pro-environmental attitudes (Study 1). As a result, positive cueing increases the likelihood that people will see themselves as consumers who are concerned with the degree to which their behavior is environmentally responsible (Study 2). The cueing of common ecological behaviors leads participants to choose environmentally friendly products with greater frequency, and even to use scrap paper more efficiently (Study 3). We discuss the implications for effective social marketing campaigns. © 2007 Elsevier B.V. All rights reserved.","author":[{"dropping-particle":"","family":"Cornelissen","given":"Gert","non-dropping-particle":"","parse-names":false,"suffix":""},{"dropping-particle":"","family":"Pandelaere","given":"Mario","non-dropping-particle":"","parse-names":false,"suffix":""},{"dropping-particle":"","family":"Warlop","given":"Luk","non-dropping-particle":"","parse-names":false,"suffix":""},{"dropping-particle":"","family":"Dewitte","given":"Siegfried","non-dropping-particle":"","parse-names":false,"suffix":""}],"container-title":"International Journal of Research in Marketing","id":"ITEM-2","issue":"1","issued":{"date-parts":[["2008"]]},"page":"46-55","title":"Positive cueing: Promoting sustainable consumer behavior by cueing common environmental behaviors as environmental","type":"article-journal","volume":"25"},"uris":["http://www.mendeley.com/documents/?uuid=5842ff23-8dc8-4239-8b82-798c7da15f64"]}],"mendeley":{"formattedCitation":"(Arbuthnot et al., 1976; Cornelissen et al., 2008)","plainTextFormattedCitation":"(Arbuthnot et al., 1976; Cornelissen et al., 2008)","previouslyFormattedCitation":"(Arbuthnot et al., 1976; Cornelissen et al., 2008)"},"properties":{"noteIndex":0},"schema":"https://github.com/citation-style-language/schema/raw/master/csl-citation.json"}</w:instrText>
      </w:r>
      <w:r w:rsidR="005F10BD" w:rsidRPr="00CD12C5">
        <w:rPr>
          <w:sz w:val="24"/>
          <w:szCs w:val="24"/>
        </w:rPr>
        <w:fldChar w:fldCharType="separate"/>
      </w:r>
      <w:r w:rsidR="005F10BD" w:rsidRPr="00CD12C5">
        <w:rPr>
          <w:noProof/>
          <w:sz w:val="24"/>
          <w:szCs w:val="24"/>
        </w:rPr>
        <w:t>(Arbuthnot et al., 1976; Cornelissen et al., 2008)</w:t>
      </w:r>
      <w:r w:rsidR="005F10BD" w:rsidRPr="00CD12C5">
        <w:rPr>
          <w:sz w:val="24"/>
          <w:szCs w:val="24"/>
        </w:rPr>
        <w:fldChar w:fldCharType="end"/>
      </w:r>
      <w:r w:rsidR="005F10BD" w:rsidRPr="00CD12C5">
        <w:rPr>
          <w:sz w:val="24"/>
          <w:szCs w:val="24"/>
        </w:rPr>
        <w:t xml:space="preserve">, </w:t>
      </w:r>
      <w:r w:rsidRPr="00CD12C5">
        <w:rPr>
          <w:sz w:val="24"/>
          <w:szCs w:val="24"/>
        </w:rPr>
        <w:t>believing that these efforts contribute to reducing pollution and improving river cleanliness. Notably, this study departs from previous research by employing GT within the context of human behavior in river cleaning initiatives, supported by the self-perception theoretical framework.</w:t>
      </w:r>
    </w:p>
    <w:p w14:paraId="2AD3B08A" w14:textId="16286CE3" w:rsidR="00233D90" w:rsidRPr="00CD12C5" w:rsidRDefault="00233D90" w:rsidP="00CD12C5">
      <w:pPr>
        <w:rPr>
          <w:sz w:val="24"/>
          <w:szCs w:val="24"/>
        </w:rPr>
      </w:pPr>
    </w:p>
    <w:p w14:paraId="29632073" w14:textId="77777777" w:rsidR="006D2F9C" w:rsidRPr="00CD12C5" w:rsidRDefault="006D2F9C" w:rsidP="00CD12C5">
      <w:pPr>
        <w:rPr>
          <w:sz w:val="24"/>
          <w:szCs w:val="24"/>
        </w:rPr>
      </w:pPr>
    </w:p>
    <w:p w14:paraId="2C2CB1C7" w14:textId="3CA9F26D" w:rsidR="00B263A8" w:rsidRDefault="007107B4">
      <w:pPr>
        <w:pStyle w:val="Heading2"/>
        <w:ind w:left="0"/>
        <w:jc w:val="both"/>
      </w:pPr>
      <w:r>
        <w:t xml:space="preserve">Study </w:t>
      </w:r>
      <w:r w:rsidR="00367E5B">
        <w:t>m</w:t>
      </w:r>
      <w:r>
        <w:t>ethod</w:t>
      </w:r>
    </w:p>
    <w:p w14:paraId="49ACE02E" w14:textId="77777777" w:rsidR="00B263A8" w:rsidRDefault="00B263A8"/>
    <w:p w14:paraId="08212A18" w14:textId="6AA1C179" w:rsidR="00B263A8" w:rsidRPr="00367E5B" w:rsidRDefault="007107B4" w:rsidP="00367E5B">
      <w:pPr>
        <w:jc w:val="both"/>
        <w:rPr>
          <w:sz w:val="24"/>
          <w:szCs w:val="24"/>
        </w:rPr>
      </w:pPr>
      <w:r w:rsidRPr="00367E5B">
        <w:rPr>
          <w:sz w:val="24"/>
          <w:szCs w:val="24"/>
        </w:rPr>
        <w:t xml:space="preserve">According to </w:t>
      </w:r>
      <w:r w:rsidRPr="00367E5B">
        <w:rPr>
          <w:sz w:val="24"/>
          <w:szCs w:val="24"/>
        </w:rPr>
        <w:fldChar w:fldCharType="begin" w:fldLock="1"/>
      </w:r>
      <w:r w:rsidR="005F10BD" w:rsidRPr="00367E5B">
        <w:rPr>
          <w:sz w:val="24"/>
          <w:szCs w:val="24"/>
        </w:rPr>
        <w:instrText>ADDIN CSL_CITATION {"citationItems":[{"id":"ITEM-1","itemData":{"abstract":"This paper deals with the concept of Population and Sample in research, especially in educational and psychological researches and the researches carried out in the field of Sociology, Commerce and Humanities. Basic types of population and sample are also discussed briefly in it.","author":[{"dropping-particle":"","family":"Shukla","given":"Satishprakash","non-dropping-particle":"","parse-names":false,"suffix":""}],"container-title":"How to Write a Research Paper","id":"ITEM-1","issue":"June","issued":{"date-parts":[["2020"]]},"page":"1-6","title":"Concept of Population and Sample","type":"article-journal"},"uris":["http://www.mendeley.com/documents/?uuid=8dcf46e7-71d2-4b52-895e-b1d4397d65c6"]}],"mendeley":{"formattedCitation":"(Shukla, 2020)","manualFormatting":"Shukla (2020)","plainTextFormattedCitation":"(Shukla, 2020)","previouslyFormattedCitation":"(Shukla, 2020)"},"properties":{"noteIndex":0},"schema":"https://github.com/citation-style-language/schema/raw/master/csl-citation.json"}</w:instrText>
      </w:r>
      <w:r w:rsidRPr="00367E5B">
        <w:rPr>
          <w:sz w:val="24"/>
          <w:szCs w:val="24"/>
        </w:rPr>
        <w:fldChar w:fldCharType="separate"/>
      </w:r>
      <w:r w:rsidRPr="00367E5B">
        <w:rPr>
          <w:noProof/>
          <w:sz w:val="24"/>
          <w:szCs w:val="24"/>
        </w:rPr>
        <w:t>Shukla (2020)</w:t>
      </w:r>
      <w:r w:rsidRPr="00367E5B">
        <w:rPr>
          <w:sz w:val="24"/>
          <w:szCs w:val="24"/>
        </w:rPr>
        <w:fldChar w:fldCharType="end"/>
      </w:r>
      <w:r w:rsidRPr="00367E5B">
        <w:rPr>
          <w:sz w:val="24"/>
          <w:szCs w:val="24"/>
        </w:rPr>
        <w:t xml:space="preserve"> sampling is the process of selecting several elements from the population to form a conclusion about th</w:t>
      </w:r>
      <w:r w:rsidRPr="00367E5B">
        <w:rPr>
          <w:sz w:val="24"/>
          <w:szCs w:val="24"/>
          <w:lang w:val="en-GB"/>
        </w:rPr>
        <w:t>at</w:t>
      </w:r>
      <w:r w:rsidRPr="00367E5B">
        <w:rPr>
          <w:sz w:val="24"/>
          <w:szCs w:val="24"/>
        </w:rPr>
        <w:t xml:space="preserve"> population. The method of determining the sample size is based on the statistical formula recommended by </w:t>
      </w:r>
      <w:r w:rsidRPr="00367E5B">
        <w:rPr>
          <w:sz w:val="24"/>
          <w:szCs w:val="24"/>
        </w:rPr>
        <w:fldChar w:fldCharType="begin" w:fldLock="1"/>
      </w:r>
      <w:r w:rsidRPr="00367E5B">
        <w:rPr>
          <w:sz w:val="24"/>
          <w:szCs w:val="24"/>
        </w:rPr>
        <w:instrText>ADDIN CSL_CITATION {"citationItems":[{"id":"ITEM-1","itemData":{"ISSN":"1552-3888(Electronic),0013-1644(Print)","abstract":"Presents a table which may be used to find sample size when the population size is known, the population proportion is .5, and the degree of accuracy is .05. (PsycINFO Database Record (c) 2016 APA, all rights reserved)","author":[{"dropping-particle":"V","family":"Krejcie","given":"Robert","non-dropping-particle":"","parse-names":false,"suffix":""},{"dropping-particle":"","family":"Morgan","given":"Daryle W","non-dropping-particle":"","parse-names":false,"suffix":""}],"container-title":"Educational and Psychological Measurement","id":"ITEM-1","issued":{"date-parts":[["1970"]]},"page":"607-610","publisher":"Sage Publications","publisher-place":"US","title":"Determining sample size for research activities.","type":"article-journal","volume":"30"},"uris":["http://www.mendeley.com/documents/?uuid=9680c986-f469-4c27-9fc8-db128cff9c5c"]}],"mendeley":{"formattedCitation":"(Krejcie &amp; Morgan, 1970)","manualFormatting":"Krejcie &amp; Morgan, (1970)","plainTextFormattedCitation":"(Krejcie &amp; Morgan, 1970)","previouslyFormattedCitation":"(Krejcie &amp; Morgan, 1970)"},"properties":{"noteIndex":0},"schema":"https://github.com/citation-style-language/schema/raw/master/csl-citation.json"}</w:instrText>
      </w:r>
      <w:r w:rsidRPr="00367E5B">
        <w:rPr>
          <w:sz w:val="24"/>
          <w:szCs w:val="24"/>
        </w:rPr>
        <w:fldChar w:fldCharType="separate"/>
      </w:r>
      <w:r w:rsidRPr="00367E5B">
        <w:rPr>
          <w:noProof/>
          <w:sz w:val="24"/>
          <w:szCs w:val="24"/>
        </w:rPr>
        <w:t>Krejcie &amp; Morgan, (1970)</w:t>
      </w:r>
      <w:r w:rsidRPr="00367E5B">
        <w:rPr>
          <w:sz w:val="24"/>
          <w:szCs w:val="24"/>
        </w:rPr>
        <w:fldChar w:fldCharType="end"/>
      </w:r>
      <w:r w:rsidRPr="00367E5B">
        <w:rPr>
          <w:sz w:val="24"/>
          <w:szCs w:val="24"/>
        </w:rPr>
        <w:t xml:space="preserve"> as follows:</w:t>
      </w:r>
    </w:p>
    <w:p w14:paraId="7B5884FA" w14:textId="77777777" w:rsidR="00B263A8" w:rsidRDefault="007107B4">
      <w:r>
        <w:rPr>
          <w:noProof/>
          <w:lang w:val="en-MY" w:eastAsia="en-MY"/>
        </w:rPr>
        <mc:AlternateContent>
          <mc:Choice Requires="wps">
            <w:drawing>
              <wp:anchor distT="0" distB="0" distL="114300" distR="114300" simplePos="0" relativeHeight="251659264" behindDoc="0" locked="0" layoutInCell="1" allowOverlap="1" wp14:anchorId="3AD86A71" wp14:editId="1B7846FF">
                <wp:simplePos x="0" y="0"/>
                <wp:positionH relativeFrom="column">
                  <wp:posOffset>2529840</wp:posOffset>
                </wp:positionH>
                <wp:positionV relativeFrom="paragraph">
                  <wp:posOffset>323850</wp:posOffset>
                </wp:positionV>
                <wp:extent cx="1656080" cy="0"/>
                <wp:effectExtent l="0" t="0" r="20320" b="33655"/>
                <wp:wrapNone/>
                <wp:docPr id="3" name="Straight Connector 3"/>
                <wp:cNvGraphicFramePr/>
                <a:graphic xmlns:a="http://schemas.openxmlformats.org/drawingml/2006/main">
                  <a:graphicData uri="http://schemas.microsoft.com/office/word/2010/wordprocessingShape">
                    <wps:wsp>
                      <wps:cNvCnPr/>
                      <wps:spPr>
                        <a:xfrm>
                          <a:off x="0" y="0"/>
                          <a:ext cx="16562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A2436C7"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9.2pt,25.5pt" to="329.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" strokecolor="black [3213]"/>
            </w:pict>
          </mc:Fallback>
        </mc:AlternateContent>
      </w:r>
    </w:p>
    <w:p w14:paraId="0DF255BF" w14:textId="77777777" w:rsidR="00B263A8" w:rsidRDefault="007107B4">
      <w:pPr>
        <w:rPr>
          <w:rFonts w:eastAsiaTheme="minorEastAsia"/>
        </w:rPr>
      </w:pPr>
      <m:oMathPara>
        <m:oMath>
          <m:r>
            <w:rPr>
              <w:rFonts w:ascii="Cambria Math" w:hAnsi="Cambria Math"/>
            </w:rPr>
            <m:t>n=</m:t>
          </m:r>
          <m:sSup>
            <m:sSupPr>
              <m:ctrlPr>
                <w:rPr>
                  <w:rFonts w:ascii="Cambria Math" w:hAnsi="Cambria Math"/>
                  <w:i/>
                </w:rPr>
              </m:ctrlPr>
            </m:sSupPr>
            <m:e>
              <m:r>
                <w:rPr>
                  <w:rFonts w:ascii="Cambria Math" w:hAnsi="Cambria Math"/>
                </w:rPr>
                <m:t xml:space="preserve">              x</m:t>
              </m:r>
            </m:e>
            <m:sup>
              <m:r>
                <w:rPr>
                  <w:rFonts w:ascii="Cambria Math" w:hAnsi="Cambria Math"/>
                </w:rPr>
                <m:t>2</m:t>
              </m:r>
            </m:sup>
          </m:sSup>
          <m:r>
            <w:rPr>
              <w:rFonts w:ascii="Cambria Math" w:hAnsi="Cambria Math"/>
            </w:rPr>
            <m:t>NP</m:t>
          </m:r>
          <m:d>
            <m:dPr>
              <m:ctrlPr>
                <w:rPr>
                  <w:rFonts w:ascii="Cambria Math" w:hAnsi="Cambria Math"/>
                  <w:i/>
                </w:rPr>
              </m:ctrlPr>
            </m:dPr>
            <m:e>
              <m:r>
                <w:rPr>
                  <w:rFonts w:ascii="Cambria Math" w:hAnsi="Cambria Math"/>
                </w:rPr>
                <m:t>1-P</m:t>
              </m:r>
            </m:e>
          </m:d>
        </m:oMath>
      </m:oMathPara>
    </w:p>
    <w:p w14:paraId="24D03BA8" w14:textId="77777777" w:rsidR="00B263A8" w:rsidRDefault="00B6585A">
      <w:pPr>
        <w:ind w:left="1440"/>
        <w:rPr>
          <w:rFonts w:eastAsiaTheme="minorEastAsia"/>
        </w:rPr>
      </w:pPr>
      <m:oMathPara>
        <m:oMath>
          <m:sSup>
            <m:sSupPr>
              <m:ctrlPr>
                <w:rPr>
                  <w:rFonts w:ascii="Cambria Math" w:hAnsi="Cambria Math"/>
                  <w:i/>
                </w:rPr>
              </m:ctrlPr>
            </m:sSupPr>
            <m:e>
              <m:r>
                <w:rPr>
                  <w:rFonts w:ascii="Cambria Math" w:hAnsi="Cambria Math"/>
                </w:rPr>
                <m:t>d</m:t>
              </m:r>
            </m:e>
            <m:sup>
              <m:r>
                <w:rPr>
                  <w:rFonts w:ascii="Cambria Math" w:hAnsi="Cambria Math"/>
                </w:rPr>
                <m:t>2</m:t>
              </m:r>
            </m:sup>
          </m:sSup>
          <m:d>
            <m:dPr>
              <m:ctrlPr>
                <w:rPr>
                  <w:rFonts w:ascii="Cambria Math" w:hAnsi="Cambria Math"/>
                  <w:i/>
                </w:rPr>
              </m:ctrlPr>
            </m:dPr>
            <m:e>
              <m:r>
                <w:rPr>
                  <w:rFonts w:ascii="Cambria Math" w:hAnsi="Cambria Math"/>
                </w:rPr>
                <m:t>N-1</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P(1-P)</m:t>
          </m:r>
        </m:oMath>
      </m:oMathPara>
    </w:p>
    <w:p w14:paraId="46A40F80" w14:textId="59AC0836" w:rsidR="00B263A8" w:rsidRPr="007832DC" w:rsidRDefault="007107B4" w:rsidP="007832DC">
      <w:pPr>
        <w:ind w:left="1440"/>
        <w:rPr>
          <w:sz w:val="24"/>
          <w:szCs w:val="24"/>
        </w:rPr>
      </w:pPr>
      <w:r>
        <w:rPr>
          <w:noProof/>
          <w:lang w:val="en-MY" w:eastAsia="en-MY"/>
        </w:rPr>
        <w:lastRenderedPageBreak/>
        <mc:AlternateContent>
          <mc:Choice Requires="wps">
            <w:drawing>
              <wp:anchor distT="0" distB="0" distL="114300" distR="114300" simplePos="0" relativeHeight="251661312" behindDoc="1" locked="0" layoutInCell="1" allowOverlap="1" wp14:anchorId="70486539" wp14:editId="24602B94">
                <wp:simplePos x="0" y="0"/>
                <wp:positionH relativeFrom="column">
                  <wp:posOffset>620395</wp:posOffset>
                </wp:positionH>
                <wp:positionV relativeFrom="paragraph">
                  <wp:posOffset>56515</wp:posOffset>
                </wp:positionV>
                <wp:extent cx="4953635" cy="476885"/>
                <wp:effectExtent l="0" t="0" r="0" b="0"/>
                <wp:wrapTight wrapText="bothSides">
                  <wp:wrapPolygon edited="0">
                    <wp:start x="0" y="0"/>
                    <wp:lineTo x="0" y="20708"/>
                    <wp:lineTo x="21514" y="20708"/>
                    <wp:lineTo x="21514"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4953635" cy="476885"/>
                        </a:xfrm>
                        <a:prstGeom prst="rect">
                          <a:avLst/>
                        </a:prstGeom>
                        <a:solidFill>
                          <a:prstClr val="white"/>
                        </a:solidFill>
                        <a:ln>
                          <a:noFill/>
                        </a:ln>
                      </wps:spPr>
                      <wps:txbx>
                        <w:txbxContent>
                          <w:p w14:paraId="5AB7F333" w14:textId="77777777" w:rsidR="005520E2" w:rsidRDefault="005520E2">
                            <w:pPr>
                              <w:pStyle w:val="Caption"/>
                              <w:jc w:val="both"/>
                              <w:rPr>
                                <w:i w:val="0"/>
                                <w:iCs w:val="0"/>
                                <w:color w:val="auto"/>
                                <w:sz w:val="20"/>
                                <w:szCs w:val="20"/>
                              </w:rPr>
                            </w:pPr>
                            <w:r>
                              <w:rPr>
                                <w:i w:val="0"/>
                                <w:iCs w:val="0"/>
                                <w:color w:val="auto"/>
                                <w:sz w:val="20"/>
                                <w:szCs w:val="20"/>
                              </w:rPr>
                              <w:t>Note: n = required sample size; x² = chi-square for specified confidence level at 1 degree of freedom (1.96 for 95% of confidence level); N = population size; P = population portion (assumed to be 0.5 since this would provide the maximum sample size); d² = desired margin of error (0.05)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70486539" id="_x0000_t202" coordsize="21600,21600" o:spt="202" path="m,l,21600r21600,l21600,xe">
                <v:stroke joinstyle="miter"/>
                <v:path gradientshapeok="t" o:connecttype="rect"/>
              </v:shapetype>
              <v:shape id="Text Box 8" o:spid="_x0000_s1026" type="#_x0000_t202" style="position:absolute;left:0;text-align:left;margin-left:48.85pt;margin-top:4.45pt;width:390.05pt;height:37.5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" stroked="f">
                <v:textbox inset="0,0,0,0">
                  <w:txbxContent>
                    <w:p w14:paraId="5AB7F333" w14:textId="77777777" w:rsidR="005520E2" w:rsidRDefault="005520E2">
                      <w:pPr>
                        <w:pStyle w:val="Caption"/>
                        <w:jc w:val="both"/>
                        <w:rPr>
                          <w:i w:val="0"/>
                          <w:iCs w:val="0"/>
                          <w:color w:val="auto"/>
                          <w:sz w:val="20"/>
                          <w:szCs w:val="20"/>
                        </w:rPr>
                      </w:pPr>
                      <w:r>
                        <w:rPr>
                          <w:i w:val="0"/>
                          <w:iCs w:val="0"/>
                          <w:color w:val="auto"/>
                          <w:sz w:val="20"/>
                          <w:szCs w:val="20"/>
                        </w:rPr>
                        <w:t>Note: n = required sample size; x² = chi-square for specified confidence level at 1 degree of freedom (1.96 for 95% of confidence level); N = population size; P = population portion (assumed to be 0.5 since this would provide the maximum sample size); d² = desired margin of error (0.05)</w:t>
                      </w:r>
                    </w:p>
                  </w:txbxContent>
                </v:textbox>
                <w10:wrap type="tight"/>
              </v:shape>
            </w:pict>
          </mc:Fallback>
        </mc:AlternateContent>
      </w:r>
    </w:p>
    <w:p w14:paraId="1EF372E0" w14:textId="29563365" w:rsidR="00B263A8" w:rsidRPr="007832DC" w:rsidRDefault="007107B4" w:rsidP="007832DC">
      <w:pPr>
        <w:ind w:firstLine="720"/>
        <w:jc w:val="both"/>
        <w:rPr>
          <w:sz w:val="24"/>
          <w:szCs w:val="24"/>
        </w:rPr>
      </w:pPr>
      <w:r w:rsidRPr="007832DC">
        <w:rPr>
          <w:sz w:val="24"/>
          <w:szCs w:val="24"/>
        </w:rPr>
        <w:t xml:space="preserve">Based on the above formula, the sample size required for this study is 293. This </w:t>
      </w:r>
      <w:r w:rsidR="00F11EE6" w:rsidRPr="007832DC">
        <w:rPr>
          <w:sz w:val="24"/>
          <w:szCs w:val="24"/>
        </w:rPr>
        <w:t>sample number represents the study population of 1,220 small boat</w:t>
      </w:r>
      <w:r w:rsidRPr="007832DC">
        <w:rPr>
          <w:sz w:val="24"/>
          <w:szCs w:val="24"/>
        </w:rPr>
        <w:t xml:space="preserve"> operators in the Klang and Port Klang districts. However, the sample taken is above the estimated minimum value. </w:t>
      </w:r>
      <w:r w:rsidRPr="007832DC">
        <w:rPr>
          <w:sz w:val="24"/>
          <w:szCs w:val="24"/>
          <w:lang w:val="en-GB"/>
        </w:rPr>
        <w:t>A</w:t>
      </w:r>
      <w:r w:rsidRPr="007832DC">
        <w:rPr>
          <w:sz w:val="24"/>
          <w:szCs w:val="24"/>
        </w:rPr>
        <w:t xml:space="preserve"> </w:t>
      </w:r>
      <w:r w:rsidR="00F11EE6" w:rsidRPr="007832DC">
        <w:rPr>
          <w:sz w:val="24"/>
          <w:szCs w:val="24"/>
        </w:rPr>
        <w:t>self-administered questionnaire was used to conduct a survey</w:t>
      </w:r>
      <w:r w:rsidRPr="007832DC">
        <w:rPr>
          <w:sz w:val="24"/>
          <w:szCs w:val="24"/>
        </w:rPr>
        <w:t>. A sample of 350 respondents from the Port Klang Area Fishermen's Association community</w:t>
      </w:r>
      <w:r w:rsidR="00F11EE6" w:rsidRPr="007832DC">
        <w:rPr>
          <w:sz w:val="24"/>
          <w:szCs w:val="24"/>
        </w:rPr>
        <w:t>,</w:t>
      </w:r>
      <w:r w:rsidRPr="007832DC">
        <w:rPr>
          <w:sz w:val="24"/>
          <w:szCs w:val="24"/>
        </w:rPr>
        <w:t xml:space="preserve"> namely Pengkalan Nelayan Kampung Sg. Sireh residing downstream of the Klang River (refer to </w:t>
      </w:r>
      <w:r w:rsidR="007832DC">
        <w:rPr>
          <w:sz w:val="24"/>
          <w:szCs w:val="24"/>
        </w:rPr>
        <w:t>Figure</w:t>
      </w:r>
      <w:r w:rsidRPr="007832DC">
        <w:rPr>
          <w:sz w:val="24"/>
          <w:szCs w:val="24"/>
        </w:rPr>
        <w:t xml:space="preserve"> 1) and </w:t>
      </w:r>
      <w:r w:rsidR="00F11EE6" w:rsidRPr="007832DC">
        <w:rPr>
          <w:sz w:val="24"/>
          <w:szCs w:val="24"/>
        </w:rPr>
        <w:t xml:space="preserve">Selangor Recreational Boat Association (PBRS) members </w:t>
      </w:r>
      <w:r w:rsidRPr="007832DC">
        <w:rPr>
          <w:sz w:val="24"/>
          <w:szCs w:val="24"/>
        </w:rPr>
        <w:t>who use the Klang River as their main route to the ocean were randomly selected.</w:t>
      </w:r>
    </w:p>
    <w:p w14:paraId="7C8AB8E3" w14:textId="77777777" w:rsidR="00B263A8" w:rsidRPr="007832DC" w:rsidRDefault="00B263A8" w:rsidP="007832DC">
      <w:pPr>
        <w:ind w:firstLine="720"/>
        <w:jc w:val="both"/>
        <w:rPr>
          <w:sz w:val="24"/>
          <w:szCs w:val="24"/>
        </w:rPr>
      </w:pPr>
    </w:p>
    <w:p w14:paraId="70E3E189" w14:textId="77777777" w:rsidR="00B263A8" w:rsidRPr="007832DC" w:rsidRDefault="007107B4" w:rsidP="007832DC">
      <w:pPr>
        <w:ind w:firstLine="720"/>
        <w:jc w:val="center"/>
        <w:rPr>
          <w:sz w:val="24"/>
          <w:szCs w:val="24"/>
        </w:rPr>
      </w:pPr>
      <w:r w:rsidRPr="007832DC">
        <w:rPr>
          <w:b/>
          <w:noProof/>
          <w:sz w:val="24"/>
          <w:szCs w:val="24"/>
          <w:lang w:val="en-MY" w:eastAsia="en-MY"/>
        </w:rPr>
        <w:drawing>
          <wp:inline distT="0" distB="0" distL="0" distR="0" wp14:anchorId="18748796" wp14:editId="49824F85">
            <wp:extent cx="3458210" cy="268859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detail="2"/>
                              </a14:imgEffect>
                            </a14:imgLayer>
                          </a14:imgProps>
                        </a:ext>
                        <a:ext uri="{28A0092B-C50C-407E-A947-70E740481C1C}">
                          <a14:useLocalDpi xmlns:a14="http://schemas.microsoft.com/office/drawing/2010/main" val="0"/>
                        </a:ext>
                      </a:extLst>
                    </a:blip>
                    <a:srcRect/>
                    <a:stretch>
                      <a:fillRect/>
                    </a:stretch>
                  </pic:blipFill>
                  <pic:spPr>
                    <a:xfrm>
                      <a:off x="0" y="0"/>
                      <a:ext cx="3483630" cy="2708650"/>
                    </a:xfrm>
                    <a:prstGeom prst="rect">
                      <a:avLst/>
                    </a:prstGeom>
                    <a:noFill/>
                  </pic:spPr>
                </pic:pic>
              </a:graphicData>
            </a:graphic>
          </wp:inline>
        </w:drawing>
      </w:r>
    </w:p>
    <w:p w14:paraId="59DE43F3" w14:textId="77777777" w:rsidR="007832DC" w:rsidRDefault="007832DC" w:rsidP="007832DC">
      <w:pPr>
        <w:ind w:firstLine="720"/>
        <w:jc w:val="center"/>
        <w:rPr>
          <w:b/>
          <w:sz w:val="20"/>
          <w:szCs w:val="20"/>
        </w:rPr>
      </w:pPr>
    </w:p>
    <w:p w14:paraId="71503562" w14:textId="7C72C436" w:rsidR="00B263A8" w:rsidRPr="007832DC" w:rsidRDefault="007832DC" w:rsidP="007832DC">
      <w:pPr>
        <w:ind w:firstLine="720"/>
        <w:jc w:val="center"/>
        <w:rPr>
          <w:sz w:val="20"/>
          <w:szCs w:val="20"/>
        </w:rPr>
      </w:pPr>
      <w:r w:rsidRPr="007832DC">
        <w:rPr>
          <w:b/>
          <w:sz w:val="20"/>
          <w:szCs w:val="20"/>
        </w:rPr>
        <w:t>Figure</w:t>
      </w:r>
      <w:r w:rsidR="007107B4" w:rsidRPr="007832DC">
        <w:rPr>
          <w:b/>
          <w:spacing w:val="-3"/>
          <w:sz w:val="20"/>
          <w:szCs w:val="20"/>
        </w:rPr>
        <w:t xml:space="preserve"> </w:t>
      </w:r>
      <w:r w:rsidR="007107B4" w:rsidRPr="007832DC">
        <w:rPr>
          <w:b/>
          <w:sz w:val="20"/>
          <w:szCs w:val="20"/>
        </w:rPr>
        <w:t>1.</w:t>
      </w:r>
      <w:r w:rsidR="007107B4" w:rsidRPr="007832DC">
        <w:rPr>
          <w:b/>
          <w:spacing w:val="46"/>
          <w:sz w:val="20"/>
          <w:szCs w:val="20"/>
        </w:rPr>
        <w:t xml:space="preserve"> </w:t>
      </w:r>
      <w:r w:rsidR="007107B4" w:rsidRPr="007832DC">
        <w:rPr>
          <w:sz w:val="20"/>
          <w:szCs w:val="20"/>
        </w:rPr>
        <w:t>Downstream of Klang River (google.com/maps)</w:t>
      </w:r>
    </w:p>
    <w:p w14:paraId="2D1CF11B" w14:textId="77777777" w:rsidR="00B263A8" w:rsidRPr="007832DC" w:rsidRDefault="00B263A8" w:rsidP="007832DC">
      <w:pPr>
        <w:ind w:firstLine="720"/>
        <w:jc w:val="center"/>
        <w:rPr>
          <w:sz w:val="24"/>
          <w:szCs w:val="24"/>
        </w:rPr>
      </w:pPr>
    </w:p>
    <w:p w14:paraId="4A5A6011" w14:textId="77777777" w:rsidR="00B263A8" w:rsidRPr="007832DC" w:rsidRDefault="007107B4" w:rsidP="007832DC">
      <w:pPr>
        <w:ind w:firstLine="720"/>
        <w:jc w:val="both"/>
        <w:rPr>
          <w:sz w:val="24"/>
          <w:szCs w:val="24"/>
        </w:rPr>
      </w:pPr>
      <w:r w:rsidRPr="007832DC">
        <w:rPr>
          <w:sz w:val="24"/>
          <w:szCs w:val="24"/>
        </w:rPr>
        <w:t>The questionnaire was divided into four sections: demographics, self-efficacy assessment in addressing river pollution issues, measurement of individual trust levels towards river cleaning initiatives, and measurement of availability, ability, and time allocation for participating in river cleaning initiatives. The questionnaire employed a Likert scale with response options ranging from “1 - Strongly Disagree” to “5 - Strongly Agree”.</w:t>
      </w:r>
    </w:p>
    <w:p w14:paraId="7147D7DF" w14:textId="4FCD2F3D" w:rsidR="006D2F9C" w:rsidRPr="007832DC" w:rsidRDefault="007107B4" w:rsidP="007832DC">
      <w:pPr>
        <w:tabs>
          <w:tab w:val="left" w:pos="567"/>
        </w:tabs>
        <w:jc w:val="both"/>
        <w:rPr>
          <w:sz w:val="24"/>
          <w:szCs w:val="24"/>
        </w:rPr>
      </w:pPr>
      <w:r w:rsidRPr="007832DC">
        <w:rPr>
          <w:sz w:val="24"/>
          <w:szCs w:val="24"/>
        </w:rPr>
        <w:tab/>
        <w:t>The findings of the study were analyzed using SPSS version 21.0</w:t>
      </w:r>
      <w:r w:rsidRPr="007832DC">
        <w:rPr>
          <w:sz w:val="24"/>
          <w:szCs w:val="24"/>
          <w:lang w:val="en-GB"/>
        </w:rPr>
        <w:t>. It</w:t>
      </w:r>
      <w:r w:rsidRPr="007832DC">
        <w:rPr>
          <w:sz w:val="24"/>
          <w:szCs w:val="24"/>
        </w:rPr>
        <w:t xml:space="preserve"> revealed </w:t>
      </w:r>
      <w:r w:rsidRPr="007832DC">
        <w:rPr>
          <w:sz w:val="24"/>
          <w:szCs w:val="24"/>
          <w:lang w:val="en-GB"/>
        </w:rPr>
        <w:t xml:space="preserve">that </w:t>
      </w:r>
      <w:r w:rsidRPr="007832DC">
        <w:rPr>
          <w:sz w:val="24"/>
          <w:szCs w:val="24"/>
        </w:rPr>
        <w:t>respondents</w:t>
      </w:r>
      <w:r w:rsidRPr="007832DC">
        <w:rPr>
          <w:sz w:val="24"/>
          <w:szCs w:val="24"/>
          <w:lang w:val="en-GB"/>
        </w:rPr>
        <w:t xml:space="preserve"> </w:t>
      </w:r>
      <w:r w:rsidR="00F11EE6" w:rsidRPr="007832DC">
        <w:rPr>
          <w:sz w:val="24"/>
          <w:szCs w:val="24"/>
          <w:lang w:val="en-GB"/>
        </w:rPr>
        <w:t>had difficulties</w:t>
      </w:r>
      <w:r w:rsidRPr="007832DC">
        <w:rPr>
          <w:sz w:val="24"/>
          <w:szCs w:val="24"/>
        </w:rPr>
        <w:t xml:space="preserve"> understanding the questionnaire's requirements despite clear instructions. Some respondents required assistance due to low literacy levels, necessitating the questionnaire to be read aloud and their responses recorded. Several items from the GSE and Intention to participate in river cleaning initiatives constructs were excluded due to semantic redundancy. The measurements of the constructs </w:t>
      </w:r>
      <w:r w:rsidR="00F11EE6" w:rsidRPr="007832DC">
        <w:rPr>
          <w:sz w:val="24"/>
          <w:szCs w:val="24"/>
        </w:rPr>
        <w:t>are described</w:t>
      </w:r>
      <w:r w:rsidRPr="007832DC">
        <w:rPr>
          <w:sz w:val="24"/>
          <w:szCs w:val="24"/>
        </w:rPr>
        <w:t xml:space="preserve"> in Table </w:t>
      </w:r>
      <w:r w:rsidR="007832DC">
        <w:rPr>
          <w:sz w:val="24"/>
          <w:szCs w:val="24"/>
        </w:rPr>
        <w:t>2</w:t>
      </w:r>
      <w:r w:rsidRPr="007832DC">
        <w:rPr>
          <w:sz w:val="24"/>
          <w:szCs w:val="24"/>
        </w:rPr>
        <w:t>.</w:t>
      </w:r>
    </w:p>
    <w:p w14:paraId="71208A53" w14:textId="742A6FFA" w:rsidR="00B263A8" w:rsidRDefault="00B263A8">
      <w:pPr>
        <w:tabs>
          <w:tab w:val="left" w:pos="567"/>
        </w:tabs>
        <w:jc w:val="both"/>
      </w:pPr>
    </w:p>
    <w:p w14:paraId="0867768F" w14:textId="5B8FC648" w:rsidR="00B263A8" w:rsidRDefault="007107B4" w:rsidP="00927DF7">
      <w:pPr>
        <w:tabs>
          <w:tab w:val="left" w:pos="567"/>
        </w:tabs>
        <w:jc w:val="center"/>
      </w:pPr>
      <w:r>
        <w:rPr>
          <w:b/>
          <w:bCs/>
          <w:sz w:val="20"/>
          <w:szCs w:val="20"/>
        </w:rPr>
        <w:t xml:space="preserve">Table </w:t>
      </w:r>
      <w:r w:rsidR="007832DC">
        <w:rPr>
          <w:b/>
          <w:bCs/>
          <w:sz w:val="20"/>
          <w:szCs w:val="20"/>
        </w:rPr>
        <w:t>2</w:t>
      </w:r>
      <w:r>
        <w:rPr>
          <w:b/>
          <w:bCs/>
          <w:sz w:val="20"/>
          <w:szCs w:val="20"/>
        </w:rPr>
        <w:t>.</w:t>
      </w:r>
      <w:r>
        <w:rPr>
          <w:sz w:val="20"/>
          <w:szCs w:val="20"/>
        </w:rPr>
        <w:t xml:space="preserve"> Measurements </w:t>
      </w:r>
      <w:r w:rsidR="00927DF7">
        <w:rPr>
          <w:sz w:val="20"/>
          <w:szCs w:val="20"/>
        </w:rPr>
        <w:t>constructs of the variables</w:t>
      </w:r>
    </w:p>
    <w:p w14:paraId="043C0EB7" w14:textId="77777777" w:rsidR="00B263A8" w:rsidRDefault="007107B4">
      <w:pPr>
        <w:tabs>
          <w:tab w:val="left" w:pos="567"/>
        </w:tabs>
        <w:jc w:val="both"/>
      </w:pPr>
      <w:r>
        <w:tab/>
      </w:r>
    </w:p>
    <w:tbl>
      <w:tblPr>
        <w:tblStyle w:val="PlainTable21"/>
        <w:tblW w:w="0" w:type="auto"/>
        <w:tblInd w:w="250" w:type="dxa"/>
        <w:tblBorders>
          <w:top w:val="none" w:sz="0" w:space="0" w:color="auto"/>
          <w:bottom w:val="none" w:sz="0" w:space="0" w:color="auto"/>
        </w:tblBorders>
        <w:tblLook w:val="04A0" w:firstRow="1" w:lastRow="0" w:firstColumn="1" w:lastColumn="0" w:noHBand="0" w:noVBand="1"/>
      </w:tblPr>
      <w:tblGrid>
        <w:gridCol w:w="2072"/>
        <w:gridCol w:w="3275"/>
        <w:gridCol w:w="3433"/>
      </w:tblGrid>
      <w:tr w:rsidR="00B263A8" w14:paraId="5D6050F6" w14:textId="77777777" w:rsidTr="00927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bottom w:val="single" w:sz="4" w:space="0" w:color="auto"/>
            </w:tcBorders>
            <w:shd w:val="clear" w:color="auto" w:fill="95B3D7" w:themeFill="accent1" w:themeFillTint="99"/>
          </w:tcPr>
          <w:p w14:paraId="0F0D2FE4" w14:textId="77777777" w:rsidR="00B263A8" w:rsidRDefault="007107B4" w:rsidP="00927DF7">
            <w:pPr>
              <w:pStyle w:val="BodyText"/>
              <w:ind w:right="139"/>
              <w:jc w:val="center"/>
              <w:rPr>
                <w:b w:val="0"/>
                <w:bCs w:val="0"/>
                <w:sz w:val="20"/>
                <w:szCs w:val="20"/>
              </w:rPr>
            </w:pPr>
            <w:r>
              <w:rPr>
                <w:sz w:val="20"/>
                <w:szCs w:val="20"/>
              </w:rPr>
              <w:t>Variable</w:t>
            </w:r>
          </w:p>
        </w:tc>
        <w:tc>
          <w:tcPr>
            <w:tcW w:w="3402" w:type="dxa"/>
            <w:tcBorders>
              <w:top w:val="single" w:sz="4" w:space="0" w:color="auto"/>
              <w:bottom w:val="single" w:sz="4" w:space="0" w:color="auto"/>
            </w:tcBorders>
            <w:shd w:val="clear" w:color="auto" w:fill="95B3D7" w:themeFill="accent1" w:themeFillTint="99"/>
          </w:tcPr>
          <w:p w14:paraId="07F2F428" w14:textId="77777777" w:rsidR="00B263A8" w:rsidRDefault="007107B4" w:rsidP="00927DF7">
            <w:pPr>
              <w:pStyle w:val="BodyText"/>
              <w:ind w:right="139"/>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Description</w:t>
            </w:r>
          </w:p>
        </w:tc>
        <w:tc>
          <w:tcPr>
            <w:tcW w:w="3544" w:type="dxa"/>
            <w:tcBorders>
              <w:top w:val="single" w:sz="4" w:space="0" w:color="auto"/>
              <w:bottom w:val="single" w:sz="4" w:space="0" w:color="auto"/>
            </w:tcBorders>
            <w:shd w:val="clear" w:color="auto" w:fill="95B3D7" w:themeFill="accent1" w:themeFillTint="99"/>
          </w:tcPr>
          <w:p w14:paraId="0E8D4A19" w14:textId="77777777" w:rsidR="00B263A8" w:rsidRDefault="007107B4" w:rsidP="00927DF7">
            <w:pPr>
              <w:pStyle w:val="BodyText"/>
              <w:ind w:right="139"/>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Item</w:t>
            </w:r>
          </w:p>
        </w:tc>
      </w:tr>
      <w:tr w:rsidR="00B263A8" w14:paraId="14448411" w14:textId="77777777" w:rsidTr="00927DF7">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tcBorders>
          </w:tcPr>
          <w:p w14:paraId="530EC9D4" w14:textId="77777777" w:rsidR="00B263A8" w:rsidRDefault="007107B4" w:rsidP="00927DF7">
            <w:pPr>
              <w:pStyle w:val="BodyText"/>
              <w:ind w:right="139"/>
              <w:jc w:val="center"/>
              <w:rPr>
                <w:sz w:val="20"/>
                <w:szCs w:val="20"/>
              </w:rPr>
            </w:pPr>
            <w:r>
              <w:rPr>
                <w:sz w:val="20"/>
                <w:szCs w:val="20"/>
              </w:rPr>
              <w:t>GSE</w:t>
            </w:r>
          </w:p>
          <w:p w14:paraId="7961A965" w14:textId="77777777" w:rsidR="00B263A8" w:rsidRDefault="007107B4" w:rsidP="00927DF7">
            <w:pPr>
              <w:pStyle w:val="BodyText"/>
              <w:ind w:right="139"/>
              <w:jc w:val="center"/>
              <w:rPr>
                <w:b w:val="0"/>
                <w:bCs w:val="0"/>
                <w:sz w:val="20"/>
                <w:szCs w:val="20"/>
              </w:rPr>
            </w:pPr>
            <w:r>
              <w:rPr>
                <w:sz w:val="20"/>
                <w:szCs w:val="20"/>
              </w:rPr>
              <w:fldChar w:fldCharType="begin" w:fldLock="1"/>
            </w:r>
            <w:r>
              <w:rPr>
                <w:b w:val="0"/>
                <w:bCs w:val="0"/>
                <w:sz w:val="20"/>
                <w:szCs w:val="20"/>
              </w:rPr>
              <w:instrText>ADDIN CSL_CITATION {"citationItems":[{"id":"ITEM-1","itemData":{"DOI":"10.1007/s11135-014-0041-8","ISSN":"15737845","abstract":"Because no previous literature discusses the determinants of green creativity, this study develops an original framework to fill the research gap. This study explores the influence of green shared vision on green creativity and investigates the mediation roles of green mindfulness and green self-efficacy. We apply structural equation modeling to test the hypotheses. The results demonstrate that green shared vision positively influences green mindfulness, green self-efficacy, and green creativity. Besides, this study indicates that the positive relationship between green shared vision and green creativity is partially mediated by the two mediators: green mindfulness and green self-efficacy. It means that green shared vision can not only directly affect green creativity positively, but also indirectly affect it positively via green mindfulness and green self-efficacy. Thus, companies have to increase their green shared vision, green mindfulness, and green self-efficacy to enhance their green creativity.","author":[{"dropping-particle":"","family":"Chen","given":"Yu-Shan","non-dropping-particle":"","parse-names":false,"suffix":""},{"dropping-particle":"","family":"Chang","given":"Ching-Hsun","non-dropping-particle":"","parse-names":false,"suffix":""},{"dropping-particle":"","family":"Yeh","given":"Shu-Ling","non-dropping-particle":"","parse-names":false,"suffix":""},{"dropping-particle":"","family":"Cheng","given":"Hsin-I","non-dropping-particle":"","parse-names":false,"suffix":""}],"container-title":"Quality and Quantity","id":"ITEM-1","issue":"3","issued":{"date-parts":[["2015"]]},"page":"1169-1184","title":"Green shared vision and green creativity: the mediation roles of green mindfulness and green self-efficacy","type":"article-journal","volume":"49"},"uris":["http://www.mendeley.com/documents/?uuid=4290f5ee-fc23-4c69-8d99-643756fedafd"]}],"mendeley":{"formattedCitation":"(Y.-S. Chen et al., 2015)","manualFormatting":"(Chen et al. 2015)","plainTextFormattedCitation":"(Y.-S. Chen et al., 2015)","previouslyFormattedCitation":"(Y.-S. Chen et al., 2015)"},"properties":{"noteIndex":0},"schema":"https://github.com/citation-style-language/schema/raw/master/csl-citation.json"}</w:instrText>
            </w:r>
            <w:r>
              <w:rPr>
                <w:sz w:val="20"/>
                <w:szCs w:val="20"/>
              </w:rPr>
              <w:fldChar w:fldCharType="separate"/>
            </w:r>
            <w:r>
              <w:rPr>
                <w:b w:val="0"/>
                <w:bCs w:val="0"/>
                <w:noProof/>
                <w:sz w:val="20"/>
                <w:szCs w:val="20"/>
              </w:rPr>
              <w:t>(Chen et al. 2015)</w:t>
            </w:r>
            <w:r>
              <w:rPr>
                <w:sz w:val="20"/>
                <w:szCs w:val="20"/>
              </w:rPr>
              <w:fldChar w:fldCharType="end"/>
            </w:r>
          </w:p>
        </w:tc>
        <w:tc>
          <w:tcPr>
            <w:tcW w:w="3402" w:type="dxa"/>
            <w:tcBorders>
              <w:top w:val="single" w:sz="4" w:space="0" w:color="auto"/>
            </w:tcBorders>
          </w:tcPr>
          <w:p w14:paraId="32AC90A9" w14:textId="77777777" w:rsidR="00B263A8" w:rsidRDefault="007107B4" w:rsidP="00927DF7">
            <w:pPr>
              <w:pStyle w:val="BodyText"/>
              <w:ind w:right="139"/>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To measure the level of self-efficacy in dealing with the problem of river pollution.</w:t>
            </w:r>
          </w:p>
        </w:tc>
        <w:tc>
          <w:tcPr>
            <w:tcW w:w="3544" w:type="dxa"/>
            <w:tcBorders>
              <w:top w:val="single" w:sz="4" w:space="0" w:color="auto"/>
            </w:tcBorders>
          </w:tcPr>
          <w:p w14:paraId="21367EBC" w14:textId="77777777" w:rsidR="00B263A8" w:rsidRDefault="007107B4" w:rsidP="00927DF7">
            <w:pPr>
              <w:pStyle w:val="BodyText"/>
              <w:numPr>
                <w:ilvl w:val="0"/>
                <w:numId w:val="4"/>
              </w:numPr>
              <w:ind w:right="139"/>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 am efficient in carrying out the task of river preservation effectively.</w:t>
            </w:r>
          </w:p>
          <w:p w14:paraId="42A8B5E2" w14:textId="77777777" w:rsidR="00B263A8" w:rsidRDefault="007107B4" w:rsidP="00927DF7">
            <w:pPr>
              <w:pStyle w:val="BodyText"/>
              <w:numPr>
                <w:ilvl w:val="0"/>
                <w:numId w:val="4"/>
              </w:numPr>
              <w:ind w:right="139"/>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 am able to perform the task of river preservation effectively.</w:t>
            </w:r>
          </w:p>
          <w:p w14:paraId="5D5672CC" w14:textId="77777777" w:rsidR="00B263A8" w:rsidRDefault="007107B4" w:rsidP="00927DF7">
            <w:pPr>
              <w:pStyle w:val="BodyText"/>
              <w:numPr>
                <w:ilvl w:val="0"/>
                <w:numId w:val="4"/>
              </w:numPr>
              <w:ind w:right="139"/>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 am able to find a creative </w:t>
            </w:r>
            <w:r>
              <w:rPr>
                <w:sz w:val="20"/>
                <w:szCs w:val="20"/>
              </w:rPr>
              <w:lastRenderedPageBreak/>
              <w:t>solution to deal with the problem of river pollution.</w:t>
            </w:r>
          </w:p>
          <w:p w14:paraId="587ED1D4" w14:textId="77777777" w:rsidR="00B263A8" w:rsidRDefault="00B263A8" w:rsidP="00927DF7">
            <w:pPr>
              <w:pStyle w:val="BodyText"/>
              <w:ind w:right="139"/>
              <w:cnfStyle w:val="000000000000" w:firstRow="0" w:lastRow="0" w:firstColumn="0" w:lastColumn="0" w:oddVBand="0" w:evenVBand="0" w:oddHBand="0" w:evenHBand="0" w:firstRowFirstColumn="0" w:firstRowLastColumn="0" w:lastRowFirstColumn="0" w:lastRowLastColumn="0"/>
              <w:rPr>
                <w:sz w:val="20"/>
                <w:szCs w:val="20"/>
              </w:rPr>
            </w:pPr>
          </w:p>
        </w:tc>
      </w:tr>
      <w:tr w:rsidR="00B263A8" w14:paraId="0854A7D6" w14:textId="77777777" w:rsidTr="00927DF7">
        <w:tc>
          <w:tcPr>
            <w:cnfStyle w:val="001000000000" w:firstRow="0" w:lastRow="0" w:firstColumn="1" w:lastColumn="0" w:oddVBand="0" w:evenVBand="0" w:oddHBand="0" w:evenHBand="0" w:firstRowFirstColumn="0" w:firstRowLastColumn="0" w:lastRowFirstColumn="0" w:lastRowLastColumn="0"/>
            <w:tcW w:w="2126" w:type="dxa"/>
          </w:tcPr>
          <w:p w14:paraId="238B2FAF" w14:textId="77777777" w:rsidR="00B263A8" w:rsidRDefault="007107B4" w:rsidP="00927DF7">
            <w:pPr>
              <w:pStyle w:val="BodyText"/>
              <w:ind w:right="139"/>
              <w:jc w:val="center"/>
              <w:rPr>
                <w:sz w:val="20"/>
                <w:szCs w:val="20"/>
              </w:rPr>
            </w:pPr>
            <w:r>
              <w:rPr>
                <w:sz w:val="20"/>
                <w:szCs w:val="20"/>
              </w:rPr>
              <w:lastRenderedPageBreak/>
              <w:t>GT</w:t>
            </w:r>
          </w:p>
          <w:p w14:paraId="2DB10632" w14:textId="1E0AAB4F" w:rsidR="00B263A8" w:rsidRDefault="005F10BD" w:rsidP="00927DF7">
            <w:pPr>
              <w:pStyle w:val="BodyText"/>
              <w:ind w:right="139"/>
              <w:jc w:val="center"/>
              <w:rPr>
                <w:b w:val="0"/>
                <w:bCs w:val="0"/>
                <w:sz w:val="20"/>
                <w:szCs w:val="20"/>
              </w:rPr>
            </w:pPr>
            <w:r>
              <w:rPr>
                <w:sz w:val="20"/>
                <w:szCs w:val="20"/>
              </w:rPr>
              <w:fldChar w:fldCharType="begin" w:fldLock="1"/>
            </w:r>
            <w:r w:rsidR="000163F4">
              <w:rPr>
                <w:b w:val="0"/>
                <w:bCs w:val="0"/>
                <w:sz w:val="20"/>
                <w:szCs w:val="20"/>
              </w:rPr>
              <w:instrText>ADDIN CSL_CITATION {"citationItems":[{"id":"ITEM-1","itemData":{"DOI":"10.1007/s10551-009-0223-9","ISSN":"01674544","abstract":"This article proposed four novel constructs - green brand image, green satisfaction, green trust, and green brand equity, and explored the positive relationships between green brand equity and its three drivers - green brand image, green satisfaction, and green trust. The object of this research study was information and electronics products in Taiwan. This research employed an empirical study by use of the questionnaire survey method. The questionnaires were randomly mailed to consumers who had the experience of purchasing information and electronics products. The results showed that green brand image, green satisfaction, and green trust are positively related to green brand equity. Furthermore, the positive relationship between green brand image and green brand equity is partially mediated by green satisfaction and green trust. Hence, investing on resources to increase green brand image, green satisfaction, and green trust is helpful to enhance green brand equity. © Springer 2009.","author":[{"dropping-particle":"","family":"Chen","given":"Yu-Shan","non-dropping-particle":"","parse-names":false,"suffix":""}],"container-title":"Journal of Business Ethics","id":"ITEM-1","issue":"2","issued":{"date-parts":[["2010"]]},"page":"307-319","title":"The drivers of green brand equity: Green brand image, green satisfaction, and green trust","type":"article-journal","volume":"93"},"uris":["http://www.mendeley.com/documents/?uuid=99b1208e-6925-4ffb-9e2b-f56e7e9c80b0"]}],"mendeley":{"formattedCitation":"(Y.-S. Chen, 2010)","manualFormatting":"(Chen, 2010)","plainTextFormattedCitation":"(Y.-S. Chen, 2010)","previouslyFormattedCitation":"(Y.-S. Chen, 2010)"},"properties":{"noteIndex":0},"schema":"https://github.com/citation-style-language/schema/raw/master/csl-citation.json"}</w:instrText>
            </w:r>
            <w:r>
              <w:rPr>
                <w:sz w:val="20"/>
                <w:szCs w:val="20"/>
              </w:rPr>
              <w:fldChar w:fldCharType="separate"/>
            </w:r>
            <w:r w:rsidRPr="005F10BD">
              <w:rPr>
                <w:b w:val="0"/>
                <w:bCs w:val="0"/>
                <w:noProof/>
                <w:sz w:val="20"/>
                <w:szCs w:val="20"/>
              </w:rPr>
              <w:t>(Chen, 2010)</w:t>
            </w:r>
            <w:r>
              <w:rPr>
                <w:sz w:val="20"/>
                <w:szCs w:val="20"/>
              </w:rPr>
              <w:fldChar w:fldCharType="end"/>
            </w:r>
          </w:p>
        </w:tc>
        <w:tc>
          <w:tcPr>
            <w:tcW w:w="3402" w:type="dxa"/>
          </w:tcPr>
          <w:p w14:paraId="7B4779C9" w14:textId="77777777" w:rsidR="00B263A8" w:rsidRDefault="007107B4" w:rsidP="00927DF7">
            <w:pPr>
              <w:pStyle w:val="BodyText"/>
              <w:ind w:right="139"/>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Measurement of an individual's level of trust in river cleaning initiatives.</w:t>
            </w:r>
          </w:p>
        </w:tc>
        <w:tc>
          <w:tcPr>
            <w:tcW w:w="3544" w:type="dxa"/>
          </w:tcPr>
          <w:p w14:paraId="00181B1F" w14:textId="77777777" w:rsidR="00B263A8" w:rsidRDefault="007107B4" w:rsidP="00927DF7">
            <w:pPr>
              <w:pStyle w:val="BodyText"/>
              <w:numPr>
                <w:ilvl w:val="0"/>
                <w:numId w:val="5"/>
              </w:numPr>
              <w:ind w:right="139"/>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 feel that this river cleaning initiative is generally reliable.</w:t>
            </w:r>
          </w:p>
          <w:p w14:paraId="37D5148F" w14:textId="77777777" w:rsidR="00B263A8" w:rsidRDefault="007107B4" w:rsidP="00927DF7">
            <w:pPr>
              <w:pStyle w:val="BodyText"/>
              <w:numPr>
                <w:ilvl w:val="0"/>
                <w:numId w:val="5"/>
              </w:numPr>
              <w:ind w:right="139"/>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Generally, I feel that this river cleaning initiative is credible because the performance of the river cleanliness is getting better.</w:t>
            </w:r>
          </w:p>
          <w:p w14:paraId="04827072" w14:textId="018354BE" w:rsidR="00B263A8" w:rsidRDefault="007107B4" w:rsidP="00927DF7">
            <w:pPr>
              <w:pStyle w:val="BodyText"/>
              <w:numPr>
                <w:ilvl w:val="0"/>
                <w:numId w:val="5"/>
              </w:numPr>
              <w:ind w:right="139"/>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 feel that this river cleaning initiative is generally </w:t>
            </w:r>
            <w:r>
              <w:rPr>
                <w:sz w:val="20"/>
                <w:szCs w:val="20"/>
                <w:lang w:val="en-GB"/>
              </w:rPr>
              <w:t>trustworthy</w:t>
            </w:r>
            <w:r>
              <w:rPr>
                <w:sz w:val="20"/>
                <w:szCs w:val="20"/>
              </w:rPr>
              <w:t>.</w:t>
            </w:r>
          </w:p>
          <w:p w14:paraId="1B2072E6" w14:textId="77777777" w:rsidR="00B263A8" w:rsidRDefault="007107B4" w:rsidP="00927DF7">
            <w:pPr>
              <w:pStyle w:val="BodyText"/>
              <w:numPr>
                <w:ilvl w:val="0"/>
                <w:numId w:val="5"/>
              </w:numPr>
              <w:ind w:right="139"/>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aim of this river cleaning initiative meets my expectations.</w:t>
            </w:r>
          </w:p>
          <w:p w14:paraId="46E49ED9" w14:textId="77777777" w:rsidR="00B263A8" w:rsidRDefault="007107B4" w:rsidP="00927DF7">
            <w:pPr>
              <w:pStyle w:val="BodyText"/>
              <w:numPr>
                <w:ilvl w:val="0"/>
                <w:numId w:val="5"/>
              </w:numPr>
              <w:ind w:right="139"/>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river cleaning initiative implemented shows a high commitment in achieving its sustainability.</w:t>
            </w:r>
          </w:p>
          <w:p w14:paraId="4BAEB4A3" w14:textId="77777777" w:rsidR="00B263A8" w:rsidRDefault="00B263A8" w:rsidP="00927DF7">
            <w:pPr>
              <w:pStyle w:val="BodyText"/>
              <w:ind w:right="139"/>
              <w:cnfStyle w:val="000000000000" w:firstRow="0" w:lastRow="0" w:firstColumn="0" w:lastColumn="0" w:oddVBand="0" w:evenVBand="0" w:oddHBand="0" w:evenHBand="0" w:firstRowFirstColumn="0" w:firstRowLastColumn="0" w:lastRowFirstColumn="0" w:lastRowLastColumn="0"/>
              <w:rPr>
                <w:sz w:val="20"/>
                <w:szCs w:val="20"/>
              </w:rPr>
            </w:pPr>
          </w:p>
        </w:tc>
      </w:tr>
      <w:tr w:rsidR="00B263A8" w14:paraId="53097BDC" w14:textId="77777777" w:rsidTr="00927DF7">
        <w:tc>
          <w:tcPr>
            <w:cnfStyle w:val="001000000000" w:firstRow="0" w:lastRow="0" w:firstColumn="1" w:lastColumn="0" w:oddVBand="0" w:evenVBand="0" w:oddHBand="0" w:evenHBand="0" w:firstRowFirstColumn="0" w:firstRowLastColumn="0" w:lastRowFirstColumn="0" w:lastRowLastColumn="0"/>
            <w:tcW w:w="2126" w:type="dxa"/>
            <w:tcBorders>
              <w:bottom w:val="single" w:sz="4" w:space="0" w:color="auto"/>
            </w:tcBorders>
          </w:tcPr>
          <w:p w14:paraId="32B76F52" w14:textId="77777777" w:rsidR="00B263A8" w:rsidRDefault="007107B4" w:rsidP="00927DF7">
            <w:pPr>
              <w:pStyle w:val="BodyText"/>
              <w:ind w:right="139"/>
              <w:jc w:val="center"/>
              <w:rPr>
                <w:sz w:val="20"/>
                <w:szCs w:val="20"/>
              </w:rPr>
            </w:pPr>
            <w:r>
              <w:rPr>
                <w:sz w:val="20"/>
                <w:szCs w:val="20"/>
              </w:rPr>
              <w:t>Intention to Participate</w:t>
            </w:r>
          </w:p>
          <w:p w14:paraId="42366791" w14:textId="77777777" w:rsidR="00B263A8" w:rsidRDefault="007107B4" w:rsidP="00927DF7">
            <w:pPr>
              <w:jc w:val="center"/>
              <w:rPr>
                <w:b w:val="0"/>
                <w:bCs w:val="0"/>
              </w:rPr>
            </w:pPr>
            <w:r>
              <w:rPr>
                <w:sz w:val="20"/>
                <w:szCs w:val="20"/>
              </w:rPr>
              <w:fldChar w:fldCharType="begin" w:fldLock="1"/>
            </w:r>
            <w:r>
              <w:rPr>
                <w:b w:val="0"/>
                <w:bCs w:val="0"/>
                <w:sz w:val="20"/>
                <w:szCs w:val="20"/>
              </w:rPr>
              <w:instrText>ADDIN CSL_CITATION {"citationItems":[{"id":"ITEM-1","itemData":{"DOI":"10.1017/S1463423618000695","ISSN":"14771128","PMID":"30259824","abstract":"Aim The aim of the study is to explore to what extent members of the community are willing to participate in the way their primary care practice is organized and which characteristics of people and community are associated with this willingness.Background Community participation in primary care refers to involvement of community members in the organization, governance and policy making of primary care facilities. Due to demographic changes and changes in the role of patients and the community concerning health care, it becomes important to include the social environment of patients into healthcare. Community participation may help GPs to improving their practice and providing care according to the needs of the population. Interpreted this way, it may be an important contributor to quality of care.Methods In 2016, a web questionnaire was send to 800 members of the Dutch Health Care Consumer Panel. The response rate was 34%. Willingness to participate was divided into perceived readiness, ability and time to participate. The data were analysed using frequency tables and linear regression analysis.Findings Half of the participants were ready to give their opinion on primary care and one-third reported willingness to participate in decision making. Participants were less optimistic about their ability to participate and the time they have available for participation. Readiness and perceived ability were mainly determined by the importance that the respondents attributed to participation. Participants with previous experience in volunteering appeared more willing to spend time on participation.Conclusions This study showed that half of the respondents are willing to participate, but they are less sure about their ability to do so and that finding time to participate is seen as problematic. Future research should focus on which characteristics influence willingness. This knowledge might help primary care facilities to recruit people more easily and successfully.","author":[{"dropping-particle":"","family":"Kroneman","given":"Madelon","non-dropping-particle":"","parse-names":false,"suffix":""},{"dropping-particle":"","family":"Erp","given":"Kim","non-dropping-particle":"Van","parse-names":false,"suffix":""},{"dropping-particle":"","family":"Groenewegen","given":"Peter","non-dropping-particle":"","parse-names":false,"suffix":""}],"container-title":"Primary Health Care Research and Development","id":"ITEM-1","issue":"e13","issued":{"date-parts":[["2018"]]},"page":"1-7","title":"Community participation in primary care: Willingness to participate, a web survey in the Netherlands","type":"article-journal","volume":"20"},"uris":["http://www.mendeley.com/documents/?uuid=8c80135e-f019-44a7-a4d5-785e95c25141"]}],"mendeley":{"formattedCitation":"(Kroneman et al., 2018)","plainTextFormattedCitation":"(Kroneman et al., 2018)","previouslyFormattedCitation":"(Kroneman et al., 2018)"},"properties":{"noteIndex":0},"schema":"https://github.com/citation-style-language/schema/raw/master/csl-citation.json"}</w:instrText>
            </w:r>
            <w:r>
              <w:rPr>
                <w:sz w:val="20"/>
                <w:szCs w:val="20"/>
              </w:rPr>
              <w:fldChar w:fldCharType="separate"/>
            </w:r>
            <w:r>
              <w:rPr>
                <w:b w:val="0"/>
                <w:bCs w:val="0"/>
                <w:noProof/>
                <w:sz w:val="20"/>
                <w:szCs w:val="20"/>
              </w:rPr>
              <w:t>(Kroneman et al., 2018)</w:t>
            </w:r>
            <w:r>
              <w:rPr>
                <w:sz w:val="20"/>
                <w:szCs w:val="20"/>
              </w:rPr>
              <w:fldChar w:fldCharType="end"/>
            </w:r>
          </w:p>
        </w:tc>
        <w:tc>
          <w:tcPr>
            <w:tcW w:w="3402" w:type="dxa"/>
            <w:tcBorders>
              <w:bottom w:val="single" w:sz="4" w:space="0" w:color="auto"/>
            </w:tcBorders>
          </w:tcPr>
          <w:p w14:paraId="3C300A28" w14:textId="77777777" w:rsidR="00B263A8" w:rsidRDefault="007107B4" w:rsidP="00927DF7">
            <w:pPr>
              <w:pStyle w:val="BodyText"/>
              <w:ind w:right="139"/>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To measure the availability, ability, and time that an individual can allocate to involve himself in river cleaning initiatives.</w:t>
            </w:r>
          </w:p>
        </w:tc>
        <w:tc>
          <w:tcPr>
            <w:tcW w:w="3544" w:type="dxa"/>
            <w:tcBorders>
              <w:bottom w:val="single" w:sz="4" w:space="0" w:color="auto"/>
            </w:tcBorders>
          </w:tcPr>
          <w:p w14:paraId="1A026A43" w14:textId="77777777" w:rsidR="00B263A8" w:rsidRDefault="007107B4" w:rsidP="00927DF7">
            <w:pPr>
              <w:pStyle w:val="BodyText"/>
              <w:numPr>
                <w:ilvl w:val="0"/>
                <w:numId w:val="6"/>
              </w:numPr>
              <w:ind w:right="139"/>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 would like to give my opinion as an improvement to the river cleaning initiative.</w:t>
            </w:r>
          </w:p>
          <w:p w14:paraId="69B35BFD" w14:textId="77777777" w:rsidR="00B263A8" w:rsidRDefault="007107B4" w:rsidP="00927DF7">
            <w:pPr>
              <w:pStyle w:val="BodyText"/>
              <w:numPr>
                <w:ilvl w:val="0"/>
                <w:numId w:val="6"/>
              </w:numPr>
              <w:ind w:right="139"/>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 have enough experience to participate in this river cleaning initiative.</w:t>
            </w:r>
          </w:p>
          <w:p w14:paraId="20DCD5F9" w14:textId="77777777" w:rsidR="00B263A8" w:rsidRDefault="007107B4" w:rsidP="00927DF7">
            <w:pPr>
              <w:pStyle w:val="BodyText"/>
              <w:numPr>
                <w:ilvl w:val="0"/>
                <w:numId w:val="6"/>
              </w:numPr>
              <w:ind w:right="139"/>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 am willing to spend time to participate in this river cleaning initiative.</w:t>
            </w:r>
          </w:p>
        </w:tc>
      </w:tr>
    </w:tbl>
    <w:p w14:paraId="2DE18EEC" w14:textId="77777777" w:rsidR="00B263A8" w:rsidRDefault="00B263A8">
      <w:pPr>
        <w:tabs>
          <w:tab w:val="left" w:pos="567"/>
        </w:tabs>
        <w:jc w:val="both"/>
      </w:pPr>
    </w:p>
    <w:p w14:paraId="4134D212" w14:textId="77777777" w:rsidR="00B263A8" w:rsidRDefault="00B263A8">
      <w:pPr>
        <w:tabs>
          <w:tab w:val="left" w:pos="567"/>
        </w:tabs>
        <w:jc w:val="both"/>
      </w:pPr>
    </w:p>
    <w:p w14:paraId="226BCA51" w14:textId="77777777" w:rsidR="00B263A8" w:rsidRDefault="007107B4">
      <w:pPr>
        <w:pStyle w:val="Heading2"/>
        <w:jc w:val="both"/>
      </w:pPr>
      <w:r>
        <w:t>Results and Discussion</w:t>
      </w:r>
    </w:p>
    <w:p w14:paraId="1C3D4DBC" w14:textId="77777777" w:rsidR="00B263A8" w:rsidRDefault="00B263A8">
      <w:pPr>
        <w:pStyle w:val="BodyText"/>
        <w:spacing w:before="7"/>
        <w:rPr>
          <w:b/>
          <w:sz w:val="23"/>
        </w:rPr>
      </w:pPr>
    </w:p>
    <w:p w14:paraId="76DBE3A2" w14:textId="77777777" w:rsidR="00B263A8" w:rsidRDefault="007107B4">
      <w:pPr>
        <w:ind w:left="140"/>
        <w:jc w:val="both"/>
        <w:rPr>
          <w:i/>
          <w:sz w:val="24"/>
        </w:rPr>
      </w:pPr>
      <w:r>
        <w:rPr>
          <w:i/>
          <w:sz w:val="24"/>
        </w:rPr>
        <w:t>Respondent demography profile</w:t>
      </w:r>
    </w:p>
    <w:p w14:paraId="6CB8C2D9" w14:textId="77777777" w:rsidR="00B263A8" w:rsidRDefault="00B263A8">
      <w:pPr>
        <w:pStyle w:val="BodyText"/>
        <w:rPr>
          <w:i/>
        </w:rPr>
      </w:pPr>
    </w:p>
    <w:p w14:paraId="0717E88F" w14:textId="22068797" w:rsidR="00B263A8" w:rsidRDefault="007107B4">
      <w:pPr>
        <w:pStyle w:val="BodyText"/>
        <w:ind w:left="140" w:right="139"/>
      </w:pPr>
      <w:bookmarkStart w:id="4" w:name="_Hlk173087294"/>
      <w:r>
        <w:t>From 350 questionnaires distributed, only 300 were returned. This is because some of the respondents were unavailable and outside of the area during the data collection implementation. However, the response rate of 85.7% (n = 300) that has been returned is acceptable for this study</w:t>
      </w:r>
      <w:r w:rsidR="00564A60">
        <w:t xml:space="preserve"> as it is equivalent to </w:t>
      </w:r>
      <w:r w:rsidR="00564A60">
        <w:fldChar w:fldCharType="begin" w:fldLock="1"/>
      </w:r>
      <w:r w:rsidR="00564A60">
        <w:instrText>ADDIN CSL_CITATION {"citationItems":[{"id":"ITEM-1","itemData":{"DOI":"http://dx.doi.org/","abstract":"Abstrak Kebersihan sungai sering kali diabaikan dan berlaku pencemaran ke atasnya disebabkan tidak ramai yang mengetahui tentang nilai sungai serta kepentingannya sehingga menjejaskan kepentingan dan manfaatnya kepada orang ramai. Justeru, kajian ini adalah bertujuan untuk mengenal pasti tahap tingkah laku penduduk terhadap aktiviti pemuliharaan sungai. Reka bentuk penyelidikan yang dipilih dalam kajian ini adalah penyelidikan kuantitatif yang menggunakan kaedah tinjauan dengan menggunakan borang soal selidik. Kajian ini dijalankan di sepuluh sungai tercemar di negeri Terengganu. Seramai 373 orang responden terlibat dalam kajian ini. Analisis deskriptif yang melibatkan peratus, min dan sisihan piawai telah digunakan dalam menganalisis tahap tingkah laku. Hasil kajian ini mendapati bahawa tingkah laku responden terhadap pemuliharaan sungai berada pada tahap yang rendah (Min= 2.54, s.p= .99). Kesimpulannya, penglibatan diri secara aktif dalam aktiviti pemuliharaan sungai sangat penting bagi mengurangkan isu pencemaran sungai. Kajian yang dijalankan ini diharapkan dapat meningkatkan kesedaran serta mengubah tingkah laku masyarakat dalam menangani isu kerosakan alam sekitar khususnya untuk sungai yang lestari, sihat dan kualiti hidup yang lebih baik.","author":[{"dropping-particle":"","family":"Alias","given":"Norshahida Akma","non-dropping-particle":"","parse-names":false,"suffix":""},{"dropping-particle":"","family":"Amin","given":"Aziz","non-dropping-particle":"","parse-names":false,"suffix":""}],"container-title":"Asian People Journal","id":"ITEM-1","issue":"December","issued":{"date-parts":[["2019"]]},"page":"70-80","title":"Tingkah Laku Penduduk Dalam Aktiviti Pemuliharaan ke Arah Kelestarian Sungai di Terengganu, Malaysia","type":"article-journal","volume":"2(2)"},"uris":["http://www.mendeley.com/documents/?uuid=13d08141-27fe-4f0f-96be-3964f3369585"]}],"mendeley":{"formattedCitation":"(Alias &amp; Amin, 2019)","manualFormatting":"Alias &amp; Amin, (2019)","plainTextFormattedCitation":"(Alias &amp; Amin, 2019)","previouslyFormattedCitation":"(Alias &amp; Amin, 2019)"},"properties":{"noteIndex":0},"schema":"https://github.com/citation-style-language/schema/raw/master/csl-citation.json"}</w:instrText>
      </w:r>
      <w:r w:rsidR="00564A60">
        <w:fldChar w:fldCharType="separate"/>
      </w:r>
      <w:r w:rsidR="00564A60" w:rsidRPr="00564A60">
        <w:rPr>
          <w:noProof/>
        </w:rPr>
        <w:t xml:space="preserve">Alias &amp; Amin, </w:t>
      </w:r>
      <w:r w:rsidR="00564A60">
        <w:rPr>
          <w:noProof/>
        </w:rPr>
        <w:t>(</w:t>
      </w:r>
      <w:r w:rsidR="00564A60" w:rsidRPr="00564A60">
        <w:rPr>
          <w:noProof/>
        </w:rPr>
        <w:t>2019)</w:t>
      </w:r>
      <w:r w:rsidR="00564A60">
        <w:fldChar w:fldCharType="end"/>
      </w:r>
      <w:r w:rsidR="00564A60">
        <w:t xml:space="preserve"> s</w:t>
      </w:r>
      <w:r w:rsidR="00564A60" w:rsidRPr="00564A60">
        <w:t>tudy which has 373 respondents. In addition, the response rate of this study is also better compared to the 68.33% (n = 120) response rate by</w:t>
      </w:r>
      <w:r w:rsidR="00564A60">
        <w:t xml:space="preserve"> </w:t>
      </w:r>
      <w:r w:rsidR="00564A60">
        <w:fldChar w:fldCharType="begin" w:fldLock="1"/>
      </w:r>
      <w:r w:rsidR="003E0372">
        <w:instrText>ADDIN CSL_CITATION {"citationItems":[{"id":"ITEM-1","itemData":{"DOI":"10.21834/ajebs.v6i19.393","abstract":"The pollution level in the Klang River is high. The state government is working to address this issue. The study aims to determine the sustainability of the river through non-structural interventions and public outreach initiatives. Lembaga Urus Air Selangor (LUAS), Department of Irrigation and Drainage (DID), Klang Local Council (MPK), and Shah Alam Local Council (MBSA) provided a total of 82 accessible data. The river community and completed an adapted questionnaire. The persons in charge of river cleaning in related sectors. For the study, SPSS Version 22.00 is used to analyse data. The finding showed that Cross-sectoral Collaboration (CSC) and Public Outreach Programme (POP) significantly roles on Sustainable River Cleaning.","author":[{"dropping-particle":"","family":"Husin","given":"Nor Azilah","non-dropping-particle":"","parse-names":false,"suffix":""},{"dropping-particle":"","family":"Mariyanti","given":"Eka","non-dropping-particle":"","parse-names":false,"suffix":""},{"dropping-particle":"","family":"Saad","given":"Mazni","non-dropping-particle":"","parse-names":false,"suffix":""},{"dropping-particle":"","family":"Noor","given":"Ahmad Fuad","non-dropping-particle":"","parse-names":false,"suffix":""}],"container-title":"Asian Journal of Environment-Behaviour Studies","id":"ITEM-1","issue":"19","issued":{"date-parts":[["2021"]]},"page":"57-69","title":"Sustainable River: The role of non-structural measures and public outreach programmes","type":"article-journal","volume":"6"},"uris":["http://www.mendeley.com/documents/?uuid=1a9b98c8-c75f-4af1-abab-a515a5bb4e06"]}],"mendeley":{"formattedCitation":"(Husin, Mariyanti, et al., 2021)","manualFormatting":"Husin et al., (2021)","plainTextFormattedCitation":"(Husin, Mariyanti, et al., 2021)","previouslyFormattedCitation":"(Husin, Mariyanti, et al., 2021)"},"properties":{"noteIndex":0},"schema":"https://github.com/citation-style-language/schema/raw/master/csl-citation.json"}</w:instrText>
      </w:r>
      <w:r w:rsidR="00564A60">
        <w:fldChar w:fldCharType="separate"/>
      </w:r>
      <w:r w:rsidR="00564A60" w:rsidRPr="00564A60">
        <w:rPr>
          <w:noProof/>
        </w:rPr>
        <w:t xml:space="preserve">Husin et al., </w:t>
      </w:r>
      <w:r w:rsidR="00564A60">
        <w:rPr>
          <w:noProof/>
        </w:rPr>
        <w:t>(</w:t>
      </w:r>
      <w:r w:rsidR="00564A60" w:rsidRPr="00564A60">
        <w:rPr>
          <w:noProof/>
        </w:rPr>
        <w:t>2021)</w:t>
      </w:r>
      <w:r w:rsidR="00564A60">
        <w:fldChar w:fldCharType="end"/>
      </w:r>
      <w:r w:rsidR="003E0372">
        <w:t xml:space="preserve"> </w:t>
      </w:r>
      <w:r w:rsidR="003E0372" w:rsidRPr="003E0372">
        <w:t xml:space="preserve">and has a larger number of respondents than </w:t>
      </w:r>
      <w:r w:rsidR="003E0372">
        <w:fldChar w:fldCharType="begin" w:fldLock="1"/>
      </w:r>
      <w:r w:rsidR="00A37A53">
        <w:instrText>ADDIN CSL_CITATION {"citationItems":[{"id":"ITEM-1","itemData":{"DOI":"10.21834/ebpj.v6i16.2688","ISSN":"2398-4287","abstract":"Klang River is heavily polluted. The state government tries to reduce this issue. The study's objective is to identify river cleaning's effectiveness by the non-structural measures of cross-sectoral collaboration and public outreach programs. A total of 82 usable data from Lembaga Urus Air Selangor (LUAS), Department of Irrigation and Drainage (DID), Klang Local Council (MPK), Shah Alam Local Council (MBSA) and the river community have answered an adapted questionnaire. We employ SmartPLS software for the analysis. The results show that Cross-sectoral Collaboration (CSC) and Public Outreach Program (POP) have significant effects on Effective River Cleaning (ERC).","author":[{"dropping-particle":"","family":"Husin","given":"Nor Azilah","non-dropping-particle":"","parse-names":false,"suffix":""},{"dropping-particle":"","family":"Noor","given":"Ahmad Fuad","non-dropping-particle":"","parse-names":false,"suffix":""},{"dropping-particle":"","family":"Saad","given":"Mazni","non-dropping-particle":"","parse-names":false,"suffix":""},{"dropping-particle":"","family":"Mariyanti","given":"Eka","non-dropping-particle":"","parse-names":false,"suffix":""}],"container-title":"Environment-Behaviour Proceedings Journal","id":"ITEM-1","issue":"16","issued":{"date-parts":[["2021"]]},"page":"229-235","publisher":"e-IPH Ltd.","title":"Assessing the Effectiveness of the Non-Structural Measures for River Cleaning","type":"paper-conference","volume":"6"},"uris":["http://www.mendeley.com/documents/?uuid=82de0d12-b4a3-4fdb-828c-574cd24a3156"]}],"mendeley":{"formattedCitation":"(Husin, Noor, et al., 2021)","manualFormatting":"Husin et al., (2021)","plainTextFormattedCitation":"(Husin, Noor, et al., 2021)","previouslyFormattedCitation":"(Husin, Noor, et al., 2021)"},"properties":{"noteIndex":0},"schema":"https://github.com/citation-style-language/schema/raw/master/csl-citation.json"}</w:instrText>
      </w:r>
      <w:r w:rsidR="003E0372">
        <w:fldChar w:fldCharType="separate"/>
      </w:r>
      <w:r w:rsidR="003E0372" w:rsidRPr="003E0372">
        <w:rPr>
          <w:noProof/>
        </w:rPr>
        <w:t xml:space="preserve">Husin et al., </w:t>
      </w:r>
      <w:r w:rsidR="003E0372">
        <w:rPr>
          <w:noProof/>
        </w:rPr>
        <w:t>(</w:t>
      </w:r>
      <w:r w:rsidR="003E0372" w:rsidRPr="003E0372">
        <w:rPr>
          <w:noProof/>
        </w:rPr>
        <w:t>2021)</w:t>
      </w:r>
      <w:r w:rsidR="003E0372">
        <w:fldChar w:fldCharType="end"/>
      </w:r>
      <w:r w:rsidR="003E0372">
        <w:t xml:space="preserve"> </w:t>
      </w:r>
      <w:r w:rsidR="003E0372" w:rsidRPr="003E0372">
        <w:t>with only 82 respondents. These three previous studies have the same research context as this study, which is the sustainability of river conservation</w:t>
      </w:r>
      <w:r>
        <w:t>.</w:t>
      </w:r>
      <w:bookmarkEnd w:id="4"/>
      <w:r>
        <w:t xml:space="preserve"> Table </w:t>
      </w:r>
      <w:r w:rsidR="0002701D">
        <w:t>3</w:t>
      </w:r>
      <w:r>
        <w:t xml:space="preserve"> shows the profile of the respondents </w:t>
      </w:r>
      <w:r>
        <w:rPr>
          <w:lang w:val="en-GB"/>
        </w:rPr>
        <w:t>for</w:t>
      </w:r>
      <w:r>
        <w:t xml:space="preserve"> this study. </w:t>
      </w:r>
      <w:r w:rsidR="00A92033">
        <w:t>The table shows that all respondents were male</w:t>
      </w:r>
      <w:r>
        <w:t xml:space="preserve"> (100%). The majority of respondents were in the age category of 41 – 50 years and above (43.7%), had a school-level education (79.7%), were self-employed (48%), earned a monthly income of RM3,000 and below (58.7%), and resided in the Port Klang area (51.7%).</w:t>
      </w:r>
    </w:p>
    <w:p w14:paraId="3B4174D1" w14:textId="77777777" w:rsidR="00B263A8" w:rsidRDefault="00B263A8" w:rsidP="0002701D">
      <w:pPr>
        <w:pStyle w:val="BodyText"/>
        <w:ind w:right="139"/>
      </w:pPr>
    </w:p>
    <w:p w14:paraId="592B389C" w14:textId="235EA52B" w:rsidR="00B263A8" w:rsidRDefault="007107B4">
      <w:pPr>
        <w:pStyle w:val="BodyText"/>
        <w:ind w:left="140" w:right="139"/>
        <w:jc w:val="center"/>
        <w:rPr>
          <w:sz w:val="20"/>
          <w:szCs w:val="20"/>
        </w:rPr>
      </w:pPr>
      <w:r>
        <w:rPr>
          <w:b/>
          <w:bCs/>
          <w:sz w:val="20"/>
          <w:szCs w:val="20"/>
        </w:rPr>
        <w:t xml:space="preserve">Table </w:t>
      </w:r>
      <w:r w:rsidR="0002701D">
        <w:rPr>
          <w:b/>
          <w:bCs/>
          <w:sz w:val="20"/>
          <w:szCs w:val="20"/>
        </w:rPr>
        <w:t>3</w:t>
      </w:r>
      <w:r>
        <w:rPr>
          <w:b/>
          <w:bCs/>
          <w:sz w:val="20"/>
          <w:szCs w:val="20"/>
        </w:rPr>
        <w:t>.</w:t>
      </w:r>
      <w:r>
        <w:rPr>
          <w:sz w:val="20"/>
          <w:szCs w:val="20"/>
        </w:rPr>
        <w:t xml:space="preserve"> Respondent </w:t>
      </w:r>
      <w:r w:rsidR="0002701D">
        <w:rPr>
          <w:sz w:val="20"/>
          <w:szCs w:val="20"/>
        </w:rPr>
        <w:t>demography profile</w:t>
      </w:r>
    </w:p>
    <w:p w14:paraId="6A27ABD6" w14:textId="77777777" w:rsidR="00B263A8" w:rsidRDefault="00B263A8">
      <w:pPr>
        <w:pStyle w:val="BodyText"/>
        <w:ind w:left="140" w:right="139"/>
        <w:jc w:val="center"/>
        <w:rPr>
          <w:sz w:val="20"/>
          <w:szCs w:val="20"/>
        </w:rPr>
      </w:pPr>
    </w:p>
    <w:tbl>
      <w:tblPr>
        <w:tblStyle w:val="PlainTable21"/>
        <w:tblW w:w="0" w:type="auto"/>
        <w:tblInd w:w="959" w:type="dxa"/>
        <w:tblLook w:val="04A0" w:firstRow="1" w:lastRow="0" w:firstColumn="1" w:lastColumn="0" w:noHBand="0" w:noVBand="1"/>
      </w:tblPr>
      <w:tblGrid>
        <w:gridCol w:w="3260"/>
        <w:gridCol w:w="2693"/>
        <w:gridCol w:w="1701"/>
      </w:tblGrid>
      <w:tr w:rsidR="00B263A8" w14:paraId="50D1FB5E" w14:textId="77777777" w:rsidTr="000270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shd w:val="clear" w:color="auto" w:fill="95B3D7" w:themeFill="accent1" w:themeFillTint="99"/>
          </w:tcPr>
          <w:p w14:paraId="0EF8118E" w14:textId="77777777" w:rsidR="00B263A8" w:rsidRDefault="007107B4">
            <w:pPr>
              <w:pStyle w:val="BodyText"/>
              <w:ind w:right="139"/>
              <w:jc w:val="center"/>
              <w:rPr>
                <w:b w:val="0"/>
                <w:bCs w:val="0"/>
                <w:sz w:val="20"/>
                <w:szCs w:val="20"/>
              </w:rPr>
            </w:pPr>
            <w:r>
              <w:rPr>
                <w:sz w:val="20"/>
                <w:szCs w:val="20"/>
              </w:rPr>
              <w:t>Category</w:t>
            </w:r>
          </w:p>
        </w:tc>
        <w:tc>
          <w:tcPr>
            <w:tcW w:w="2693" w:type="dxa"/>
            <w:shd w:val="clear" w:color="auto" w:fill="95B3D7" w:themeFill="accent1" w:themeFillTint="99"/>
          </w:tcPr>
          <w:p w14:paraId="5DC61BC6" w14:textId="77777777" w:rsidR="00B263A8" w:rsidRDefault="007107B4">
            <w:pPr>
              <w:pStyle w:val="BodyText"/>
              <w:ind w:right="139"/>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Number of respondent (n)</w:t>
            </w:r>
          </w:p>
        </w:tc>
        <w:tc>
          <w:tcPr>
            <w:tcW w:w="1701" w:type="dxa"/>
            <w:shd w:val="clear" w:color="auto" w:fill="95B3D7" w:themeFill="accent1" w:themeFillTint="99"/>
          </w:tcPr>
          <w:p w14:paraId="142454B2" w14:textId="77777777" w:rsidR="00B263A8" w:rsidRDefault="007107B4">
            <w:pPr>
              <w:pStyle w:val="BodyText"/>
              <w:ind w:right="139"/>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Percentage (%)</w:t>
            </w:r>
          </w:p>
        </w:tc>
      </w:tr>
      <w:tr w:rsidR="00B263A8" w14:paraId="67D8B160" w14:textId="77777777" w:rsidTr="00B263A8">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7F7F7F" w:themeColor="text1" w:themeTint="80"/>
              <w:bottom w:val="single" w:sz="4" w:space="0" w:color="7F7F7F" w:themeColor="text1" w:themeTint="80"/>
            </w:tcBorders>
          </w:tcPr>
          <w:p w14:paraId="22A522A9" w14:textId="77777777" w:rsidR="00B263A8" w:rsidRDefault="007107B4">
            <w:pPr>
              <w:pStyle w:val="BodyText"/>
              <w:ind w:right="139"/>
              <w:jc w:val="left"/>
              <w:rPr>
                <w:sz w:val="20"/>
                <w:szCs w:val="20"/>
              </w:rPr>
            </w:pPr>
            <w:r>
              <w:rPr>
                <w:b w:val="0"/>
                <w:bCs w:val="0"/>
                <w:sz w:val="20"/>
                <w:szCs w:val="20"/>
              </w:rPr>
              <w:t>Gender</w:t>
            </w:r>
          </w:p>
          <w:p w14:paraId="342F7B3F" w14:textId="77777777" w:rsidR="00B263A8" w:rsidRDefault="007107B4">
            <w:pPr>
              <w:pStyle w:val="BodyText"/>
              <w:numPr>
                <w:ilvl w:val="0"/>
                <w:numId w:val="7"/>
              </w:numPr>
              <w:ind w:right="139"/>
              <w:rPr>
                <w:b w:val="0"/>
                <w:bCs w:val="0"/>
                <w:sz w:val="20"/>
                <w:szCs w:val="20"/>
              </w:rPr>
            </w:pPr>
            <w:r>
              <w:rPr>
                <w:b w:val="0"/>
                <w:bCs w:val="0"/>
                <w:sz w:val="20"/>
                <w:szCs w:val="20"/>
              </w:rPr>
              <w:t>Male</w:t>
            </w:r>
          </w:p>
          <w:p w14:paraId="1C97EF2A" w14:textId="77777777" w:rsidR="00B263A8" w:rsidRDefault="007107B4">
            <w:pPr>
              <w:pStyle w:val="BodyText"/>
              <w:numPr>
                <w:ilvl w:val="0"/>
                <w:numId w:val="7"/>
              </w:numPr>
              <w:ind w:right="139"/>
              <w:rPr>
                <w:b w:val="0"/>
                <w:bCs w:val="0"/>
                <w:sz w:val="20"/>
                <w:szCs w:val="20"/>
              </w:rPr>
            </w:pPr>
            <w:r>
              <w:rPr>
                <w:b w:val="0"/>
                <w:bCs w:val="0"/>
                <w:sz w:val="20"/>
                <w:szCs w:val="20"/>
              </w:rPr>
              <w:t>Female</w:t>
            </w:r>
          </w:p>
        </w:tc>
        <w:tc>
          <w:tcPr>
            <w:tcW w:w="2693" w:type="dxa"/>
            <w:tcBorders>
              <w:top w:val="single" w:sz="4" w:space="0" w:color="7F7F7F" w:themeColor="text1" w:themeTint="80"/>
              <w:bottom w:val="single" w:sz="4" w:space="0" w:color="7F7F7F" w:themeColor="text1" w:themeTint="80"/>
            </w:tcBorders>
          </w:tcPr>
          <w:p w14:paraId="0BBED87B" w14:textId="77777777" w:rsidR="00B263A8" w:rsidRDefault="00B263A8">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p>
          <w:p w14:paraId="33839F55"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300</w:t>
            </w:r>
          </w:p>
          <w:p w14:paraId="5B843FA4"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701" w:type="dxa"/>
            <w:tcBorders>
              <w:top w:val="single" w:sz="4" w:space="0" w:color="7F7F7F" w:themeColor="text1" w:themeTint="80"/>
              <w:bottom w:val="single" w:sz="4" w:space="0" w:color="7F7F7F" w:themeColor="text1" w:themeTint="80"/>
            </w:tcBorders>
          </w:tcPr>
          <w:p w14:paraId="7B8A6685" w14:textId="77777777" w:rsidR="00B263A8" w:rsidRDefault="00B263A8">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p>
          <w:p w14:paraId="078BE465"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p w14:paraId="1CC5B5B5"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B263A8" w14:paraId="737DCA7A" w14:textId="77777777" w:rsidTr="00B263A8">
        <w:tc>
          <w:tcPr>
            <w:cnfStyle w:val="001000000000" w:firstRow="0" w:lastRow="0" w:firstColumn="1" w:lastColumn="0" w:oddVBand="0" w:evenVBand="0" w:oddHBand="0" w:evenHBand="0" w:firstRowFirstColumn="0" w:firstRowLastColumn="0" w:lastRowFirstColumn="0" w:lastRowLastColumn="0"/>
            <w:tcW w:w="3260" w:type="dxa"/>
          </w:tcPr>
          <w:p w14:paraId="7F199ACB" w14:textId="77777777" w:rsidR="00B263A8" w:rsidRDefault="007107B4">
            <w:pPr>
              <w:pStyle w:val="BodyText"/>
              <w:tabs>
                <w:tab w:val="left" w:pos="596"/>
              </w:tabs>
              <w:ind w:right="139"/>
              <w:jc w:val="left"/>
              <w:rPr>
                <w:b w:val="0"/>
                <w:bCs w:val="0"/>
                <w:sz w:val="20"/>
                <w:szCs w:val="20"/>
              </w:rPr>
            </w:pPr>
            <w:r>
              <w:rPr>
                <w:b w:val="0"/>
                <w:bCs w:val="0"/>
                <w:sz w:val="20"/>
                <w:szCs w:val="20"/>
              </w:rPr>
              <w:t>Age</w:t>
            </w:r>
          </w:p>
          <w:p w14:paraId="145465AB" w14:textId="77777777" w:rsidR="00B263A8" w:rsidRDefault="007107B4">
            <w:pPr>
              <w:pStyle w:val="BodyText"/>
              <w:numPr>
                <w:ilvl w:val="0"/>
                <w:numId w:val="8"/>
              </w:numPr>
              <w:tabs>
                <w:tab w:val="left" w:pos="596"/>
              </w:tabs>
              <w:ind w:right="139"/>
              <w:jc w:val="left"/>
              <w:rPr>
                <w:sz w:val="20"/>
                <w:szCs w:val="20"/>
              </w:rPr>
            </w:pPr>
            <w:r>
              <w:rPr>
                <w:b w:val="0"/>
                <w:bCs w:val="0"/>
                <w:sz w:val="20"/>
                <w:szCs w:val="20"/>
              </w:rPr>
              <w:t>18 – 30</w:t>
            </w:r>
          </w:p>
          <w:p w14:paraId="04CD17C8" w14:textId="77777777" w:rsidR="00B263A8" w:rsidRDefault="007107B4">
            <w:pPr>
              <w:pStyle w:val="BodyText"/>
              <w:numPr>
                <w:ilvl w:val="0"/>
                <w:numId w:val="8"/>
              </w:numPr>
              <w:tabs>
                <w:tab w:val="left" w:pos="596"/>
              </w:tabs>
              <w:ind w:right="139"/>
              <w:jc w:val="left"/>
              <w:rPr>
                <w:sz w:val="20"/>
                <w:szCs w:val="20"/>
              </w:rPr>
            </w:pPr>
            <w:r>
              <w:rPr>
                <w:b w:val="0"/>
                <w:bCs w:val="0"/>
                <w:sz w:val="20"/>
                <w:szCs w:val="20"/>
              </w:rPr>
              <w:t>31 – 40</w:t>
            </w:r>
          </w:p>
          <w:p w14:paraId="4B161225" w14:textId="77777777" w:rsidR="00B263A8" w:rsidRDefault="007107B4">
            <w:pPr>
              <w:pStyle w:val="BodyText"/>
              <w:numPr>
                <w:ilvl w:val="0"/>
                <w:numId w:val="8"/>
              </w:numPr>
              <w:tabs>
                <w:tab w:val="left" w:pos="596"/>
              </w:tabs>
              <w:ind w:right="139"/>
              <w:jc w:val="left"/>
              <w:rPr>
                <w:sz w:val="20"/>
                <w:szCs w:val="20"/>
              </w:rPr>
            </w:pPr>
            <w:r>
              <w:rPr>
                <w:b w:val="0"/>
                <w:bCs w:val="0"/>
                <w:sz w:val="20"/>
                <w:szCs w:val="20"/>
              </w:rPr>
              <w:lastRenderedPageBreak/>
              <w:t>41 – 50</w:t>
            </w:r>
          </w:p>
          <w:p w14:paraId="28C30204" w14:textId="77777777" w:rsidR="00B263A8" w:rsidRDefault="007107B4">
            <w:pPr>
              <w:pStyle w:val="BodyText"/>
              <w:numPr>
                <w:ilvl w:val="0"/>
                <w:numId w:val="8"/>
              </w:numPr>
              <w:tabs>
                <w:tab w:val="left" w:pos="596"/>
              </w:tabs>
              <w:ind w:right="139"/>
              <w:jc w:val="left"/>
              <w:rPr>
                <w:sz w:val="20"/>
                <w:szCs w:val="20"/>
              </w:rPr>
            </w:pPr>
            <w:r>
              <w:rPr>
                <w:b w:val="0"/>
                <w:bCs w:val="0"/>
                <w:sz w:val="20"/>
                <w:szCs w:val="20"/>
              </w:rPr>
              <w:t>51 years and above</w:t>
            </w:r>
          </w:p>
        </w:tc>
        <w:tc>
          <w:tcPr>
            <w:tcW w:w="2693" w:type="dxa"/>
          </w:tcPr>
          <w:p w14:paraId="5C310E7F" w14:textId="77777777" w:rsidR="00B263A8" w:rsidRDefault="00B263A8">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p>
          <w:p w14:paraId="6105FD12"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w:t>
            </w:r>
          </w:p>
          <w:p w14:paraId="3DCA7AB3"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p>
          <w:p w14:paraId="1BD1F2BB"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131</w:t>
            </w:r>
          </w:p>
          <w:p w14:paraId="6059B145"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146</w:t>
            </w:r>
          </w:p>
        </w:tc>
        <w:tc>
          <w:tcPr>
            <w:tcW w:w="1701" w:type="dxa"/>
          </w:tcPr>
          <w:p w14:paraId="6BF28CE4" w14:textId="77777777" w:rsidR="00B263A8" w:rsidRDefault="00B263A8">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p>
          <w:p w14:paraId="5313E516"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w:t>
            </w:r>
          </w:p>
          <w:p w14:paraId="3D486A50"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p w14:paraId="1E23596E"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43.7</w:t>
            </w:r>
          </w:p>
          <w:p w14:paraId="4D2A86AF"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15.3</w:t>
            </w:r>
          </w:p>
        </w:tc>
      </w:tr>
      <w:tr w:rsidR="00B263A8" w14:paraId="1C68D8C6" w14:textId="77777777" w:rsidTr="00B263A8">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7F7F7F" w:themeColor="text1" w:themeTint="80"/>
              <w:bottom w:val="single" w:sz="4" w:space="0" w:color="7F7F7F" w:themeColor="text1" w:themeTint="80"/>
            </w:tcBorders>
          </w:tcPr>
          <w:p w14:paraId="3BCDA188" w14:textId="77777777" w:rsidR="00B263A8" w:rsidRDefault="007107B4">
            <w:pPr>
              <w:pStyle w:val="BodyText"/>
              <w:tabs>
                <w:tab w:val="left" w:pos="596"/>
              </w:tabs>
              <w:ind w:right="139"/>
              <w:jc w:val="left"/>
              <w:rPr>
                <w:b w:val="0"/>
                <w:bCs w:val="0"/>
                <w:sz w:val="20"/>
                <w:szCs w:val="20"/>
              </w:rPr>
            </w:pPr>
            <w:r>
              <w:rPr>
                <w:b w:val="0"/>
                <w:bCs w:val="0"/>
                <w:sz w:val="20"/>
                <w:szCs w:val="20"/>
              </w:rPr>
              <w:lastRenderedPageBreak/>
              <w:t>Education level</w:t>
            </w:r>
          </w:p>
          <w:p w14:paraId="5ABAB7F2" w14:textId="77777777" w:rsidR="00B263A8" w:rsidRDefault="007107B4">
            <w:pPr>
              <w:pStyle w:val="BodyText"/>
              <w:numPr>
                <w:ilvl w:val="0"/>
                <w:numId w:val="9"/>
              </w:numPr>
              <w:tabs>
                <w:tab w:val="left" w:pos="596"/>
              </w:tabs>
              <w:ind w:right="139"/>
              <w:jc w:val="left"/>
              <w:rPr>
                <w:sz w:val="20"/>
                <w:szCs w:val="20"/>
              </w:rPr>
            </w:pPr>
            <w:r>
              <w:rPr>
                <w:b w:val="0"/>
                <w:bCs w:val="0"/>
                <w:sz w:val="20"/>
                <w:szCs w:val="20"/>
              </w:rPr>
              <w:t>None</w:t>
            </w:r>
          </w:p>
          <w:p w14:paraId="482F9B13" w14:textId="77777777" w:rsidR="00B263A8" w:rsidRDefault="007107B4">
            <w:pPr>
              <w:pStyle w:val="BodyText"/>
              <w:numPr>
                <w:ilvl w:val="0"/>
                <w:numId w:val="9"/>
              </w:numPr>
              <w:tabs>
                <w:tab w:val="left" w:pos="596"/>
              </w:tabs>
              <w:ind w:right="139"/>
              <w:jc w:val="left"/>
              <w:rPr>
                <w:sz w:val="20"/>
                <w:szCs w:val="20"/>
              </w:rPr>
            </w:pPr>
            <w:r>
              <w:rPr>
                <w:b w:val="0"/>
                <w:bCs w:val="0"/>
                <w:sz w:val="20"/>
                <w:szCs w:val="20"/>
              </w:rPr>
              <w:t>School</w:t>
            </w:r>
          </w:p>
          <w:p w14:paraId="655D11C6" w14:textId="77777777" w:rsidR="00B263A8" w:rsidRDefault="007107B4">
            <w:pPr>
              <w:pStyle w:val="BodyText"/>
              <w:numPr>
                <w:ilvl w:val="0"/>
                <w:numId w:val="9"/>
              </w:numPr>
              <w:tabs>
                <w:tab w:val="left" w:pos="596"/>
              </w:tabs>
              <w:ind w:right="139"/>
              <w:jc w:val="left"/>
              <w:rPr>
                <w:i/>
                <w:iCs/>
                <w:sz w:val="20"/>
                <w:szCs w:val="20"/>
              </w:rPr>
            </w:pPr>
            <w:r>
              <w:rPr>
                <w:b w:val="0"/>
                <w:bCs w:val="0"/>
                <w:i/>
                <w:iCs/>
                <w:sz w:val="20"/>
                <w:szCs w:val="20"/>
              </w:rPr>
              <w:t>Mean missing value</w:t>
            </w:r>
          </w:p>
          <w:p w14:paraId="3E7FCC05" w14:textId="77777777" w:rsidR="00B263A8" w:rsidRDefault="007107B4">
            <w:pPr>
              <w:pStyle w:val="BodyText"/>
              <w:numPr>
                <w:ilvl w:val="0"/>
                <w:numId w:val="9"/>
              </w:numPr>
              <w:tabs>
                <w:tab w:val="left" w:pos="596"/>
              </w:tabs>
              <w:ind w:right="139"/>
              <w:jc w:val="left"/>
              <w:rPr>
                <w:sz w:val="20"/>
                <w:szCs w:val="20"/>
              </w:rPr>
            </w:pPr>
            <w:r>
              <w:rPr>
                <w:b w:val="0"/>
                <w:bCs w:val="0"/>
                <w:sz w:val="20"/>
                <w:szCs w:val="20"/>
              </w:rPr>
              <w:t>College/ Institute</w:t>
            </w:r>
          </w:p>
          <w:p w14:paraId="47C2B5A8" w14:textId="77777777" w:rsidR="00B263A8" w:rsidRDefault="007107B4">
            <w:pPr>
              <w:pStyle w:val="BodyText"/>
              <w:numPr>
                <w:ilvl w:val="0"/>
                <w:numId w:val="9"/>
              </w:numPr>
              <w:tabs>
                <w:tab w:val="left" w:pos="596"/>
              </w:tabs>
              <w:ind w:right="139"/>
              <w:jc w:val="left"/>
              <w:rPr>
                <w:sz w:val="20"/>
                <w:szCs w:val="20"/>
              </w:rPr>
            </w:pPr>
            <w:r>
              <w:rPr>
                <w:b w:val="0"/>
                <w:bCs w:val="0"/>
                <w:sz w:val="20"/>
                <w:szCs w:val="20"/>
              </w:rPr>
              <w:t>University</w:t>
            </w:r>
          </w:p>
        </w:tc>
        <w:tc>
          <w:tcPr>
            <w:tcW w:w="2693" w:type="dxa"/>
            <w:tcBorders>
              <w:top w:val="single" w:sz="4" w:space="0" w:color="7F7F7F" w:themeColor="text1" w:themeTint="80"/>
              <w:bottom w:val="single" w:sz="4" w:space="0" w:color="7F7F7F" w:themeColor="text1" w:themeTint="80"/>
            </w:tcBorders>
          </w:tcPr>
          <w:p w14:paraId="13BFBFB5" w14:textId="77777777" w:rsidR="00B263A8" w:rsidRDefault="00B263A8">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p>
          <w:p w14:paraId="3E2A35C8"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p>
          <w:p w14:paraId="745E07E1"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239</w:t>
            </w:r>
          </w:p>
          <w:p w14:paraId="566134DA"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p w14:paraId="6A35819C"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w:t>
            </w:r>
          </w:p>
          <w:p w14:paraId="21BA2586"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701" w:type="dxa"/>
            <w:tcBorders>
              <w:top w:val="single" w:sz="4" w:space="0" w:color="7F7F7F" w:themeColor="text1" w:themeTint="80"/>
              <w:bottom w:val="single" w:sz="4" w:space="0" w:color="7F7F7F" w:themeColor="text1" w:themeTint="80"/>
            </w:tcBorders>
          </w:tcPr>
          <w:p w14:paraId="7D3E5613" w14:textId="77777777" w:rsidR="00B263A8" w:rsidRDefault="00B263A8">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p>
          <w:p w14:paraId="5B791348"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p w14:paraId="4EE59F13"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79.7</w:t>
            </w:r>
          </w:p>
          <w:p w14:paraId="5A1487A6"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w:t>
            </w:r>
          </w:p>
          <w:p w14:paraId="60A4CCC9"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p w14:paraId="2D5120EC"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B263A8" w14:paraId="70386CE2" w14:textId="77777777" w:rsidTr="00B263A8">
        <w:tc>
          <w:tcPr>
            <w:cnfStyle w:val="001000000000" w:firstRow="0" w:lastRow="0" w:firstColumn="1" w:lastColumn="0" w:oddVBand="0" w:evenVBand="0" w:oddHBand="0" w:evenHBand="0" w:firstRowFirstColumn="0" w:firstRowLastColumn="0" w:lastRowFirstColumn="0" w:lastRowLastColumn="0"/>
            <w:tcW w:w="3260" w:type="dxa"/>
          </w:tcPr>
          <w:p w14:paraId="7D50F200" w14:textId="77777777" w:rsidR="00B263A8" w:rsidRDefault="007107B4">
            <w:pPr>
              <w:pStyle w:val="BodyText"/>
              <w:tabs>
                <w:tab w:val="left" w:pos="596"/>
              </w:tabs>
              <w:ind w:right="139"/>
              <w:jc w:val="left"/>
              <w:rPr>
                <w:b w:val="0"/>
                <w:bCs w:val="0"/>
                <w:sz w:val="20"/>
                <w:szCs w:val="20"/>
              </w:rPr>
            </w:pPr>
            <w:r>
              <w:rPr>
                <w:b w:val="0"/>
                <w:bCs w:val="0"/>
                <w:sz w:val="20"/>
                <w:szCs w:val="20"/>
              </w:rPr>
              <w:t>Employment</w:t>
            </w:r>
          </w:p>
          <w:p w14:paraId="2560F48B" w14:textId="77777777" w:rsidR="00B263A8" w:rsidRDefault="007107B4">
            <w:pPr>
              <w:pStyle w:val="BodyText"/>
              <w:numPr>
                <w:ilvl w:val="0"/>
                <w:numId w:val="10"/>
              </w:numPr>
              <w:tabs>
                <w:tab w:val="left" w:pos="596"/>
              </w:tabs>
              <w:ind w:right="139"/>
              <w:jc w:val="left"/>
              <w:rPr>
                <w:sz w:val="20"/>
                <w:szCs w:val="20"/>
              </w:rPr>
            </w:pPr>
            <w:r>
              <w:rPr>
                <w:b w:val="0"/>
                <w:bCs w:val="0"/>
                <w:sz w:val="20"/>
                <w:szCs w:val="20"/>
              </w:rPr>
              <w:t>Not working</w:t>
            </w:r>
          </w:p>
          <w:p w14:paraId="13924CCB" w14:textId="77777777" w:rsidR="00B263A8" w:rsidRDefault="007107B4">
            <w:pPr>
              <w:pStyle w:val="BodyText"/>
              <w:numPr>
                <w:ilvl w:val="0"/>
                <w:numId w:val="10"/>
              </w:numPr>
              <w:tabs>
                <w:tab w:val="left" w:pos="596"/>
              </w:tabs>
              <w:ind w:right="139"/>
              <w:jc w:val="left"/>
              <w:rPr>
                <w:sz w:val="20"/>
                <w:szCs w:val="20"/>
              </w:rPr>
            </w:pPr>
            <w:r>
              <w:rPr>
                <w:b w:val="0"/>
                <w:bCs w:val="0"/>
                <w:sz w:val="20"/>
                <w:szCs w:val="20"/>
              </w:rPr>
              <w:t>Pensioner</w:t>
            </w:r>
          </w:p>
          <w:p w14:paraId="6E98C87B" w14:textId="77777777" w:rsidR="00B263A8" w:rsidRDefault="007107B4">
            <w:pPr>
              <w:pStyle w:val="BodyText"/>
              <w:numPr>
                <w:ilvl w:val="0"/>
                <w:numId w:val="10"/>
              </w:numPr>
              <w:tabs>
                <w:tab w:val="left" w:pos="596"/>
              </w:tabs>
              <w:ind w:right="139"/>
              <w:jc w:val="left"/>
              <w:rPr>
                <w:sz w:val="20"/>
                <w:szCs w:val="20"/>
              </w:rPr>
            </w:pPr>
            <w:r>
              <w:rPr>
                <w:b w:val="0"/>
                <w:bCs w:val="0"/>
                <w:sz w:val="20"/>
                <w:szCs w:val="20"/>
              </w:rPr>
              <w:t>Self-employed</w:t>
            </w:r>
          </w:p>
          <w:p w14:paraId="7650147C" w14:textId="77777777" w:rsidR="00B263A8" w:rsidRDefault="007107B4">
            <w:pPr>
              <w:pStyle w:val="BodyText"/>
              <w:numPr>
                <w:ilvl w:val="0"/>
                <w:numId w:val="10"/>
              </w:numPr>
              <w:tabs>
                <w:tab w:val="left" w:pos="596"/>
              </w:tabs>
              <w:ind w:right="139"/>
              <w:jc w:val="left"/>
              <w:rPr>
                <w:sz w:val="20"/>
                <w:szCs w:val="20"/>
              </w:rPr>
            </w:pPr>
            <w:r>
              <w:rPr>
                <w:b w:val="0"/>
                <w:bCs w:val="0"/>
                <w:sz w:val="20"/>
                <w:szCs w:val="20"/>
              </w:rPr>
              <w:t>NGO</w:t>
            </w:r>
          </w:p>
          <w:p w14:paraId="792ED859" w14:textId="77777777" w:rsidR="00B263A8" w:rsidRDefault="007107B4">
            <w:pPr>
              <w:pStyle w:val="BodyText"/>
              <w:numPr>
                <w:ilvl w:val="0"/>
                <w:numId w:val="10"/>
              </w:numPr>
              <w:tabs>
                <w:tab w:val="left" w:pos="596"/>
              </w:tabs>
              <w:ind w:right="139"/>
              <w:jc w:val="left"/>
              <w:rPr>
                <w:sz w:val="20"/>
                <w:szCs w:val="20"/>
              </w:rPr>
            </w:pPr>
            <w:r>
              <w:rPr>
                <w:b w:val="0"/>
                <w:bCs w:val="0"/>
                <w:sz w:val="20"/>
                <w:szCs w:val="20"/>
              </w:rPr>
              <w:t>Private company</w:t>
            </w:r>
          </w:p>
          <w:p w14:paraId="152EBF8D" w14:textId="77777777" w:rsidR="00B263A8" w:rsidRDefault="007107B4">
            <w:pPr>
              <w:pStyle w:val="BodyText"/>
              <w:numPr>
                <w:ilvl w:val="0"/>
                <w:numId w:val="10"/>
              </w:numPr>
              <w:tabs>
                <w:tab w:val="left" w:pos="596"/>
              </w:tabs>
              <w:ind w:right="139"/>
              <w:jc w:val="left"/>
              <w:rPr>
                <w:sz w:val="20"/>
                <w:szCs w:val="20"/>
              </w:rPr>
            </w:pPr>
            <w:r>
              <w:rPr>
                <w:b w:val="0"/>
                <w:bCs w:val="0"/>
                <w:sz w:val="20"/>
                <w:szCs w:val="20"/>
              </w:rPr>
              <w:t>Government servant</w:t>
            </w:r>
          </w:p>
        </w:tc>
        <w:tc>
          <w:tcPr>
            <w:tcW w:w="2693" w:type="dxa"/>
          </w:tcPr>
          <w:p w14:paraId="3D774962" w14:textId="77777777" w:rsidR="00B263A8" w:rsidRDefault="00B263A8">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p>
          <w:p w14:paraId="2447012E"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p w14:paraId="53050D9D"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w:t>
            </w:r>
          </w:p>
          <w:p w14:paraId="03E819F4"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144</w:t>
            </w:r>
          </w:p>
          <w:p w14:paraId="7A3857EA"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p w14:paraId="5E91A7A3"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68</w:t>
            </w:r>
          </w:p>
          <w:p w14:paraId="14D90D55"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701" w:type="dxa"/>
          </w:tcPr>
          <w:p w14:paraId="65E125AE" w14:textId="77777777" w:rsidR="00B263A8" w:rsidRDefault="00B263A8">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p>
          <w:p w14:paraId="096F8012"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w:t>
            </w:r>
          </w:p>
          <w:p w14:paraId="1590EFAF"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w:t>
            </w:r>
          </w:p>
          <w:p w14:paraId="7447C870"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w:t>
            </w:r>
          </w:p>
          <w:p w14:paraId="00E175EA"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p w14:paraId="647543FC"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22.7</w:t>
            </w:r>
          </w:p>
          <w:p w14:paraId="01BDFA4F"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w:t>
            </w:r>
          </w:p>
        </w:tc>
      </w:tr>
      <w:tr w:rsidR="00B263A8" w14:paraId="15B7BBAC" w14:textId="77777777" w:rsidTr="00B263A8">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7F7F7F" w:themeColor="text1" w:themeTint="80"/>
              <w:bottom w:val="single" w:sz="4" w:space="0" w:color="7F7F7F" w:themeColor="text1" w:themeTint="80"/>
            </w:tcBorders>
          </w:tcPr>
          <w:p w14:paraId="3FB5FF2F" w14:textId="77777777" w:rsidR="00B263A8" w:rsidRDefault="007107B4">
            <w:pPr>
              <w:pStyle w:val="BodyText"/>
              <w:tabs>
                <w:tab w:val="left" w:pos="596"/>
              </w:tabs>
              <w:ind w:right="139"/>
              <w:jc w:val="left"/>
              <w:rPr>
                <w:b w:val="0"/>
                <w:bCs w:val="0"/>
                <w:sz w:val="20"/>
                <w:szCs w:val="20"/>
              </w:rPr>
            </w:pPr>
            <w:r>
              <w:rPr>
                <w:b w:val="0"/>
                <w:bCs w:val="0"/>
                <w:sz w:val="20"/>
                <w:szCs w:val="20"/>
              </w:rPr>
              <w:t>Income</w:t>
            </w:r>
          </w:p>
          <w:p w14:paraId="440B79D4" w14:textId="77777777" w:rsidR="00B263A8" w:rsidRDefault="007107B4">
            <w:pPr>
              <w:pStyle w:val="BodyText"/>
              <w:numPr>
                <w:ilvl w:val="0"/>
                <w:numId w:val="11"/>
              </w:numPr>
              <w:tabs>
                <w:tab w:val="left" w:pos="596"/>
              </w:tabs>
              <w:ind w:right="139"/>
              <w:jc w:val="left"/>
              <w:rPr>
                <w:sz w:val="20"/>
                <w:szCs w:val="20"/>
              </w:rPr>
            </w:pPr>
            <w:r>
              <w:rPr>
                <w:b w:val="0"/>
                <w:bCs w:val="0"/>
                <w:sz w:val="20"/>
                <w:szCs w:val="20"/>
              </w:rPr>
              <w:t>RM3,000 below</w:t>
            </w:r>
          </w:p>
          <w:p w14:paraId="074D85FF" w14:textId="77777777" w:rsidR="00B263A8" w:rsidRDefault="007107B4">
            <w:pPr>
              <w:pStyle w:val="BodyText"/>
              <w:numPr>
                <w:ilvl w:val="0"/>
                <w:numId w:val="11"/>
              </w:numPr>
              <w:tabs>
                <w:tab w:val="left" w:pos="596"/>
              </w:tabs>
              <w:ind w:right="139"/>
              <w:jc w:val="left"/>
              <w:rPr>
                <w:sz w:val="20"/>
                <w:szCs w:val="20"/>
              </w:rPr>
            </w:pPr>
            <w:r>
              <w:rPr>
                <w:b w:val="0"/>
                <w:bCs w:val="0"/>
                <w:sz w:val="20"/>
                <w:szCs w:val="20"/>
              </w:rPr>
              <w:t>Mean missing value</w:t>
            </w:r>
          </w:p>
          <w:p w14:paraId="441A4228" w14:textId="77777777" w:rsidR="00B263A8" w:rsidRDefault="007107B4">
            <w:pPr>
              <w:pStyle w:val="BodyText"/>
              <w:numPr>
                <w:ilvl w:val="0"/>
                <w:numId w:val="11"/>
              </w:numPr>
              <w:tabs>
                <w:tab w:val="left" w:pos="596"/>
              </w:tabs>
              <w:ind w:right="139"/>
              <w:jc w:val="left"/>
              <w:rPr>
                <w:sz w:val="20"/>
                <w:szCs w:val="20"/>
              </w:rPr>
            </w:pPr>
            <w:r>
              <w:rPr>
                <w:b w:val="0"/>
                <w:bCs w:val="0"/>
                <w:sz w:val="20"/>
                <w:szCs w:val="20"/>
              </w:rPr>
              <w:t>RM3,100 – RM5,000</w:t>
            </w:r>
          </w:p>
          <w:p w14:paraId="3E68CD0D" w14:textId="77777777" w:rsidR="00B263A8" w:rsidRDefault="007107B4">
            <w:pPr>
              <w:pStyle w:val="BodyText"/>
              <w:numPr>
                <w:ilvl w:val="0"/>
                <w:numId w:val="11"/>
              </w:numPr>
              <w:tabs>
                <w:tab w:val="left" w:pos="596"/>
              </w:tabs>
              <w:ind w:right="139"/>
              <w:jc w:val="left"/>
              <w:rPr>
                <w:sz w:val="20"/>
                <w:szCs w:val="20"/>
              </w:rPr>
            </w:pPr>
            <w:r>
              <w:rPr>
                <w:b w:val="0"/>
                <w:bCs w:val="0"/>
                <w:sz w:val="20"/>
                <w:szCs w:val="20"/>
              </w:rPr>
              <w:t>RM5,100 – RM10,000</w:t>
            </w:r>
          </w:p>
          <w:p w14:paraId="558F415D" w14:textId="77777777" w:rsidR="00B263A8" w:rsidRDefault="007107B4">
            <w:pPr>
              <w:pStyle w:val="BodyText"/>
              <w:numPr>
                <w:ilvl w:val="0"/>
                <w:numId w:val="11"/>
              </w:numPr>
              <w:tabs>
                <w:tab w:val="left" w:pos="596"/>
              </w:tabs>
              <w:ind w:right="139"/>
              <w:jc w:val="left"/>
              <w:rPr>
                <w:sz w:val="20"/>
                <w:szCs w:val="20"/>
              </w:rPr>
            </w:pPr>
            <w:r>
              <w:rPr>
                <w:b w:val="0"/>
                <w:bCs w:val="0"/>
                <w:sz w:val="20"/>
                <w:szCs w:val="20"/>
              </w:rPr>
              <w:t>Mean missing value</w:t>
            </w:r>
          </w:p>
        </w:tc>
        <w:tc>
          <w:tcPr>
            <w:tcW w:w="2693" w:type="dxa"/>
            <w:tcBorders>
              <w:top w:val="single" w:sz="4" w:space="0" w:color="7F7F7F" w:themeColor="text1" w:themeTint="80"/>
              <w:bottom w:val="single" w:sz="4" w:space="0" w:color="7F7F7F" w:themeColor="text1" w:themeTint="80"/>
            </w:tcBorders>
          </w:tcPr>
          <w:p w14:paraId="73CB7E39" w14:textId="77777777" w:rsidR="00B263A8" w:rsidRDefault="00B263A8">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p>
          <w:p w14:paraId="60B6510F"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176</w:t>
            </w:r>
          </w:p>
          <w:p w14:paraId="4D508C22"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p w14:paraId="261CCC78"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p w14:paraId="39DCE273"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p w14:paraId="69E81ADC"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701" w:type="dxa"/>
            <w:tcBorders>
              <w:top w:val="single" w:sz="4" w:space="0" w:color="7F7F7F" w:themeColor="text1" w:themeTint="80"/>
              <w:bottom w:val="single" w:sz="4" w:space="0" w:color="7F7F7F" w:themeColor="text1" w:themeTint="80"/>
            </w:tcBorders>
          </w:tcPr>
          <w:p w14:paraId="085B55E6" w14:textId="77777777" w:rsidR="00B263A8" w:rsidRDefault="00B263A8">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p>
          <w:p w14:paraId="32FB0237"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58.7</w:t>
            </w:r>
          </w:p>
          <w:p w14:paraId="6290D185"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w:t>
            </w:r>
          </w:p>
          <w:p w14:paraId="68C2B77A"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33.3</w:t>
            </w:r>
          </w:p>
          <w:p w14:paraId="1105AD32"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w:t>
            </w:r>
          </w:p>
          <w:p w14:paraId="21D223E5"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w:t>
            </w:r>
          </w:p>
        </w:tc>
      </w:tr>
      <w:tr w:rsidR="00B263A8" w14:paraId="2BD8B4E4" w14:textId="77777777" w:rsidTr="00B263A8">
        <w:tc>
          <w:tcPr>
            <w:cnfStyle w:val="001000000000" w:firstRow="0" w:lastRow="0" w:firstColumn="1" w:lastColumn="0" w:oddVBand="0" w:evenVBand="0" w:oddHBand="0" w:evenHBand="0" w:firstRowFirstColumn="0" w:firstRowLastColumn="0" w:lastRowFirstColumn="0" w:lastRowLastColumn="0"/>
            <w:tcW w:w="3260" w:type="dxa"/>
          </w:tcPr>
          <w:p w14:paraId="44A760CB" w14:textId="77777777" w:rsidR="00B263A8" w:rsidRDefault="007107B4">
            <w:pPr>
              <w:pStyle w:val="BodyText"/>
              <w:tabs>
                <w:tab w:val="left" w:pos="596"/>
              </w:tabs>
              <w:ind w:right="139"/>
              <w:jc w:val="left"/>
              <w:rPr>
                <w:b w:val="0"/>
                <w:bCs w:val="0"/>
                <w:sz w:val="20"/>
                <w:szCs w:val="20"/>
              </w:rPr>
            </w:pPr>
            <w:r>
              <w:rPr>
                <w:b w:val="0"/>
                <w:bCs w:val="0"/>
                <w:sz w:val="20"/>
                <w:szCs w:val="20"/>
              </w:rPr>
              <w:t>Residence</w:t>
            </w:r>
          </w:p>
          <w:p w14:paraId="64392522" w14:textId="77777777" w:rsidR="00B263A8" w:rsidRDefault="007107B4">
            <w:pPr>
              <w:pStyle w:val="BodyText"/>
              <w:numPr>
                <w:ilvl w:val="0"/>
                <w:numId w:val="12"/>
              </w:numPr>
              <w:tabs>
                <w:tab w:val="left" w:pos="596"/>
              </w:tabs>
              <w:ind w:right="139"/>
              <w:jc w:val="left"/>
              <w:rPr>
                <w:sz w:val="20"/>
                <w:szCs w:val="20"/>
              </w:rPr>
            </w:pPr>
            <w:r>
              <w:rPr>
                <w:b w:val="0"/>
                <w:bCs w:val="0"/>
                <w:sz w:val="20"/>
                <w:szCs w:val="20"/>
              </w:rPr>
              <w:t>Klang</w:t>
            </w:r>
          </w:p>
          <w:p w14:paraId="7F527DF0" w14:textId="77777777" w:rsidR="00B263A8" w:rsidRDefault="007107B4">
            <w:pPr>
              <w:pStyle w:val="BodyText"/>
              <w:numPr>
                <w:ilvl w:val="0"/>
                <w:numId w:val="12"/>
              </w:numPr>
              <w:tabs>
                <w:tab w:val="left" w:pos="596"/>
              </w:tabs>
              <w:ind w:right="139"/>
              <w:jc w:val="left"/>
              <w:rPr>
                <w:sz w:val="20"/>
                <w:szCs w:val="20"/>
              </w:rPr>
            </w:pPr>
            <w:r>
              <w:rPr>
                <w:b w:val="0"/>
                <w:bCs w:val="0"/>
                <w:sz w:val="20"/>
                <w:szCs w:val="20"/>
              </w:rPr>
              <w:t>Shah Alam</w:t>
            </w:r>
          </w:p>
          <w:p w14:paraId="1AB6524E" w14:textId="77777777" w:rsidR="00B263A8" w:rsidRDefault="007107B4">
            <w:pPr>
              <w:pStyle w:val="BodyText"/>
              <w:numPr>
                <w:ilvl w:val="0"/>
                <w:numId w:val="12"/>
              </w:numPr>
              <w:tabs>
                <w:tab w:val="left" w:pos="596"/>
              </w:tabs>
              <w:ind w:right="139"/>
              <w:jc w:val="left"/>
              <w:rPr>
                <w:sz w:val="20"/>
                <w:szCs w:val="20"/>
              </w:rPr>
            </w:pPr>
            <w:r>
              <w:rPr>
                <w:b w:val="0"/>
                <w:bCs w:val="0"/>
                <w:sz w:val="20"/>
                <w:szCs w:val="20"/>
              </w:rPr>
              <w:t>Subang Jaya</w:t>
            </w:r>
          </w:p>
          <w:p w14:paraId="5F804663" w14:textId="77777777" w:rsidR="00B263A8" w:rsidRDefault="007107B4">
            <w:pPr>
              <w:pStyle w:val="BodyText"/>
              <w:numPr>
                <w:ilvl w:val="0"/>
                <w:numId w:val="12"/>
              </w:numPr>
              <w:tabs>
                <w:tab w:val="left" w:pos="596"/>
              </w:tabs>
              <w:ind w:right="139"/>
              <w:jc w:val="left"/>
              <w:rPr>
                <w:sz w:val="20"/>
                <w:szCs w:val="20"/>
              </w:rPr>
            </w:pPr>
            <w:r>
              <w:rPr>
                <w:b w:val="0"/>
                <w:bCs w:val="0"/>
                <w:sz w:val="20"/>
                <w:szCs w:val="20"/>
              </w:rPr>
              <w:t>Petaling Jaya</w:t>
            </w:r>
          </w:p>
          <w:p w14:paraId="57192BD0" w14:textId="77777777" w:rsidR="00B263A8" w:rsidRDefault="007107B4">
            <w:pPr>
              <w:pStyle w:val="BodyText"/>
              <w:numPr>
                <w:ilvl w:val="0"/>
                <w:numId w:val="12"/>
              </w:numPr>
              <w:tabs>
                <w:tab w:val="left" w:pos="596"/>
              </w:tabs>
              <w:ind w:right="139"/>
              <w:jc w:val="left"/>
              <w:rPr>
                <w:sz w:val="20"/>
                <w:szCs w:val="20"/>
              </w:rPr>
            </w:pPr>
            <w:r>
              <w:rPr>
                <w:b w:val="0"/>
                <w:bCs w:val="0"/>
                <w:sz w:val="20"/>
                <w:szCs w:val="20"/>
              </w:rPr>
              <w:t>Lain-lain: Pelabuhan Klang</w:t>
            </w:r>
          </w:p>
        </w:tc>
        <w:tc>
          <w:tcPr>
            <w:tcW w:w="2693" w:type="dxa"/>
          </w:tcPr>
          <w:p w14:paraId="7BB2C152" w14:textId="77777777" w:rsidR="00B263A8" w:rsidRDefault="00B263A8">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p>
          <w:p w14:paraId="13AF632C"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144</w:t>
            </w:r>
          </w:p>
          <w:p w14:paraId="4A7C568A"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p w14:paraId="1F10D7E2"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p w14:paraId="6436B438"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p w14:paraId="21ACAE40"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155</w:t>
            </w:r>
          </w:p>
        </w:tc>
        <w:tc>
          <w:tcPr>
            <w:tcW w:w="1701" w:type="dxa"/>
          </w:tcPr>
          <w:p w14:paraId="78A581EC" w14:textId="77777777" w:rsidR="00B263A8" w:rsidRDefault="00B263A8">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p>
          <w:p w14:paraId="00762F2D"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w:t>
            </w:r>
          </w:p>
          <w:p w14:paraId="50FC8F50"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p w14:paraId="0412D239"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p w14:paraId="611791B2"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w:t>
            </w:r>
          </w:p>
          <w:p w14:paraId="603D5452" w14:textId="77777777" w:rsidR="00B263A8" w:rsidRDefault="007107B4">
            <w:pPr>
              <w:pStyle w:val="BodyText"/>
              <w:ind w:right="139"/>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51.7</w:t>
            </w:r>
          </w:p>
        </w:tc>
      </w:tr>
    </w:tbl>
    <w:p w14:paraId="33A06645" w14:textId="77777777" w:rsidR="00B263A8" w:rsidRDefault="00B263A8">
      <w:pPr>
        <w:pStyle w:val="BodyText"/>
      </w:pPr>
    </w:p>
    <w:p w14:paraId="2B803DEF" w14:textId="0A0ADE97" w:rsidR="00B263A8" w:rsidRDefault="007107B4">
      <w:pPr>
        <w:ind w:left="140"/>
        <w:jc w:val="both"/>
        <w:rPr>
          <w:i/>
          <w:sz w:val="24"/>
        </w:rPr>
      </w:pPr>
      <w:r>
        <w:rPr>
          <w:i/>
          <w:sz w:val="24"/>
        </w:rPr>
        <w:t xml:space="preserve">Reliability and </w:t>
      </w:r>
      <w:r w:rsidR="0002701D">
        <w:rPr>
          <w:i/>
          <w:sz w:val="24"/>
        </w:rPr>
        <w:t>validity analysis</w:t>
      </w:r>
    </w:p>
    <w:p w14:paraId="71D4BDA2" w14:textId="77777777" w:rsidR="00B263A8" w:rsidRDefault="00B263A8">
      <w:pPr>
        <w:pStyle w:val="BodyText"/>
        <w:rPr>
          <w:i/>
        </w:rPr>
      </w:pPr>
    </w:p>
    <w:p w14:paraId="097BD875" w14:textId="296BA26A" w:rsidR="00B263A8" w:rsidRDefault="007107B4">
      <w:pPr>
        <w:pStyle w:val="BodyText"/>
        <w:ind w:left="140" w:right="136"/>
      </w:pPr>
      <w:r>
        <w:t xml:space="preserve">The Cronbach's Alpha value is used to assess the reliability and validity of each construct in the questionnaire. According to Asbulah et al. (2018), a Cronbach's Alpha value of 0.9 – 1.0 is considered very good and effective with a high level of consistency, while a score of 0.7 – 0.8 is considered good and acceptable, and a score of 0.6 – 0.7 is considered acceptable. Table </w:t>
      </w:r>
      <w:r w:rsidR="00BD7C84">
        <w:t>4</w:t>
      </w:r>
      <w:r>
        <w:t xml:space="preserve"> shows the Cronbach's Alpha score</w:t>
      </w:r>
      <w:r>
        <w:rPr>
          <w:lang w:val="en-GB"/>
        </w:rPr>
        <w:t>s</w:t>
      </w:r>
      <w:r>
        <w:t xml:space="preserve"> for each construct, and it was found that GT variable construct obtained a very good and effective score with a high level of consistency. Meanwhile,  for the variable constructs GSE and Intention to participate in river cleaning initiatives</w:t>
      </w:r>
      <w:r>
        <w:rPr>
          <w:lang w:val="en-GB"/>
        </w:rPr>
        <w:t>, the scores shown were</w:t>
      </w:r>
      <w:r>
        <w:t xml:space="preserve">  good and acceptable.</w:t>
      </w:r>
    </w:p>
    <w:p w14:paraId="6F2BA37E" w14:textId="77777777" w:rsidR="00B263A8" w:rsidRDefault="00B263A8">
      <w:pPr>
        <w:pStyle w:val="BodyText"/>
        <w:ind w:left="140" w:right="136" w:firstLine="427"/>
      </w:pPr>
    </w:p>
    <w:p w14:paraId="782C124E" w14:textId="0E477748" w:rsidR="00B263A8" w:rsidRDefault="007107B4">
      <w:pPr>
        <w:tabs>
          <w:tab w:val="left" w:pos="567"/>
        </w:tabs>
        <w:jc w:val="center"/>
        <w:rPr>
          <w:sz w:val="20"/>
          <w:szCs w:val="20"/>
        </w:rPr>
      </w:pPr>
      <w:r>
        <w:rPr>
          <w:b/>
          <w:bCs/>
          <w:sz w:val="20"/>
          <w:szCs w:val="20"/>
        </w:rPr>
        <w:t xml:space="preserve">Table </w:t>
      </w:r>
      <w:r w:rsidR="00BD7C84">
        <w:rPr>
          <w:b/>
          <w:bCs/>
          <w:sz w:val="20"/>
          <w:szCs w:val="20"/>
        </w:rPr>
        <w:t>4</w:t>
      </w:r>
      <w:r>
        <w:rPr>
          <w:b/>
          <w:bCs/>
          <w:sz w:val="20"/>
          <w:szCs w:val="20"/>
        </w:rPr>
        <w:t>.</w:t>
      </w:r>
      <w:r>
        <w:rPr>
          <w:sz w:val="20"/>
          <w:szCs w:val="20"/>
        </w:rPr>
        <w:t xml:space="preserve"> Reliability and </w:t>
      </w:r>
      <w:r w:rsidR="00BD7C84">
        <w:rPr>
          <w:sz w:val="20"/>
          <w:szCs w:val="20"/>
        </w:rPr>
        <w:t>validity results</w:t>
      </w:r>
    </w:p>
    <w:p w14:paraId="4DC72C27" w14:textId="77777777" w:rsidR="00B263A8" w:rsidRDefault="00B263A8">
      <w:pPr>
        <w:tabs>
          <w:tab w:val="left" w:pos="567"/>
        </w:tabs>
        <w:jc w:val="center"/>
        <w:rPr>
          <w:sz w:val="20"/>
          <w:szCs w:val="20"/>
        </w:rPr>
      </w:pPr>
    </w:p>
    <w:tbl>
      <w:tblPr>
        <w:tblStyle w:val="PlainTable21"/>
        <w:tblW w:w="0" w:type="auto"/>
        <w:jc w:val="center"/>
        <w:tblLook w:val="04A0" w:firstRow="1" w:lastRow="0" w:firstColumn="1" w:lastColumn="0" w:noHBand="0" w:noVBand="1"/>
      </w:tblPr>
      <w:tblGrid>
        <w:gridCol w:w="4365"/>
        <w:gridCol w:w="2552"/>
      </w:tblGrid>
      <w:tr w:rsidR="00B263A8" w14:paraId="2D957368" w14:textId="77777777" w:rsidTr="00BD7C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5" w:type="dxa"/>
            <w:shd w:val="clear" w:color="auto" w:fill="95B3D7" w:themeFill="accent1" w:themeFillTint="99"/>
          </w:tcPr>
          <w:p w14:paraId="6CF5AAB5" w14:textId="77777777" w:rsidR="00B263A8" w:rsidRDefault="007107B4">
            <w:pPr>
              <w:tabs>
                <w:tab w:val="left" w:pos="567"/>
              </w:tabs>
              <w:jc w:val="center"/>
              <w:rPr>
                <w:b w:val="0"/>
                <w:bCs w:val="0"/>
                <w:sz w:val="20"/>
                <w:szCs w:val="20"/>
              </w:rPr>
            </w:pPr>
            <w:r>
              <w:rPr>
                <w:sz w:val="20"/>
                <w:szCs w:val="20"/>
              </w:rPr>
              <w:t>Variables</w:t>
            </w:r>
          </w:p>
        </w:tc>
        <w:tc>
          <w:tcPr>
            <w:tcW w:w="2552" w:type="dxa"/>
            <w:shd w:val="clear" w:color="auto" w:fill="95B3D7" w:themeFill="accent1" w:themeFillTint="99"/>
          </w:tcPr>
          <w:p w14:paraId="27A2DA17" w14:textId="77777777" w:rsidR="00B263A8" w:rsidRDefault="007107B4">
            <w:pPr>
              <w:tabs>
                <w:tab w:val="left" w:pos="567"/>
              </w:tabs>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Cronbach Alpha (α)</w:t>
            </w:r>
          </w:p>
        </w:tc>
      </w:tr>
      <w:tr w:rsidR="00B263A8" w14:paraId="51ED4E62" w14:textId="77777777" w:rsidTr="00B263A8">
        <w:trPr>
          <w:jc w:val="center"/>
        </w:trPr>
        <w:tc>
          <w:tcPr>
            <w:cnfStyle w:val="001000000000" w:firstRow="0" w:lastRow="0" w:firstColumn="1" w:lastColumn="0" w:oddVBand="0" w:evenVBand="0" w:oddHBand="0" w:evenHBand="0" w:firstRowFirstColumn="0" w:firstRowLastColumn="0" w:lastRowFirstColumn="0" w:lastRowLastColumn="0"/>
            <w:tcW w:w="4365" w:type="dxa"/>
            <w:tcBorders>
              <w:top w:val="single" w:sz="4" w:space="0" w:color="7F7F7F" w:themeColor="text1" w:themeTint="80"/>
              <w:bottom w:val="nil"/>
            </w:tcBorders>
            <w:shd w:val="clear" w:color="auto" w:fill="auto"/>
          </w:tcPr>
          <w:p w14:paraId="59792875" w14:textId="77777777" w:rsidR="00B263A8" w:rsidRDefault="007107B4">
            <w:pPr>
              <w:tabs>
                <w:tab w:val="left" w:pos="567"/>
              </w:tabs>
              <w:jc w:val="both"/>
              <w:rPr>
                <w:b w:val="0"/>
                <w:bCs w:val="0"/>
                <w:sz w:val="20"/>
                <w:szCs w:val="20"/>
              </w:rPr>
            </w:pPr>
            <w:r>
              <w:rPr>
                <w:sz w:val="20"/>
                <w:szCs w:val="20"/>
              </w:rPr>
              <w:t>GSE – 3/5 item</w:t>
            </w:r>
          </w:p>
          <w:p w14:paraId="1811FBE1" w14:textId="77777777" w:rsidR="00B263A8" w:rsidRDefault="007107B4">
            <w:pPr>
              <w:tabs>
                <w:tab w:val="left" w:pos="567"/>
              </w:tabs>
              <w:jc w:val="both"/>
              <w:rPr>
                <w:sz w:val="20"/>
                <w:szCs w:val="20"/>
              </w:rPr>
            </w:pPr>
            <w:r>
              <w:rPr>
                <w:sz w:val="20"/>
                <w:szCs w:val="20"/>
              </w:rPr>
              <w:fldChar w:fldCharType="begin" w:fldLock="1"/>
            </w:r>
            <w:r>
              <w:rPr>
                <w:b w:val="0"/>
                <w:bCs w:val="0"/>
                <w:sz w:val="20"/>
                <w:szCs w:val="20"/>
              </w:rPr>
              <w:instrText>ADDIN CSL_CITATION {"citationItems":[{"id":"ITEM-1","itemData":{"DOI":"10.1007/s11135-014-0041-8","ISSN":"15737845","abstract":"Because no previous literature discusses the determinants of green creativity, this study develops an original framework to fill the research gap. This study explores the influence of green shared vision on green creativity and investigates the mediation roles of green mindfulness and green self-efficacy. We apply structural equation modeling to test the hypotheses. The results demonstrate that green shared vision positively influences green mindfulness, green self-efficacy, and green creativity. Besides, this study indicates that the positive relationship between green shared vision and green creativity is partially mediated by the two mediators: green mindfulness and green self-efficacy. It means that green shared vision can not only directly affect green creativity positively, but also indirectly affect it positively via green mindfulness and green self-efficacy. Thus, companies have to increase their green shared vision, green mindfulness, and green self-efficacy to enhance their green creativity.","author":[{"dropping-particle":"","family":"Chen","given":"Yu-Shan","non-dropping-particle":"","parse-names":false,"suffix":""},{"dropping-particle":"","family":"Chang","given":"Ching-Hsun","non-dropping-particle":"","parse-names":false,"suffix":""},{"dropping-particle":"","family":"Yeh","given":"Shu-Ling","non-dropping-particle":"","parse-names":false,"suffix":""},{"dropping-particle":"","family":"Cheng","given":"Hsin-I","non-dropping-particle":"","parse-names":false,"suffix":""}],"container-title":"Quality and Quantity","id":"ITEM-1","issue":"3","issued":{"date-parts":[["2015"]]},"page":"1169-1184","title":"Green shared vision and green creativity: the mediation roles of green mindfulness and green self-efficacy","type":"article-journal","volume":"49"},"uris":["http://www.mendeley.com/documents/?uuid=4290f5ee-fc23-4c69-8d99-643756fedafd"]}],"mendeley":{"formattedCitation":"(Y.-S. Chen et al., 2015)","manualFormatting":"(Chen et al. 2015)","plainTextFormattedCitation":"(Y.-S. Chen et al., 2015)","previouslyFormattedCitation":"(Y.-S. Chen et al., 2015)"},"properties":{"noteIndex":0},"schema":"https://github.com/citation-style-language/schema/raw/master/csl-citation.json"}</w:instrText>
            </w:r>
            <w:r>
              <w:rPr>
                <w:sz w:val="20"/>
                <w:szCs w:val="20"/>
              </w:rPr>
              <w:fldChar w:fldCharType="separate"/>
            </w:r>
            <w:r>
              <w:rPr>
                <w:b w:val="0"/>
                <w:bCs w:val="0"/>
                <w:noProof/>
                <w:sz w:val="20"/>
                <w:szCs w:val="20"/>
              </w:rPr>
              <w:t>(Chen et al. 2015)</w:t>
            </w:r>
            <w:r>
              <w:rPr>
                <w:sz w:val="20"/>
                <w:szCs w:val="20"/>
              </w:rPr>
              <w:fldChar w:fldCharType="end"/>
            </w:r>
          </w:p>
        </w:tc>
        <w:tc>
          <w:tcPr>
            <w:tcW w:w="2552" w:type="dxa"/>
            <w:tcBorders>
              <w:top w:val="single" w:sz="4" w:space="0" w:color="7F7F7F" w:themeColor="text1" w:themeTint="80"/>
              <w:bottom w:val="nil"/>
            </w:tcBorders>
            <w:shd w:val="clear" w:color="auto" w:fill="auto"/>
          </w:tcPr>
          <w:p w14:paraId="04F8A562" w14:textId="77777777" w:rsidR="00B263A8" w:rsidRDefault="007107B4">
            <w:pPr>
              <w:tabs>
                <w:tab w:val="left" w:pos="567"/>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.861</w:t>
            </w:r>
          </w:p>
        </w:tc>
      </w:tr>
      <w:tr w:rsidR="00B263A8" w14:paraId="74AA0EFB" w14:textId="77777777" w:rsidTr="00B263A8">
        <w:trPr>
          <w:jc w:val="center"/>
        </w:trPr>
        <w:tc>
          <w:tcPr>
            <w:cnfStyle w:val="001000000000" w:firstRow="0" w:lastRow="0" w:firstColumn="1" w:lastColumn="0" w:oddVBand="0" w:evenVBand="0" w:oddHBand="0" w:evenHBand="0" w:firstRowFirstColumn="0" w:firstRowLastColumn="0" w:lastRowFirstColumn="0" w:lastRowLastColumn="0"/>
            <w:tcW w:w="4365" w:type="dxa"/>
            <w:tcBorders>
              <w:top w:val="nil"/>
              <w:bottom w:val="nil"/>
            </w:tcBorders>
            <w:shd w:val="clear" w:color="auto" w:fill="auto"/>
          </w:tcPr>
          <w:p w14:paraId="17E4DEC5" w14:textId="77777777" w:rsidR="00B263A8" w:rsidRDefault="007107B4">
            <w:pPr>
              <w:tabs>
                <w:tab w:val="left" w:pos="567"/>
              </w:tabs>
              <w:jc w:val="both"/>
              <w:rPr>
                <w:b w:val="0"/>
                <w:bCs w:val="0"/>
                <w:sz w:val="20"/>
                <w:szCs w:val="20"/>
              </w:rPr>
            </w:pPr>
            <w:r>
              <w:rPr>
                <w:sz w:val="20"/>
                <w:szCs w:val="20"/>
              </w:rPr>
              <w:t>GT – 5 item</w:t>
            </w:r>
          </w:p>
          <w:p w14:paraId="4242E4E3" w14:textId="4230A6FB" w:rsidR="00B263A8" w:rsidRDefault="00127CE0">
            <w:pPr>
              <w:tabs>
                <w:tab w:val="left" w:pos="567"/>
              </w:tabs>
              <w:jc w:val="both"/>
              <w:rPr>
                <w:sz w:val="20"/>
                <w:szCs w:val="20"/>
              </w:rPr>
            </w:pPr>
            <w:r>
              <w:rPr>
                <w:sz w:val="20"/>
                <w:szCs w:val="20"/>
              </w:rPr>
              <w:fldChar w:fldCharType="begin" w:fldLock="1"/>
            </w:r>
            <w:r w:rsidR="000163F4">
              <w:rPr>
                <w:sz w:val="20"/>
                <w:szCs w:val="20"/>
              </w:rPr>
              <w:instrText>ADDIN CSL_CITATION {"citationItems":[{"id":"ITEM-1","itemData":{"DOI":"10.1007/s10551-009-0223-9","ISSN":"01674544","abstract":"This article proposed four novel constructs - green brand image, green satisfaction, green trust, and green brand equity, and explored the positive relationships between green brand equity and its three drivers - green brand image, green satisfaction, and green trust. The object of this research study was information and electronics products in Taiwan. This research employed an empirical study by use of the questionnaire survey method. The questionnaires were randomly mailed to consumers who had the experience of purchasing information and electronics products. The results showed that green brand image, green satisfaction, and green trust are positively related to green brand equity. Furthermore, the positive relationship between green brand image and green brand equity is partially mediated by green satisfaction and green trust. Hence, investing on resources to increase green brand image, green satisfaction, and green trust is helpful to enhance green brand equity. © Springer 2009.","author":[{"dropping-particle":"","family":"Chen","given":"Yu-Shan","non-dropping-particle":"","parse-names":false,"suffix":""}],"container-title":"Journal of Business Ethics","id":"ITEM-1","issue":"2","issued":{"date-parts":[["2010"]]},"page":"307-319","title":"The drivers of green brand equity: Green brand image, green satisfaction, and green trust","type":"article-journal","volume":"93"},"uris":["http://www.mendeley.com/documents/?uuid=99b1208e-6925-4ffb-9e2b-f56e7e9c80b0"]}],"mendeley":{"formattedCitation":"(Y.-S. Chen, 2010)","manualFormatting":"(Chen, 2010)","plainTextFormattedCitation":"(Y.-S. Chen, 2010)","previouslyFormattedCitation":"(Y.-S. Chen, 2010)"},"properties":{"noteIndex":0},"schema":"https://github.com/citation-style-language/schema/raw/master/csl-citation.json"}</w:instrText>
            </w:r>
            <w:r>
              <w:rPr>
                <w:sz w:val="20"/>
                <w:szCs w:val="20"/>
              </w:rPr>
              <w:fldChar w:fldCharType="separate"/>
            </w:r>
            <w:r w:rsidRPr="00127CE0">
              <w:rPr>
                <w:b w:val="0"/>
                <w:noProof/>
                <w:sz w:val="20"/>
                <w:szCs w:val="20"/>
              </w:rPr>
              <w:t>(Chen, 2010)</w:t>
            </w:r>
            <w:r>
              <w:rPr>
                <w:sz w:val="20"/>
                <w:szCs w:val="20"/>
              </w:rPr>
              <w:fldChar w:fldCharType="end"/>
            </w:r>
          </w:p>
        </w:tc>
        <w:tc>
          <w:tcPr>
            <w:tcW w:w="2552" w:type="dxa"/>
            <w:tcBorders>
              <w:top w:val="nil"/>
              <w:bottom w:val="nil"/>
            </w:tcBorders>
            <w:shd w:val="clear" w:color="auto" w:fill="auto"/>
          </w:tcPr>
          <w:p w14:paraId="1B53B095" w14:textId="77777777" w:rsidR="00B263A8" w:rsidRDefault="007107B4">
            <w:pPr>
              <w:tabs>
                <w:tab w:val="left" w:pos="567"/>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.919</w:t>
            </w:r>
          </w:p>
        </w:tc>
      </w:tr>
      <w:tr w:rsidR="00B263A8" w14:paraId="7B2A2025" w14:textId="77777777" w:rsidTr="00B263A8">
        <w:trPr>
          <w:jc w:val="center"/>
        </w:trPr>
        <w:tc>
          <w:tcPr>
            <w:cnfStyle w:val="001000000000" w:firstRow="0" w:lastRow="0" w:firstColumn="1" w:lastColumn="0" w:oddVBand="0" w:evenVBand="0" w:oddHBand="0" w:evenHBand="0" w:firstRowFirstColumn="0" w:firstRowLastColumn="0" w:lastRowFirstColumn="0" w:lastRowLastColumn="0"/>
            <w:tcW w:w="4365" w:type="dxa"/>
            <w:tcBorders>
              <w:top w:val="nil"/>
              <w:bottom w:val="single" w:sz="4" w:space="0" w:color="auto"/>
            </w:tcBorders>
            <w:shd w:val="clear" w:color="auto" w:fill="auto"/>
          </w:tcPr>
          <w:p w14:paraId="3B0D9EA2" w14:textId="77777777" w:rsidR="00B263A8" w:rsidRDefault="007107B4">
            <w:pPr>
              <w:tabs>
                <w:tab w:val="left" w:pos="567"/>
              </w:tabs>
              <w:jc w:val="both"/>
              <w:rPr>
                <w:sz w:val="20"/>
                <w:szCs w:val="20"/>
              </w:rPr>
            </w:pPr>
            <w:r>
              <w:rPr>
                <w:sz w:val="20"/>
                <w:szCs w:val="20"/>
              </w:rPr>
              <w:t>Intention to Participate – 3/5 item</w:t>
            </w:r>
          </w:p>
          <w:p w14:paraId="148B729D" w14:textId="77777777" w:rsidR="00B263A8" w:rsidRDefault="007107B4">
            <w:pPr>
              <w:tabs>
                <w:tab w:val="left" w:pos="567"/>
              </w:tabs>
              <w:jc w:val="both"/>
              <w:rPr>
                <w:b w:val="0"/>
                <w:bCs w:val="0"/>
                <w:sz w:val="20"/>
                <w:szCs w:val="20"/>
              </w:rPr>
            </w:pPr>
            <w:r>
              <w:rPr>
                <w:sz w:val="20"/>
                <w:szCs w:val="20"/>
              </w:rPr>
              <w:fldChar w:fldCharType="begin" w:fldLock="1"/>
            </w:r>
            <w:r>
              <w:rPr>
                <w:b w:val="0"/>
                <w:bCs w:val="0"/>
                <w:sz w:val="20"/>
                <w:szCs w:val="20"/>
              </w:rPr>
              <w:instrText>ADDIN CSL_CITATION {"citationItems":[{"id":"ITEM-1","itemData":{"DOI":"10.1017/S1463423618000695","ISSN":"14771128","PMID":"30259824","abstract":"Aim The aim of the study is to explore to what extent members of the community are willing to participate in the way their primary care practice is organized and which characteristics of people and community are associated with this willingness.Background Community participation in primary care refers to involvement of community members in the organization, governance and policy making of primary care facilities. Due to demographic changes and changes in the role of patients and the community concerning health care, it becomes important to include the social environment of patients into healthcare. Community participation may help GPs to improving their practice and providing care according to the needs of the population. Interpreted this way, it may be an important contributor to quality of care.Methods In 2016, a web questionnaire was send to 800 members of the Dutch Health Care Consumer Panel. The response rate was 34%. Willingness to participate was divided into perceived readiness, ability and time to participate. The data were analysed using frequency tables and linear regression analysis.Findings Half of the participants were ready to give their opinion on primary care and one-third reported willingness to participate in decision making. Participants were less optimistic about their ability to participate and the time they have available for participation. Readiness and perceived ability were mainly determined by the importance that the respondents attributed to participation. Participants with previous experience in volunteering appeared more willing to spend time on participation.Conclusions This study showed that half of the respondents are willing to participate, but they are less sure about their ability to do so and that finding time to participate is seen as problematic. Future research should focus on which characteristics influence willingness. This knowledge might help primary care facilities to recruit people more easily and successfully.","author":[{"dropping-particle":"","family":"Kroneman","given":"Madelon","non-dropping-particle":"","parse-names":false,"suffix":""},{"dropping-particle":"","family":"Erp","given":"Kim","non-dropping-particle":"Van","parse-names":false,"suffix":""},{"dropping-particle":"","family":"Groenewegen","given":"Peter","non-dropping-particle":"","parse-names":false,"suffix":""}],"container-title":"Primary Health Care Research and Development","id":"ITEM-1","issue":"e13","issued":{"date-parts":[["2018"]]},"page":"1-7","title":"Community participation in primary care: Willingness to participate, a web survey in the Netherlands","type":"article-journal","volume":"20"},"uris":["http://www.mendeley.com/documents/?uuid=8c80135e-f019-44a7-a4d5-785e95c25141"]}],"mendeley":{"formattedCitation":"(Kroneman et al., 2018)","plainTextFormattedCitation":"(Kroneman et al., 2018)","previouslyFormattedCitation":"(Kroneman et al., 2018)"},"properties":{"noteIndex":0},"schema":"https://github.com/citation-style-language/schema/raw/master/csl-citation.json"}</w:instrText>
            </w:r>
            <w:r>
              <w:rPr>
                <w:sz w:val="20"/>
                <w:szCs w:val="20"/>
              </w:rPr>
              <w:fldChar w:fldCharType="separate"/>
            </w:r>
            <w:r>
              <w:rPr>
                <w:b w:val="0"/>
                <w:bCs w:val="0"/>
                <w:noProof/>
                <w:sz w:val="20"/>
                <w:szCs w:val="20"/>
              </w:rPr>
              <w:t>(Kroneman et al., 2018)</w:t>
            </w:r>
            <w:r>
              <w:rPr>
                <w:sz w:val="20"/>
                <w:szCs w:val="20"/>
              </w:rPr>
              <w:fldChar w:fldCharType="end"/>
            </w:r>
          </w:p>
        </w:tc>
        <w:tc>
          <w:tcPr>
            <w:tcW w:w="2552" w:type="dxa"/>
            <w:tcBorders>
              <w:top w:val="nil"/>
              <w:bottom w:val="single" w:sz="4" w:space="0" w:color="auto"/>
            </w:tcBorders>
            <w:shd w:val="clear" w:color="auto" w:fill="auto"/>
          </w:tcPr>
          <w:p w14:paraId="44B8A8A2" w14:textId="77777777" w:rsidR="00B263A8" w:rsidRDefault="007107B4">
            <w:pPr>
              <w:tabs>
                <w:tab w:val="left" w:pos="567"/>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.765</w:t>
            </w:r>
          </w:p>
        </w:tc>
      </w:tr>
    </w:tbl>
    <w:p w14:paraId="088A103E" w14:textId="66B7B568" w:rsidR="006D2F9C" w:rsidRPr="00BD7C84" w:rsidRDefault="007107B4" w:rsidP="00BD7C84">
      <w:pPr>
        <w:tabs>
          <w:tab w:val="left" w:pos="567"/>
        </w:tabs>
        <w:jc w:val="both"/>
      </w:pPr>
      <w:r>
        <w:rPr>
          <w:sz w:val="20"/>
          <w:szCs w:val="20"/>
        </w:rPr>
        <w:tab/>
      </w:r>
      <w:r>
        <w:rPr>
          <w:sz w:val="20"/>
          <w:szCs w:val="20"/>
        </w:rPr>
        <w:tab/>
      </w:r>
      <w:r>
        <w:t xml:space="preserve"> </w:t>
      </w:r>
    </w:p>
    <w:p w14:paraId="5FAD054F" w14:textId="046E54C6" w:rsidR="00B263A8" w:rsidRDefault="007107B4">
      <w:pPr>
        <w:jc w:val="both"/>
        <w:rPr>
          <w:i/>
          <w:sz w:val="24"/>
        </w:rPr>
      </w:pPr>
      <w:r>
        <w:rPr>
          <w:i/>
          <w:sz w:val="24"/>
        </w:rPr>
        <w:t xml:space="preserve">Pearson </w:t>
      </w:r>
      <w:r w:rsidR="00BD7C84">
        <w:rPr>
          <w:i/>
          <w:sz w:val="24"/>
        </w:rPr>
        <w:t>correlation analysis</w:t>
      </w:r>
    </w:p>
    <w:p w14:paraId="0BB197F2" w14:textId="77777777" w:rsidR="00B263A8" w:rsidRPr="00BD7C84" w:rsidRDefault="00B263A8">
      <w:pPr>
        <w:pStyle w:val="BodyText"/>
        <w:rPr>
          <w:i/>
          <w:sz w:val="28"/>
          <w:szCs w:val="28"/>
        </w:rPr>
      </w:pPr>
    </w:p>
    <w:p w14:paraId="7887333D" w14:textId="3B792827" w:rsidR="00884BA0" w:rsidRPr="00BD7C84" w:rsidRDefault="007107B4">
      <w:pPr>
        <w:tabs>
          <w:tab w:val="left" w:pos="567"/>
        </w:tabs>
        <w:jc w:val="both"/>
        <w:rPr>
          <w:sz w:val="24"/>
          <w:szCs w:val="24"/>
        </w:rPr>
      </w:pPr>
      <w:bookmarkStart w:id="5" w:name="_Hlk173087097"/>
      <w:r w:rsidRPr="00BD7C84">
        <w:rPr>
          <w:sz w:val="24"/>
          <w:szCs w:val="24"/>
        </w:rPr>
        <w:t xml:space="preserve">The Pearson correlation analysis of the variables was also tested. According to </w:t>
      </w:r>
      <w:r w:rsidRPr="00BD7C84">
        <w:rPr>
          <w:sz w:val="24"/>
          <w:szCs w:val="24"/>
        </w:rPr>
        <w:fldChar w:fldCharType="begin" w:fldLock="1"/>
      </w:r>
      <w:r w:rsidRPr="00BD7C84">
        <w:rPr>
          <w:sz w:val="24"/>
          <w:szCs w:val="24"/>
        </w:rPr>
        <w:instrText>ADDIN CSL_CITATION {"citationItems":[{"id":"ITEM-1","itemData":{"ISSN":"0003-2999","abstract":"Correlation in the broadest sense is a measure of an association between variables. In correlated data, the change in the magnitude of 1 variable is associated with a change in the magnitude of another variable, either in the same (positive correlation) or in the opposite (negative correlation) direction. Most often, the term correlation is used in the context of a linear relationship between 2 continuous variables and expressed as Pearson product-moment correlation. The Pearson correlation coefficient is typically used for jointly normally distributed data (data that follow a bivariate normal distribution). For nonnormally distributed continuous data, for ordinal data, or for data with relevant outliers, a Spearman rank correlation can be used as a measure of a monotonic association. Both correlation coefficients are scaled such that they range from –1 to +1, where 0 indicates that there is no linear or monotonic association, and the relationship gets stronger and ultimately approaches a straight line (Pearson correlation) or a constantly increasing or decreasing curve (Spearman correlation) as the coefficient approaches an absolute value of 1. Hypothesis tests and confidence intervals can be used to address the statistical significance of the results and to estimate the strength of the relationship in the population from which the data were sampled. The aim of this tutorial is to guide researchers and clinicians in the appropriate use and interpretation of correlation coefficients.","author":[{"dropping-particle":"","family":"Schober","given":"Patrick","non-dropping-particle":"","parse-names":false,"suffix":""},{"dropping-particle":"","family":"Boer","given":"Christa","non-dropping-particle":"","parse-names":false,"suffix":""},{"dropping-particle":"","family":"Schwarte","given":"Lothar A","non-dropping-particle":"","parse-names":false,"suffix":""}],"container-title":"Anesthesia &amp; Analgesia","id":"ITEM-1","issue":"5","issued":{"date-parts":[["2018"]]},"page":"1763 - 1768","title":"Correlation Coefficients: Appropriate Use and Interpretation","type":"article-journal","volume":"126"},"uris":["http://www.mendeley.com/documents/?uuid=b188b05e-0490-4982-be4b-0b9b2523b94b"]}],"mendeley":{"formattedCitation":"(Schober et al., 2018)","manualFormatting":"Schober et al. (2018)","plainTextFormattedCitation":"(Schober et al., 2018)","previouslyFormattedCitation":"(Schober et al., 2018)"},"properties":{"noteIndex":0},"schema":"https://github.com/citation-style-language/schema/raw/master/csl-citation.json"}</w:instrText>
      </w:r>
      <w:r w:rsidRPr="00BD7C84">
        <w:rPr>
          <w:sz w:val="24"/>
          <w:szCs w:val="24"/>
        </w:rPr>
        <w:fldChar w:fldCharType="separate"/>
      </w:r>
      <w:r w:rsidRPr="00BD7C84">
        <w:rPr>
          <w:noProof/>
          <w:sz w:val="24"/>
          <w:szCs w:val="24"/>
        </w:rPr>
        <w:t>Schober et al. (2018)</w:t>
      </w:r>
      <w:r w:rsidRPr="00BD7C84">
        <w:rPr>
          <w:sz w:val="24"/>
          <w:szCs w:val="24"/>
        </w:rPr>
        <w:fldChar w:fldCharType="end"/>
      </w:r>
      <w:r w:rsidRPr="00BD7C84">
        <w:rPr>
          <w:sz w:val="24"/>
          <w:szCs w:val="24"/>
        </w:rPr>
        <w:t xml:space="preserve">, the Pearson correlation coefficient have different degrees of strength to be interpreted. The value of 0.00 – 0.01 (negligible correlation), 0.10 – 0.39 (weak correlation), 0.40 – 0.69 </w:t>
      </w:r>
      <w:r w:rsidRPr="00BD7C84">
        <w:rPr>
          <w:sz w:val="24"/>
          <w:szCs w:val="24"/>
        </w:rPr>
        <w:lastRenderedPageBreak/>
        <w:t xml:space="preserve">(moderate correlation), 0.70 – 0.89 (strong correlation), and 0.90 – 1.00 very strong correlation). </w:t>
      </w:r>
      <w:r w:rsidR="00A92033" w:rsidRPr="00BD7C84">
        <w:rPr>
          <w:sz w:val="24"/>
          <w:szCs w:val="24"/>
        </w:rPr>
        <w:t>GSE was found to have</w:t>
      </w:r>
      <w:r w:rsidRPr="00BD7C84">
        <w:rPr>
          <w:sz w:val="24"/>
          <w:szCs w:val="24"/>
        </w:rPr>
        <w:t xml:space="preserve"> a moderately positive and statistically significant correlation with intention to participate in river cleaning initiatives (</w:t>
      </w:r>
      <w:r w:rsidRPr="00BD7C84">
        <w:rPr>
          <w:i/>
          <w:iCs/>
          <w:sz w:val="24"/>
          <w:szCs w:val="24"/>
        </w:rPr>
        <w:t>r</w:t>
      </w:r>
      <w:r w:rsidRPr="00BD7C84">
        <w:rPr>
          <w:sz w:val="24"/>
          <w:szCs w:val="24"/>
        </w:rPr>
        <w:t xml:space="preserve"> = .685, p = 0.00). Hence, H1 was supported. This </w:t>
      </w:r>
      <w:r w:rsidRPr="00BD7C84">
        <w:rPr>
          <w:sz w:val="24"/>
          <w:szCs w:val="24"/>
          <w:lang w:val="en-GB"/>
        </w:rPr>
        <w:t>indicates</w:t>
      </w:r>
      <w:r w:rsidRPr="00BD7C84">
        <w:rPr>
          <w:sz w:val="24"/>
          <w:szCs w:val="24"/>
        </w:rPr>
        <w:t xml:space="preserve"> that a high level of GSE would lead to a high intention to participate in </w:t>
      </w:r>
      <w:r w:rsidR="00A92033" w:rsidRPr="00BD7C84">
        <w:rPr>
          <w:sz w:val="24"/>
          <w:szCs w:val="24"/>
        </w:rPr>
        <w:t>river-cleaning</w:t>
      </w:r>
      <w:r w:rsidRPr="00BD7C84">
        <w:rPr>
          <w:sz w:val="24"/>
          <w:szCs w:val="24"/>
        </w:rPr>
        <w:t xml:space="preserve"> initiatives.</w:t>
      </w:r>
      <w:r w:rsidR="00A37A53" w:rsidRPr="00BD7C84">
        <w:rPr>
          <w:sz w:val="24"/>
          <w:szCs w:val="24"/>
        </w:rPr>
        <w:t xml:space="preserve"> Using Self-Determination Theory (SDT), it is evident that individuals with GSE can leverage their abilities to engage in river cleaning initiatives. According to SDT, individuals are motivated to achieve goals when their basic needs for competence, autonomy, and social connection are met </w:t>
      </w:r>
      <w:r w:rsidR="00A37A53" w:rsidRPr="00BD7C84">
        <w:rPr>
          <w:sz w:val="24"/>
          <w:szCs w:val="24"/>
        </w:rPr>
        <w:fldChar w:fldCharType="begin" w:fldLock="1"/>
      </w:r>
      <w:r w:rsidR="00A37A53" w:rsidRPr="00BD7C84">
        <w:rPr>
          <w:sz w:val="24"/>
          <w:szCs w:val="24"/>
        </w:rPr>
        <w:instrText>ADDIN CSL_CITATION {"citationItems":[{"id":"ITEM-1","itemData":{"DOI":"10.12973/ijese.2014.201a","ISSN":"13063065","abstract":"According to self-determination theory, social contexts that support students' basic psychological needs of autonomy, competence, and relatedness foster motivation toward behaviors that are valued in that social context. This study investigated the socio-contextual elements of a learning environment that support or undermine students' basic psychological needs as they relate to solving environmental problems. Individual stimulated-recall interviews were conducted with a student group after they participated in environmental problem-solving tasks over the course of a semester. Data were taken on students' reported feelings of competence, relatedness, and autonomy, and the classroom features to which they attributed those feelings. Six features of the instructional environment were inferred to be supportive of students' basic psychological needs. These are referred to as curricular interconnectivity, conceptualization problem sets, instructional guidance, socio-scientific integration throughout the curriculum, student-guided lecture, and cohesive group dynamics. One feature of the instructional environment seemed to undermine students' basic psychological needs; it is referred to as the \"anything-goes\" norm. These features are explained with supporting evidence and consequences regarding students needs for competence, autonomy, and relatedness. The article concludes with a discussion of considerations when constructing science curricula, given the impacts on environmental motivation.","author":[{"dropping-particle":"","family":"Darner","given":"Rebekka","non-dropping-particle":"","parse-names":false,"suffix":""}],"container-title":"International Journal of Environmental and Science Education","id":"ITEM-1","issue":"1","issued":{"date-parts":[["2014"]]},"page":"21-39","title":"Influences on Students' Environmental Self-Determination and Implications for Science Curricula","type":"article-journal","volume":"9"},"uris":["http://www.mendeley.com/documents/?uuid=6370f288-6387-419f-b2ef-6705964d72aa"]},{"id":"ITEM-2","itemData":{"DOI":"10.18848/2325-1166/cgp/v08i04/55412","ISSN":"23251182","abstract":"In this paper, we summarize past research regarding the relationship between environmental attitudes and time perspective with pro-environmental behaviors (PEB), identify the construct environmental efficacy, and describe the development of a scale designed to measure it. The results of our initial scale validation study demonstrate a high level of internal reliability. Convergent validity was demonstrated between ecocentric attitudes, future time perspective, and higher levels of motivation, as well as between anthropocentric attitudes, present time perspective, and amotivation. Discriminant validity was demonstrated between ecocentric and anthropocentric attitudes, as well as between future time perspective, ecocentric attitudes, and amotivation. Areas for future research are identified, including specifying these relationships and developing a model that incorporates these various factors and the explicit relationships between them. The potential benefits of this research include, on a small, proximal scale, encouraging environmental efficacy, and on a larger, distal scale, advancing collective efficacy and furthering the widespread adoption of sustainable ecocentric behaviors.","author":[{"dropping-particle":"","family":"Sellers","given":"Brittany C.","non-dropping-particle":"","parse-names":false,"suffix":""},{"dropping-particle":"","family":"Fiore","given":"Stephen M.","non-dropping-particle":"","parse-names":false,"suffix":""},{"dropping-particle":"","family":"Szalma","given":"James","non-dropping-particle":"","parse-names":false,"suffix":""}],"container-title":"International Journal of Sustainability Policy and Practice","id":"ITEM-2","issue":"4","issued":{"date-parts":[["2013"]]},"page":"169-195","title":"Developing a scale of environmental efficacy","type":"article-journal","volume":"8"},"uris":["http://www.mendeley.com/documents/?uuid=5885fc18-6c2b-4252-9921-fd5fea139c4f"]}],"mendeley":{"formattedCitation":"(Darner, 2014; Sellers et al., 2013)","plainTextFormattedCitation":"(Darner, 2014; Sellers et al., 2013)","previouslyFormattedCitation":"(Darner, 2014; Sellers et al., 2013)"},"properties":{"noteIndex":0},"schema":"https://github.com/citation-style-language/schema/raw/master/csl-citation.json"}</w:instrText>
      </w:r>
      <w:r w:rsidR="00A37A53" w:rsidRPr="00BD7C84">
        <w:rPr>
          <w:sz w:val="24"/>
          <w:szCs w:val="24"/>
        </w:rPr>
        <w:fldChar w:fldCharType="separate"/>
      </w:r>
      <w:r w:rsidR="00A37A53" w:rsidRPr="00BD7C84">
        <w:rPr>
          <w:noProof/>
          <w:sz w:val="24"/>
          <w:szCs w:val="24"/>
        </w:rPr>
        <w:t>(Darner, 2014; Sellers et al., 2013)</w:t>
      </w:r>
      <w:r w:rsidR="00A37A53" w:rsidRPr="00BD7C84">
        <w:rPr>
          <w:sz w:val="24"/>
          <w:szCs w:val="24"/>
        </w:rPr>
        <w:fldChar w:fldCharType="end"/>
      </w:r>
      <w:r w:rsidR="00A37A53" w:rsidRPr="00BD7C84">
        <w:rPr>
          <w:sz w:val="24"/>
          <w:szCs w:val="24"/>
        </w:rPr>
        <w:t xml:space="preserve">. It is in line with previous studies from different contexts such as the findings of </w:t>
      </w:r>
      <w:r w:rsidR="00A37A53" w:rsidRPr="00BD7C84">
        <w:rPr>
          <w:sz w:val="24"/>
          <w:szCs w:val="24"/>
        </w:rPr>
        <w:fldChar w:fldCharType="begin" w:fldLock="1"/>
      </w:r>
      <w:r w:rsidR="00831AC1" w:rsidRPr="00BD7C84">
        <w:rPr>
          <w:sz w:val="24"/>
          <w:szCs w:val="24"/>
        </w:rPr>
        <w:instrText>ADDIN CSL_CITATION {"citationItems":[{"id":"ITEM-1","itemData":{"DOI":"10.1108/IJOES-05-2020-0072","ISSN":"25149369","abstract":"Purpose: The purpose of this study is to examine the effect of green trust (GT), environmental quality awareness (EQA), green self-efficacy (GSE) and environmental attitude (EA) towards green purchase behaviour (GPB). The mediating effect of EA is also investigated. Design/methodology/approach: Attribution theory and the attitude-behaviour gap model were used to develop the research model. Data were collected through an online survey, which yielded 321 complete and usable responses. The partial least square-structural equation modelling (PLS-SEM; SmartPLS, Version 3) technique was used to test the study hypotheses. Findings: The analysis revealed that GT, GSE and EA affect GPB positively. It was also found that EA mediates the relationship between “environmental quality awareness and green purchase behaviour” and “green self-efficacy and green purchase behaviour”. However, EA did not mediate the link between “green trust and green purchase behaviour”. Practical implications: The findings of this study provide insightful implications for social and green marketers, including an understanding of the complex customer behaviour in purchasing green products, which will eventually enable them to formulate better green marketing strategies. Originality/value: This study is amongst the pioneers in investigating the effect of EQA in relation to GPB. Furthermore, the mediating effect of EA in the link between “environmental quality awareness and green purchase behaviour”, “green trust and green purchase behaviour” and “green self-efficacy and green purchase behaviour” is also a new contribution to the literature. Finally, this study explains the drivers of consumers’ GPB, thereby providing a novel understanding of the field.","author":[{"dropping-particle":"","family":"Sh. Ahmad","given":"Fauziah","non-dropping-particle":"","parse-names":false,"suffix":""},{"dropping-particle":"","family":"Rosli","given":"Nennie Trianna","non-dropping-particle":"","parse-names":false,"suffix":""},{"dropping-particle":"","family":"Quoquab","given":"Farzana","non-dropping-particle":"","parse-names":false,"suffix":""}],"container-title":"International Journal of Ethics and Systems","id":"ITEM-1","issue":"1","issued":{"date-parts":[["2022"]]},"page":"68-90","title":"Environmental quality awareness, green trust, green self-efficacy and environmental attitude in influencing green purchase behaviour","type":"article-journal","volume":"38"},"uris":["http://www.mendeley.com/documents/?uuid=2d8ebdce-2ab0-4208-a6f8-67f7428157cb"]}],"mendeley":{"formattedCitation":"(Sh. Ahmad et al., 2022)","manualFormatting":"Sh. Ahmad et al., (2022)","plainTextFormattedCitation":"(Sh. Ahmad et al., 2022)","previouslyFormattedCitation":"(Sh. Ahmad et al., 2022)"},"properties":{"noteIndex":0},"schema":"https://github.com/citation-style-language/schema/raw/master/csl-citation.json"}</w:instrText>
      </w:r>
      <w:r w:rsidR="00A37A53" w:rsidRPr="00BD7C84">
        <w:rPr>
          <w:sz w:val="24"/>
          <w:szCs w:val="24"/>
        </w:rPr>
        <w:fldChar w:fldCharType="separate"/>
      </w:r>
      <w:r w:rsidR="00A37A53" w:rsidRPr="00BD7C84">
        <w:rPr>
          <w:noProof/>
          <w:sz w:val="24"/>
          <w:szCs w:val="24"/>
        </w:rPr>
        <w:t xml:space="preserve">Sh. Ahmad et al., </w:t>
      </w:r>
      <w:r w:rsidR="00831AC1" w:rsidRPr="00BD7C84">
        <w:rPr>
          <w:noProof/>
          <w:sz w:val="24"/>
          <w:szCs w:val="24"/>
        </w:rPr>
        <w:t>(</w:t>
      </w:r>
      <w:r w:rsidR="00A37A53" w:rsidRPr="00BD7C84">
        <w:rPr>
          <w:noProof/>
          <w:sz w:val="24"/>
          <w:szCs w:val="24"/>
        </w:rPr>
        <w:t>2022)</w:t>
      </w:r>
      <w:r w:rsidR="00A37A53" w:rsidRPr="00BD7C84">
        <w:rPr>
          <w:sz w:val="24"/>
          <w:szCs w:val="24"/>
        </w:rPr>
        <w:fldChar w:fldCharType="end"/>
      </w:r>
      <w:r w:rsidR="00A37A53" w:rsidRPr="00BD7C84">
        <w:rPr>
          <w:sz w:val="24"/>
          <w:szCs w:val="24"/>
        </w:rPr>
        <w:t xml:space="preserve"> who found that </w:t>
      </w:r>
      <w:r w:rsidR="00831AC1" w:rsidRPr="00BD7C84">
        <w:rPr>
          <w:sz w:val="24"/>
          <w:szCs w:val="24"/>
        </w:rPr>
        <w:t>GSE</w:t>
      </w:r>
      <w:r w:rsidR="00A37A53" w:rsidRPr="00BD7C84">
        <w:rPr>
          <w:sz w:val="24"/>
          <w:szCs w:val="24"/>
        </w:rPr>
        <w:t xml:space="preserve"> motivates environmental action and has a positive relationship with green purchasing behavior</w:t>
      </w:r>
      <w:r w:rsidR="00831AC1" w:rsidRPr="00BD7C84">
        <w:rPr>
          <w:sz w:val="24"/>
          <w:szCs w:val="24"/>
        </w:rPr>
        <w:t xml:space="preserve">. Meanwhile, </w:t>
      </w:r>
      <w:r w:rsidR="00831AC1" w:rsidRPr="00BD7C84">
        <w:rPr>
          <w:sz w:val="24"/>
          <w:szCs w:val="24"/>
        </w:rPr>
        <w:fldChar w:fldCharType="begin" w:fldLock="1"/>
      </w:r>
      <w:r w:rsidR="00871B1D" w:rsidRPr="00BD7C84">
        <w:rPr>
          <w:sz w:val="24"/>
          <w:szCs w:val="24"/>
        </w:rPr>
        <w:instrText>ADDIN CSL_CITATION {"citationItems":[{"id":"ITEM-1","itemData":{"ISBN":"9781792361241","ISSN":"21698767","abstract":"Sustaining a promising future for the earth and its neighbours are the core principle of sustainable growth. Several studies proved that human activities are among the major causes of environmental problems, pro-environmental behaviour crucial for the future. The present study aims to foster and enhance more sustainable behaviour in households, workplaces, schools, and higher educational institutions. Previous research has placed increasing attention on the identification of factors of pro-environmental behaviour. Accordingly, this study aims to examine the elements influencing the pro-environmental behaviour of employees in the workplace. A survey was performed from January to February 2020 on 84 employees of an organisation in Terengganu. In line with this study prediction, it was found that green self-efficacy positively affected pro-environmental behaviour. However, the impacts of environmental commitment, environmental consciousness, green lifestyles, and green human resource management were insignificant. Provided that data were developed using a cross-sectional design, the assessment of causality among the constructs was a risky process. Furthermore, the study collected data from a single source, namely the employees, which would enhance the relationships through common method bias. The findings of this study also offered several managerial implications for green organisations.","author":[{"dropping-particle":"","family":"Yusliza","given":"Mohd Yusoff","non-dropping-particle":"","parse-names":false,"suffix":""},{"dropping-particle":"","family":"Faezah","given":"Juhari Noor","non-dropping-particle":"","parse-names":false,"suffix":""},{"dropping-particle":"","family":"Mat","given":"Nik Hazimah Nik","non-dropping-particle":"","parse-names":false,"suffix":""},{"dropping-particle":"","family":"Saputra","given":"Jumadil","non-dropping-particle":"","parse-names":false,"suffix":""},{"dropping-particle":"","family":"Muhammad","given":"Zikri","non-dropping-particle":"","parse-names":false,"suffix":""},{"dropping-particle":"","family":"Muhamad","given":"Aina Syuhaila","non-dropping-particle":"","parse-names":false,"suffix":""},{"dropping-particle":"","family":"Ramayah","given":"T.","non-dropping-particle":"","parse-names":false,"suffix":""}],"container-title":"Proceedings of the International Conference on Industrial Engineering and Operations Management","id":"ITEM-1","issue":"July","issued":{"date-parts":[["2021"]]},"page":"3953-3963","title":"Modelling pro-environmental behaviour in the workplace: a preliminary study","type":"article-journal"},"uris":["http://www.mendeley.com/documents/?uuid=4ade6f95-9d8c-46b5-a04c-e72fb6075125"]}],"mendeley":{"formattedCitation":"(Yusliza et al., 2021)","manualFormatting":"Yusliza et al., (2021)","plainTextFormattedCitation":"(Yusliza et al., 2021)","previouslyFormattedCitation":"(Yusliza et al., 2021)"},"properties":{"noteIndex":0},"schema":"https://github.com/citation-style-language/schema/raw/master/csl-citation.json"}</w:instrText>
      </w:r>
      <w:r w:rsidR="00831AC1" w:rsidRPr="00BD7C84">
        <w:rPr>
          <w:sz w:val="24"/>
          <w:szCs w:val="24"/>
        </w:rPr>
        <w:fldChar w:fldCharType="separate"/>
      </w:r>
      <w:r w:rsidR="00831AC1" w:rsidRPr="00BD7C84">
        <w:rPr>
          <w:noProof/>
          <w:sz w:val="24"/>
          <w:szCs w:val="24"/>
        </w:rPr>
        <w:t>Yusliza et al., (2021)</w:t>
      </w:r>
      <w:r w:rsidR="00831AC1" w:rsidRPr="00BD7C84">
        <w:rPr>
          <w:sz w:val="24"/>
          <w:szCs w:val="24"/>
        </w:rPr>
        <w:fldChar w:fldCharType="end"/>
      </w:r>
      <w:r w:rsidR="00831AC1" w:rsidRPr="00BD7C84">
        <w:rPr>
          <w:sz w:val="24"/>
          <w:szCs w:val="24"/>
        </w:rPr>
        <w:t xml:space="preserve"> also stated that individuals with GSE are able to reduce the impact on the environment with their positive attitude and behavior towards the environment.</w:t>
      </w:r>
    </w:p>
    <w:p w14:paraId="371ED623" w14:textId="205A4501" w:rsidR="00B263A8" w:rsidRPr="00BD7C84" w:rsidRDefault="00884BA0">
      <w:pPr>
        <w:tabs>
          <w:tab w:val="left" w:pos="567"/>
        </w:tabs>
        <w:jc w:val="both"/>
        <w:rPr>
          <w:sz w:val="24"/>
          <w:szCs w:val="24"/>
        </w:rPr>
      </w:pPr>
      <w:r w:rsidRPr="00BD7C84">
        <w:rPr>
          <w:sz w:val="24"/>
          <w:szCs w:val="24"/>
        </w:rPr>
        <w:tab/>
      </w:r>
      <w:r w:rsidR="007107B4" w:rsidRPr="00BD7C84">
        <w:rPr>
          <w:sz w:val="24"/>
          <w:szCs w:val="24"/>
        </w:rPr>
        <w:t>Moreover, the Pearson correlation between GT and intention to participate in river cleaning initiatives was also moderately positive and statistically significant (</w:t>
      </w:r>
      <w:r w:rsidR="007107B4" w:rsidRPr="00BD7C84">
        <w:rPr>
          <w:i/>
          <w:iCs/>
          <w:sz w:val="24"/>
          <w:szCs w:val="24"/>
        </w:rPr>
        <w:t>r</w:t>
      </w:r>
      <w:r w:rsidR="007107B4" w:rsidRPr="00BD7C84">
        <w:rPr>
          <w:sz w:val="24"/>
          <w:szCs w:val="24"/>
        </w:rPr>
        <w:t xml:space="preserve"> = .452, p = 0.00). Hence, H2 was supported. This shows that a high level of GT would also lead to a high intention to participate in river cleaning initiatives.</w:t>
      </w:r>
      <w:r w:rsidR="00831AC1" w:rsidRPr="00BD7C84">
        <w:rPr>
          <w:sz w:val="24"/>
          <w:szCs w:val="24"/>
        </w:rPr>
        <w:t xml:space="preserve"> It shows that applying Self-Perception Theory (SPT) to individuals with GT shapes their attitude to participate in river cleaning initiatives, as they have previously participated and believe in its effectiveness in reducing pollution and improving river cleanliness </w:t>
      </w:r>
      <w:r w:rsidR="00871B1D" w:rsidRPr="00BD7C84">
        <w:rPr>
          <w:sz w:val="24"/>
          <w:szCs w:val="24"/>
        </w:rPr>
        <w:fldChar w:fldCharType="begin" w:fldLock="1"/>
      </w:r>
      <w:r w:rsidR="00871B1D" w:rsidRPr="00BD7C84">
        <w:rPr>
          <w:sz w:val="24"/>
          <w:szCs w:val="24"/>
        </w:rPr>
        <w:instrText>ADDIN CSL_CITATION {"citationItems":[{"id":"ITEM-1","itemData":{"DOI":"10.2190/BP8D-04W5-7FJ7-C5J5","ISSN":"00472433","abstract":"Based on Bem's self-perception theory, the ″foot-in-the-door″ technique was utilized to induce the pro-environmental behavior of recycling in a sample with no prior history of such behavior. The sample consisted of 291 citizens of a small city chosen at random from nonstudent neighborhoods. Experimental conditions consisted of all permutations of three types of prior requests. Compliance with the final request (recycling), as assessed one to two months later and in an 18-month follow-up, was significantly higher for conditions eliciting compliance with multiple prior request which required subject-originated actions, and particularly for compliance with a prior request high in task similarity with the final request. The results were discussed in terms of implications for induction of enduring subject-originated behavioral compliance.","author":[{"dropping-particle":"","family":"Arbuthnot","given":"Jack","non-dropping-particle":"","parse-names":false,"suffix":""},{"dropping-particle":"","family":"Tedeschi","given":"Richard","non-dropping-particle":"","parse-names":false,"suffix":""},{"dropping-particle":"","family":"Wayner","given":"Marc","non-dropping-particle":"","parse-names":false,"suffix":""},{"dropping-particle":"","family":"Turner","given":"James","non-dropping-particle":"","parse-names":false,"suffix":""},{"dropping-particle":"","family":"Kressel","given":"Stuart","non-dropping-particle":"","parse-names":false,"suffix":""},{"dropping-particle":"","family":"Rush","given":"Robert","non-dropping-particle":"","parse-names":false,"suffix":""}],"container-title":"Journal of Environmental Systems","id":"ITEM-1","issue":"4","issued":{"date-parts":[["1976"]]},"page":"355-368","title":"Induction of Sustained Recycling Behavior Through the Foot-in-the-Door Technique.","type":"article-journal","volume":"6"},"uris":["http://www.mendeley.com/documents/?uuid=d152be51-ca87-4dd9-b4a3-b072abf3d950"]},{"id":"ITEM-2","itemData":{"DOI":"10.1016/j.ijresmar.2007.06.002","ISSN":"01678116","abstract":"People frequently fail to see themselves as environmentally conscious consumers; one reason for this is that they are oftentimes prone to dismissing their more common ecological behaviors (e.g., avoid littering) as non-diagnostic for that particular self-image. The cueing of commonly performed ecological behaviors as environmentally friendly (what we call positive cueing) renders both cued and non-cued common ecological behaviors more diagnostic for the inference of pro-environmental attitudes (Study 1). As a result, positive cueing increases the likelihood that people will see themselves as consumers who are concerned with the degree to which their behavior is environmentally responsible (Study 2). The cueing of common ecological behaviors leads participants to choose environmentally friendly products with greater frequency, and even to use scrap paper more efficiently (Study 3). We discuss the implications for effective social marketing campaigns. © 2007 Elsevier B.V. All rights reserved.","author":[{"dropping-particle":"","family":"Cornelissen","given":"Gert","non-dropping-particle":"","parse-names":false,"suffix":""},{"dropping-particle":"","family":"Pandelaere","given":"Mario","non-dropping-particle":"","parse-names":false,"suffix":""},{"dropping-particle":"","family":"Warlop","given":"Luk","non-dropping-particle":"","parse-names":false,"suffix":""},{"dropping-particle":"","family":"Dewitte","given":"Siegfried","non-dropping-particle":"","parse-names":false,"suffix":""}],"container-title":"International Journal of Research in Marketing","id":"ITEM-2","issue":"1","issued":{"date-parts":[["2008"]]},"page":"46-55","title":"Positive cueing: Promoting sustainable consumer behavior by cueing common environmental behaviors as environmental","type":"article-journal","volume":"25"},"uris":["http://www.mendeley.com/documents/?uuid=5842ff23-8dc8-4239-8b82-798c7da15f64"]},{"id":"ITEM-3","itemData":{"DOI":"10.1016/j.scitotenv.2021.150914","ISSN":"18791026","PMID":"34653473","abstract":"Research suggests that behavior change programs can be fast and cost-effective solutions to plastic pollution alongside traditional environmental policy-making. Furthermore, encouraging change in perception and behavior can be a tool to change consumption and waste handling towards increased circularity, which is of high concern in the EU. Beyond knowledge, predictors of pro-environmental behavior include concern, social norms, nature-connectedness, identity and self-efficacy. Citizen Science (CS) as a way to raise awareness and potentially change behavior show promise within plastic litter monitoring. We tested the feasibility of evaluating a nation-wide citizen science intervention, ‘the Mass Experiment’ (ME), with school students (age 7-16) in Denmark. With more than 57,000 students signed up for ME, this is to our knowledge one of the largest CS activity on plastic debris targeting young people. As an addition to the core CS activity we developed a voluntary and anonymous questionnaire to study the perceptions and behaviors of the students. We hypothesized that the intervention would increase risk perception, self-efficacy and empowerment as well as self-reported actions. Through 931 pre-surveys and 838 post-surveys aggregated at the team level (n = 48), we found that the intervention had no significant overall effect on team, risk-perception, pro-environmental behaviors, nor self-efficacy or empowerment. However, unexpected patterns emerged for age effects, potentially advising some caution over the design of such CS activities particularly for younger children. We discuss methodological limitations, the high baseline for nearly all variables, the Danish context and the intervention itself and make recommendations for studying future CS interventions.","author":[{"dropping-particle":"","family":"Oturai","given":"Nikoline G.","non-dropping-particle":"","parse-names":false,"suffix":""},{"dropping-particle":"","family":"Pahl","given":"Sabine","non-dropping-particle":"","parse-names":false,"suffix":""},{"dropping-particle":"","family":"Syberg","given":"Kristian","non-dropping-particle":"","parse-names":false,"suffix":""}],"container-title":"Science of the Total Environment","id":"ITEM-3","issued":{"date-parts":[["2022"]]},"page":"150914","publisher":"The Authors","title":"How can we test plastic pollution perceptions and behavior? A feasibility study with Danish children participating in “the Mass Experiment”","type":"article-journal","volume":"806"},"uris":["http://www.mendeley.com/documents/?uuid=d2f6e0db-04cd-452c-ba71-5758290635aa"]}],"mendeley":{"formattedCitation":"(Arbuthnot et al., 1976; Cornelissen et al., 2008; Oturai et al., 2022)","plainTextFormattedCitation":"(Arbuthnot et al., 1976; Cornelissen et al., 2008; Oturai et al., 2022)","previouslyFormattedCitation":"(Arbuthnot et al., 1976; Cornelissen et al., 2008; Oturai et al., 2022)"},"properties":{"noteIndex":0},"schema":"https://github.com/citation-style-language/schema/raw/master/csl-citation.json"}</w:instrText>
      </w:r>
      <w:r w:rsidR="00871B1D" w:rsidRPr="00BD7C84">
        <w:rPr>
          <w:sz w:val="24"/>
          <w:szCs w:val="24"/>
        </w:rPr>
        <w:fldChar w:fldCharType="separate"/>
      </w:r>
      <w:r w:rsidR="00871B1D" w:rsidRPr="00BD7C84">
        <w:rPr>
          <w:noProof/>
          <w:sz w:val="24"/>
          <w:szCs w:val="24"/>
        </w:rPr>
        <w:t>(Arbuthnot et al., 1976; Cornelissen et al., 2008; Oturai et al., 2022)</w:t>
      </w:r>
      <w:r w:rsidR="00871B1D" w:rsidRPr="00BD7C84">
        <w:rPr>
          <w:sz w:val="24"/>
          <w:szCs w:val="24"/>
        </w:rPr>
        <w:fldChar w:fldCharType="end"/>
      </w:r>
      <w:r w:rsidR="00871B1D" w:rsidRPr="00BD7C84">
        <w:rPr>
          <w:sz w:val="24"/>
          <w:szCs w:val="24"/>
        </w:rPr>
        <w:t xml:space="preserve">. This is in line with the findings of previous studies that found that GT has a significant positive relationship with green purchasing behavior intentions </w:t>
      </w:r>
      <w:r w:rsidR="00871B1D" w:rsidRPr="00BD7C84">
        <w:rPr>
          <w:sz w:val="24"/>
          <w:szCs w:val="24"/>
        </w:rPr>
        <w:fldChar w:fldCharType="begin" w:fldLock="1"/>
      </w:r>
      <w:r w:rsidR="00871B1D" w:rsidRPr="00BD7C84">
        <w:rPr>
          <w:sz w:val="24"/>
          <w:szCs w:val="24"/>
        </w:rPr>
        <w:instrText>ADDIN CSL_CITATION {"citationItems":[{"id":"ITEM-1","itemData":{"DOI":"10.3390/ijerph192316195","ISSN":"16604601","PMID":"36498268","abstract":"With the growing awareness of the climate change effects, hotel customers progressively intend to favor green products and services that minimize adverse environmental effects. The key factors affecting customers’ green behavioral intentions in the hospitality industry context are still under research. Accordingly, this study primarily aims at empirically investigating the nexus between green perceived quality (GPQ), green satisfaction (GS), green trust (GT), and customers’ green behavioral intentions (CGBIs) in a sample of five-star eco-friendly hotels in Egypt. More specifically, the study first endeavors to investigate the direct impact of GPQ on GS, GT, and CGBIs besides exploring the direct impact of GS and GT on CGBIs in addition to examining the potential effect of GS and GT as mediators in the nexus between GPQ and CGBIs. To achieve the study’s aim and associated objectives, a self-administrated questionnaire was developed and distributed to a convenience sample of local guests staying at certified five-green star hotels. A total of 500 questionnaires were distributed, and only 304 valid forms, representing 60.8%, were used in the statistical analysis. Seven hypotheses, reflecting the direct and indirect relationships between study constructs, were examined by using Structural Equation Modeling (SEM) with bootstrapping technique. The study findings revealed that GS, GT as well as CGBIs are significantly positively affected by GPQ, respectively. Furthermore, GT and GS have a significant positive effect on CGBIs. Moreover, GT as well as GS partially mediate the nexus between GPQ and CGBIs. From the previous findings, it could be concluded that the increase in investment in enhancing GPQ significantly contributes to the improvement in GS, GT, and CGBIs. Additionally, the higher the GT, GPQ, and GS, the greater the revisit intention to green hotels, positive green word-of-mouth (GWoM), and intention to pay a premium for staying in environmentally friendly hotels. As a result, for enhancing CGBIs and sustaining a customer-hotel long-term relationship, hotel operators should make efforts towards maintaining GT, improving GPQ, and increasing customers’ GS as key predictors of CGBIs in the hotel industry context.","author":[{"dropping-particle":"","family":"Hashish","given":"Magdy El Sayed","non-dropping-particle":"","parse-names":false,"suffix":""},{"dropping-particle":"","family":"Abdou","given":"Ahmed Hassan","non-dropping-particle":"","parse-names":false,"suffix":""},{"dropping-particle":"","family":"Mohamed","given":"Shaimaa Abo Khangar","non-dropping-particle":"","parse-names":false,"suffix":""},{"dropping-particle":"","family":"Elenain","given":"Ahmed Saleh Abo","non-dropping-particle":"","parse-names":false,"suffix":""},{"dropping-particle":"","family":"Salama","given":"Wagih","non-dropping-particle":"","parse-names":false,"suffix":""}],"container-title":"International Journal of Environmental Research and Public Health","id":"ITEM-1","issue":"23","issued":{"date-parts":[["2022"]]},"page":"1-21","title":"The Nexus between Green Perceived Quality, Green Satisfaction, Green Trust, and Customers’ Green Behavioral Intentions in Eco-Friendly Hotels: A Structural Equation Modeling Approach","type":"article-journal","volume":"19"},"uris":["http://www.mendeley.com/documents/?uuid=e5eea255-1861-4733-b5ce-aa7c32f1bc0b"]},{"id":"ITEM-2","itemData":{"DOI":"10.1108/IJOES-05-2020-0072","ISSN":"25149369","abstract":"Purpose: The purpose of this study is to examine the effect of green trust (GT), environmental quality awareness (EQA), green self-efficacy (GSE) and environmental attitude (EA) towards green purchase behaviour (GPB). The mediating effect of EA is also investigated. Design/methodology/approach: Attribution theory and the attitude-behaviour gap model were used to develop the research model. Data were collected through an online survey, which yielded 321 complete and usable responses. The partial least square-structural equation modelling (PLS-SEM; SmartPLS, Version 3) technique was used to test the study hypotheses. Findings: The analysis revealed that GT, GSE and EA affect GPB positively. It was also found that EA mediates the relationship between “environmental quality awareness and green purchase behaviour” and “green self-efficacy and green purchase behaviour”. However, EA did not mediate the link between “green trust and green purchase behaviour”. Practical implications: The findings of this study provide insightful implications for social and green marketers, including an understanding of the complex customer behaviour in purchasing green products, which will eventually enable them to formulate better green marketing strategies. Originality/value: This study is amongst the pioneers in investigating the effect of EQA in relation to GPB. Furthermore, the mediating effect of EA in the link between “environmental quality awareness and green purchase behaviour”, “green trust and green purchase behaviour” and “green self-efficacy and green purchase behaviour” is also a new contribution to the literature. Finally, this study explains the drivers of consumers’ GPB, thereby providing a novel understanding of the field.","author":[{"dropping-particle":"","family":"Sh. Ahmad","given":"Fauziah","non-dropping-particle":"","parse-names":false,"suffix":""},{"dropping-particle":"","family":"Rosli","given":"Nennie Trianna","non-dropping-particle":"","parse-names":false,"suffix":""},{"dropping-particle":"","family":"Quoquab","given":"Farzana","non-dropping-particle":"","parse-names":false,"suffix":""}],"container-title":"International Journal of Ethics and Systems","id":"ITEM-2","issue":"1","issued":{"date-parts":[["2022"]]},"page":"68-90","title":"Environmental quality awareness, green trust, green self-efficacy and environmental attitude in influencing green purchase behaviour","type":"article-journal","volume":"38"},"uris":["http://www.mendeley.com/documents/?uuid=2d8ebdce-2ab0-4208-a6f8-67f7428157cb"]}],"mendeley":{"formattedCitation":"(Hashish et al., 2022; Sh. Ahmad et al., 2022)","plainTextFormattedCitation":"(Hashish et al., 2022; Sh. Ahmad et al., 2022)","previouslyFormattedCitation":"(Hashish et al., 2022; Sh. Ahmad et al., 2022)"},"properties":{"noteIndex":0},"schema":"https://github.com/citation-style-language/schema/raw/master/csl-citation.json"}</w:instrText>
      </w:r>
      <w:r w:rsidR="00871B1D" w:rsidRPr="00BD7C84">
        <w:rPr>
          <w:sz w:val="24"/>
          <w:szCs w:val="24"/>
        </w:rPr>
        <w:fldChar w:fldCharType="separate"/>
      </w:r>
      <w:r w:rsidR="00871B1D" w:rsidRPr="00BD7C84">
        <w:rPr>
          <w:noProof/>
          <w:sz w:val="24"/>
          <w:szCs w:val="24"/>
        </w:rPr>
        <w:t>(Hashish et al., 2022; Sh. Ahmad et al., 2022)</w:t>
      </w:r>
      <w:r w:rsidR="00871B1D" w:rsidRPr="00BD7C84">
        <w:rPr>
          <w:sz w:val="24"/>
          <w:szCs w:val="24"/>
        </w:rPr>
        <w:fldChar w:fldCharType="end"/>
      </w:r>
      <w:r w:rsidR="00871B1D" w:rsidRPr="00BD7C84">
        <w:rPr>
          <w:sz w:val="24"/>
          <w:szCs w:val="24"/>
        </w:rPr>
        <w:t xml:space="preserve">. </w:t>
      </w:r>
      <w:r w:rsidR="0020272B" w:rsidRPr="00BD7C84">
        <w:rPr>
          <w:sz w:val="24"/>
          <w:szCs w:val="24"/>
        </w:rPr>
        <w:t>Furthermore</w:t>
      </w:r>
      <w:r w:rsidR="00871B1D" w:rsidRPr="00BD7C84">
        <w:rPr>
          <w:sz w:val="24"/>
          <w:szCs w:val="24"/>
        </w:rPr>
        <w:t xml:space="preserve">, </w:t>
      </w:r>
      <w:r w:rsidR="00871B1D" w:rsidRPr="00BD7C84">
        <w:rPr>
          <w:sz w:val="24"/>
          <w:szCs w:val="24"/>
        </w:rPr>
        <w:fldChar w:fldCharType="begin" w:fldLock="1"/>
      </w:r>
      <w:r w:rsidR="00871B1D" w:rsidRPr="00BD7C84">
        <w:rPr>
          <w:sz w:val="24"/>
          <w:szCs w:val="24"/>
        </w:rPr>
        <w:instrText>ADDIN CSL_CITATION {"citationItems":[{"id":"ITEM-1","itemData":{"DOI":"10.1007/s10668-020-01219-6","ISSN":"15732975","abstract":"The current study explores the role of green trust, green perceived risk and green perceived quality in changing green purchase intention. Environmental awareness plays the role of a moderator here. Analyses of the sample of 306 consumers, taken from different consumers of energy savers in southern Punjab, Pakistan, revealed interesting findings. Green trust, green perceived risk and green perceived quality were found significant in predicting green purchase intention. Further, environmental awareness significantly moderated the relationships between green purchase intentions and its predictors. Previous studies on green purchase intentions have predominantly fixated on simple models at any given time. However, researchers increasingly claim that an elaborate demonstration may provide a better understanding of customers’ green purchase intention.","author":[{"dropping-particle":"","family":"Wasaya","given":"Allah","non-dropping-particle":"","parse-names":false,"suffix":""},{"dropping-particle":"","family":"Saleem","given":"Muhammad Abid","non-dropping-particle":"","parse-names":false,"suffix":""},{"dropping-particle":"","family":"Ahmad","given":"Jamil","non-dropping-particle":"","parse-names":false,"suffix":""},{"dropping-particle":"","family":"Nazam","given":"Muhammad","non-dropping-particle":"","parse-names":false,"suffix":""},{"dropping-particle":"","family":"Khan","given":"M. Mohsin Ali","non-dropping-particle":"","parse-names":false,"suffix":""},{"dropping-particle":"","family":"Ishfaq","given":"Mohammad","non-dropping-particle":"","parse-names":false,"suffix":""}],"container-title":"Environment, Development and Sustainability","id":"ITEM-1","issue":"9","issued":{"date-parts":[["2021"]]},"page":"13418-13435","publisher":"Springer Netherlands","title":"Impact of green trust and green perceived quality on green purchase intentions: a moderation study","type":"article-journal","volume":"23"},"uris":["http://www.mendeley.com/documents/?uuid=34f95af5-d2f8-4394-935e-e76fbbf38e7f"]}],"mendeley":{"formattedCitation":"(Wasaya et al., 2021)","manualFormatting":"Wasaya et al., (2021)","plainTextFormattedCitation":"(Wasaya et al., 2021)"},"properties":{"noteIndex":0},"schema":"https://github.com/citation-style-language/schema/raw/master/csl-citation.json"}</w:instrText>
      </w:r>
      <w:r w:rsidR="00871B1D" w:rsidRPr="00BD7C84">
        <w:rPr>
          <w:sz w:val="24"/>
          <w:szCs w:val="24"/>
        </w:rPr>
        <w:fldChar w:fldCharType="separate"/>
      </w:r>
      <w:r w:rsidR="00871B1D" w:rsidRPr="00BD7C84">
        <w:rPr>
          <w:noProof/>
          <w:sz w:val="24"/>
          <w:szCs w:val="24"/>
        </w:rPr>
        <w:t>Wasaya et al., (2021)</w:t>
      </w:r>
      <w:r w:rsidR="00871B1D" w:rsidRPr="00BD7C84">
        <w:rPr>
          <w:sz w:val="24"/>
          <w:szCs w:val="24"/>
        </w:rPr>
        <w:fldChar w:fldCharType="end"/>
      </w:r>
      <w:r w:rsidR="00871B1D" w:rsidRPr="00BD7C84">
        <w:rPr>
          <w:sz w:val="24"/>
          <w:szCs w:val="24"/>
        </w:rPr>
        <w:t xml:space="preserve"> has proven GT</w:t>
      </w:r>
      <w:r w:rsidR="0020272B" w:rsidRPr="00BD7C84">
        <w:rPr>
          <w:sz w:val="24"/>
          <w:szCs w:val="24"/>
        </w:rPr>
        <w:t xml:space="preserve"> predicts green purchasing behavior intention, as study findings show that consumers perceive energy-saving green products as higher quality, thereby increasing their intention to buy them</w:t>
      </w:r>
      <w:r w:rsidR="001907E9" w:rsidRPr="00BD7C84">
        <w:rPr>
          <w:sz w:val="24"/>
          <w:szCs w:val="24"/>
        </w:rPr>
        <w:t xml:space="preserve"> (refer to Table </w:t>
      </w:r>
      <w:r w:rsidR="00BD7C84">
        <w:rPr>
          <w:sz w:val="24"/>
          <w:szCs w:val="24"/>
        </w:rPr>
        <w:t>5</w:t>
      </w:r>
      <w:r w:rsidR="001907E9" w:rsidRPr="00BD7C84">
        <w:rPr>
          <w:sz w:val="24"/>
          <w:szCs w:val="24"/>
        </w:rPr>
        <w:t>)</w:t>
      </w:r>
      <w:r w:rsidR="0020272B" w:rsidRPr="00BD7C84">
        <w:rPr>
          <w:sz w:val="24"/>
          <w:szCs w:val="24"/>
        </w:rPr>
        <w:t>.</w:t>
      </w:r>
      <w:bookmarkEnd w:id="5"/>
    </w:p>
    <w:p w14:paraId="3509D189" w14:textId="77777777" w:rsidR="00B263A8" w:rsidRDefault="00B263A8">
      <w:pPr>
        <w:tabs>
          <w:tab w:val="left" w:pos="567"/>
        </w:tabs>
        <w:jc w:val="both"/>
      </w:pPr>
    </w:p>
    <w:p w14:paraId="54B83FEC" w14:textId="529F001F" w:rsidR="00B263A8" w:rsidRDefault="007107B4">
      <w:pPr>
        <w:tabs>
          <w:tab w:val="left" w:pos="567"/>
        </w:tabs>
        <w:jc w:val="center"/>
        <w:rPr>
          <w:sz w:val="20"/>
          <w:szCs w:val="20"/>
        </w:rPr>
      </w:pPr>
      <w:r>
        <w:rPr>
          <w:b/>
          <w:bCs/>
          <w:sz w:val="20"/>
          <w:szCs w:val="20"/>
        </w:rPr>
        <w:t xml:space="preserve">Table </w:t>
      </w:r>
      <w:r w:rsidR="00BD7C84">
        <w:rPr>
          <w:b/>
          <w:bCs/>
          <w:sz w:val="20"/>
          <w:szCs w:val="20"/>
        </w:rPr>
        <w:t>5</w:t>
      </w:r>
      <w:r>
        <w:rPr>
          <w:b/>
          <w:bCs/>
          <w:sz w:val="20"/>
          <w:szCs w:val="20"/>
        </w:rPr>
        <w:t>.</w:t>
      </w:r>
      <w:r>
        <w:rPr>
          <w:sz w:val="20"/>
          <w:szCs w:val="20"/>
        </w:rPr>
        <w:t xml:space="preserve"> Pearson </w:t>
      </w:r>
      <w:r w:rsidR="00BD7C84">
        <w:rPr>
          <w:sz w:val="20"/>
          <w:szCs w:val="20"/>
        </w:rPr>
        <w:t>correlation results</w:t>
      </w:r>
    </w:p>
    <w:p w14:paraId="3B7921B1" w14:textId="77777777" w:rsidR="00B263A8" w:rsidRDefault="00B263A8">
      <w:pPr>
        <w:tabs>
          <w:tab w:val="left" w:pos="567"/>
        </w:tabs>
        <w:jc w:val="center"/>
        <w:rPr>
          <w:sz w:val="20"/>
          <w:szCs w:val="20"/>
        </w:rPr>
      </w:pPr>
    </w:p>
    <w:tbl>
      <w:tblPr>
        <w:tblStyle w:val="PlainTable21"/>
        <w:tblW w:w="0" w:type="auto"/>
        <w:tblInd w:w="817" w:type="dxa"/>
        <w:tblLook w:val="04A0" w:firstRow="1" w:lastRow="0" w:firstColumn="1" w:lastColumn="0" w:noHBand="0" w:noVBand="1"/>
      </w:tblPr>
      <w:tblGrid>
        <w:gridCol w:w="2552"/>
        <w:gridCol w:w="1842"/>
        <w:gridCol w:w="1418"/>
        <w:gridCol w:w="2268"/>
      </w:tblGrid>
      <w:tr w:rsidR="00B263A8" w14:paraId="1CDA5735" w14:textId="77777777" w:rsidTr="00BD7C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95B3D7" w:themeFill="accent1" w:themeFillTint="99"/>
          </w:tcPr>
          <w:p w14:paraId="310E5ECA" w14:textId="77777777" w:rsidR="00B263A8" w:rsidRDefault="00B263A8">
            <w:pPr>
              <w:tabs>
                <w:tab w:val="left" w:pos="567"/>
              </w:tabs>
              <w:jc w:val="both"/>
              <w:rPr>
                <w:b w:val="0"/>
                <w:bCs w:val="0"/>
                <w:sz w:val="20"/>
                <w:szCs w:val="20"/>
              </w:rPr>
            </w:pPr>
          </w:p>
        </w:tc>
        <w:tc>
          <w:tcPr>
            <w:tcW w:w="1842" w:type="dxa"/>
            <w:shd w:val="clear" w:color="auto" w:fill="95B3D7" w:themeFill="accent1" w:themeFillTint="99"/>
          </w:tcPr>
          <w:p w14:paraId="0F573CE8" w14:textId="77777777" w:rsidR="00B263A8" w:rsidRDefault="007107B4">
            <w:pPr>
              <w:tabs>
                <w:tab w:val="left" w:pos="567"/>
              </w:tabs>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GSE</w:t>
            </w:r>
          </w:p>
        </w:tc>
        <w:tc>
          <w:tcPr>
            <w:tcW w:w="1418" w:type="dxa"/>
            <w:shd w:val="clear" w:color="auto" w:fill="95B3D7" w:themeFill="accent1" w:themeFillTint="99"/>
          </w:tcPr>
          <w:p w14:paraId="20C85BBC" w14:textId="77777777" w:rsidR="00B263A8" w:rsidRDefault="007107B4">
            <w:pPr>
              <w:tabs>
                <w:tab w:val="left" w:pos="567"/>
              </w:tabs>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GT</w:t>
            </w:r>
          </w:p>
        </w:tc>
        <w:tc>
          <w:tcPr>
            <w:tcW w:w="2268" w:type="dxa"/>
            <w:shd w:val="clear" w:color="auto" w:fill="95B3D7" w:themeFill="accent1" w:themeFillTint="99"/>
          </w:tcPr>
          <w:p w14:paraId="417411C4" w14:textId="77777777" w:rsidR="00B263A8" w:rsidRDefault="007107B4">
            <w:pPr>
              <w:tabs>
                <w:tab w:val="left" w:pos="567"/>
              </w:tabs>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Intention to Participate</w:t>
            </w:r>
          </w:p>
        </w:tc>
      </w:tr>
      <w:tr w:rsidR="00B263A8" w14:paraId="0C252B9B" w14:textId="77777777" w:rsidTr="00B263A8">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7F7F7F" w:themeColor="text1" w:themeTint="80"/>
              <w:bottom w:val="nil"/>
            </w:tcBorders>
            <w:shd w:val="clear" w:color="auto" w:fill="auto"/>
          </w:tcPr>
          <w:p w14:paraId="7F505F45" w14:textId="77777777" w:rsidR="00B263A8" w:rsidRDefault="007107B4">
            <w:pPr>
              <w:tabs>
                <w:tab w:val="left" w:pos="567"/>
              </w:tabs>
              <w:jc w:val="both"/>
              <w:rPr>
                <w:b w:val="0"/>
                <w:bCs w:val="0"/>
                <w:sz w:val="20"/>
                <w:szCs w:val="20"/>
              </w:rPr>
            </w:pPr>
            <w:r>
              <w:rPr>
                <w:sz w:val="20"/>
                <w:szCs w:val="20"/>
              </w:rPr>
              <w:t>GSE</w:t>
            </w:r>
          </w:p>
        </w:tc>
        <w:tc>
          <w:tcPr>
            <w:tcW w:w="1842" w:type="dxa"/>
            <w:tcBorders>
              <w:top w:val="single" w:sz="4" w:space="0" w:color="7F7F7F" w:themeColor="text1" w:themeTint="80"/>
              <w:bottom w:val="nil"/>
            </w:tcBorders>
            <w:shd w:val="clear" w:color="auto" w:fill="auto"/>
          </w:tcPr>
          <w:p w14:paraId="4963E429" w14:textId="77777777" w:rsidR="00B263A8" w:rsidRDefault="007107B4">
            <w:pPr>
              <w:tabs>
                <w:tab w:val="left" w:pos="567"/>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418" w:type="dxa"/>
            <w:tcBorders>
              <w:top w:val="single" w:sz="4" w:space="0" w:color="7F7F7F" w:themeColor="text1" w:themeTint="80"/>
              <w:bottom w:val="nil"/>
            </w:tcBorders>
            <w:shd w:val="clear" w:color="auto" w:fill="auto"/>
          </w:tcPr>
          <w:p w14:paraId="1834C9BF" w14:textId="77777777" w:rsidR="00B263A8" w:rsidRDefault="00B263A8">
            <w:pPr>
              <w:tabs>
                <w:tab w:val="left" w:pos="567"/>
              </w:tabs>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68" w:type="dxa"/>
            <w:tcBorders>
              <w:top w:val="single" w:sz="4" w:space="0" w:color="7F7F7F" w:themeColor="text1" w:themeTint="80"/>
              <w:bottom w:val="nil"/>
            </w:tcBorders>
            <w:shd w:val="clear" w:color="auto" w:fill="auto"/>
          </w:tcPr>
          <w:p w14:paraId="3C2C577D" w14:textId="77777777" w:rsidR="00B263A8" w:rsidRDefault="007107B4">
            <w:pPr>
              <w:tabs>
                <w:tab w:val="left" w:pos="567"/>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.685**</w:t>
            </w:r>
          </w:p>
        </w:tc>
      </w:tr>
      <w:tr w:rsidR="00B263A8" w14:paraId="6DF46C0E" w14:textId="77777777" w:rsidTr="00B263A8">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shd w:val="clear" w:color="auto" w:fill="auto"/>
          </w:tcPr>
          <w:p w14:paraId="0906A0F2" w14:textId="77777777" w:rsidR="00B263A8" w:rsidRDefault="007107B4">
            <w:pPr>
              <w:tabs>
                <w:tab w:val="left" w:pos="567"/>
              </w:tabs>
              <w:jc w:val="both"/>
              <w:rPr>
                <w:b w:val="0"/>
                <w:bCs w:val="0"/>
                <w:sz w:val="20"/>
                <w:szCs w:val="20"/>
              </w:rPr>
            </w:pPr>
            <w:r>
              <w:rPr>
                <w:sz w:val="20"/>
                <w:szCs w:val="20"/>
              </w:rPr>
              <w:t>GT</w:t>
            </w:r>
          </w:p>
        </w:tc>
        <w:tc>
          <w:tcPr>
            <w:tcW w:w="1842" w:type="dxa"/>
            <w:tcBorders>
              <w:top w:val="nil"/>
              <w:bottom w:val="nil"/>
            </w:tcBorders>
            <w:shd w:val="clear" w:color="auto" w:fill="auto"/>
          </w:tcPr>
          <w:p w14:paraId="5E5909E7" w14:textId="77777777" w:rsidR="00B263A8" w:rsidRDefault="00B263A8">
            <w:pPr>
              <w:tabs>
                <w:tab w:val="left" w:pos="567"/>
              </w:tabs>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Borders>
              <w:top w:val="nil"/>
              <w:bottom w:val="nil"/>
            </w:tcBorders>
            <w:shd w:val="clear" w:color="auto" w:fill="auto"/>
          </w:tcPr>
          <w:p w14:paraId="18DDC048" w14:textId="77777777" w:rsidR="00B263A8" w:rsidRDefault="007107B4">
            <w:pPr>
              <w:tabs>
                <w:tab w:val="left" w:pos="567"/>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2268" w:type="dxa"/>
            <w:tcBorders>
              <w:top w:val="nil"/>
              <w:bottom w:val="nil"/>
            </w:tcBorders>
            <w:shd w:val="clear" w:color="auto" w:fill="auto"/>
          </w:tcPr>
          <w:p w14:paraId="0E264A13" w14:textId="77777777" w:rsidR="00B263A8" w:rsidRDefault="007107B4">
            <w:pPr>
              <w:tabs>
                <w:tab w:val="left" w:pos="567"/>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.452**</w:t>
            </w:r>
          </w:p>
        </w:tc>
      </w:tr>
      <w:tr w:rsidR="00B263A8" w14:paraId="0F8D96E9" w14:textId="77777777" w:rsidTr="00B263A8">
        <w:tc>
          <w:tcPr>
            <w:cnfStyle w:val="001000000000" w:firstRow="0" w:lastRow="0" w:firstColumn="1" w:lastColumn="0" w:oddVBand="0" w:evenVBand="0" w:oddHBand="0" w:evenHBand="0" w:firstRowFirstColumn="0" w:firstRowLastColumn="0" w:lastRowFirstColumn="0" w:lastRowLastColumn="0"/>
            <w:tcW w:w="2552" w:type="dxa"/>
            <w:tcBorders>
              <w:top w:val="nil"/>
              <w:bottom w:val="single" w:sz="4" w:space="0" w:color="auto"/>
            </w:tcBorders>
            <w:shd w:val="clear" w:color="auto" w:fill="auto"/>
          </w:tcPr>
          <w:p w14:paraId="54E234EB" w14:textId="77777777" w:rsidR="00B263A8" w:rsidRDefault="007107B4">
            <w:pPr>
              <w:tabs>
                <w:tab w:val="left" w:pos="567"/>
              </w:tabs>
              <w:jc w:val="both"/>
              <w:rPr>
                <w:b w:val="0"/>
                <w:bCs w:val="0"/>
                <w:sz w:val="20"/>
                <w:szCs w:val="20"/>
              </w:rPr>
            </w:pPr>
            <w:r>
              <w:rPr>
                <w:sz w:val="20"/>
                <w:szCs w:val="20"/>
              </w:rPr>
              <w:t>Intention to Participate</w:t>
            </w:r>
          </w:p>
        </w:tc>
        <w:tc>
          <w:tcPr>
            <w:tcW w:w="1842" w:type="dxa"/>
            <w:tcBorders>
              <w:top w:val="nil"/>
              <w:bottom w:val="single" w:sz="4" w:space="0" w:color="auto"/>
            </w:tcBorders>
            <w:shd w:val="clear" w:color="auto" w:fill="auto"/>
          </w:tcPr>
          <w:p w14:paraId="05150181" w14:textId="77777777" w:rsidR="00B263A8" w:rsidRDefault="007107B4">
            <w:pPr>
              <w:tabs>
                <w:tab w:val="left" w:pos="567"/>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.685**</w:t>
            </w:r>
          </w:p>
        </w:tc>
        <w:tc>
          <w:tcPr>
            <w:tcW w:w="1418" w:type="dxa"/>
            <w:tcBorders>
              <w:top w:val="nil"/>
              <w:bottom w:val="single" w:sz="4" w:space="0" w:color="auto"/>
            </w:tcBorders>
            <w:shd w:val="clear" w:color="auto" w:fill="auto"/>
          </w:tcPr>
          <w:p w14:paraId="11E75515" w14:textId="77777777" w:rsidR="00B263A8" w:rsidRDefault="007107B4">
            <w:pPr>
              <w:tabs>
                <w:tab w:val="left" w:pos="567"/>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.452**</w:t>
            </w:r>
          </w:p>
        </w:tc>
        <w:tc>
          <w:tcPr>
            <w:tcW w:w="2268" w:type="dxa"/>
            <w:tcBorders>
              <w:top w:val="nil"/>
              <w:bottom w:val="single" w:sz="4" w:space="0" w:color="auto"/>
            </w:tcBorders>
            <w:shd w:val="clear" w:color="auto" w:fill="auto"/>
          </w:tcPr>
          <w:p w14:paraId="72B7C857" w14:textId="77777777" w:rsidR="00B263A8" w:rsidRDefault="007107B4">
            <w:pPr>
              <w:tabs>
                <w:tab w:val="left" w:pos="567"/>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bl>
    <w:p w14:paraId="45E3324D" w14:textId="77777777" w:rsidR="00B263A8" w:rsidRDefault="007107B4">
      <w:pPr>
        <w:tabs>
          <w:tab w:val="left" w:pos="567"/>
        </w:tabs>
        <w:ind w:left="142"/>
        <w:jc w:val="both"/>
      </w:pPr>
      <w:r>
        <w:rPr>
          <w:sz w:val="20"/>
          <w:szCs w:val="20"/>
        </w:rPr>
        <w:tab/>
      </w:r>
      <w:r>
        <w:rPr>
          <w:sz w:val="20"/>
          <w:szCs w:val="20"/>
        </w:rPr>
        <w:tab/>
        <w:t>**Correlation is significant at the 0.01 level (2-tailed)</w:t>
      </w:r>
    </w:p>
    <w:p w14:paraId="380D7CA7" w14:textId="77777777" w:rsidR="00B263A8" w:rsidRDefault="00B263A8">
      <w:pPr>
        <w:pStyle w:val="BodyText"/>
        <w:ind w:left="140" w:right="134" w:firstLine="427"/>
      </w:pPr>
    </w:p>
    <w:p w14:paraId="7873F3D9" w14:textId="77777777" w:rsidR="00B263A8" w:rsidRDefault="00B263A8">
      <w:pPr>
        <w:pStyle w:val="BodyText"/>
        <w:ind w:left="140" w:right="136" w:firstLine="427"/>
      </w:pPr>
    </w:p>
    <w:p w14:paraId="3467C23B" w14:textId="63712F85" w:rsidR="00B263A8" w:rsidRDefault="007107B4">
      <w:pPr>
        <w:pStyle w:val="Heading2"/>
        <w:jc w:val="both"/>
      </w:pPr>
      <w:r>
        <w:t xml:space="preserve">Study </w:t>
      </w:r>
      <w:r w:rsidR="009C0FF4">
        <w:t>i</w:t>
      </w:r>
      <w:r>
        <w:t>mplication</w:t>
      </w:r>
    </w:p>
    <w:p w14:paraId="0B931E04" w14:textId="77777777" w:rsidR="00B263A8" w:rsidRDefault="00B263A8">
      <w:pPr>
        <w:pStyle w:val="BodyText"/>
        <w:spacing w:before="6"/>
        <w:rPr>
          <w:b/>
          <w:sz w:val="23"/>
        </w:rPr>
      </w:pPr>
    </w:p>
    <w:p w14:paraId="25F324FE" w14:textId="0DA0DC8F" w:rsidR="00B263A8" w:rsidRDefault="007107B4">
      <w:pPr>
        <w:pStyle w:val="BodyText"/>
        <w:spacing w:before="1"/>
        <w:ind w:left="140" w:right="136"/>
      </w:pPr>
      <w:r>
        <w:t xml:space="preserve">This study bridges the research gap on the pivotal role of </w:t>
      </w:r>
      <w:r w:rsidR="005520E2">
        <w:t>general public</w:t>
      </w:r>
      <w:r>
        <w:t xml:space="preserve"> in implementing sustainable river cleanup initiatives by </w:t>
      </w:r>
      <w:r w:rsidR="00A92033">
        <w:t>integrating structured and unstructured methods</w:t>
      </w:r>
      <w:r>
        <w:t xml:space="preserve">. Identifying the requisite human behavior to foster </w:t>
      </w:r>
      <w:r w:rsidR="00A92033">
        <w:t xml:space="preserve">the </w:t>
      </w:r>
      <w:r>
        <w:t>intention to participate in river cleaning is vital for encouraging continuous participation. The study elucidates the shared human responsibility in realizing such initiatives. However, not all human behavior types examined bear equal impact across various environmental improvement initiatives.</w:t>
      </w:r>
    </w:p>
    <w:p w14:paraId="7BDEFE2F" w14:textId="137BA200" w:rsidR="00B263A8" w:rsidRDefault="007107B4">
      <w:pPr>
        <w:pStyle w:val="BodyText"/>
        <w:spacing w:before="1"/>
        <w:ind w:left="140" w:right="136" w:firstLine="427"/>
      </w:pPr>
      <w:r>
        <w:t xml:space="preserve">Notably, the study contributes to </w:t>
      </w:r>
      <w:r w:rsidR="00A92033">
        <w:t>developing</w:t>
      </w:r>
      <w:r>
        <w:t xml:space="preserve"> human behavior change theories, namely Self-Determination Theory (SDT) and Self-Perception Theory (SPT), by extending their conceptual scope to the environmental context. SDT explains individuals with Green Self-efficacy (GSE), while SPT elucidates those with Green Trust (GT). The findings reveal</w:t>
      </w:r>
      <w:r>
        <w:rPr>
          <w:lang w:val="en-GB"/>
        </w:rPr>
        <w:t>ed</w:t>
      </w:r>
      <w:r>
        <w:t xml:space="preserve"> a positive relationship between these predictors and the intention to participate in river cleaning initiatives, underscoring the </w:t>
      </w:r>
      <w:r>
        <w:rPr>
          <w:lang w:val="en-GB"/>
        </w:rPr>
        <w:t xml:space="preserve">essential </w:t>
      </w:r>
      <w:r>
        <w:t>role of behavioral and intrinsic human changes in fostering such intentions.</w:t>
      </w:r>
    </w:p>
    <w:p w14:paraId="34CA5014" w14:textId="0127AC22" w:rsidR="00B263A8" w:rsidRDefault="007107B4">
      <w:pPr>
        <w:pStyle w:val="BodyText"/>
        <w:spacing w:before="1"/>
        <w:ind w:left="140" w:right="136" w:firstLine="427"/>
      </w:pPr>
      <w:r>
        <w:lastRenderedPageBreak/>
        <w:t xml:space="preserve">Moreover, the study's utilization of GSE and GT as predictors contributes to the body of knowledge, as their application has been highly concentrated in </w:t>
      </w:r>
      <w:r w:rsidR="00A92033">
        <w:t>promoting and marketing</w:t>
      </w:r>
      <w:r>
        <w:t xml:space="preserve"> green products and services in prior studies. However, this study extends their application to the context of river cleaning initiatives, substantiated by the high</w:t>
      </w:r>
      <w:r>
        <w:rPr>
          <w:lang w:val="en-GB"/>
        </w:rPr>
        <w:t xml:space="preserve"> values of</w:t>
      </w:r>
      <w:r>
        <w:t xml:space="preserve"> Cronbach's alpha</w:t>
      </w:r>
      <w:r w:rsidR="00A92033">
        <w:t xml:space="preserve"> </w:t>
      </w:r>
      <w:r>
        <w:t xml:space="preserve">for GSE (0.861) and GT (0.919) and their positive association </w:t>
      </w:r>
      <w:r w:rsidR="00A92033">
        <w:t>to</w:t>
      </w:r>
      <w:r>
        <w:t xml:space="preserve"> participate in river cleaning initiatives.</w:t>
      </w:r>
    </w:p>
    <w:p w14:paraId="506EE49C" w14:textId="112A4017" w:rsidR="00B263A8" w:rsidRDefault="007107B4">
      <w:pPr>
        <w:pStyle w:val="BodyText"/>
        <w:spacing w:before="1"/>
        <w:ind w:left="140" w:right="136" w:firstLine="427"/>
      </w:pPr>
      <w:r>
        <w:t xml:space="preserve">Furthermore, the study offers practical implications for practitioners in the environmental sector, including local authorities, government agencies, corporate bodies, non-governmental organizations, academics, and particularly the local community. The comprehensive findings raise awareness among various stakeholders about their collaborative role in achieving sustainable river management. Consequently, this study demonstrates the crucial </w:t>
      </w:r>
      <w:r w:rsidR="005520E2">
        <w:t>general public</w:t>
      </w:r>
      <w:r>
        <w:t xml:space="preserve"> involvement in implementing effective and ongoing river cleaning initiatives.</w:t>
      </w:r>
    </w:p>
    <w:p w14:paraId="49450A3D" w14:textId="77777777" w:rsidR="00B263A8" w:rsidRDefault="00B263A8">
      <w:pPr>
        <w:pStyle w:val="BodyText"/>
        <w:rPr>
          <w:sz w:val="26"/>
        </w:rPr>
      </w:pPr>
    </w:p>
    <w:p w14:paraId="78A6B0A1" w14:textId="77777777" w:rsidR="00B263A8" w:rsidRDefault="00B263A8">
      <w:pPr>
        <w:pStyle w:val="BodyText"/>
        <w:spacing w:before="5"/>
        <w:rPr>
          <w:sz w:val="22"/>
        </w:rPr>
      </w:pPr>
    </w:p>
    <w:p w14:paraId="2DD314F7" w14:textId="77777777" w:rsidR="00B263A8" w:rsidRDefault="007107B4">
      <w:pPr>
        <w:pStyle w:val="Heading2"/>
      </w:pPr>
      <w:r>
        <w:t>Conclusion</w:t>
      </w:r>
    </w:p>
    <w:p w14:paraId="15D8009B" w14:textId="77777777" w:rsidR="00B263A8" w:rsidRDefault="00B263A8">
      <w:pPr>
        <w:pStyle w:val="BodyText"/>
        <w:spacing w:before="7"/>
        <w:rPr>
          <w:b/>
          <w:sz w:val="23"/>
        </w:rPr>
      </w:pPr>
    </w:p>
    <w:p w14:paraId="1A9BE89E" w14:textId="4EE044AD" w:rsidR="00B263A8" w:rsidRDefault="007107B4">
      <w:pPr>
        <w:pStyle w:val="BodyText"/>
        <w:spacing w:before="80"/>
        <w:ind w:left="140" w:right="130"/>
      </w:pPr>
      <w:r>
        <w:rPr>
          <w:lang w:val="en-GB"/>
        </w:rPr>
        <w:t>In</w:t>
      </w:r>
      <w:r>
        <w:t xml:space="preserve"> conclusion, </w:t>
      </w:r>
      <w:r w:rsidR="00A92033">
        <w:t>integrating</w:t>
      </w:r>
      <w:r>
        <w:t xml:space="preserve"> river cleaning initiatives</w:t>
      </w:r>
      <w:r w:rsidR="00A92033">
        <w:t xml:space="preserve"> by combining structural and non-structural measures</w:t>
      </w:r>
      <w:r>
        <w:t xml:space="preserve"> has shown more sustainable effectiveness than focusing on just one of them. This is </w:t>
      </w:r>
      <w:r w:rsidR="00A92033">
        <w:rPr>
          <w:lang w:val="en-GB"/>
        </w:rPr>
        <w:t>because</w:t>
      </w:r>
      <w:r>
        <w:t xml:space="preserve"> both methods involve human functions as key factors and are crucial for effective and efficient implementation. Various joint ventures and initiatives have been carried out by the Federal administration, State administration, Local Authorities, Government agencies in collaboration with Corporate Bodies, Non-Government Bodies, and Academic Institutions to implement structural and non-structural river cleaning initiatives. The need for this collaboration highlights the importance of raising awareness at every level of society to create </w:t>
      </w:r>
      <w:r w:rsidR="00A92033">
        <w:t>an intention to participate in these</w:t>
      </w:r>
      <w:r>
        <w:t xml:space="preserve"> initiatives, whether structural or non-structural measures. This study addresses the current issue of combating floating debris pollution at Klang River by examining human behavior such as GSE, and GT, which all contribute to the intention to participate in river cleaning initiatives.</w:t>
      </w:r>
    </w:p>
    <w:p w14:paraId="6A37B29D" w14:textId="4E02DAB2" w:rsidR="00B263A8" w:rsidRDefault="007107B4">
      <w:pPr>
        <w:pStyle w:val="BodyText"/>
        <w:spacing w:before="80"/>
        <w:ind w:left="140" w:right="130" w:firstLine="427"/>
      </w:pPr>
      <w:r>
        <w:t xml:space="preserve">Overall, this study has successfully answered all the research questions and hypotheses. The </w:t>
      </w:r>
      <w:r w:rsidR="00A92033">
        <w:t>study results</w:t>
      </w:r>
      <w:r>
        <w:t xml:space="preserve"> have accepted the hypothesis that GSE and GT have a positive relationship with the intention to participate in river cleaning initiatives.</w:t>
      </w:r>
    </w:p>
    <w:p w14:paraId="75CC1A3B" w14:textId="77777777" w:rsidR="00B263A8" w:rsidRDefault="00B263A8">
      <w:pPr>
        <w:pStyle w:val="BodyText"/>
        <w:rPr>
          <w:sz w:val="26"/>
        </w:rPr>
      </w:pPr>
    </w:p>
    <w:p w14:paraId="32174A89" w14:textId="77777777" w:rsidR="00B263A8" w:rsidRDefault="00B263A8">
      <w:pPr>
        <w:pStyle w:val="BodyText"/>
        <w:spacing w:before="5"/>
        <w:rPr>
          <w:sz w:val="22"/>
        </w:rPr>
      </w:pPr>
    </w:p>
    <w:p w14:paraId="42934269" w14:textId="77777777" w:rsidR="00B263A8" w:rsidRDefault="007107B4">
      <w:pPr>
        <w:pStyle w:val="Heading2"/>
      </w:pPr>
      <w:r>
        <w:t>Appreciation</w:t>
      </w:r>
    </w:p>
    <w:p w14:paraId="26678B6A" w14:textId="77777777" w:rsidR="00B263A8" w:rsidRDefault="00B263A8">
      <w:pPr>
        <w:pStyle w:val="BodyText"/>
        <w:spacing w:before="6"/>
        <w:rPr>
          <w:b/>
          <w:sz w:val="23"/>
        </w:rPr>
      </w:pPr>
    </w:p>
    <w:p w14:paraId="6D5C301B" w14:textId="56C5C796" w:rsidR="00B263A8" w:rsidRDefault="007107B4">
      <w:pPr>
        <w:pStyle w:val="BodyText"/>
        <w:spacing w:before="1"/>
        <w:ind w:left="140" w:right="206"/>
      </w:pPr>
      <w:r>
        <w:rPr>
          <w:color w:val="212121"/>
        </w:rPr>
        <w:t>Appreciation goes to Universiti Kebangsaan Malaysia</w:t>
      </w:r>
      <w:r w:rsidR="00A92033">
        <w:rPr>
          <w:color w:val="212121"/>
        </w:rPr>
        <w:t>, who</w:t>
      </w:r>
      <w:r>
        <w:rPr>
          <w:color w:val="212121"/>
        </w:rPr>
        <w:t xml:space="preserve"> funded this publication through the </w:t>
      </w:r>
      <w:r>
        <w:rPr>
          <w:i/>
          <w:iCs/>
          <w:color w:val="212121"/>
        </w:rPr>
        <w:t>Tabung Agihan Penyelidikan</w:t>
      </w:r>
      <w:r>
        <w:rPr>
          <w:color w:val="212121"/>
          <w:spacing w:val="-1"/>
        </w:rPr>
        <w:t xml:space="preserve"> </w:t>
      </w:r>
      <w:r>
        <w:rPr>
          <w:color w:val="212121"/>
        </w:rPr>
        <w:t>(TAP-K012947).</w:t>
      </w:r>
    </w:p>
    <w:p w14:paraId="04AE6A68" w14:textId="77777777" w:rsidR="00B263A8" w:rsidRDefault="00B263A8">
      <w:pPr>
        <w:pStyle w:val="BodyText"/>
        <w:rPr>
          <w:sz w:val="26"/>
        </w:rPr>
      </w:pPr>
    </w:p>
    <w:p w14:paraId="3234CF28" w14:textId="77777777" w:rsidR="00B263A8" w:rsidRDefault="00B263A8">
      <w:pPr>
        <w:pStyle w:val="BodyText"/>
        <w:spacing w:before="4"/>
        <w:rPr>
          <w:sz w:val="22"/>
        </w:rPr>
      </w:pPr>
    </w:p>
    <w:p w14:paraId="2EFBEDED" w14:textId="77777777" w:rsidR="00B263A8" w:rsidRDefault="007107B4">
      <w:pPr>
        <w:pStyle w:val="Heading2"/>
      </w:pPr>
      <w:r>
        <w:t>References</w:t>
      </w:r>
    </w:p>
    <w:p w14:paraId="11E36003" w14:textId="77777777" w:rsidR="00B263A8" w:rsidRDefault="00B263A8">
      <w:pPr>
        <w:pStyle w:val="BodyText"/>
        <w:spacing w:before="7"/>
        <w:rPr>
          <w:b/>
          <w:sz w:val="23"/>
        </w:rPr>
      </w:pPr>
    </w:p>
    <w:p w14:paraId="473A2ED5" w14:textId="4CCE19C8" w:rsidR="00871B1D" w:rsidRPr="00402F76" w:rsidRDefault="007107B4" w:rsidP="003F3E65">
      <w:pPr>
        <w:adjustRightInd w:val="0"/>
        <w:ind w:left="720" w:hanging="720"/>
        <w:jc w:val="both"/>
        <w:rPr>
          <w:noProof/>
          <w:sz w:val="24"/>
          <w:szCs w:val="24"/>
        </w:rPr>
      </w:pPr>
      <w:r w:rsidRPr="00402F76">
        <w:fldChar w:fldCharType="begin" w:fldLock="1"/>
      </w:r>
      <w:r w:rsidRPr="00402F76">
        <w:instrText xml:space="preserve">ADDIN Mendeley Bibliography CSL_BIBLIOGRAPHY </w:instrText>
      </w:r>
      <w:r w:rsidRPr="00402F76">
        <w:fldChar w:fldCharType="separate"/>
      </w:r>
      <w:r w:rsidR="00871B1D" w:rsidRPr="00402F76">
        <w:rPr>
          <w:noProof/>
          <w:sz w:val="24"/>
          <w:szCs w:val="24"/>
        </w:rPr>
        <w:t>Ahmed, M. F., Mokhtar, M. B</w:t>
      </w:r>
      <w:r w:rsidR="00402F76" w:rsidRPr="00402F76">
        <w:rPr>
          <w:noProof/>
          <w:sz w:val="24"/>
          <w:szCs w:val="24"/>
        </w:rPr>
        <w:t>.</w:t>
      </w:r>
      <w:r w:rsidR="00871B1D" w:rsidRPr="00402F76">
        <w:rPr>
          <w:noProof/>
          <w:sz w:val="24"/>
          <w:szCs w:val="24"/>
        </w:rPr>
        <w:t xml:space="preserve">, &amp; Alam, L. (2020). Factors influencing people’s willingness to participate in sustainable water resources management in Malaysia. </w:t>
      </w:r>
      <w:r w:rsidR="00871B1D" w:rsidRPr="00402F76">
        <w:rPr>
          <w:i/>
          <w:iCs/>
          <w:noProof/>
          <w:sz w:val="24"/>
          <w:szCs w:val="24"/>
        </w:rPr>
        <w:t>Journal of Hydrology: Regional Studies</w:t>
      </w:r>
      <w:r w:rsidR="00871B1D" w:rsidRPr="00402F76">
        <w:rPr>
          <w:noProof/>
          <w:sz w:val="24"/>
          <w:szCs w:val="24"/>
        </w:rPr>
        <w:t xml:space="preserve">, </w:t>
      </w:r>
      <w:r w:rsidR="00871B1D" w:rsidRPr="00402F76">
        <w:rPr>
          <w:i/>
          <w:iCs/>
          <w:noProof/>
          <w:sz w:val="24"/>
          <w:szCs w:val="24"/>
        </w:rPr>
        <w:t>31</w:t>
      </w:r>
      <w:r w:rsidR="00871B1D" w:rsidRPr="00402F76">
        <w:rPr>
          <w:noProof/>
          <w:sz w:val="24"/>
          <w:szCs w:val="24"/>
        </w:rPr>
        <w:t xml:space="preserve">, </w:t>
      </w:r>
      <w:r w:rsidR="00402F76" w:rsidRPr="00402F76">
        <w:rPr>
          <w:noProof/>
          <w:sz w:val="24"/>
          <w:szCs w:val="24"/>
        </w:rPr>
        <w:t>100737.</w:t>
      </w:r>
    </w:p>
    <w:p w14:paraId="1E236C16" w14:textId="19BFFD87" w:rsidR="00871B1D" w:rsidRPr="00402F76" w:rsidRDefault="00871B1D" w:rsidP="003F3E65">
      <w:pPr>
        <w:tabs>
          <w:tab w:val="left" w:pos="851"/>
        </w:tabs>
        <w:adjustRightInd w:val="0"/>
        <w:ind w:left="720" w:hanging="720"/>
        <w:jc w:val="both"/>
        <w:rPr>
          <w:noProof/>
          <w:sz w:val="24"/>
          <w:szCs w:val="24"/>
        </w:rPr>
      </w:pPr>
      <w:r w:rsidRPr="00402F76">
        <w:rPr>
          <w:noProof/>
          <w:sz w:val="24"/>
          <w:szCs w:val="24"/>
        </w:rPr>
        <w:t xml:space="preserve">Ali, M. A. (2015). </w:t>
      </w:r>
      <w:r w:rsidRPr="00402F76">
        <w:rPr>
          <w:i/>
          <w:iCs/>
          <w:noProof/>
          <w:sz w:val="24"/>
          <w:szCs w:val="24"/>
        </w:rPr>
        <w:t>Budget Speech: Membangun Smart Selangor Yang Peduli</w:t>
      </w:r>
      <w:r w:rsidRPr="00402F76">
        <w:rPr>
          <w:noProof/>
          <w:sz w:val="24"/>
          <w:szCs w:val="24"/>
        </w:rPr>
        <w:t>. Pejabat Setiausaha Kerajaan Negeri Selangor.</w:t>
      </w:r>
    </w:p>
    <w:p w14:paraId="4FF63F24" w14:textId="1308AE72" w:rsidR="00871B1D" w:rsidRPr="00402F76" w:rsidRDefault="00871B1D" w:rsidP="003F3E65">
      <w:pPr>
        <w:adjustRightInd w:val="0"/>
        <w:ind w:left="720" w:hanging="720"/>
        <w:jc w:val="both"/>
        <w:rPr>
          <w:noProof/>
          <w:sz w:val="24"/>
          <w:szCs w:val="24"/>
        </w:rPr>
      </w:pPr>
      <w:r w:rsidRPr="00402F76">
        <w:rPr>
          <w:noProof/>
          <w:sz w:val="24"/>
          <w:szCs w:val="24"/>
        </w:rPr>
        <w:t xml:space="preserve">Alias, N. A., &amp; Amin, A. (2019). Tingkah Laku Penduduk Dalam Aktiviti Pemuliharaan ke Arah Kelestarian Sungai di Terengganu, Malaysia. </w:t>
      </w:r>
      <w:r w:rsidRPr="00402F76">
        <w:rPr>
          <w:i/>
          <w:iCs/>
          <w:noProof/>
          <w:sz w:val="24"/>
          <w:szCs w:val="24"/>
        </w:rPr>
        <w:t>Asian People Journal</w:t>
      </w:r>
      <w:r w:rsidRPr="00402F76">
        <w:rPr>
          <w:noProof/>
          <w:sz w:val="24"/>
          <w:szCs w:val="24"/>
        </w:rPr>
        <w:t xml:space="preserve">, </w:t>
      </w:r>
      <w:r w:rsidRPr="00402F76">
        <w:rPr>
          <w:i/>
          <w:iCs/>
          <w:noProof/>
          <w:sz w:val="24"/>
          <w:szCs w:val="24"/>
        </w:rPr>
        <w:t>2(2)</w:t>
      </w:r>
      <w:r w:rsidRPr="00402F76">
        <w:rPr>
          <w:noProof/>
          <w:sz w:val="24"/>
          <w:szCs w:val="24"/>
        </w:rPr>
        <w:t xml:space="preserve">, 70–80. </w:t>
      </w:r>
    </w:p>
    <w:p w14:paraId="34E115EE" w14:textId="4F1914C5" w:rsidR="00871B1D" w:rsidRPr="00402F76" w:rsidRDefault="00871B1D" w:rsidP="003F3E65">
      <w:pPr>
        <w:adjustRightInd w:val="0"/>
        <w:ind w:left="720" w:hanging="720"/>
        <w:jc w:val="both"/>
        <w:rPr>
          <w:noProof/>
          <w:sz w:val="24"/>
          <w:szCs w:val="24"/>
        </w:rPr>
      </w:pPr>
      <w:r w:rsidRPr="00402F76">
        <w:rPr>
          <w:noProof/>
          <w:sz w:val="24"/>
          <w:szCs w:val="24"/>
        </w:rPr>
        <w:lastRenderedPageBreak/>
        <w:t xml:space="preserve">Arbuthnot, J., Tedeschi, R., Wayner, M., Turner, J., Kressel, S., &amp; Rush, R. (1976). Induction of Sustained Recycling Behavior Through the Foot-in-the-Door Technique. </w:t>
      </w:r>
      <w:r w:rsidRPr="00402F76">
        <w:rPr>
          <w:i/>
          <w:iCs/>
          <w:noProof/>
          <w:sz w:val="24"/>
          <w:szCs w:val="24"/>
        </w:rPr>
        <w:t>Journal of Environmental Systems</w:t>
      </w:r>
      <w:r w:rsidRPr="00402F76">
        <w:rPr>
          <w:noProof/>
          <w:sz w:val="24"/>
          <w:szCs w:val="24"/>
        </w:rPr>
        <w:t xml:space="preserve">, </w:t>
      </w:r>
      <w:r w:rsidRPr="00402F76">
        <w:rPr>
          <w:i/>
          <w:iCs/>
          <w:noProof/>
          <w:sz w:val="24"/>
          <w:szCs w:val="24"/>
        </w:rPr>
        <w:t>6</w:t>
      </w:r>
      <w:r w:rsidRPr="00402F76">
        <w:rPr>
          <w:noProof/>
          <w:sz w:val="24"/>
          <w:szCs w:val="24"/>
        </w:rPr>
        <w:t xml:space="preserve">(4), 355–368. </w:t>
      </w:r>
    </w:p>
    <w:p w14:paraId="3A131ABC" w14:textId="3277E290" w:rsidR="00871B1D" w:rsidRPr="00402F76" w:rsidRDefault="00871B1D" w:rsidP="003F3E65">
      <w:pPr>
        <w:adjustRightInd w:val="0"/>
        <w:ind w:left="720" w:hanging="720"/>
        <w:jc w:val="both"/>
        <w:rPr>
          <w:noProof/>
          <w:sz w:val="24"/>
          <w:szCs w:val="24"/>
        </w:rPr>
      </w:pPr>
      <w:r w:rsidRPr="00402F76">
        <w:rPr>
          <w:noProof/>
          <w:sz w:val="24"/>
          <w:szCs w:val="24"/>
        </w:rPr>
        <w:t xml:space="preserve">Bandura, A. (1994). Regulative function of perceived self-efficacy. In </w:t>
      </w:r>
      <w:r w:rsidR="00402F76" w:rsidRPr="00402F76">
        <w:rPr>
          <w:noProof/>
          <w:sz w:val="24"/>
          <w:szCs w:val="24"/>
        </w:rPr>
        <w:t xml:space="preserve">Rumsey, M. G., Walker, C. B., &amp; Harris, J. H. (eds.) </w:t>
      </w:r>
      <w:r w:rsidRPr="00402F76">
        <w:rPr>
          <w:i/>
          <w:iCs/>
          <w:noProof/>
          <w:sz w:val="24"/>
          <w:szCs w:val="24"/>
        </w:rPr>
        <w:t>Personnel selection and classification.</w:t>
      </w:r>
      <w:r w:rsidRPr="00402F76">
        <w:rPr>
          <w:noProof/>
          <w:sz w:val="24"/>
          <w:szCs w:val="24"/>
        </w:rPr>
        <w:t xml:space="preserve"> (pp. 261–271). Lawrence Erlbaum Associates, Inc. </w:t>
      </w:r>
    </w:p>
    <w:p w14:paraId="09F57EE2" w14:textId="3EFC63BE" w:rsidR="00871B1D" w:rsidRPr="00402F76" w:rsidRDefault="00871B1D" w:rsidP="003F3E65">
      <w:pPr>
        <w:adjustRightInd w:val="0"/>
        <w:ind w:left="720" w:hanging="720"/>
        <w:jc w:val="both"/>
        <w:rPr>
          <w:noProof/>
          <w:sz w:val="24"/>
          <w:szCs w:val="24"/>
        </w:rPr>
      </w:pPr>
      <w:r w:rsidRPr="00402F76">
        <w:rPr>
          <w:noProof/>
          <w:sz w:val="24"/>
          <w:szCs w:val="24"/>
        </w:rPr>
        <w:t xml:space="preserve">Bandura, A. (1997). </w:t>
      </w:r>
      <w:r w:rsidRPr="00402F76">
        <w:rPr>
          <w:i/>
          <w:iCs/>
          <w:noProof/>
          <w:sz w:val="24"/>
          <w:szCs w:val="24"/>
        </w:rPr>
        <w:t>Self-efficacy:  The exercise of control</w:t>
      </w:r>
      <w:r w:rsidRPr="00402F76">
        <w:rPr>
          <w:noProof/>
          <w:sz w:val="24"/>
          <w:szCs w:val="24"/>
        </w:rPr>
        <w:t>. IW H Freeman/Times Books/ Henry Holt &amp; Co.</w:t>
      </w:r>
    </w:p>
    <w:p w14:paraId="2A115CC0" w14:textId="635E7844" w:rsidR="00871B1D" w:rsidRPr="00402F76" w:rsidRDefault="00871B1D" w:rsidP="003F3E65">
      <w:pPr>
        <w:adjustRightInd w:val="0"/>
        <w:ind w:left="720" w:hanging="720"/>
        <w:jc w:val="both"/>
        <w:rPr>
          <w:noProof/>
          <w:sz w:val="24"/>
          <w:szCs w:val="24"/>
        </w:rPr>
      </w:pPr>
      <w:r w:rsidRPr="00402F76">
        <w:rPr>
          <w:noProof/>
          <w:sz w:val="24"/>
          <w:szCs w:val="24"/>
        </w:rPr>
        <w:t xml:space="preserve">Chan, N. W., Ghani, A. A., Samat, N., Hasan, N. N. N., &amp; Tan, M. L. (2020). Integrating Structural and Non-structural Flood Management Measures for Greater Effectiveness in Flood Loss Reduction in the Kelantan River Basin, Malaysia. </w:t>
      </w:r>
      <w:r w:rsidRPr="00402F76">
        <w:rPr>
          <w:i/>
          <w:iCs/>
          <w:noProof/>
          <w:sz w:val="24"/>
          <w:szCs w:val="24"/>
        </w:rPr>
        <w:t>Lecture Notes in Civil Engineering</w:t>
      </w:r>
      <w:r w:rsidRPr="00402F76">
        <w:rPr>
          <w:noProof/>
          <w:sz w:val="24"/>
          <w:szCs w:val="24"/>
        </w:rPr>
        <w:t xml:space="preserve">, </w:t>
      </w:r>
      <w:r w:rsidRPr="00402F76">
        <w:rPr>
          <w:i/>
          <w:iCs/>
          <w:noProof/>
          <w:sz w:val="24"/>
          <w:szCs w:val="24"/>
        </w:rPr>
        <w:t>53</w:t>
      </w:r>
      <w:r w:rsidRPr="00402F76">
        <w:rPr>
          <w:noProof/>
          <w:sz w:val="24"/>
          <w:szCs w:val="24"/>
        </w:rPr>
        <w:t xml:space="preserve">(January), 1151–1162. </w:t>
      </w:r>
    </w:p>
    <w:p w14:paraId="771FF183" w14:textId="3A38BA72" w:rsidR="00871B1D" w:rsidRPr="00402F76" w:rsidRDefault="00871B1D" w:rsidP="003F3E65">
      <w:pPr>
        <w:adjustRightInd w:val="0"/>
        <w:ind w:left="720" w:hanging="720"/>
        <w:jc w:val="both"/>
        <w:rPr>
          <w:noProof/>
          <w:sz w:val="24"/>
          <w:szCs w:val="24"/>
        </w:rPr>
      </w:pPr>
      <w:r w:rsidRPr="00402F76">
        <w:rPr>
          <w:noProof/>
          <w:sz w:val="24"/>
          <w:szCs w:val="24"/>
        </w:rPr>
        <w:t xml:space="preserve">Chen, L., &amp; Gao, M. (2021). Novel information interaction rule for municipal household waste classification behavior based on an evolving scale-free network. </w:t>
      </w:r>
      <w:r w:rsidRPr="00402F76">
        <w:rPr>
          <w:i/>
          <w:iCs/>
          <w:noProof/>
          <w:sz w:val="24"/>
          <w:szCs w:val="24"/>
        </w:rPr>
        <w:t>Resources, Conservation and Recycling</w:t>
      </w:r>
      <w:r w:rsidRPr="00402F76">
        <w:rPr>
          <w:noProof/>
          <w:sz w:val="24"/>
          <w:szCs w:val="24"/>
        </w:rPr>
        <w:t xml:space="preserve">, </w:t>
      </w:r>
      <w:r w:rsidRPr="00402F76">
        <w:rPr>
          <w:i/>
          <w:iCs/>
          <w:noProof/>
          <w:sz w:val="24"/>
          <w:szCs w:val="24"/>
        </w:rPr>
        <w:t>168</w:t>
      </w:r>
      <w:r w:rsidRPr="00402F76">
        <w:rPr>
          <w:noProof/>
          <w:sz w:val="24"/>
          <w:szCs w:val="24"/>
        </w:rPr>
        <w:t xml:space="preserve">(January), 105445. </w:t>
      </w:r>
    </w:p>
    <w:p w14:paraId="1F811E89" w14:textId="2D5576EA" w:rsidR="00871B1D" w:rsidRPr="00402F76" w:rsidRDefault="00871B1D" w:rsidP="003F3E65">
      <w:pPr>
        <w:adjustRightInd w:val="0"/>
        <w:ind w:left="720" w:hanging="720"/>
        <w:jc w:val="both"/>
        <w:rPr>
          <w:noProof/>
          <w:sz w:val="24"/>
          <w:szCs w:val="24"/>
        </w:rPr>
      </w:pPr>
      <w:r w:rsidRPr="00402F76">
        <w:rPr>
          <w:noProof/>
          <w:sz w:val="24"/>
          <w:szCs w:val="24"/>
        </w:rPr>
        <w:t xml:space="preserve">Chen, M. F. (2016). Impact of fear appeals on pro-environmental behavior and crucial determinants. </w:t>
      </w:r>
      <w:r w:rsidRPr="00402F76">
        <w:rPr>
          <w:i/>
          <w:iCs/>
          <w:noProof/>
          <w:sz w:val="24"/>
          <w:szCs w:val="24"/>
        </w:rPr>
        <w:t>International Journal of Advertising</w:t>
      </w:r>
      <w:r w:rsidRPr="00402F76">
        <w:rPr>
          <w:noProof/>
          <w:sz w:val="24"/>
          <w:szCs w:val="24"/>
        </w:rPr>
        <w:t xml:space="preserve">, </w:t>
      </w:r>
      <w:r w:rsidRPr="00402F76">
        <w:rPr>
          <w:i/>
          <w:iCs/>
          <w:noProof/>
          <w:sz w:val="24"/>
          <w:szCs w:val="24"/>
        </w:rPr>
        <w:t>35</w:t>
      </w:r>
      <w:r w:rsidRPr="00402F76">
        <w:rPr>
          <w:noProof/>
          <w:sz w:val="24"/>
          <w:szCs w:val="24"/>
        </w:rPr>
        <w:t xml:space="preserve">(1), 74–92. </w:t>
      </w:r>
    </w:p>
    <w:p w14:paraId="377D2FA2" w14:textId="42BFBE22" w:rsidR="00871B1D" w:rsidRPr="00402F76" w:rsidRDefault="00871B1D" w:rsidP="003F3E65">
      <w:pPr>
        <w:adjustRightInd w:val="0"/>
        <w:ind w:left="720" w:hanging="720"/>
        <w:jc w:val="both"/>
        <w:rPr>
          <w:noProof/>
          <w:sz w:val="24"/>
          <w:szCs w:val="24"/>
        </w:rPr>
      </w:pPr>
      <w:r w:rsidRPr="00402F76">
        <w:rPr>
          <w:noProof/>
          <w:sz w:val="24"/>
          <w:szCs w:val="24"/>
        </w:rPr>
        <w:t xml:space="preserve">Chen, Y.-S. (2010). The drivers of green brand equity: Green brand image, green satisfaction, and green trust. </w:t>
      </w:r>
      <w:r w:rsidRPr="00402F76">
        <w:rPr>
          <w:i/>
          <w:iCs/>
          <w:noProof/>
          <w:sz w:val="24"/>
          <w:szCs w:val="24"/>
        </w:rPr>
        <w:t>Journal of Business Ethics</w:t>
      </w:r>
      <w:r w:rsidRPr="00402F76">
        <w:rPr>
          <w:noProof/>
          <w:sz w:val="24"/>
          <w:szCs w:val="24"/>
        </w:rPr>
        <w:t xml:space="preserve">, </w:t>
      </w:r>
      <w:r w:rsidRPr="00402F76">
        <w:rPr>
          <w:i/>
          <w:iCs/>
          <w:noProof/>
          <w:sz w:val="24"/>
          <w:szCs w:val="24"/>
        </w:rPr>
        <w:t>93</w:t>
      </w:r>
      <w:r w:rsidRPr="00402F76">
        <w:rPr>
          <w:noProof/>
          <w:sz w:val="24"/>
          <w:szCs w:val="24"/>
        </w:rPr>
        <w:t xml:space="preserve">(2), 307–319. </w:t>
      </w:r>
    </w:p>
    <w:p w14:paraId="589926BA" w14:textId="50EDF0FF" w:rsidR="00871B1D" w:rsidRPr="00402F76" w:rsidRDefault="00871B1D" w:rsidP="003F3E65">
      <w:pPr>
        <w:adjustRightInd w:val="0"/>
        <w:ind w:left="720" w:hanging="720"/>
        <w:jc w:val="both"/>
        <w:rPr>
          <w:noProof/>
          <w:sz w:val="24"/>
          <w:szCs w:val="24"/>
        </w:rPr>
      </w:pPr>
      <w:r w:rsidRPr="00402F76">
        <w:rPr>
          <w:noProof/>
          <w:sz w:val="24"/>
          <w:szCs w:val="24"/>
        </w:rPr>
        <w:t xml:space="preserve">Chen, Y.-S., Chang, C.-H., Yeh, S.-L., &amp; Cheng, H.-I. (2015). Green shared vision and green creativity: the mediation roles of green mindfulness and green self-efficacy. </w:t>
      </w:r>
      <w:r w:rsidRPr="00402F76">
        <w:rPr>
          <w:i/>
          <w:iCs/>
          <w:noProof/>
          <w:sz w:val="24"/>
          <w:szCs w:val="24"/>
        </w:rPr>
        <w:t>Quality and Quantity</w:t>
      </w:r>
      <w:r w:rsidRPr="00402F76">
        <w:rPr>
          <w:noProof/>
          <w:sz w:val="24"/>
          <w:szCs w:val="24"/>
        </w:rPr>
        <w:t xml:space="preserve">, </w:t>
      </w:r>
      <w:r w:rsidRPr="00402F76">
        <w:rPr>
          <w:i/>
          <w:iCs/>
          <w:noProof/>
          <w:sz w:val="24"/>
          <w:szCs w:val="24"/>
        </w:rPr>
        <w:t>49</w:t>
      </w:r>
      <w:r w:rsidRPr="00402F76">
        <w:rPr>
          <w:noProof/>
          <w:sz w:val="24"/>
          <w:szCs w:val="24"/>
        </w:rPr>
        <w:t xml:space="preserve">(3), 1169–1184. </w:t>
      </w:r>
    </w:p>
    <w:p w14:paraId="066F955A" w14:textId="53434DE3" w:rsidR="00871B1D" w:rsidRPr="00402F76" w:rsidRDefault="00871B1D" w:rsidP="003F3E65">
      <w:pPr>
        <w:adjustRightInd w:val="0"/>
        <w:ind w:left="720" w:hanging="720"/>
        <w:jc w:val="both"/>
        <w:rPr>
          <w:noProof/>
          <w:sz w:val="24"/>
          <w:szCs w:val="24"/>
        </w:rPr>
      </w:pPr>
      <w:r w:rsidRPr="00402F76">
        <w:rPr>
          <w:noProof/>
          <w:sz w:val="24"/>
          <w:szCs w:val="24"/>
        </w:rPr>
        <w:t xml:space="preserve">Chen, Y. S., &amp; Chang, C. H. (2012). Enhance green purchase intentions: The roles of green perceived value, green perceived risk, and green trust. </w:t>
      </w:r>
      <w:r w:rsidRPr="00402F76">
        <w:rPr>
          <w:i/>
          <w:iCs/>
          <w:noProof/>
          <w:sz w:val="24"/>
          <w:szCs w:val="24"/>
        </w:rPr>
        <w:t>Management Decision</w:t>
      </w:r>
      <w:r w:rsidRPr="00402F76">
        <w:rPr>
          <w:noProof/>
          <w:sz w:val="24"/>
          <w:szCs w:val="24"/>
        </w:rPr>
        <w:t xml:space="preserve">, </w:t>
      </w:r>
      <w:r w:rsidRPr="00402F76">
        <w:rPr>
          <w:i/>
          <w:iCs/>
          <w:noProof/>
          <w:sz w:val="24"/>
          <w:szCs w:val="24"/>
        </w:rPr>
        <w:t>50</w:t>
      </w:r>
      <w:r w:rsidRPr="00402F76">
        <w:rPr>
          <w:noProof/>
          <w:sz w:val="24"/>
          <w:szCs w:val="24"/>
        </w:rPr>
        <w:t xml:space="preserve">(3), 502–520. </w:t>
      </w:r>
    </w:p>
    <w:p w14:paraId="01C140C4" w14:textId="580FE2D7" w:rsidR="00871B1D" w:rsidRPr="00402F76" w:rsidRDefault="00871B1D" w:rsidP="003F3E65">
      <w:pPr>
        <w:adjustRightInd w:val="0"/>
        <w:ind w:left="720" w:hanging="720"/>
        <w:jc w:val="both"/>
        <w:rPr>
          <w:noProof/>
          <w:sz w:val="24"/>
          <w:szCs w:val="24"/>
        </w:rPr>
      </w:pPr>
      <w:r w:rsidRPr="00402F76">
        <w:rPr>
          <w:noProof/>
          <w:sz w:val="24"/>
          <w:szCs w:val="24"/>
        </w:rPr>
        <w:t xml:space="preserve">Chen, Y. S., &amp; Chang, C. H. (2013). Towards green trust: The influences of green perceived quality, green perceived risk, and green satisfaction. </w:t>
      </w:r>
      <w:r w:rsidRPr="00402F76">
        <w:rPr>
          <w:i/>
          <w:iCs/>
          <w:noProof/>
          <w:sz w:val="24"/>
          <w:szCs w:val="24"/>
        </w:rPr>
        <w:t>Management Decision</w:t>
      </w:r>
      <w:r w:rsidRPr="00402F76">
        <w:rPr>
          <w:noProof/>
          <w:sz w:val="24"/>
          <w:szCs w:val="24"/>
        </w:rPr>
        <w:t xml:space="preserve">, </w:t>
      </w:r>
      <w:r w:rsidRPr="00402F76">
        <w:rPr>
          <w:i/>
          <w:iCs/>
          <w:noProof/>
          <w:sz w:val="24"/>
          <w:szCs w:val="24"/>
        </w:rPr>
        <w:t>51</w:t>
      </w:r>
      <w:r w:rsidRPr="00402F76">
        <w:rPr>
          <w:noProof/>
          <w:sz w:val="24"/>
          <w:szCs w:val="24"/>
        </w:rPr>
        <w:t xml:space="preserve">(1), 63–82. </w:t>
      </w:r>
    </w:p>
    <w:p w14:paraId="6DDE52FA" w14:textId="747E4917" w:rsidR="00871B1D" w:rsidRPr="00402F76" w:rsidRDefault="00871B1D" w:rsidP="003F3E65">
      <w:pPr>
        <w:adjustRightInd w:val="0"/>
        <w:ind w:left="720" w:hanging="720"/>
        <w:jc w:val="both"/>
        <w:rPr>
          <w:noProof/>
          <w:sz w:val="24"/>
          <w:szCs w:val="24"/>
        </w:rPr>
      </w:pPr>
      <w:r w:rsidRPr="00402F76">
        <w:rPr>
          <w:noProof/>
          <w:sz w:val="24"/>
          <w:szCs w:val="24"/>
        </w:rPr>
        <w:t xml:space="preserve">Chen, Y. S., Lin, C. Y., &amp; Weng, C. S. (2015). The influence of environmental friendliness on green trust: The mediation effects of green satisfaction and green perceived quality. </w:t>
      </w:r>
      <w:r w:rsidRPr="00402F76">
        <w:rPr>
          <w:i/>
          <w:iCs/>
          <w:noProof/>
          <w:sz w:val="24"/>
          <w:szCs w:val="24"/>
        </w:rPr>
        <w:t>Sustainability (Switzerland)</w:t>
      </w:r>
      <w:r w:rsidRPr="00402F76">
        <w:rPr>
          <w:noProof/>
          <w:sz w:val="24"/>
          <w:szCs w:val="24"/>
        </w:rPr>
        <w:t xml:space="preserve">, </w:t>
      </w:r>
      <w:r w:rsidRPr="00402F76">
        <w:rPr>
          <w:i/>
          <w:iCs/>
          <w:noProof/>
          <w:sz w:val="24"/>
          <w:szCs w:val="24"/>
        </w:rPr>
        <w:t>7</w:t>
      </w:r>
      <w:r w:rsidRPr="00402F76">
        <w:rPr>
          <w:noProof/>
          <w:sz w:val="24"/>
          <w:szCs w:val="24"/>
        </w:rPr>
        <w:t xml:space="preserve">(8), 10135–10152. </w:t>
      </w:r>
    </w:p>
    <w:p w14:paraId="05222E5F" w14:textId="64FA4ACA" w:rsidR="00871B1D" w:rsidRPr="00402F76" w:rsidRDefault="00871B1D" w:rsidP="003F3E65">
      <w:pPr>
        <w:adjustRightInd w:val="0"/>
        <w:ind w:left="720" w:hanging="720"/>
        <w:jc w:val="both"/>
        <w:rPr>
          <w:noProof/>
          <w:sz w:val="24"/>
          <w:szCs w:val="24"/>
        </w:rPr>
      </w:pPr>
      <w:r w:rsidRPr="00402F76">
        <w:rPr>
          <w:noProof/>
          <w:sz w:val="24"/>
          <w:szCs w:val="24"/>
        </w:rPr>
        <w:t xml:space="preserve">Chuah, S. H. W., El-Manstrly, D., Tseng, M. L., &amp; Ramayah, T. (2020). Sustaining customer engagement behavior through corporate social responsibility: The roles of environmental concern and green trust. </w:t>
      </w:r>
      <w:r w:rsidRPr="00402F76">
        <w:rPr>
          <w:i/>
          <w:iCs/>
          <w:noProof/>
          <w:sz w:val="24"/>
          <w:szCs w:val="24"/>
        </w:rPr>
        <w:t>Journal of Cleaner Production</w:t>
      </w:r>
      <w:r w:rsidRPr="00402F76">
        <w:rPr>
          <w:noProof/>
          <w:sz w:val="24"/>
          <w:szCs w:val="24"/>
        </w:rPr>
        <w:t xml:space="preserve">, </w:t>
      </w:r>
      <w:r w:rsidRPr="00402F76">
        <w:rPr>
          <w:i/>
          <w:iCs/>
          <w:noProof/>
          <w:sz w:val="24"/>
          <w:szCs w:val="24"/>
        </w:rPr>
        <w:t>262</w:t>
      </w:r>
      <w:r w:rsidR="00402F76" w:rsidRPr="00402F76">
        <w:rPr>
          <w:noProof/>
          <w:sz w:val="24"/>
          <w:szCs w:val="24"/>
        </w:rPr>
        <w:t>, 121348</w:t>
      </w:r>
      <w:r w:rsidRPr="00402F76">
        <w:rPr>
          <w:noProof/>
          <w:sz w:val="24"/>
          <w:szCs w:val="24"/>
        </w:rPr>
        <w:t xml:space="preserve">. </w:t>
      </w:r>
    </w:p>
    <w:p w14:paraId="0B59AC23" w14:textId="711416A6" w:rsidR="00871B1D" w:rsidRPr="00402F76" w:rsidRDefault="00871B1D" w:rsidP="003F3E65">
      <w:pPr>
        <w:adjustRightInd w:val="0"/>
        <w:ind w:left="720" w:hanging="720"/>
        <w:jc w:val="both"/>
        <w:rPr>
          <w:noProof/>
          <w:sz w:val="24"/>
          <w:szCs w:val="24"/>
        </w:rPr>
      </w:pPr>
      <w:r w:rsidRPr="00402F76">
        <w:rPr>
          <w:noProof/>
          <w:sz w:val="24"/>
          <w:szCs w:val="24"/>
        </w:rPr>
        <w:t xml:space="preserve">Cornelissen, G., Pandelaere, M., Warlop, L., &amp; Dewitte, S. (2008). Positive cueing: Promoting sustainable consumer behavior by cueing common environmental behaviors as environmental. </w:t>
      </w:r>
      <w:r w:rsidRPr="00402F76">
        <w:rPr>
          <w:i/>
          <w:iCs/>
          <w:noProof/>
          <w:sz w:val="24"/>
          <w:szCs w:val="24"/>
        </w:rPr>
        <w:t>International Journal of Research in Marketing</w:t>
      </w:r>
      <w:r w:rsidRPr="00402F76">
        <w:rPr>
          <w:noProof/>
          <w:sz w:val="24"/>
          <w:szCs w:val="24"/>
        </w:rPr>
        <w:t xml:space="preserve">, </w:t>
      </w:r>
      <w:r w:rsidRPr="00402F76">
        <w:rPr>
          <w:i/>
          <w:iCs/>
          <w:noProof/>
          <w:sz w:val="24"/>
          <w:szCs w:val="24"/>
        </w:rPr>
        <w:t>25</w:t>
      </w:r>
      <w:r w:rsidRPr="00402F76">
        <w:rPr>
          <w:noProof/>
          <w:sz w:val="24"/>
          <w:szCs w:val="24"/>
        </w:rPr>
        <w:t xml:space="preserve">(1), 46–55. </w:t>
      </w:r>
    </w:p>
    <w:p w14:paraId="0A2D61FB" w14:textId="62111C30" w:rsidR="00871B1D" w:rsidRPr="00402F76" w:rsidRDefault="00871B1D" w:rsidP="003F3E65">
      <w:pPr>
        <w:adjustRightInd w:val="0"/>
        <w:ind w:left="720" w:hanging="720"/>
        <w:jc w:val="both"/>
        <w:rPr>
          <w:noProof/>
          <w:sz w:val="24"/>
          <w:szCs w:val="24"/>
        </w:rPr>
      </w:pPr>
      <w:r w:rsidRPr="00402F76">
        <w:rPr>
          <w:noProof/>
          <w:sz w:val="24"/>
          <w:szCs w:val="24"/>
        </w:rPr>
        <w:t xml:space="preserve">Darner, R. (2007). </w:t>
      </w:r>
      <w:r w:rsidRPr="00402F76">
        <w:rPr>
          <w:i/>
          <w:iCs/>
          <w:noProof/>
          <w:sz w:val="24"/>
          <w:szCs w:val="24"/>
        </w:rPr>
        <w:t>The Use of Self-Determination Theory to Foster Environmental Motivation in an Environmental Biology Course</w:t>
      </w:r>
      <w:r w:rsidRPr="00402F76">
        <w:rPr>
          <w:noProof/>
          <w:sz w:val="24"/>
          <w:szCs w:val="24"/>
        </w:rPr>
        <w:t xml:space="preserve"> [</w:t>
      </w:r>
      <w:r w:rsidR="00402F76" w:rsidRPr="00402F76">
        <w:rPr>
          <w:noProof/>
          <w:sz w:val="24"/>
          <w:szCs w:val="24"/>
        </w:rPr>
        <w:t xml:space="preserve">Doctoral dissertation, </w:t>
      </w:r>
      <w:r w:rsidRPr="00402F76">
        <w:rPr>
          <w:noProof/>
          <w:sz w:val="24"/>
          <w:szCs w:val="24"/>
        </w:rPr>
        <w:t>University of California, San Diego]</w:t>
      </w:r>
      <w:r w:rsidR="00402F76" w:rsidRPr="00402F76">
        <w:rPr>
          <w:noProof/>
          <w:sz w:val="24"/>
          <w:szCs w:val="24"/>
        </w:rPr>
        <w:t>.</w:t>
      </w:r>
    </w:p>
    <w:p w14:paraId="0A14948E" w14:textId="45734A88" w:rsidR="00871B1D" w:rsidRPr="00402F76" w:rsidRDefault="00871B1D" w:rsidP="003F3E65">
      <w:pPr>
        <w:adjustRightInd w:val="0"/>
        <w:ind w:left="720" w:hanging="720"/>
        <w:jc w:val="both"/>
        <w:rPr>
          <w:noProof/>
          <w:sz w:val="24"/>
          <w:szCs w:val="24"/>
        </w:rPr>
      </w:pPr>
      <w:r w:rsidRPr="00402F76">
        <w:rPr>
          <w:noProof/>
          <w:sz w:val="24"/>
          <w:szCs w:val="24"/>
        </w:rPr>
        <w:t xml:space="preserve">Darner, R. (2009). Self-Determination Theory as a Guide to Fostering Environmental Motivation. </w:t>
      </w:r>
      <w:r w:rsidRPr="00402F76">
        <w:rPr>
          <w:i/>
          <w:iCs/>
          <w:noProof/>
          <w:sz w:val="24"/>
          <w:szCs w:val="24"/>
        </w:rPr>
        <w:t>The Journal of Environmental Education</w:t>
      </w:r>
      <w:r w:rsidRPr="00402F76">
        <w:rPr>
          <w:noProof/>
          <w:sz w:val="24"/>
          <w:szCs w:val="24"/>
        </w:rPr>
        <w:t xml:space="preserve">, </w:t>
      </w:r>
      <w:r w:rsidRPr="00402F76">
        <w:rPr>
          <w:i/>
          <w:iCs/>
          <w:noProof/>
          <w:sz w:val="24"/>
          <w:szCs w:val="24"/>
        </w:rPr>
        <w:t>40</w:t>
      </w:r>
      <w:r w:rsidRPr="00402F76">
        <w:rPr>
          <w:noProof/>
          <w:sz w:val="24"/>
          <w:szCs w:val="24"/>
        </w:rPr>
        <w:t xml:space="preserve">(2), 39–49. </w:t>
      </w:r>
    </w:p>
    <w:p w14:paraId="5293D22B" w14:textId="72FF2F3A" w:rsidR="00871B1D" w:rsidRPr="00402F76" w:rsidRDefault="00871B1D" w:rsidP="003F3E65">
      <w:pPr>
        <w:adjustRightInd w:val="0"/>
        <w:ind w:left="720" w:hanging="720"/>
        <w:jc w:val="both"/>
        <w:rPr>
          <w:noProof/>
          <w:sz w:val="24"/>
          <w:szCs w:val="24"/>
        </w:rPr>
      </w:pPr>
      <w:r w:rsidRPr="00402F76">
        <w:rPr>
          <w:noProof/>
          <w:sz w:val="24"/>
          <w:szCs w:val="24"/>
        </w:rPr>
        <w:t xml:space="preserve">Darner, R. (2014). Influences on Students’ Environmental Self-Determination and Implications for Science Curricula. </w:t>
      </w:r>
      <w:r w:rsidRPr="00402F76">
        <w:rPr>
          <w:i/>
          <w:iCs/>
          <w:noProof/>
          <w:sz w:val="24"/>
          <w:szCs w:val="24"/>
        </w:rPr>
        <w:t>International Journal of Environmental and Science Education</w:t>
      </w:r>
      <w:r w:rsidRPr="00402F76">
        <w:rPr>
          <w:noProof/>
          <w:sz w:val="24"/>
          <w:szCs w:val="24"/>
        </w:rPr>
        <w:t xml:space="preserve">, </w:t>
      </w:r>
      <w:r w:rsidRPr="00402F76">
        <w:rPr>
          <w:i/>
          <w:iCs/>
          <w:noProof/>
          <w:sz w:val="24"/>
          <w:szCs w:val="24"/>
        </w:rPr>
        <w:t>9</w:t>
      </w:r>
      <w:r w:rsidRPr="00402F76">
        <w:rPr>
          <w:noProof/>
          <w:sz w:val="24"/>
          <w:szCs w:val="24"/>
        </w:rPr>
        <w:t xml:space="preserve">(1), 21–39. </w:t>
      </w:r>
    </w:p>
    <w:p w14:paraId="0BF29982" w14:textId="48C74B45" w:rsidR="00871B1D" w:rsidRPr="00402F76" w:rsidRDefault="00871B1D" w:rsidP="003F3E65">
      <w:pPr>
        <w:adjustRightInd w:val="0"/>
        <w:ind w:left="720" w:hanging="720"/>
        <w:jc w:val="both"/>
        <w:rPr>
          <w:noProof/>
          <w:sz w:val="24"/>
          <w:szCs w:val="24"/>
        </w:rPr>
      </w:pPr>
      <w:r w:rsidRPr="00402F76">
        <w:rPr>
          <w:noProof/>
          <w:sz w:val="24"/>
          <w:szCs w:val="24"/>
        </w:rPr>
        <w:t xml:space="preserve">Deci, E. L., &amp; Ryan, R. M. (1985). Conceptualizations of Intrinsic Motivation and Self-Determination. </w:t>
      </w:r>
      <w:r w:rsidR="00402F76" w:rsidRPr="00402F76">
        <w:rPr>
          <w:noProof/>
          <w:sz w:val="24"/>
          <w:szCs w:val="24"/>
        </w:rPr>
        <w:t xml:space="preserve">In Deci, E. L., &amp; Ryan, R. M. </w:t>
      </w:r>
      <w:r w:rsidRPr="00402F76">
        <w:rPr>
          <w:i/>
          <w:iCs/>
          <w:noProof/>
          <w:sz w:val="24"/>
          <w:szCs w:val="24"/>
        </w:rPr>
        <w:t>Intrinsic Motivation and Self-Determination in Human Behavior</w:t>
      </w:r>
      <w:r w:rsidR="00402F76" w:rsidRPr="00402F76">
        <w:rPr>
          <w:noProof/>
          <w:sz w:val="24"/>
          <w:szCs w:val="24"/>
        </w:rPr>
        <w:t xml:space="preserve">. </w:t>
      </w:r>
      <w:r w:rsidR="00402F76" w:rsidRPr="00402F76">
        <w:rPr>
          <w:i/>
          <w:iCs/>
          <w:noProof/>
          <w:sz w:val="24"/>
          <w:szCs w:val="24"/>
        </w:rPr>
        <w:t>Perspectives in Social Psychology</w:t>
      </w:r>
      <w:r w:rsidR="00402F76" w:rsidRPr="00402F76">
        <w:rPr>
          <w:noProof/>
          <w:sz w:val="24"/>
          <w:szCs w:val="24"/>
        </w:rPr>
        <w:t xml:space="preserve"> (pp. </w:t>
      </w:r>
      <w:r w:rsidRPr="00402F76">
        <w:rPr>
          <w:noProof/>
          <w:sz w:val="24"/>
          <w:szCs w:val="24"/>
        </w:rPr>
        <w:t>11–40</w:t>
      </w:r>
      <w:r w:rsidR="00402F76" w:rsidRPr="00402F76">
        <w:rPr>
          <w:noProof/>
          <w:sz w:val="24"/>
          <w:szCs w:val="24"/>
        </w:rPr>
        <w:t>)</w:t>
      </w:r>
      <w:r w:rsidRPr="00402F76">
        <w:rPr>
          <w:noProof/>
          <w:sz w:val="24"/>
          <w:szCs w:val="24"/>
        </w:rPr>
        <w:t xml:space="preserve">. </w:t>
      </w:r>
      <w:r w:rsidR="00402F76" w:rsidRPr="00402F76">
        <w:rPr>
          <w:noProof/>
          <w:sz w:val="24"/>
          <w:szCs w:val="24"/>
        </w:rPr>
        <w:t>Springer.</w:t>
      </w:r>
    </w:p>
    <w:p w14:paraId="74F7DA8D" w14:textId="209F6651" w:rsidR="00871B1D" w:rsidRPr="00402F76" w:rsidRDefault="00871B1D" w:rsidP="003F3E65">
      <w:pPr>
        <w:adjustRightInd w:val="0"/>
        <w:ind w:left="720" w:hanging="720"/>
        <w:jc w:val="both"/>
        <w:rPr>
          <w:noProof/>
          <w:sz w:val="24"/>
          <w:szCs w:val="24"/>
        </w:rPr>
      </w:pPr>
      <w:r w:rsidRPr="00402F76">
        <w:rPr>
          <w:noProof/>
          <w:sz w:val="24"/>
          <w:szCs w:val="24"/>
        </w:rPr>
        <w:t xml:space="preserve">Deci, E. L., &amp; Ryan, R. M. (2008). Self-determination theory: A macrotheory of human </w:t>
      </w:r>
      <w:r w:rsidRPr="00402F76">
        <w:rPr>
          <w:noProof/>
          <w:sz w:val="24"/>
          <w:szCs w:val="24"/>
        </w:rPr>
        <w:lastRenderedPageBreak/>
        <w:t xml:space="preserve">motivation, development, and health. </w:t>
      </w:r>
      <w:r w:rsidRPr="00402F76">
        <w:rPr>
          <w:i/>
          <w:iCs/>
          <w:noProof/>
          <w:sz w:val="24"/>
          <w:szCs w:val="24"/>
        </w:rPr>
        <w:t>Canadian Psychology</w:t>
      </w:r>
      <w:r w:rsidRPr="00402F76">
        <w:rPr>
          <w:noProof/>
          <w:sz w:val="24"/>
          <w:szCs w:val="24"/>
        </w:rPr>
        <w:t xml:space="preserve">, </w:t>
      </w:r>
      <w:r w:rsidRPr="00402F76">
        <w:rPr>
          <w:i/>
          <w:iCs/>
          <w:noProof/>
          <w:sz w:val="24"/>
          <w:szCs w:val="24"/>
        </w:rPr>
        <w:t>49</w:t>
      </w:r>
      <w:r w:rsidRPr="00402F76">
        <w:rPr>
          <w:noProof/>
          <w:sz w:val="24"/>
          <w:szCs w:val="24"/>
        </w:rPr>
        <w:t xml:space="preserve">(3), 182–185. </w:t>
      </w:r>
    </w:p>
    <w:p w14:paraId="63885A9E" w14:textId="20A92742" w:rsidR="00871B1D" w:rsidRPr="00402F76" w:rsidRDefault="00871B1D" w:rsidP="003F3E65">
      <w:pPr>
        <w:adjustRightInd w:val="0"/>
        <w:ind w:left="720" w:hanging="720"/>
        <w:jc w:val="both"/>
        <w:rPr>
          <w:noProof/>
          <w:sz w:val="24"/>
          <w:szCs w:val="24"/>
        </w:rPr>
      </w:pPr>
      <w:r w:rsidRPr="00402F76">
        <w:rPr>
          <w:noProof/>
          <w:sz w:val="24"/>
          <w:szCs w:val="24"/>
        </w:rPr>
        <w:t>Forgie, V., Horsley, P., &amp; Johnston, J. (2019). Facilitating community-based conservation initiative</w:t>
      </w:r>
      <w:r w:rsidRPr="00402F76">
        <w:rPr>
          <w:i/>
          <w:iCs/>
          <w:noProof/>
          <w:sz w:val="24"/>
          <w:szCs w:val="24"/>
        </w:rPr>
        <w:t>s</w:t>
      </w:r>
      <w:r w:rsidR="00402F76" w:rsidRPr="00402F76">
        <w:rPr>
          <w:i/>
          <w:iCs/>
          <w:noProof/>
          <w:sz w:val="24"/>
          <w:szCs w:val="24"/>
        </w:rPr>
        <w:t>.</w:t>
      </w:r>
      <w:r w:rsidRPr="00402F76">
        <w:rPr>
          <w:i/>
          <w:iCs/>
          <w:noProof/>
          <w:sz w:val="24"/>
          <w:szCs w:val="24"/>
        </w:rPr>
        <w:t xml:space="preserve"> Science for Conservation</w:t>
      </w:r>
      <w:r w:rsidR="00402F76" w:rsidRPr="00402F76">
        <w:rPr>
          <w:i/>
          <w:iCs/>
          <w:noProof/>
          <w:sz w:val="24"/>
          <w:szCs w:val="24"/>
        </w:rPr>
        <w:t>,</w:t>
      </w:r>
      <w:r w:rsidRPr="00402F76">
        <w:rPr>
          <w:i/>
          <w:iCs/>
          <w:noProof/>
          <w:sz w:val="24"/>
          <w:szCs w:val="24"/>
        </w:rPr>
        <w:t xml:space="preserve"> 169</w:t>
      </w:r>
      <w:r w:rsidR="00402F76" w:rsidRPr="00402F76">
        <w:rPr>
          <w:noProof/>
          <w:sz w:val="24"/>
          <w:szCs w:val="24"/>
        </w:rPr>
        <w:t xml:space="preserve">. </w:t>
      </w:r>
    </w:p>
    <w:p w14:paraId="010941EF" w14:textId="77777777" w:rsidR="00871B1D" w:rsidRPr="00402F76" w:rsidRDefault="00871B1D" w:rsidP="003F3E65">
      <w:pPr>
        <w:adjustRightInd w:val="0"/>
        <w:ind w:left="720" w:hanging="720"/>
        <w:jc w:val="both"/>
        <w:rPr>
          <w:noProof/>
          <w:sz w:val="24"/>
          <w:szCs w:val="24"/>
        </w:rPr>
      </w:pPr>
      <w:r w:rsidRPr="00402F76">
        <w:rPr>
          <w:noProof/>
          <w:sz w:val="24"/>
          <w:szCs w:val="24"/>
        </w:rPr>
        <w:t xml:space="preserve">Ghani, M. (2021). </w:t>
      </w:r>
      <w:r w:rsidRPr="00402F76">
        <w:rPr>
          <w:i/>
          <w:iCs/>
          <w:noProof/>
          <w:sz w:val="24"/>
          <w:szCs w:val="24"/>
        </w:rPr>
        <w:t>River ACE - Urbanised River Rehabilitation through Public Participation</w:t>
      </w:r>
      <w:r w:rsidRPr="00402F76">
        <w:rPr>
          <w:noProof/>
          <w:sz w:val="24"/>
          <w:szCs w:val="24"/>
        </w:rPr>
        <w:t xml:space="preserve"> (Issue December). Friends of Rivers, Malaysia (FoRM). https://docplayer.net/221079714-River-ace-urbanised-river-rehabilitation-through-public-participation.html</w:t>
      </w:r>
    </w:p>
    <w:p w14:paraId="5B331BD4" w14:textId="77777777" w:rsidR="00871B1D" w:rsidRPr="007F2ECF" w:rsidRDefault="00871B1D" w:rsidP="003F3E65">
      <w:pPr>
        <w:adjustRightInd w:val="0"/>
        <w:ind w:left="720" w:hanging="720"/>
        <w:jc w:val="both"/>
        <w:rPr>
          <w:noProof/>
          <w:sz w:val="24"/>
          <w:szCs w:val="24"/>
        </w:rPr>
      </w:pPr>
      <w:r w:rsidRPr="007F2ECF">
        <w:rPr>
          <w:noProof/>
          <w:sz w:val="24"/>
          <w:szCs w:val="24"/>
        </w:rPr>
        <w:t>Global Environment Center. (2022). Laporan Maklumbalas Bertulis mengenai Aktiviti Pembersihan Sungai Bukan Berstruktur. https://www.gec.org.my/index.cfm?&amp;menuid=488&amp;parentid=478</w:t>
      </w:r>
    </w:p>
    <w:p w14:paraId="52BF8216" w14:textId="1A83223B" w:rsidR="00871B1D" w:rsidRPr="00402F76" w:rsidRDefault="00871B1D" w:rsidP="003F3E65">
      <w:pPr>
        <w:adjustRightInd w:val="0"/>
        <w:ind w:left="720" w:hanging="720"/>
        <w:jc w:val="both"/>
        <w:rPr>
          <w:noProof/>
          <w:sz w:val="24"/>
          <w:szCs w:val="24"/>
        </w:rPr>
      </w:pPr>
      <w:r w:rsidRPr="00402F76">
        <w:rPr>
          <w:noProof/>
          <w:sz w:val="24"/>
          <w:szCs w:val="24"/>
        </w:rPr>
        <w:t xml:space="preserve">Guerreiro, J., &amp; Pacheco, M. (2021). How green trust, consumer brand engagement and green word-of-mouth mediate purchasing intentions. </w:t>
      </w:r>
      <w:r w:rsidRPr="00402F76">
        <w:rPr>
          <w:i/>
          <w:iCs/>
          <w:noProof/>
          <w:sz w:val="24"/>
          <w:szCs w:val="24"/>
        </w:rPr>
        <w:t>Sustainability</w:t>
      </w:r>
      <w:r w:rsidRPr="00402F76">
        <w:rPr>
          <w:noProof/>
          <w:sz w:val="24"/>
          <w:szCs w:val="24"/>
        </w:rPr>
        <w:t xml:space="preserve">, </w:t>
      </w:r>
      <w:r w:rsidRPr="00402F76">
        <w:rPr>
          <w:i/>
          <w:iCs/>
          <w:noProof/>
          <w:sz w:val="24"/>
          <w:szCs w:val="24"/>
        </w:rPr>
        <w:t>13</w:t>
      </w:r>
      <w:r w:rsidRPr="00402F76">
        <w:rPr>
          <w:noProof/>
          <w:sz w:val="24"/>
          <w:szCs w:val="24"/>
        </w:rPr>
        <w:t xml:space="preserve">(14), </w:t>
      </w:r>
      <w:r w:rsidR="00E751C7">
        <w:rPr>
          <w:noProof/>
          <w:sz w:val="24"/>
          <w:szCs w:val="24"/>
        </w:rPr>
        <w:t>7877.</w:t>
      </w:r>
    </w:p>
    <w:p w14:paraId="17EE64C7" w14:textId="3E6EDC9F" w:rsidR="00871B1D" w:rsidRPr="00402F76" w:rsidRDefault="00871B1D" w:rsidP="003F3E65">
      <w:pPr>
        <w:adjustRightInd w:val="0"/>
        <w:ind w:left="720" w:hanging="720"/>
        <w:jc w:val="both"/>
        <w:rPr>
          <w:noProof/>
          <w:sz w:val="24"/>
          <w:szCs w:val="24"/>
        </w:rPr>
      </w:pPr>
      <w:r w:rsidRPr="00402F76">
        <w:rPr>
          <w:noProof/>
          <w:sz w:val="24"/>
          <w:szCs w:val="24"/>
        </w:rPr>
        <w:t xml:space="preserve">Guo, L., Xu, Y., Liu, G., Wang, T., &amp; Du, C. (2019). Understanding firm performance on green sustainable practices through managers’ ascribed responsibility and waste management: Green self-efficacy as moderator. </w:t>
      </w:r>
      <w:r w:rsidRPr="00402F76">
        <w:rPr>
          <w:i/>
          <w:iCs/>
          <w:noProof/>
          <w:sz w:val="24"/>
          <w:szCs w:val="24"/>
        </w:rPr>
        <w:t>Sustainability</w:t>
      </w:r>
      <w:r w:rsidRPr="00402F76">
        <w:rPr>
          <w:noProof/>
          <w:sz w:val="24"/>
          <w:szCs w:val="24"/>
        </w:rPr>
        <w:t xml:space="preserve">, </w:t>
      </w:r>
      <w:r w:rsidRPr="00402F76">
        <w:rPr>
          <w:i/>
          <w:iCs/>
          <w:noProof/>
          <w:sz w:val="24"/>
          <w:szCs w:val="24"/>
        </w:rPr>
        <w:t>11</w:t>
      </w:r>
      <w:r w:rsidRPr="00402F76">
        <w:rPr>
          <w:noProof/>
          <w:sz w:val="24"/>
          <w:szCs w:val="24"/>
        </w:rPr>
        <w:t xml:space="preserve">(18), </w:t>
      </w:r>
      <w:r w:rsidR="00E751C7">
        <w:rPr>
          <w:noProof/>
          <w:sz w:val="24"/>
          <w:szCs w:val="24"/>
        </w:rPr>
        <w:t>4976.</w:t>
      </w:r>
    </w:p>
    <w:p w14:paraId="2F9CF784" w14:textId="70969396" w:rsidR="00871B1D" w:rsidRPr="00402F76" w:rsidRDefault="00871B1D" w:rsidP="003F3E65">
      <w:pPr>
        <w:adjustRightInd w:val="0"/>
        <w:ind w:left="720" w:hanging="720"/>
        <w:jc w:val="both"/>
        <w:rPr>
          <w:noProof/>
          <w:sz w:val="24"/>
          <w:szCs w:val="24"/>
        </w:rPr>
      </w:pPr>
      <w:r w:rsidRPr="00402F76">
        <w:rPr>
          <w:noProof/>
          <w:sz w:val="24"/>
          <w:szCs w:val="24"/>
        </w:rPr>
        <w:t xml:space="preserve">Hashish, M. E. S., Abdou, A. H., Mohamed, S. A. K., Elenain, A. S. A., &amp; Salama, W. (2022). The Nexus between Green Perceived Quality, Green Satisfaction, Green Trust, and Customers’ Green Behavioral Intentions in Eco-Friendly Hotels: A Structural Equation Modeling Approach. </w:t>
      </w:r>
      <w:r w:rsidRPr="00402F76">
        <w:rPr>
          <w:i/>
          <w:iCs/>
          <w:noProof/>
          <w:sz w:val="24"/>
          <w:szCs w:val="24"/>
        </w:rPr>
        <w:t>International Journal of Environmental Research and Public Health</w:t>
      </w:r>
      <w:r w:rsidRPr="00402F76">
        <w:rPr>
          <w:noProof/>
          <w:sz w:val="24"/>
          <w:szCs w:val="24"/>
        </w:rPr>
        <w:t xml:space="preserve">, </w:t>
      </w:r>
      <w:r w:rsidRPr="00402F76">
        <w:rPr>
          <w:i/>
          <w:iCs/>
          <w:noProof/>
          <w:sz w:val="24"/>
          <w:szCs w:val="24"/>
        </w:rPr>
        <w:t>19</w:t>
      </w:r>
      <w:r w:rsidRPr="00402F76">
        <w:rPr>
          <w:noProof/>
          <w:sz w:val="24"/>
          <w:szCs w:val="24"/>
        </w:rPr>
        <w:t xml:space="preserve">(23), </w:t>
      </w:r>
      <w:r w:rsidR="00E751C7">
        <w:rPr>
          <w:noProof/>
          <w:sz w:val="24"/>
          <w:szCs w:val="24"/>
        </w:rPr>
        <w:t>16195.</w:t>
      </w:r>
    </w:p>
    <w:p w14:paraId="33D058E6" w14:textId="5BA8C957" w:rsidR="00871B1D" w:rsidRPr="00402F76" w:rsidRDefault="00871B1D" w:rsidP="003F3E65">
      <w:pPr>
        <w:adjustRightInd w:val="0"/>
        <w:ind w:left="720" w:hanging="720"/>
        <w:jc w:val="both"/>
        <w:rPr>
          <w:noProof/>
          <w:sz w:val="24"/>
          <w:szCs w:val="24"/>
        </w:rPr>
      </w:pPr>
      <w:r w:rsidRPr="00402F76">
        <w:rPr>
          <w:noProof/>
          <w:sz w:val="24"/>
          <w:szCs w:val="24"/>
        </w:rPr>
        <w:t xml:space="preserve">Huang, H. (2016). Media use, environmental beliefs, self-efficacy, and pro-environmental behavior. </w:t>
      </w:r>
      <w:r w:rsidRPr="00402F76">
        <w:rPr>
          <w:i/>
          <w:iCs/>
          <w:noProof/>
          <w:sz w:val="24"/>
          <w:szCs w:val="24"/>
        </w:rPr>
        <w:t>Journal of Business Research</w:t>
      </w:r>
      <w:r w:rsidRPr="00402F76">
        <w:rPr>
          <w:noProof/>
          <w:sz w:val="24"/>
          <w:szCs w:val="24"/>
        </w:rPr>
        <w:t xml:space="preserve">, </w:t>
      </w:r>
      <w:r w:rsidRPr="00402F76">
        <w:rPr>
          <w:i/>
          <w:iCs/>
          <w:noProof/>
          <w:sz w:val="24"/>
          <w:szCs w:val="24"/>
        </w:rPr>
        <w:t>69</w:t>
      </w:r>
      <w:r w:rsidRPr="00402F76">
        <w:rPr>
          <w:noProof/>
          <w:sz w:val="24"/>
          <w:szCs w:val="24"/>
        </w:rPr>
        <w:t xml:space="preserve">(6), 2206–2212. </w:t>
      </w:r>
    </w:p>
    <w:p w14:paraId="5AEF3024" w14:textId="30F0CB69" w:rsidR="00871B1D" w:rsidRPr="00402F76" w:rsidRDefault="00871B1D" w:rsidP="003F3E65">
      <w:pPr>
        <w:adjustRightInd w:val="0"/>
        <w:ind w:left="720" w:hanging="720"/>
        <w:jc w:val="both"/>
        <w:rPr>
          <w:noProof/>
          <w:sz w:val="24"/>
          <w:szCs w:val="24"/>
        </w:rPr>
      </w:pPr>
      <w:r w:rsidRPr="00402F76">
        <w:rPr>
          <w:noProof/>
          <w:sz w:val="24"/>
          <w:szCs w:val="24"/>
        </w:rPr>
        <w:t xml:space="preserve">Hui Lai, C., Weng Chan, N., &amp; Weng Goh, H. (2017). Mobilising Local Communities </w:t>
      </w:r>
      <w:r w:rsidRPr="00E751C7">
        <w:rPr>
          <w:noProof/>
          <w:sz w:val="24"/>
          <w:szCs w:val="24"/>
        </w:rPr>
        <w:t xml:space="preserve">Towards Involvement In River Management: Lessons Learnt From The Sungai Pinang River Community Engagement Project In Penang, Malaysia. Proceedings of the 37th IAHR World Congress, August 13 - 18, </w:t>
      </w:r>
      <w:r w:rsidR="00E751C7">
        <w:rPr>
          <w:noProof/>
          <w:sz w:val="24"/>
          <w:szCs w:val="24"/>
        </w:rPr>
        <w:t>Kuala Lumpur, Malaysia.</w:t>
      </w:r>
    </w:p>
    <w:p w14:paraId="2516C4F3" w14:textId="7BB23781" w:rsidR="00871B1D" w:rsidRPr="00402F76" w:rsidRDefault="00871B1D" w:rsidP="003F3E65">
      <w:pPr>
        <w:adjustRightInd w:val="0"/>
        <w:ind w:left="720" w:hanging="720"/>
        <w:jc w:val="both"/>
        <w:rPr>
          <w:noProof/>
          <w:sz w:val="24"/>
          <w:szCs w:val="24"/>
        </w:rPr>
      </w:pPr>
      <w:r w:rsidRPr="00402F76">
        <w:rPr>
          <w:noProof/>
          <w:sz w:val="24"/>
          <w:szCs w:val="24"/>
        </w:rPr>
        <w:t xml:space="preserve">Husin, N. A., Mariyanti, E., Saad, M., &amp; Noor, A. F. (2021). Sustainable River: The role of non-structural measures and public outreach programmes. </w:t>
      </w:r>
      <w:r w:rsidRPr="00402F76">
        <w:rPr>
          <w:i/>
          <w:iCs/>
          <w:noProof/>
          <w:sz w:val="24"/>
          <w:szCs w:val="24"/>
        </w:rPr>
        <w:t>Asian Journal of Environment-Behaviour Studies</w:t>
      </w:r>
      <w:r w:rsidRPr="00402F76">
        <w:rPr>
          <w:noProof/>
          <w:sz w:val="24"/>
          <w:szCs w:val="24"/>
        </w:rPr>
        <w:t xml:space="preserve">, </w:t>
      </w:r>
      <w:r w:rsidRPr="00402F76">
        <w:rPr>
          <w:i/>
          <w:iCs/>
          <w:noProof/>
          <w:sz w:val="24"/>
          <w:szCs w:val="24"/>
        </w:rPr>
        <w:t>6</w:t>
      </w:r>
      <w:r w:rsidRPr="00402F76">
        <w:rPr>
          <w:noProof/>
          <w:sz w:val="24"/>
          <w:szCs w:val="24"/>
        </w:rPr>
        <w:t xml:space="preserve">(19), 57–69. </w:t>
      </w:r>
    </w:p>
    <w:p w14:paraId="758E5905" w14:textId="50417F01" w:rsidR="00871B1D" w:rsidRPr="00402F76" w:rsidRDefault="00871B1D" w:rsidP="003F3E65">
      <w:pPr>
        <w:adjustRightInd w:val="0"/>
        <w:ind w:left="720" w:hanging="720"/>
        <w:jc w:val="both"/>
        <w:rPr>
          <w:noProof/>
          <w:sz w:val="24"/>
          <w:szCs w:val="24"/>
        </w:rPr>
      </w:pPr>
      <w:r w:rsidRPr="00402F76">
        <w:rPr>
          <w:noProof/>
          <w:sz w:val="24"/>
          <w:szCs w:val="24"/>
        </w:rPr>
        <w:t xml:space="preserve">Husin, N. A., Noor, A. F., Saad, M., &amp; Mariyanti, E. (2021). Assessing the Effectiveness of the Non-Structural Measures for River Cleaning. </w:t>
      </w:r>
      <w:r w:rsidRPr="00402F76">
        <w:rPr>
          <w:i/>
          <w:iCs/>
          <w:noProof/>
          <w:sz w:val="24"/>
          <w:szCs w:val="24"/>
        </w:rPr>
        <w:t>Environment-Behaviour Proceedings Journal</w:t>
      </w:r>
      <w:r w:rsidRPr="00402F76">
        <w:rPr>
          <w:noProof/>
          <w:sz w:val="24"/>
          <w:szCs w:val="24"/>
        </w:rPr>
        <w:t xml:space="preserve">, </w:t>
      </w:r>
      <w:r w:rsidRPr="00402F76">
        <w:rPr>
          <w:i/>
          <w:iCs/>
          <w:noProof/>
          <w:sz w:val="24"/>
          <w:szCs w:val="24"/>
        </w:rPr>
        <w:t>6</w:t>
      </w:r>
      <w:r w:rsidRPr="00402F76">
        <w:rPr>
          <w:noProof/>
          <w:sz w:val="24"/>
          <w:szCs w:val="24"/>
        </w:rPr>
        <w:t xml:space="preserve">(16), 229–235. </w:t>
      </w:r>
    </w:p>
    <w:p w14:paraId="70F9FE3D" w14:textId="77777777" w:rsidR="00871B1D" w:rsidRPr="00E751C7" w:rsidRDefault="00871B1D" w:rsidP="003F3E65">
      <w:pPr>
        <w:adjustRightInd w:val="0"/>
        <w:ind w:left="720" w:hanging="720"/>
        <w:jc w:val="both"/>
        <w:rPr>
          <w:noProof/>
          <w:sz w:val="24"/>
          <w:szCs w:val="24"/>
        </w:rPr>
      </w:pPr>
      <w:r w:rsidRPr="00E751C7">
        <w:rPr>
          <w:noProof/>
          <w:sz w:val="24"/>
          <w:szCs w:val="24"/>
        </w:rPr>
        <w:t>IGS Consultant. (2018). Laporan Akhir Kerja-kerja Penyediaan Pemetaan dan Inventori Aktiviti Guna Tanah di Sungai Sembah dan Anak-anak sungainya, Sungai Klang, Sungai Damansara, Sungai Semenyih, Sungai Rinching dan Sungai Beranang untuk Lembaga Urus Air Selangor.</w:t>
      </w:r>
    </w:p>
    <w:p w14:paraId="419B59E1" w14:textId="5B7A49A0" w:rsidR="00871B1D" w:rsidRPr="00402F76" w:rsidRDefault="00871B1D" w:rsidP="003F3E65">
      <w:pPr>
        <w:adjustRightInd w:val="0"/>
        <w:ind w:left="720" w:hanging="720"/>
        <w:jc w:val="both"/>
        <w:rPr>
          <w:noProof/>
          <w:sz w:val="24"/>
          <w:szCs w:val="24"/>
        </w:rPr>
      </w:pPr>
      <w:r w:rsidRPr="00402F76">
        <w:rPr>
          <w:noProof/>
          <w:sz w:val="24"/>
          <w:szCs w:val="24"/>
        </w:rPr>
        <w:t xml:space="preserve">Jia, L., Wei, J., &amp; Wang, Z. (2022). The Intention of Community Participation in the Qilian Mountain National Park Policy Pilot. </w:t>
      </w:r>
      <w:r w:rsidRPr="00402F76">
        <w:rPr>
          <w:i/>
          <w:iCs/>
          <w:noProof/>
          <w:sz w:val="24"/>
          <w:szCs w:val="24"/>
        </w:rPr>
        <w:t>Land</w:t>
      </w:r>
      <w:r w:rsidRPr="00402F76">
        <w:rPr>
          <w:noProof/>
          <w:sz w:val="24"/>
          <w:szCs w:val="24"/>
        </w:rPr>
        <w:t xml:space="preserve">, </w:t>
      </w:r>
      <w:r w:rsidRPr="00402F76">
        <w:rPr>
          <w:i/>
          <w:iCs/>
          <w:noProof/>
          <w:sz w:val="24"/>
          <w:szCs w:val="24"/>
        </w:rPr>
        <w:t>11</w:t>
      </w:r>
      <w:r w:rsidRPr="00402F76">
        <w:rPr>
          <w:noProof/>
          <w:sz w:val="24"/>
          <w:szCs w:val="24"/>
        </w:rPr>
        <w:t>(2)</w:t>
      </w:r>
      <w:r w:rsidR="00E751C7">
        <w:rPr>
          <w:noProof/>
          <w:sz w:val="24"/>
          <w:szCs w:val="24"/>
        </w:rPr>
        <w:t>, 170.</w:t>
      </w:r>
    </w:p>
    <w:p w14:paraId="7FD3DFFB" w14:textId="7D7E9B58" w:rsidR="00871B1D" w:rsidRPr="00402F76" w:rsidRDefault="00871B1D" w:rsidP="003F3E65">
      <w:pPr>
        <w:adjustRightInd w:val="0"/>
        <w:ind w:left="720" w:hanging="720"/>
        <w:jc w:val="both"/>
        <w:rPr>
          <w:noProof/>
          <w:sz w:val="24"/>
          <w:szCs w:val="24"/>
        </w:rPr>
      </w:pPr>
      <w:r w:rsidRPr="00402F76">
        <w:rPr>
          <w:noProof/>
          <w:sz w:val="24"/>
          <w:szCs w:val="24"/>
        </w:rPr>
        <w:t xml:space="preserve">Jiao, Y., Leong Tan, M., Yusof, N., &amp; Ghazali, S. (2022). A review of behaviour mechanisms between government and society in bargaining water pollution issues. </w:t>
      </w:r>
      <w:r w:rsidR="00E751C7" w:rsidRPr="00E751C7">
        <w:rPr>
          <w:i/>
          <w:iCs/>
          <w:noProof/>
          <w:sz w:val="24"/>
          <w:szCs w:val="24"/>
        </w:rPr>
        <w:t>Geografia-</w:t>
      </w:r>
      <w:r w:rsidRPr="00402F76">
        <w:rPr>
          <w:i/>
          <w:iCs/>
          <w:noProof/>
          <w:sz w:val="24"/>
          <w:szCs w:val="24"/>
        </w:rPr>
        <w:t>Malaysian</w:t>
      </w:r>
      <w:r w:rsidR="00E751C7">
        <w:rPr>
          <w:i/>
          <w:iCs/>
          <w:noProof/>
          <w:sz w:val="24"/>
          <w:szCs w:val="24"/>
        </w:rPr>
        <w:t xml:space="preserve"> </w:t>
      </w:r>
      <w:r w:rsidRPr="00402F76">
        <w:rPr>
          <w:i/>
          <w:iCs/>
          <w:noProof/>
          <w:sz w:val="24"/>
          <w:szCs w:val="24"/>
        </w:rPr>
        <w:t>Journal of Society and Space</w:t>
      </w:r>
      <w:r w:rsidRPr="00402F76">
        <w:rPr>
          <w:noProof/>
          <w:sz w:val="24"/>
          <w:szCs w:val="24"/>
        </w:rPr>
        <w:t xml:space="preserve">, </w:t>
      </w:r>
      <w:r w:rsidRPr="00402F76">
        <w:rPr>
          <w:i/>
          <w:iCs/>
          <w:noProof/>
          <w:sz w:val="24"/>
          <w:szCs w:val="24"/>
        </w:rPr>
        <w:t>18</w:t>
      </w:r>
      <w:r w:rsidRPr="00402F76">
        <w:rPr>
          <w:noProof/>
          <w:sz w:val="24"/>
          <w:szCs w:val="24"/>
        </w:rPr>
        <w:t xml:space="preserve">(3), 57–71. </w:t>
      </w:r>
    </w:p>
    <w:p w14:paraId="7E4498D1" w14:textId="373A8B18" w:rsidR="00871B1D" w:rsidRPr="00402F76" w:rsidRDefault="00871B1D" w:rsidP="003F3E65">
      <w:pPr>
        <w:adjustRightInd w:val="0"/>
        <w:ind w:left="720" w:hanging="720"/>
        <w:jc w:val="both"/>
        <w:rPr>
          <w:noProof/>
          <w:sz w:val="24"/>
          <w:szCs w:val="24"/>
        </w:rPr>
      </w:pPr>
      <w:r w:rsidRPr="00402F76">
        <w:rPr>
          <w:noProof/>
          <w:sz w:val="24"/>
          <w:szCs w:val="24"/>
        </w:rPr>
        <w:t xml:space="preserve">Kamalanon, P., Chen, J. S., &amp; Le, T. T. Y. (2022). “Why do We Buy Green Products?” An Extended Theory of the Planned Behavior Model for Green Product Purchase Behavior. </w:t>
      </w:r>
      <w:r w:rsidRPr="00402F76">
        <w:rPr>
          <w:i/>
          <w:iCs/>
          <w:noProof/>
          <w:sz w:val="24"/>
          <w:szCs w:val="24"/>
        </w:rPr>
        <w:t>Sustainability</w:t>
      </w:r>
      <w:r w:rsidRPr="00402F76">
        <w:rPr>
          <w:noProof/>
          <w:sz w:val="24"/>
          <w:szCs w:val="24"/>
        </w:rPr>
        <w:t xml:space="preserve">, </w:t>
      </w:r>
      <w:r w:rsidRPr="00402F76">
        <w:rPr>
          <w:i/>
          <w:iCs/>
          <w:noProof/>
          <w:sz w:val="24"/>
          <w:szCs w:val="24"/>
        </w:rPr>
        <w:t>14</w:t>
      </w:r>
      <w:r w:rsidRPr="00402F76">
        <w:rPr>
          <w:noProof/>
          <w:sz w:val="24"/>
          <w:szCs w:val="24"/>
        </w:rPr>
        <w:t xml:space="preserve">(2), </w:t>
      </w:r>
      <w:r w:rsidR="00E751C7">
        <w:rPr>
          <w:noProof/>
          <w:sz w:val="24"/>
          <w:szCs w:val="24"/>
        </w:rPr>
        <w:t>689.</w:t>
      </w:r>
    </w:p>
    <w:p w14:paraId="28A774DA" w14:textId="069100BE" w:rsidR="00871B1D" w:rsidRPr="00402F76" w:rsidRDefault="00871B1D" w:rsidP="003F3E65">
      <w:pPr>
        <w:adjustRightInd w:val="0"/>
        <w:ind w:left="720" w:hanging="720"/>
        <w:jc w:val="both"/>
        <w:rPr>
          <w:noProof/>
          <w:sz w:val="24"/>
          <w:szCs w:val="24"/>
        </w:rPr>
      </w:pPr>
      <w:r w:rsidRPr="00402F76">
        <w:rPr>
          <w:noProof/>
          <w:sz w:val="24"/>
          <w:szCs w:val="24"/>
        </w:rPr>
        <w:t xml:space="preserve">Krejcie, R. V, &amp; Morgan, D. W. (1970). Determining sample size for research activities. </w:t>
      </w:r>
      <w:r w:rsidRPr="00402F76">
        <w:rPr>
          <w:i/>
          <w:iCs/>
          <w:noProof/>
          <w:sz w:val="24"/>
          <w:szCs w:val="24"/>
        </w:rPr>
        <w:t>Educational and Psychological Measurement</w:t>
      </w:r>
      <w:r w:rsidRPr="00402F76">
        <w:rPr>
          <w:noProof/>
          <w:sz w:val="24"/>
          <w:szCs w:val="24"/>
        </w:rPr>
        <w:t xml:space="preserve">, </w:t>
      </w:r>
      <w:r w:rsidRPr="00402F76">
        <w:rPr>
          <w:i/>
          <w:iCs/>
          <w:noProof/>
          <w:sz w:val="24"/>
          <w:szCs w:val="24"/>
        </w:rPr>
        <w:t>30</w:t>
      </w:r>
      <w:r w:rsidR="00E751C7" w:rsidRPr="00E751C7">
        <w:rPr>
          <w:noProof/>
          <w:sz w:val="24"/>
          <w:szCs w:val="24"/>
        </w:rPr>
        <w:t>(3)</w:t>
      </w:r>
      <w:r w:rsidRPr="00E751C7">
        <w:rPr>
          <w:noProof/>
          <w:sz w:val="24"/>
          <w:szCs w:val="24"/>
        </w:rPr>
        <w:t xml:space="preserve">, </w:t>
      </w:r>
      <w:r w:rsidRPr="00402F76">
        <w:rPr>
          <w:noProof/>
          <w:sz w:val="24"/>
          <w:szCs w:val="24"/>
        </w:rPr>
        <w:t>607–610.</w:t>
      </w:r>
    </w:p>
    <w:p w14:paraId="3B3A8A77" w14:textId="62BD02CF" w:rsidR="00871B1D" w:rsidRPr="00402F76" w:rsidRDefault="00871B1D" w:rsidP="003F3E65">
      <w:pPr>
        <w:adjustRightInd w:val="0"/>
        <w:ind w:left="720" w:hanging="720"/>
        <w:jc w:val="both"/>
        <w:rPr>
          <w:noProof/>
          <w:sz w:val="24"/>
          <w:szCs w:val="24"/>
        </w:rPr>
      </w:pPr>
      <w:r w:rsidRPr="00402F76">
        <w:rPr>
          <w:noProof/>
          <w:sz w:val="24"/>
          <w:szCs w:val="24"/>
        </w:rPr>
        <w:t xml:space="preserve">Kroneman, M., Van Erp, K., &amp; Groenewegen, P. (2018). Community participation in primary care: Willingness to participate, a web survey in the Netherlands. </w:t>
      </w:r>
      <w:r w:rsidRPr="00402F76">
        <w:rPr>
          <w:i/>
          <w:iCs/>
          <w:noProof/>
          <w:sz w:val="24"/>
          <w:szCs w:val="24"/>
        </w:rPr>
        <w:t>Primary Health Care Research and Development</w:t>
      </w:r>
      <w:r w:rsidRPr="00402F76">
        <w:rPr>
          <w:noProof/>
          <w:sz w:val="24"/>
          <w:szCs w:val="24"/>
        </w:rPr>
        <w:t xml:space="preserve">, </w:t>
      </w:r>
      <w:r w:rsidRPr="00402F76">
        <w:rPr>
          <w:i/>
          <w:iCs/>
          <w:noProof/>
          <w:sz w:val="24"/>
          <w:szCs w:val="24"/>
        </w:rPr>
        <w:t>20</w:t>
      </w:r>
      <w:r w:rsidRPr="00402F76">
        <w:rPr>
          <w:noProof/>
          <w:sz w:val="24"/>
          <w:szCs w:val="24"/>
        </w:rPr>
        <w:t xml:space="preserve">(e13), 1–7. </w:t>
      </w:r>
    </w:p>
    <w:p w14:paraId="4FDEC4B5" w14:textId="46C4796C" w:rsidR="00871B1D" w:rsidRPr="00402F76" w:rsidRDefault="00871B1D" w:rsidP="003F3E65">
      <w:pPr>
        <w:adjustRightInd w:val="0"/>
        <w:ind w:left="720" w:hanging="720"/>
        <w:jc w:val="both"/>
        <w:rPr>
          <w:noProof/>
          <w:sz w:val="24"/>
          <w:szCs w:val="24"/>
        </w:rPr>
      </w:pPr>
      <w:r w:rsidRPr="00402F76">
        <w:rPr>
          <w:noProof/>
          <w:sz w:val="24"/>
          <w:szCs w:val="24"/>
        </w:rPr>
        <w:t xml:space="preserve">Lacasse, K. (2015). The Importance of Being Green: The Influence of Green Behaviors on </w:t>
      </w:r>
      <w:r w:rsidRPr="00402F76">
        <w:rPr>
          <w:noProof/>
          <w:sz w:val="24"/>
          <w:szCs w:val="24"/>
        </w:rPr>
        <w:lastRenderedPageBreak/>
        <w:t xml:space="preserve">Americans’ Political Attitudes Toward Climate Change. </w:t>
      </w:r>
      <w:r w:rsidRPr="00402F76">
        <w:rPr>
          <w:i/>
          <w:iCs/>
          <w:noProof/>
          <w:sz w:val="24"/>
          <w:szCs w:val="24"/>
        </w:rPr>
        <w:t>Environment and Behavior</w:t>
      </w:r>
      <w:r w:rsidRPr="00402F76">
        <w:rPr>
          <w:noProof/>
          <w:sz w:val="24"/>
          <w:szCs w:val="24"/>
        </w:rPr>
        <w:t xml:space="preserve">, </w:t>
      </w:r>
      <w:r w:rsidRPr="00402F76">
        <w:rPr>
          <w:i/>
          <w:iCs/>
          <w:noProof/>
          <w:sz w:val="24"/>
          <w:szCs w:val="24"/>
        </w:rPr>
        <w:t>47</w:t>
      </w:r>
      <w:r w:rsidRPr="00402F76">
        <w:rPr>
          <w:noProof/>
          <w:sz w:val="24"/>
          <w:szCs w:val="24"/>
        </w:rPr>
        <w:t xml:space="preserve">(7), 754–781. </w:t>
      </w:r>
    </w:p>
    <w:p w14:paraId="302D268D" w14:textId="50263CB3" w:rsidR="00871B1D" w:rsidRPr="00436A08" w:rsidRDefault="00871B1D" w:rsidP="003F3E65">
      <w:pPr>
        <w:adjustRightInd w:val="0"/>
        <w:ind w:left="720" w:hanging="720"/>
        <w:jc w:val="both"/>
        <w:rPr>
          <w:noProof/>
          <w:sz w:val="24"/>
          <w:szCs w:val="24"/>
        </w:rPr>
      </w:pPr>
      <w:r w:rsidRPr="00402F76">
        <w:rPr>
          <w:noProof/>
          <w:sz w:val="24"/>
          <w:szCs w:val="24"/>
        </w:rPr>
        <w:t xml:space="preserve">Lal, M., Sharma, C., &amp; Sharma, N. (2017). Green Trust in Green Purchase Intentions: A Study of Antecedents and Consequents. </w:t>
      </w:r>
      <w:r w:rsidRPr="00436A08">
        <w:rPr>
          <w:noProof/>
          <w:sz w:val="24"/>
          <w:szCs w:val="24"/>
        </w:rPr>
        <w:t>Reaching Consumers of Emerging Markets</w:t>
      </w:r>
      <w:r w:rsidR="00436A08">
        <w:rPr>
          <w:noProof/>
          <w:sz w:val="24"/>
          <w:szCs w:val="24"/>
        </w:rPr>
        <w:t xml:space="preserve"> : Proceedings of the 2017 Annual Conference of the Emerging Markets Conference Board  </w:t>
      </w:r>
      <w:r w:rsidRPr="00436A08">
        <w:rPr>
          <w:noProof/>
          <w:sz w:val="24"/>
          <w:szCs w:val="24"/>
        </w:rPr>
        <w:t>January, 5–7.</w:t>
      </w:r>
    </w:p>
    <w:p w14:paraId="4F2CBE0C" w14:textId="77777777" w:rsidR="00871B1D" w:rsidRPr="00402F76" w:rsidRDefault="00871B1D" w:rsidP="003F3E65">
      <w:pPr>
        <w:adjustRightInd w:val="0"/>
        <w:ind w:left="720" w:hanging="720"/>
        <w:jc w:val="both"/>
        <w:rPr>
          <w:noProof/>
          <w:sz w:val="24"/>
          <w:szCs w:val="24"/>
        </w:rPr>
      </w:pPr>
      <w:r w:rsidRPr="00402F76">
        <w:rPr>
          <w:noProof/>
          <w:sz w:val="24"/>
          <w:szCs w:val="24"/>
        </w:rPr>
        <w:t xml:space="preserve">Landasan Lumayan Sdn Bhd. (2018). </w:t>
      </w:r>
      <w:r w:rsidRPr="00402F76">
        <w:rPr>
          <w:i/>
          <w:iCs/>
          <w:noProof/>
          <w:sz w:val="24"/>
          <w:szCs w:val="24"/>
        </w:rPr>
        <w:t>Master plan - Selangor Maritime Gateway</w:t>
      </w:r>
      <w:r w:rsidRPr="00402F76">
        <w:rPr>
          <w:noProof/>
          <w:sz w:val="24"/>
          <w:szCs w:val="24"/>
        </w:rPr>
        <w:t>. Landasan Lumayan Sdn Bhd. https://www.selangormaritimegateway.com/about-us/selangor-maritime-gateway/</w:t>
      </w:r>
    </w:p>
    <w:p w14:paraId="0283AF80" w14:textId="77777777" w:rsidR="00871B1D" w:rsidRPr="00402F76" w:rsidRDefault="00871B1D" w:rsidP="003F3E65">
      <w:pPr>
        <w:adjustRightInd w:val="0"/>
        <w:ind w:left="720" w:hanging="720"/>
        <w:jc w:val="both"/>
        <w:rPr>
          <w:noProof/>
          <w:sz w:val="24"/>
          <w:szCs w:val="24"/>
        </w:rPr>
      </w:pPr>
      <w:r w:rsidRPr="00402F76">
        <w:rPr>
          <w:noProof/>
          <w:sz w:val="24"/>
          <w:szCs w:val="24"/>
        </w:rPr>
        <w:t xml:space="preserve">Landasan Lumayan Sdn Bhd. (2022). </w:t>
      </w:r>
      <w:r w:rsidRPr="00402F76">
        <w:rPr>
          <w:i/>
          <w:iCs/>
          <w:noProof/>
          <w:sz w:val="24"/>
          <w:szCs w:val="24"/>
        </w:rPr>
        <w:t>Laporan Kerja-kerja Pembersihan 56km Jajaran Sungai Klang</w:t>
      </w:r>
      <w:r w:rsidRPr="00402F76">
        <w:rPr>
          <w:noProof/>
          <w:sz w:val="24"/>
          <w:szCs w:val="24"/>
        </w:rPr>
        <w:t>. https://selangorkini.my/2023/05/landasan-lumayan-dekati-komuniti-semai-kesedaran-pelihara-sungai/</w:t>
      </w:r>
    </w:p>
    <w:p w14:paraId="505DBCB9" w14:textId="6583859E" w:rsidR="0046067C" w:rsidRDefault="0046067C" w:rsidP="003F3E65">
      <w:pPr>
        <w:adjustRightInd w:val="0"/>
        <w:ind w:left="720" w:hanging="720"/>
        <w:jc w:val="both"/>
        <w:rPr>
          <w:noProof/>
          <w:sz w:val="24"/>
          <w:szCs w:val="24"/>
        </w:rPr>
      </w:pPr>
      <w:r w:rsidRPr="0046067C">
        <w:rPr>
          <w:noProof/>
          <w:sz w:val="24"/>
          <w:szCs w:val="24"/>
        </w:rPr>
        <w:t>Leng, S. T. K., Weng, C. N., &amp; Samat, N. (2020). Community Awareness and Involvement in River Conservation in Pasir Mas, Kelantan. In N. Samat, J. Sulong, M. Pourya Asl, P. Keikhosrokiani, Y. Azam, &amp; S. T. K. Leng (Eds.), Innovation and Transformation in Humanities for a Sustainable Tomorrow, vol 89. European Proceedings of Social and Behavioural Sciences (pp. 152-162). European Publisher.</w:t>
      </w:r>
    </w:p>
    <w:p w14:paraId="727F9B1B" w14:textId="68A5D816" w:rsidR="00871B1D" w:rsidRPr="00402F76" w:rsidRDefault="00871B1D" w:rsidP="003F3E65">
      <w:pPr>
        <w:adjustRightInd w:val="0"/>
        <w:ind w:left="720" w:hanging="720"/>
        <w:jc w:val="both"/>
        <w:rPr>
          <w:noProof/>
          <w:sz w:val="24"/>
          <w:szCs w:val="24"/>
        </w:rPr>
      </w:pPr>
      <w:r w:rsidRPr="00402F76">
        <w:rPr>
          <w:noProof/>
          <w:sz w:val="24"/>
          <w:szCs w:val="24"/>
        </w:rPr>
        <w:t xml:space="preserve">Malaysian Plastics Manufacturers Association, &amp; Malaysian Plastics Recyclers Association. (2019, December 21). Education, awareness key to tackling illegal dumping. </w:t>
      </w:r>
      <w:r w:rsidRPr="00402F76">
        <w:rPr>
          <w:i/>
          <w:iCs/>
          <w:noProof/>
          <w:sz w:val="24"/>
          <w:szCs w:val="24"/>
        </w:rPr>
        <w:t>New Straits Times</w:t>
      </w:r>
      <w:r w:rsidR="0046067C">
        <w:rPr>
          <w:i/>
          <w:iCs/>
          <w:noProof/>
          <w:sz w:val="24"/>
          <w:szCs w:val="24"/>
        </w:rPr>
        <w:t xml:space="preserve">. </w:t>
      </w:r>
      <w:r w:rsidRPr="00402F76">
        <w:rPr>
          <w:noProof/>
          <w:sz w:val="24"/>
          <w:szCs w:val="24"/>
        </w:rPr>
        <w:t>https://www.nst.com.my/opinion/letters/2019/12/549609/education-awareness-key-tackling-illegal-dumping</w:t>
      </w:r>
    </w:p>
    <w:p w14:paraId="246E5086" w14:textId="79F041EE" w:rsidR="00871B1D" w:rsidRPr="00402F76" w:rsidRDefault="00871B1D" w:rsidP="003F3E65">
      <w:pPr>
        <w:adjustRightInd w:val="0"/>
        <w:ind w:left="720" w:hanging="720"/>
        <w:jc w:val="both"/>
        <w:rPr>
          <w:noProof/>
          <w:sz w:val="24"/>
          <w:szCs w:val="24"/>
        </w:rPr>
      </w:pPr>
      <w:r w:rsidRPr="00402F76">
        <w:rPr>
          <w:noProof/>
          <w:sz w:val="24"/>
          <w:szCs w:val="24"/>
        </w:rPr>
        <w:t xml:space="preserve">Meijer, L. J. J., van Emmerik, T., van der Ent, R., Schmidt, C., &amp; Lebreton, L. (2021). More than 1000 rivers account for 80% of global riverine plastic emissions into the ocean. </w:t>
      </w:r>
      <w:r w:rsidRPr="00402F76">
        <w:rPr>
          <w:i/>
          <w:iCs/>
          <w:noProof/>
          <w:sz w:val="24"/>
          <w:szCs w:val="24"/>
        </w:rPr>
        <w:t>Science Advances</w:t>
      </w:r>
      <w:r w:rsidRPr="00402F76">
        <w:rPr>
          <w:noProof/>
          <w:sz w:val="24"/>
          <w:szCs w:val="24"/>
        </w:rPr>
        <w:t xml:space="preserve">, </w:t>
      </w:r>
      <w:r w:rsidRPr="00402F76">
        <w:rPr>
          <w:i/>
          <w:iCs/>
          <w:noProof/>
          <w:sz w:val="24"/>
          <w:szCs w:val="24"/>
        </w:rPr>
        <w:t>7</w:t>
      </w:r>
      <w:r w:rsidRPr="00402F76">
        <w:rPr>
          <w:noProof/>
          <w:sz w:val="24"/>
          <w:szCs w:val="24"/>
        </w:rPr>
        <w:t xml:space="preserve">(18), 1–14. </w:t>
      </w:r>
    </w:p>
    <w:p w14:paraId="3713E5F1" w14:textId="77777777" w:rsidR="00871B1D" w:rsidRPr="00402F76" w:rsidRDefault="00871B1D" w:rsidP="003F3E65">
      <w:pPr>
        <w:adjustRightInd w:val="0"/>
        <w:ind w:left="720" w:hanging="720"/>
        <w:jc w:val="both"/>
        <w:rPr>
          <w:noProof/>
          <w:sz w:val="24"/>
          <w:szCs w:val="24"/>
        </w:rPr>
      </w:pPr>
      <w:r w:rsidRPr="00402F76">
        <w:rPr>
          <w:noProof/>
          <w:sz w:val="24"/>
          <w:szCs w:val="24"/>
        </w:rPr>
        <w:t xml:space="preserve">Menteri Besar Incorporated Selangor. (2012). </w:t>
      </w:r>
      <w:r w:rsidRPr="00402F76">
        <w:rPr>
          <w:i/>
          <w:iCs/>
          <w:noProof/>
          <w:sz w:val="24"/>
          <w:szCs w:val="24"/>
        </w:rPr>
        <w:t>Anak-anak Syarikat MBI Kluster Komersial</w:t>
      </w:r>
      <w:r w:rsidRPr="00402F76">
        <w:rPr>
          <w:noProof/>
          <w:sz w:val="24"/>
          <w:szCs w:val="24"/>
        </w:rPr>
        <w:t>. Mbiselangor. https://www.mbiselangor.com/ms/subsidiaries/landasan-lumayan-sdn-bhd/</w:t>
      </w:r>
    </w:p>
    <w:p w14:paraId="11693069" w14:textId="0436671E" w:rsidR="00871B1D" w:rsidRPr="00402F76" w:rsidRDefault="00871B1D" w:rsidP="003F3E65">
      <w:pPr>
        <w:adjustRightInd w:val="0"/>
        <w:ind w:left="720" w:hanging="720"/>
        <w:jc w:val="both"/>
        <w:rPr>
          <w:noProof/>
          <w:sz w:val="24"/>
          <w:szCs w:val="24"/>
        </w:rPr>
      </w:pPr>
      <w:r w:rsidRPr="00402F76">
        <w:rPr>
          <w:noProof/>
          <w:sz w:val="24"/>
          <w:szCs w:val="24"/>
        </w:rPr>
        <w:t xml:space="preserve">Mohamed, I., Othman, F., Ibrahim, A. I. N., Alaa-Eldin, M. E., &amp; Yunus, R. M. (2015). Assessment of water quality parameters using multivariate analysis for Klang River basin, Malaysia. </w:t>
      </w:r>
      <w:r w:rsidRPr="00402F76">
        <w:rPr>
          <w:i/>
          <w:iCs/>
          <w:noProof/>
          <w:sz w:val="24"/>
          <w:szCs w:val="24"/>
        </w:rPr>
        <w:t>Environmental Monitoring and Assessment</w:t>
      </w:r>
      <w:r w:rsidR="00B33D00">
        <w:rPr>
          <w:noProof/>
          <w:sz w:val="24"/>
          <w:szCs w:val="24"/>
        </w:rPr>
        <w:t>, 187, 4182.</w:t>
      </w:r>
    </w:p>
    <w:p w14:paraId="0B72E82A" w14:textId="135691C4" w:rsidR="00871B1D" w:rsidRPr="00402F76" w:rsidRDefault="00871B1D" w:rsidP="003F3E65">
      <w:pPr>
        <w:adjustRightInd w:val="0"/>
        <w:ind w:left="720" w:hanging="720"/>
        <w:jc w:val="both"/>
        <w:rPr>
          <w:noProof/>
          <w:sz w:val="24"/>
          <w:szCs w:val="24"/>
        </w:rPr>
      </w:pPr>
      <w:r w:rsidRPr="00402F76">
        <w:rPr>
          <w:noProof/>
          <w:sz w:val="24"/>
          <w:szCs w:val="24"/>
        </w:rPr>
        <w:t>Mohd Dahlan, A. (2020). L</w:t>
      </w:r>
      <w:r w:rsidR="00BA372D" w:rsidRPr="00402F76">
        <w:rPr>
          <w:noProof/>
          <w:sz w:val="24"/>
          <w:szCs w:val="24"/>
        </w:rPr>
        <w:t>angkah-Langkah Mengatasi Masalah Pencemaran Sungai Melalui Gerbang Maritim Selangor Ke Arah Kelestarian Sungai Klang</w:t>
      </w:r>
      <w:r w:rsidRPr="00402F76">
        <w:rPr>
          <w:noProof/>
          <w:sz w:val="24"/>
          <w:szCs w:val="24"/>
        </w:rPr>
        <w:t xml:space="preserve"> [Universiti Teknologi Malaysia]. In </w:t>
      </w:r>
      <w:r w:rsidRPr="00402F76">
        <w:rPr>
          <w:i/>
          <w:iCs/>
          <w:noProof/>
          <w:sz w:val="24"/>
          <w:szCs w:val="24"/>
        </w:rPr>
        <w:t>Universiti Teknologi Malaysia</w:t>
      </w:r>
      <w:r w:rsidRPr="00402F76">
        <w:rPr>
          <w:noProof/>
          <w:sz w:val="24"/>
          <w:szCs w:val="24"/>
        </w:rPr>
        <w:t>. http://clik.dva.gov.au/rehabilitation-library/1-introduction-rehabilitation%0Ahttp://www.scirp.org/journal/doi.aspx?DOI=10.4236/as.2017.81005%0Ahttp://www.scirp.org/journal/PaperDownload.aspx?DOI=10.4236/as.2012.34066%0Ahttp://dx.doi.org/10.1016/j.pbi.201</w:t>
      </w:r>
    </w:p>
    <w:p w14:paraId="524159B1" w14:textId="77777777" w:rsidR="00871B1D" w:rsidRPr="00402F76" w:rsidRDefault="00871B1D" w:rsidP="003F3E65">
      <w:pPr>
        <w:adjustRightInd w:val="0"/>
        <w:ind w:left="720" w:hanging="720"/>
        <w:jc w:val="both"/>
        <w:rPr>
          <w:noProof/>
          <w:sz w:val="24"/>
          <w:szCs w:val="24"/>
        </w:rPr>
      </w:pPr>
      <w:r w:rsidRPr="00402F76">
        <w:rPr>
          <w:noProof/>
          <w:sz w:val="24"/>
          <w:szCs w:val="24"/>
        </w:rPr>
        <w:t xml:space="preserve">Muhammad Saufi, H., Nor ‘Asyikin, M. H., Muhamaad Razis, I., &amp; Nurul Husna, M. (2021, July 20). Pernah dinobat antara 50 sungai paling kotor di dunia. </w:t>
      </w:r>
      <w:r w:rsidRPr="00402F76">
        <w:rPr>
          <w:i/>
          <w:iCs/>
          <w:noProof/>
          <w:sz w:val="24"/>
          <w:szCs w:val="24"/>
        </w:rPr>
        <w:t>Harian Metro</w:t>
      </w:r>
      <w:r w:rsidRPr="00402F76">
        <w:rPr>
          <w:noProof/>
          <w:sz w:val="24"/>
          <w:szCs w:val="24"/>
        </w:rPr>
        <w:t>. https://www.hmetro.com.my/mutakhir/2021/07/732765/pernah-dinobat-antara-50-sungai-paling-kotor-di-dunia</w:t>
      </w:r>
    </w:p>
    <w:p w14:paraId="301AAB40" w14:textId="42B7CE93" w:rsidR="00871B1D" w:rsidRPr="00402F76" w:rsidRDefault="00871B1D" w:rsidP="003F3E65">
      <w:pPr>
        <w:adjustRightInd w:val="0"/>
        <w:ind w:left="720" w:hanging="720"/>
        <w:jc w:val="both"/>
        <w:rPr>
          <w:noProof/>
          <w:sz w:val="24"/>
          <w:szCs w:val="24"/>
        </w:rPr>
      </w:pPr>
      <w:r w:rsidRPr="00402F76">
        <w:rPr>
          <w:noProof/>
          <w:sz w:val="24"/>
          <w:szCs w:val="24"/>
        </w:rPr>
        <w:t xml:space="preserve">Mumbi, A. W., &amp; Watanabe, T. (2021). Willingness to Pay and Participate in Improved Water Quality by Lay People and Factory Workers: A Case Study of River Sosiani, Eldoret Municipality, Kenya. </w:t>
      </w:r>
      <w:r w:rsidRPr="00402F76">
        <w:rPr>
          <w:i/>
          <w:iCs/>
          <w:noProof/>
          <w:sz w:val="24"/>
          <w:szCs w:val="24"/>
        </w:rPr>
        <w:t>Sustainabilit</w:t>
      </w:r>
      <w:r w:rsidR="00B33D00">
        <w:rPr>
          <w:i/>
          <w:iCs/>
          <w:noProof/>
          <w:sz w:val="24"/>
          <w:szCs w:val="24"/>
        </w:rPr>
        <w:t>y</w:t>
      </w:r>
      <w:r w:rsidRPr="00402F76">
        <w:rPr>
          <w:noProof/>
          <w:sz w:val="24"/>
          <w:szCs w:val="24"/>
        </w:rPr>
        <w:t xml:space="preserve">, </w:t>
      </w:r>
      <w:r w:rsidRPr="00402F76">
        <w:rPr>
          <w:i/>
          <w:iCs/>
          <w:noProof/>
          <w:sz w:val="24"/>
          <w:szCs w:val="24"/>
        </w:rPr>
        <w:t>13</w:t>
      </w:r>
      <w:r w:rsidRPr="00402F76">
        <w:rPr>
          <w:noProof/>
          <w:sz w:val="24"/>
          <w:szCs w:val="24"/>
        </w:rPr>
        <w:t xml:space="preserve">(4), </w:t>
      </w:r>
      <w:r w:rsidR="00B33D00">
        <w:rPr>
          <w:noProof/>
          <w:sz w:val="24"/>
          <w:szCs w:val="24"/>
        </w:rPr>
        <w:t>1934</w:t>
      </w:r>
      <w:r w:rsidRPr="00402F76">
        <w:rPr>
          <w:noProof/>
          <w:sz w:val="24"/>
          <w:szCs w:val="24"/>
        </w:rPr>
        <w:t>.</w:t>
      </w:r>
    </w:p>
    <w:p w14:paraId="0A2888D3" w14:textId="4ADBD900" w:rsidR="00871B1D" w:rsidRPr="00402F76" w:rsidRDefault="00871B1D" w:rsidP="003F3E65">
      <w:pPr>
        <w:adjustRightInd w:val="0"/>
        <w:ind w:left="720" w:hanging="720"/>
        <w:jc w:val="both"/>
        <w:rPr>
          <w:noProof/>
          <w:sz w:val="24"/>
          <w:szCs w:val="24"/>
        </w:rPr>
      </w:pPr>
      <w:r w:rsidRPr="00402F76">
        <w:rPr>
          <w:noProof/>
          <w:sz w:val="24"/>
          <w:szCs w:val="24"/>
        </w:rPr>
        <w:t xml:space="preserve">Mustakim, N. S., Ramli, M. W., &amp; Weng, C. N. (2019). Kesedaran komuniti terhadap isu pencemaran sungai di Sungai Pinang, Pulau Pinang (The community awareness towards river pollution issue in Sungai Pinang, Pulau Pinang). </w:t>
      </w:r>
      <w:r w:rsidRPr="00402F76">
        <w:rPr>
          <w:i/>
          <w:iCs/>
          <w:noProof/>
          <w:sz w:val="24"/>
          <w:szCs w:val="24"/>
        </w:rPr>
        <w:t>Geografia</w:t>
      </w:r>
      <w:r w:rsidR="00B33D00">
        <w:rPr>
          <w:i/>
          <w:iCs/>
          <w:noProof/>
          <w:sz w:val="24"/>
          <w:szCs w:val="24"/>
        </w:rPr>
        <w:t>-</w:t>
      </w:r>
      <w:r w:rsidRPr="00402F76">
        <w:rPr>
          <w:i/>
          <w:iCs/>
          <w:noProof/>
          <w:sz w:val="24"/>
          <w:szCs w:val="24"/>
        </w:rPr>
        <w:t>Malaysian Journal of Society and Space</w:t>
      </w:r>
      <w:r w:rsidRPr="00402F76">
        <w:rPr>
          <w:noProof/>
          <w:sz w:val="24"/>
          <w:szCs w:val="24"/>
        </w:rPr>
        <w:t xml:space="preserve">, </w:t>
      </w:r>
      <w:r w:rsidRPr="00402F76">
        <w:rPr>
          <w:i/>
          <w:iCs/>
          <w:noProof/>
          <w:sz w:val="24"/>
          <w:szCs w:val="24"/>
        </w:rPr>
        <w:t>15</w:t>
      </w:r>
      <w:r w:rsidRPr="00402F76">
        <w:rPr>
          <w:noProof/>
          <w:sz w:val="24"/>
          <w:szCs w:val="24"/>
        </w:rPr>
        <w:t>(3), 28–39.</w:t>
      </w:r>
    </w:p>
    <w:p w14:paraId="5015C092" w14:textId="7C2BA8B8" w:rsidR="00871B1D" w:rsidRPr="00402F76" w:rsidRDefault="00871B1D" w:rsidP="003F3E65">
      <w:pPr>
        <w:adjustRightInd w:val="0"/>
        <w:ind w:left="720" w:hanging="720"/>
        <w:jc w:val="both"/>
        <w:rPr>
          <w:noProof/>
          <w:sz w:val="24"/>
          <w:szCs w:val="24"/>
        </w:rPr>
      </w:pPr>
      <w:r w:rsidRPr="00402F76">
        <w:rPr>
          <w:noProof/>
          <w:sz w:val="24"/>
          <w:szCs w:val="24"/>
        </w:rPr>
        <w:t xml:space="preserve">Nardini, A. G. C., &amp; Conte, G. (2021). River management &amp; restoration: What river do we wish for. </w:t>
      </w:r>
      <w:r w:rsidRPr="00402F76">
        <w:rPr>
          <w:i/>
          <w:iCs/>
          <w:noProof/>
          <w:sz w:val="24"/>
          <w:szCs w:val="24"/>
        </w:rPr>
        <w:t>Water</w:t>
      </w:r>
      <w:r w:rsidRPr="00402F76">
        <w:rPr>
          <w:noProof/>
          <w:sz w:val="24"/>
          <w:szCs w:val="24"/>
        </w:rPr>
        <w:t xml:space="preserve">, </w:t>
      </w:r>
      <w:r w:rsidRPr="00402F76">
        <w:rPr>
          <w:i/>
          <w:iCs/>
          <w:noProof/>
          <w:sz w:val="24"/>
          <w:szCs w:val="24"/>
        </w:rPr>
        <w:t>13</w:t>
      </w:r>
      <w:r w:rsidRPr="00402F76">
        <w:rPr>
          <w:noProof/>
          <w:sz w:val="24"/>
          <w:szCs w:val="24"/>
        </w:rPr>
        <w:t xml:space="preserve">(10), </w:t>
      </w:r>
      <w:r w:rsidR="00B33D00">
        <w:rPr>
          <w:noProof/>
          <w:sz w:val="24"/>
          <w:szCs w:val="24"/>
        </w:rPr>
        <w:t>1336.</w:t>
      </w:r>
    </w:p>
    <w:p w14:paraId="6D898A89" w14:textId="77777777" w:rsidR="00871B1D" w:rsidRPr="00402F76" w:rsidRDefault="00871B1D" w:rsidP="003F3E65">
      <w:pPr>
        <w:adjustRightInd w:val="0"/>
        <w:ind w:left="720" w:hanging="720"/>
        <w:jc w:val="both"/>
        <w:rPr>
          <w:noProof/>
          <w:sz w:val="24"/>
          <w:szCs w:val="24"/>
        </w:rPr>
      </w:pPr>
      <w:r w:rsidRPr="00402F76">
        <w:rPr>
          <w:noProof/>
          <w:sz w:val="24"/>
          <w:szCs w:val="24"/>
        </w:rPr>
        <w:lastRenderedPageBreak/>
        <w:t xml:space="preserve">Noor, A. F. (2019). </w:t>
      </w:r>
      <w:r w:rsidRPr="00402F76">
        <w:rPr>
          <w:i/>
          <w:iCs/>
          <w:noProof/>
          <w:sz w:val="24"/>
          <w:szCs w:val="24"/>
        </w:rPr>
        <w:t>Assessing the Effectiveness of The Non-Structural Measures for Klang River Cleaning</w:t>
      </w:r>
      <w:r w:rsidRPr="00402F76">
        <w:rPr>
          <w:noProof/>
          <w:sz w:val="24"/>
          <w:szCs w:val="24"/>
        </w:rPr>
        <w:t>. Universiti Industri Selangor (UNISEL).</w:t>
      </w:r>
    </w:p>
    <w:p w14:paraId="5094A061" w14:textId="77777777" w:rsidR="00871B1D" w:rsidRPr="00402F76" w:rsidRDefault="00871B1D" w:rsidP="003F3E65">
      <w:pPr>
        <w:adjustRightInd w:val="0"/>
        <w:ind w:left="720" w:hanging="720"/>
        <w:jc w:val="both"/>
        <w:rPr>
          <w:noProof/>
          <w:sz w:val="24"/>
          <w:szCs w:val="24"/>
        </w:rPr>
      </w:pPr>
      <w:r w:rsidRPr="00402F76">
        <w:rPr>
          <w:noProof/>
          <w:sz w:val="24"/>
          <w:szCs w:val="24"/>
        </w:rPr>
        <w:t xml:space="preserve">Nunis, G. (2020). </w:t>
      </w:r>
      <w:r w:rsidRPr="00402F76">
        <w:rPr>
          <w:i/>
          <w:iCs/>
          <w:noProof/>
          <w:sz w:val="24"/>
          <w:szCs w:val="24"/>
        </w:rPr>
        <w:t>Klang River sees life again but businesses must educate consumers on downside of dumping - Twentytwo13.my</w:t>
      </w:r>
      <w:r w:rsidRPr="00402F76">
        <w:rPr>
          <w:noProof/>
          <w:sz w:val="24"/>
          <w:szCs w:val="24"/>
        </w:rPr>
        <w:t>. Professional Storytellers PLT. https://twentytwo13.my/issues/klang-river-sees-life-again-but-businesses-must-educate-consumers-on-downside-of-dumping/</w:t>
      </w:r>
    </w:p>
    <w:p w14:paraId="70D997C1" w14:textId="4CE404A9" w:rsidR="00871B1D" w:rsidRPr="00402F76" w:rsidRDefault="00871B1D" w:rsidP="003F3E65">
      <w:pPr>
        <w:adjustRightInd w:val="0"/>
        <w:ind w:left="720" w:hanging="720"/>
        <w:jc w:val="both"/>
        <w:rPr>
          <w:noProof/>
          <w:sz w:val="24"/>
          <w:szCs w:val="24"/>
        </w:rPr>
      </w:pPr>
      <w:r w:rsidRPr="00402F76">
        <w:rPr>
          <w:noProof/>
          <w:sz w:val="24"/>
          <w:szCs w:val="24"/>
        </w:rPr>
        <w:t xml:space="preserve">Okumah, M., Yeboah, A. S., &amp; Amponsah, O. (2020). Stakeholders’ willingness and motivations to support sustainable water resources management: Insights from a Ghanaian study. </w:t>
      </w:r>
      <w:r w:rsidRPr="00402F76">
        <w:rPr>
          <w:i/>
          <w:iCs/>
          <w:noProof/>
          <w:sz w:val="24"/>
          <w:szCs w:val="24"/>
        </w:rPr>
        <w:t>Conservation Science and Practice</w:t>
      </w:r>
      <w:r w:rsidRPr="00402F76">
        <w:rPr>
          <w:noProof/>
          <w:sz w:val="24"/>
          <w:szCs w:val="24"/>
        </w:rPr>
        <w:t xml:space="preserve">, </w:t>
      </w:r>
      <w:r w:rsidRPr="00402F76">
        <w:rPr>
          <w:i/>
          <w:iCs/>
          <w:noProof/>
          <w:sz w:val="24"/>
          <w:szCs w:val="24"/>
        </w:rPr>
        <w:t>2</w:t>
      </w:r>
      <w:r w:rsidRPr="00402F76">
        <w:rPr>
          <w:noProof/>
          <w:sz w:val="24"/>
          <w:szCs w:val="24"/>
        </w:rPr>
        <w:t>(3)</w:t>
      </w:r>
      <w:r w:rsidR="00B33D00">
        <w:rPr>
          <w:noProof/>
          <w:sz w:val="24"/>
          <w:szCs w:val="24"/>
        </w:rPr>
        <w:t>, e170.</w:t>
      </w:r>
      <w:r w:rsidRPr="00402F76">
        <w:rPr>
          <w:noProof/>
          <w:sz w:val="24"/>
          <w:szCs w:val="24"/>
        </w:rPr>
        <w:t xml:space="preserve"> </w:t>
      </w:r>
    </w:p>
    <w:p w14:paraId="669FC43E" w14:textId="7A53AF82" w:rsidR="00871B1D" w:rsidRPr="00402F76" w:rsidRDefault="00871B1D" w:rsidP="003F3E65">
      <w:pPr>
        <w:adjustRightInd w:val="0"/>
        <w:ind w:left="720" w:hanging="720"/>
        <w:jc w:val="both"/>
        <w:rPr>
          <w:noProof/>
          <w:sz w:val="24"/>
          <w:szCs w:val="24"/>
        </w:rPr>
      </w:pPr>
      <w:r w:rsidRPr="00402F76">
        <w:rPr>
          <w:noProof/>
          <w:sz w:val="24"/>
          <w:szCs w:val="24"/>
        </w:rPr>
        <w:t xml:space="preserve">Oturai, N. G., Pahl, S., &amp; Syberg, K. (2022). How can we test plastic pollution perceptions and behavior? A feasibility study with Danish children participating in “the Mass Experiment.” </w:t>
      </w:r>
      <w:r w:rsidRPr="00402F76">
        <w:rPr>
          <w:i/>
          <w:iCs/>
          <w:noProof/>
          <w:sz w:val="24"/>
          <w:szCs w:val="24"/>
        </w:rPr>
        <w:t>Science of the Total Environment</w:t>
      </w:r>
      <w:r w:rsidRPr="00402F76">
        <w:rPr>
          <w:noProof/>
          <w:sz w:val="24"/>
          <w:szCs w:val="24"/>
        </w:rPr>
        <w:t xml:space="preserve">, </w:t>
      </w:r>
      <w:r w:rsidRPr="00402F76">
        <w:rPr>
          <w:i/>
          <w:iCs/>
          <w:noProof/>
          <w:sz w:val="24"/>
          <w:szCs w:val="24"/>
        </w:rPr>
        <w:t>806</w:t>
      </w:r>
      <w:r w:rsidR="00B33D00">
        <w:rPr>
          <w:noProof/>
          <w:sz w:val="24"/>
          <w:szCs w:val="24"/>
        </w:rPr>
        <w:t>(4),</w:t>
      </w:r>
      <w:r w:rsidRPr="00402F76">
        <w:rPr>
          <w:noProof/>
          <w:sz w:val="24"/>
          <w:szCs w:val="24"/>
        </w:rPr>
        <w:t xml:space="preserve"> 150914. </w:t>
      </w:r>
    </w:p>
    <w:p w14:paraId="1A38658D" w14:textId="7780FAF2" w:rsidR="00871B1D" w:rsidRPr="00402F76" w:rsidRDefault="00871B1D" w:rsidP="003F3E65">
      <w:pPr>
        <w:adjustRightInd w:val="0"/>
        <w:ind w:left="720" w:hanging="720"/>
        <w:jc w:val="both"/>
        <w:rPr>
          <w:noProof/>
          <w:sz w:val="24"/>
          <w:szCs w:val="24"/>
        </w:rPr>
      </w:pPr>
      <w:r w:rsidRPr="00402F76">
        <w:rPr>
          <w:noProof/>
          <w:sz w:val="24"/>
          <w:szCs w:val="24"/>
        </w:rPr>
        <w:t xml:space="preserve">Paswan, A., Guzmán, F., &amp; Lewin, J. (2017). Attitudinal determinants of environmentally sustainable behavior. </w:t>
      </w:r>
      <w:r w:rsidRPr="00402F76">
        <w:rPr>
          <w:i/>
          <w:iCs/>
          <w:noProof/>
          <w:sz w:val="24"/>
          <w:szCs w:val="24"/>
        </w:rPr>
        <w:t>Journal of Consumer Marketing</w:t>
      </w:r>
      <w:r w:rsidRPr="00402F76">
        <w:rPr>
          <w:noProof/>
          <w:sz w:val="24"/>
          <w:szCs w:val="24"/>
        </w:rPr>
        <w:t xml:space="preserve">, </w:t>
      </w:r>
      <w:r w:rsidRPr="00402F76">
        <w:rPr>
          <w:i/>
          <w:iCs/>
          <w:noProof/>
          <w:sz w:val="24"/>
          <w:szCs w:val="24"/>
        </w:rPr>
        <w:t>34</w:t>
      </w:r>
      <w:r w:rsidRPr="00402F76">
        <w:rPr>
          <w:noProof/>
          <w:sz w:val="24"/>
          <w:szCs w:val="24"/>
        </w:rPr>
        <w:t xml:space="preserve">(5), 414–426. </w:t>
      </w:r>
    </w:p>
    <w:p w14:paraId="009CA2B3" w14:textId="77777777" w:rsidR="00871B1D" w:rsidRPr="00402F76" w:rsidRDefault="00871B1D" w:rsidP="003F3E65">
      <w:pPr>
        <w:adjustRightInd w:val="0"/>
        <w:ind w:left="720" w:hanging="720"/>
        <w:jc w:val="both"/>
        <w:rPr>
          <w:noProof/>
          <w:sz w:val="24"/>
          <w:szCs w:val="24"/>
        </w:rPr>
      </w:pPr>
      <w:r w:rsidRPr="00402F76">
        <w:rPr>
          <w:noProof/>
          <w:sz w:val="24"/>
          <w:szCs w:val="24"/>
        </w:rPr>
        <w:t xml:space="preserve">Pfordten, D. (2021, June 24). </w:t>
      </w:r>
      <w:r w:rsidRPr="00402F76">
        <w:rPr>
          <w:i/>
          <w:iCs/>
          <w:noProof/>
          <w:sz w:val="24"/>
          <w:szCs w:val="24"/>
        </w:rPr>
        <w:t>INTERACTIVE: Identified as source of plastic waste into the sea, Klang River faces major cleanup | The Star</w:t>
      </w:r>
      <w:r w:rsidRPr="00402F76">
        <w:rPr>
          <w:noProof/>
          <w:sz w:val="24"/>
          <w:szCs w:val="24"/>
        </w:rPr>
        <w:t>. The Star. https://www.thestar.com.my/news/nation/2021/06/24/interactive-identified-as-source-of-plastic-waste-into-the-sea-klang-river-faces-major-cleanup</w:t>
      </w:r>
    </w:p>
    <w:p w14:paraId="141A63A7" w14:textId="2A280556" w:rsidR="00871B1D" w:rsidRPr="00402F76" w:rsidRDefault="00871B1D" w:rsidP="003F3E65">
      <w:pPr>
        <w:adjustRightInd w:val="0"/>
        <w:ind w:left="720" w:hanging="720"/>
        <w:jc w:val="both"/>
        <w:rPr>
          <w:noProof/>
          <w:sz w:val="24"/>
          <w:szCs w:val="24"/>
        </w:rPr>
      </w:pPr>
      <w:r w:rsidRPr="00402F76">
        <w:rPr>
          <w:noProof/>
          <w:sz w:val="24"/>
          <w:szCs w:val="24"/>
        </w:rPr>
        <w:t xml:space="preserve">Pradhan, R. K., Jena, L. K., &amp; Panigrahy, N. P. (2020). Do sustainability practices buffer the impact of self-efficacy on organisational citizenship behaviour? </w:t>
      </w:r>
      <w:r w:rsidRPr="00402F76">
        <w:rPr>
          <w:i/>
          <w:iCs/>
          <w:noProof/>
          <w:sz w:val="24"/>
          <w:szCs w:val="24"/>
        </w:rPr>
        <w:t>Journal of Indian Business Research</w:t>
      </w:r>
      <w:r w:rsidRPr="00402F76">
        <w:rPr>
          <w:noProof/>
          <w:sz w:val="24"/>
          <w:szCs w:val="24"/>
        </w:rPr>
        <w:t xml:space="preserve">, </w:t>
      </w:r>
      <w:r w:rsidRPr="00402F76">
        <w:rPr>
          <w:i/>
          <w:iCs/>
          <w:noProof/>
          <w:sz w:val="24"/>
          <w:szCs w:val="24"/>
        </w:rPr>
        <w:t>12</w:t>
      </w:r>
      <w:r w:rsidRPr="00402F76">
        <w:rPr>
          <w:noProof/>
          <w:sz w:val="24"/>
          <w:szCs w:val="24"/>
        </w:rPr>
        <w:t xml:space="preserve">(4), 509–528. </w:t>
      </w:r>
    </w:p>
    <w:p w14:paraId="536DC11B" w14:textId="5C616B9D" w:rsidR="00871B1D" w:rsidRPr="00402F76" w:rsidRDefault="00871B1D" w:rsidP="003F3E65">
      <w:pPr>
        <w:adjustRightInd w:val="0"/>
        <w:ind w:left="720" w:hanging="720"/>
        <w:jc w:val="both"/>
        <w:rPr>
          <w:noProof/>
          <w:sz w:val="24"/>
          <w:szCs w:val="24"/>
        </w:rPr>
      </w:pPr>
      <w:r w:rsidRPr="00402F76">
        <w:rPr>
          <w:noProof/>
          <w:sz w:val="24"/>
          <w:szCs w:val="24"/>
        </w:rPr>
        <w:t xml:space="preserve">Quach, S., Shao, W., Ross, M., &amp; Thaichon, P. (2020). Customer engagement and co-created value in social media. </w:t>
      </w:r>
      <w:r w:rsidRPr="00402F76">
        <w:rPr>
          <w:i/>
          <w:iCs/>
          <w:noProof/>
          <w:sz w:val="24"/>
          <w:szCs w:val="24"/>
        </w:rPr>
        <w:t>Marketing Intelligence and Planning</w:t>
      </w:r>
      <w:r w:rsidRPr="00402F76">
        <w:rPr>
          <w:noProof/>
          <w:sz w:val="24"/>
          <w:szCs w:val="24"/>
        </w:rPr>
        <w:t xml:space="preserve">, </w:t>
      </w:r>
      <w:r w:rsidRPr="00402F76">
        <w:rPr>
          <w:i/>
          <w:iCs/>
          <w:noProof/>
          <w:sz w:val="24"/>
          <w:szCs w:val="24"/>
        </w:rPr>
        <w:t>38</w:t>
      </w:r>
      <w:r w:rsidRPr="00402F76">
        <w:rPr>
          <w:noProof/>
          <w:sz w:val="24"/>
          <w:szCs w:val="24"/>
        </w:rPr>
        <w:t xml:space="preserve">(6), 730–744. </w:t>
      </w:r>
    </w:p>
    <w:p w14:paraId="3495FA12" w14:textId="77777777" w:rsidR="00871B1D" w:rsidRPr="00402F76" w:rsidRDefault="00871B1D" w:rsidP="003F3E65">
      <w:pPr>
        <w:adjustRightInd w:val="0"/>
        <w:ind w:left="720" w:hanging="720"/>
        <w:jc w:val="both"/>
        <w:rPr>
          <w:noProof/>
          <w:sz w:val="24"/>
          <w:szCs w:val="24"/>
        </w:rPr>
      </w:pPr>
      <w:r w:rsidRPr="00402F76">
        <w:rPr>
          <w:noProof/>
          <w:sz w:val="24"/>
          <w:szCs w:val="24"/>
        </w:rPr>
        <w:t xml:space="preserve">Ritchie, H., &amp; Roser, M. (2018). </w:t>
      </w:r>
      <w:r w:rsidRPr="00402F76">
        <w:rPr>
          <w:i/>
          <w:iCs/>
          <w:noProof/>
          <w:sz w:val="24"/>
          <w:szCs w:val="24"/>
        </w:rPr>
        <w:t>Plastic Pollution</w:t>
      </w:r>
      <w:r w:rsidRPr="00402F76">
        <w:rPr>
          <w:noProof/>
          <w:sz w:val="24"/>
          <w:szCs w:val="24"/>
        </w:rPr>
        <w:t>. Our World in Data. https://ourworldindata.org/plastic-pollution</w:t>
      </w:r>
    </w:p>
    <w:p w14:paraId="7A42EAA4" w14:textId="77777777" w:rsidR="00B33D00" w:rsidRDefault="00B33D00" w:rsidP="003F3E65">
      <w:pPr>
        <w:adjustRightInd w:val="0"/>
        <w:ind w:left="720" w:hanging="720"/>
        <w:jc w:val="both"/>
        <w:rPr>
          <w:noProof/>
          <w:sz w:val="24"/>
          <w:szCs w:val="24"/>
        </w:rPr>
      </w:pPr>
      <w:r w:rsidRPr="00B33D00">
        <w:rPr>
          <w:noProof/>
          <w:sz w:val="24"/>
          <w:szCs w:val="24"/>
        </w:rPr>
        <w:t>Ryan, R. M., &amp; Deci, E. L. (2002). Overview of self-determination theory: An organismic-dialectical perspective. In E. L. Deci &amp; R. M. Ryan (Eds.), Handbook of self-determination research (pp. 3–33). University of Rochester Press.</w:t>
      </w:r>
    </w:p>
    <w:p w14:paraId="44EE42AA" w14:textId="38C50AFA" w:rsidR="00871B1D" w:rsidRPr="00402F76" w:rsidRDefault="00871B1D" w:rsidP="003F3E65">
      <w:pPr>
        <w:adjustRightInd w:val="0"/>
        <w:ind w:left="720" w:hanging="720"/>
        <w:jc w:val="both"/>
        <w:rPr>
          <w:noProof/>
          <w:sz w:val="24"/>
          <w:szCs w:val="24"/>
        </w:rPr>
      </w:pPr>
      <w:r w:rsidRPr="00402F76">
        <w:rPr>
          <w:noProof/>
          <w:sz w:val="24"/>
          <w:szCs w:val="24"/>
        </w:rPr>
        <w:t xml:space="preserve">Schober, P., Boer, C., &amp; Schwarte, L. A. (2018). Correlation Coefficients: Appropriate Use and Interpretation. </w:t>
      </w:r>
      <w:r w:rsidRPr="00402F76">
        <w:rPr>
          <w:i/>
          <w:iCs/>
          <w:noProof/>
          <w:sz w:val="24"/>
          <w:szCs w:val="24"/>
        </w:rPr>
        <w:t>Anesthesia &amp; Analgesia</w:t>
      </w:r>
      <w:r w:rsidRPr="00402F76">
        <w:rPr>
          <w:noProof/>
          <w:sz w:val="24"/>
          <w:szCs w:val="24"/>
        </w:rPr>
        <w:t xml:space="preserve">, </w:t>
      </w:r>
      <w:r w:rsidRPr="00402F76">
        <w:rPr>
          <w:i/>
          <w:iCs/>
          <w:noProof/>
          <w:sz w:val="24"/>
          <w:szCs w:val="24"/>
        </w:rPr>
        <w:t>126</w:t>
      </w:r>
      <w:r w:rsidRPr="00402F76">
        <w:rPr>
          <w:noProof/>
          <w:sz w:val="24"/>
          <w:szCs w:val="24"/>
        </w:rPr>
        <w:t xml:space="preserve">(5), 1763–1768. </w:t>
      </w:r>
    </w:p>
    <w:p w14:paraId="03804EA6" w14:textId="2840C31B" w:rsidR="00871B1D" w:rsidRPr="00402F76" w:rsidRDefault="00871B1D" w:rsidP="003F3E65">
      <w:pPr>
        <w:adjustRightInd w:val="0"/>
        <w:ind w:left="720" w:hanging="720"/>
        <w:jc w:val="both"/>
        <w:rPr>
          <w:noProof/>
          <w:sz w:val="24"/>
          <w:szCs w:val="24"/>
        </w:rPr>
      </w:pPr>
      <w:r w:rsidRPr="00402F76">
        <w:rPr>
          <w:noProof/>
          <w:sz w:val="24"/>
          <w:szCs w:val="24"/>
        </w:rPr>
        <w:t xml:space="preserve">Sellers, B. C., Fiore, S. M., &amp; Szalma, J. (2013). Developing a scale of environmental efficacy. </w:t>
      </w:r>
      <w:r w:rsidRPr="00402F76">
        <w:rPr>
          <w:i/>
          <w:iCs/>
          <w:noProof/>
          <w:sz w:val="24"/>
          <w:szCs w:val="24"/>
        </w:rPr>
        <w:t>International Journal of Sustainability Policy and Practice</w:t>
      </w:r>
      <w:r w:rsidRPr="00402F76">
        <w:rPr>
          <w:noProof/>
          <w:sz w:val="24"/>
          <w:szCs w:val="24"/>
        </w:rPr>
        <w:t xml:space="preserve">, </w:t>
      </w:r>
      <w:r w:rsidRPr="00402F76">
        <w:rPr>
          <w:i/>
          <w:iCs/>
          <w:noProof/>
          <w:sz w:val="24"/>
          <w:szCs w:val="24"/>
        </w:rPr>
        <w:t>8</w:t>
      </w:r>
      <w:r w:rsidRPr="00402F76">
        <w:rPr>
          <w:noProof/>
          <w:sz w:val="24"/>
          <w:szCs w:val="24"/>
        </w:rPr>
        <w:t xml:space="preserve">(4), 169–195. </w:t>
      </w:r>
    </w:p>
    <w:p w14:paraId="6C55F671" w14:textId="5789B17B" w:rsidR="00871B1D" w:rsidRPr="00402F76" w:rsidRDefault="00871B1D" w:rsidP="003F3E65">
      <w:pPr>
        <w:adjustRightInd w:val="0"/>
        <w:ind w:left="720" w:hanging="720"/>
        <w:jc w:val="both"/>
        <w:rPr>
          <w:noProof/>
          <w:sz w:val="24"/>
          <w:szCs w:val="24"/>
        </w:rPr>
      </w:pPr>
      <w:r w:rsidRPr="00402F76">
        <w:rPr>
          <w:noProof/>
          <w:sz w:val="24"/>
          <w:szCs w:val="24"/>
        </w:rPr>
        <w:t xml:space="preserve">Sh. Ahmad, F., Rosli, N. T., &amp; Quoquab, F. (2022). Environmental quality awareness, green trust, green self-efficacy and environmental attitude in influencing green purchase behaviour. </w:t>
      </w:r>
      <w:r w:rsidRPr="00402F76">
        <w:rPr>
          <w:i/>
          <w:iCs/>
          <w:noProof/>
          <w:sz w:val="24"/>
          <w:szCs w:val="24"/>
        </w:rPr>
        <w:t>International Journal of Ethics and Systems</w:t>
      </w:r>
      <w:r w:rsidRPr="00402F76">
        <w:rPr>
          <w:noProof/>
          <w:sz w:val="24"/>
          <w:szCs w:val="24"/>
        </w:rPr>
        <w:t xml:space="preserve">, </w:t>
      </w:r>
      <w:r w:rsidRPr="00402F76">
        <w:rPr>
          <w:i/>
          <w:iCs/>
          <w:noProof/>
          <w:sz w:val="24"/>
          <w:szCs w:val="24"/>
        </w:rPr>
        <w:t>38</w:t>
      </w:r>
      <w:r w:rsidRPr="00402F76">
        <w:rPr>
          <w:noProof/>
          <w:sz w:val="24"/>
          <w:szCs w:val="24"/>
        </w:rPr>
        <w:t xml:space="preserve">(1), 68–90. </w:t>
      </w:r>
    </w:p>
    <w:p w14:paraId="38DC3979" w14:textId="0B4DAEF5" w:rsidR="00871B1D" w:rsidRPr="00402F76" w:rsidRDefault="00871B1D" w:rsidP="003F3E65">
      <w:pPr>
        <w:adjustRightInd w:val="0"/>
        <w:ind w:left="720" w:hanging="720"/>
        <w:jc w:val="both"/>
        <w:rPr>
          <w:noProof/>
          <w:sz w:val="24"/>
          <w:szCs w:val="24"/>
        </w:rPr>
      </w:pPr>
      <w:r w:rsidRPr="00402F76">
        <w:rPr>
          <w:noProof/>
          <w:sz w:val="24"/>
          <w:szCs w:val="24"/>
        </w:rPr>
        <w:t xml:space="preserve">Shi, J. gang, Xu, K., &amp; Duan, K. (2022). Investigating the intention to participate in environmental governance during urban-rural integrated development process in the Yangtze River Delta Region. </w:t>
      </w:r>
      <w:r w:rsidRPr="00402F76">
        <w:rPr>
          <w:i/>
          <w:iCs/>
          <w:noProof/>
          <w:sz w:val="24"/>
          <w:szCs w:val="24"/>
        </w:rPr>
        <w:t>Environmental Science and Policy</w:t>
      </w:r>
      <w:r w:rsidRPr="00402F76">
        <w:rPr>
          <w:noProof/>
          <w:sz w:val="24"/>
          <w:szCs w:val="24"/>
        </w:rPr>
        <w:t xml:space="preserve">, </w:t>
      </w:r>
      <w:r w:rsidRPr="00402F76">
        <w:rPr>
          <w:i/>
          <w:iCs/>
          <w:noProof/>
          <w:sz w:val="24"/>
          <w:szCs w:val="24"/>
        </w:rPr>
        <w:t>128</w:t>
      </w:r>
      <w:r w:rsidR="00B33D00">
        <w:rPr>
          <w:noProof/>
          <w:sz w:val="24"/>
          <w:szCs w:val="24"/>
        </w:rPr>
        <w:t xml:space="preserve">, </w:t>
      </w:r>
      <w:r w:rsidRPr="00402F76">
        <w:rPr>
          <w:noProof/>
          <w:sz w:val="24"/>
          <w:szCs w:val="24"/>
        </w:rPr>
        <w:t xml:space="preserve">132–141. </w:t>
      </w:r>
    </w:p>
    <w:p w14:paraId="7395AA80" w14:textId="77777777" w:rsidR="00871B1D" w:rsidRPr="00402F76" w:rsidRDefault="00871B1D" w:rsidP="003F3E65">
      <w:pPr>
        <w:adjustRightInd w:val="0"/>
        <w:ind w:left="720" w:hanging="720"/>
        <w:jc w:val="both"/>
        <w:rPr>
          <w:noProof/>
          <w:sz w:val="24"/>
          <w:szCs w:val="24"/>
        </w:rPr>
      </w:pPr>
      <w:r w:rsidRPr="00402F76">
        <w:rPr>
          <w:noProof/>
          <w:sz w:val="24"/>
          <w:szCs w:val="24"/>
        </w:rPr>
        <w:t xml:space="preserve">Shukla, S. (2020). Concept of Population and Sample. </w:t>
      </w:r>
      <w:r w:rsidRPr="00402F76">
        <w:rPr>
          <w:i/>
          <w:iCs/>
          <w:noProof/>
          <w:sz w:val="24"/>
          <w:szCs w:val="24"/>
        </w:rPr>
        <w:t>How to Write a Research Paper</w:t>
      </w:r>
      <w:r w:rsidRPr="00402F76">
        <w:rPr>
          <w:noProof/>
          <w:sz w:val="24"/>
          <w:szCs w:val="24"/>
        </w:rPr>
        <w:t xml:space="preserve">, </w:t>
      </w:r>
      <w:r w:rsidRPr="00402F76">
        <w:rPr>
          <w:i/>
          <w:iCs/>
          <w:noProof/>
          <w:sz w:val="24"/>
          <w:szCs w:val="24"/>
        </w:rPr>
        <w:t>June</w:t>
      </w:r>
      <w:r w:rsidRPr="00402F76">
        <w:rPr>
          <w:noProof/>
          <w:sz w:val="24"/>
          <w:szCs w:val="24"/>
        </w:rPr>
        <w:t>, 1–6. https://www.researchgate.net/publication/346426707_CONCEPT_OF_POPULATION_AND_SAMPLE</w:t>
      </w:r>
    </w:p>
    <w:p w14:paraId="4FBADEA5" w14:textId="5540DC40" w:rsidR="00871B1D" w:rsidRPr="00402F76" w:rsidRDefault="00871B1D" w:rsidP="003F3E65">
      <w:pPr>
        <w:adjustRightInd w:val="0"/>
        <w:ind w:left="720" w:hanging="720"/>
        <w:jc w:val="both"/>
        <w:rPr>
          <w:noProof/>
          <w:sz w:val="24"/>
          <w:szCs w:val="24"/>
        </w:rPr>
      </w:pPr>
      <w:r w:rsidRPr="00402F76">
        <w:rPr>
          <w:noProof/>
          <w:sz w:val="24"/>
          <w:szCs w:val="24"/>
        </w:rPr>
        <w:t xml:space="preserve">Tabernero, C., &amp; Hernández, B. (2011). Self-Efficacy and Intrinsic Motivation Guiding Environmental Behavior. </w:t>
      </w:r>
      <w:r w:rsidRPr="00402F76">
        <w:rPr>
          <w:i/>
          <w:iCs/>
          <w:noProof/>
          <w:sz w:val="24"/>
          <w:szCs w:val="24"/>
        </w:rPr>
        <w:t>Environment and Behavior</w:t>
      </w:r>
      <w:r w:rsidRPr="00402F76">
        <w:rPr>
          <w:noProof/>
          <w:sz w:val="24"/>
          <w:szCs w:val="24"/>
        </w:rPr>
        <w:t xml:space="preserve">, </w:t>
      </w:r>
      <w:r w:rsidRPr="00402F76">
        <w:rPr>
          <w:i/>
          <w:iCs/>
          <w:noProof/>
          <w:sz w:val="24"/>
          <w:szCs w:val="24"/>
        </w:rPr>
        <w:t>43</w:t>
      </w:r>
      <w:r w:rsidRPr="00402F76">
        <w:rPr>
          <w:noProof/>
          <w:sz w:val="24"/>
          <w:szCs w:val="24"/>
        </w:rPr>
        <w:t xml:space="preserve">(5), 658–675. </w:t>
      </w:r>
    </w:p>
    <w:p w14:paraId="4EFC3A61" w14:textId="4629C1DA" w:rsidR="00871B1D" w:rsidRPr="00402F76" w:rsidRDefault="00871B1D" w:rsidP="003F3E65">
      <w:pPr>
        <w:adjustRightInd w:val="0"/>
        <w:ind w:left="720" w:hanging="720"/>
        <w:jc w:val="both"/>
        <w:rPr>
          <w:noProof/>
          <w:sz w:val="24"/>
          <w:szCs w:val="24"/>
        </w:rPr>
      </w:pPr>
      <w:r w:rsidRPr="00402F76">
        <w:rPr>
          <w:noProof/>
          <w:sz w:val="24"/>
          <w:szCs w:val="24"/>
        </w:rPr>
        <w:t xml:space="preserve">Tashiro, A. (2022). Assessing green management in health belief model: An analysis of a post-disaster rural context. </w:t>
      </w:r>
      <w:r w:rsidRPr="00402F76">
        <w:rPr>
          <w:i/>
          <w:iCs/>
          <w:noProof/>
          <w:sz w:val="24"/>
          <w:szCs w:val="24"/>
        </w:rPr>
        <w:t>Journal of Environmental Management</w:t>
      </w:r>
      <w:r w:rsidRPr="00402F76">
        <w:rPr>
          <w:noProof/>
          <w:sz w:val="24"/>
          <w:szCs w:val="24"/>
        </w:rPr>
        <w:t xml:space="preserve">, </w:t>
      </w:r>
      <w:r w:rsidRPr="00402F76">
        <w:rPr>
          <w:i/>
          <w:iCs/>
          <w:noProof/>
          <w:sz w:val="24"/>
          <w:szCs w:val="24"/>
        </w:rPr>
        <w:t>302</w:t>
      </w:r>
      <w:r w:rsidRPr="00402F76">
        <w:rPr>
          <w:noProof/>
          <w:sz w:val="24"/>
          <w:szCs w:val="24"/>
        </w:rPr>
        <w:t>(P</w:t>
      </w:r>
      <w:r w:rsidR="008E5BD6">
        <w:rPr>
          <w:noProof/>
          <w:sz w:val="24"/>
          <w:szCs w:val="24"/>
        </w:rPr>
        <w:t xml:space="preserve">art </w:t>
      </w:r>
      <w:r w:rsidRPr="00402F76">
        <w:rPr>
          <w:noProof/>
          <w:sz w:val="24"/>
          <w:szCs w:val="24"/>
        </w:rPr>
        <w:t xml:space="preserve">A), 114025. </w:t>
      </w:r>
    </w:p>
    <w:p w14:paraId="3D587E4B" w14:textId="77777777" w:rsidR="00871B1D" w:rsidRPr="00402F76" w:rsidRDefault="00871B1D" w:rsidP="003F3E65">
      <w:pPr>
        <w:adjustRightInd w:val="0"/>
        <w:ind w:left="720" w:hanging="720"/>
        <w:jc w:val="both"/>
        <w:rPr>
          <w:noProof/>
          <w:sz w:val="24"/>
          <w:szCs w:val="24"/>
        </w:rPr>
      </w:pPr>
      <w:r w:rsidRPr="00402F76">
        <w:rPr>
          <w:noProof/>
          <w:sz w:val="24"/>
          <w:szCs w:val="24"/>
        </w:rPr>
        <w:t xml:space="preserve">The Ocean Cleanup. (2020). </w:t>
      </w:r>
      <w:r w:rsidRPr="00402F76">
        <w:rPr>
          <w:i/>
          <w:iCs/>
          <w:noProof/>
          <w:sz w:val="24"/>
          <w:szCs w:val="24"/>
        </w:rPr>
        <w:t>River Plastic Pollution Sources • The Ocean Cleanup</w:t>
      </w:r>
      <w:r w:rsidRPr="00402F76">
        <w:rPr>
          <w:noProof/>
          <w:sz w:val="24"/>
          <w:szCs w:val="24"/>
        </w:rPr>
        <w:t>. The Ocean Cleanup River Plastic Emission to the World’s Oceans. https://theoceancleanup.com/sources/</w:t>
      </w:r>
    </w:p>
    <w:p w14:paraId="06F1E209" w14:textId="77777777" w:rsidR="00871B1D" w:rsidRPr="00402F76" w:rsidRDefault="00871B1D" w:rsidP="003F3E65">
      <w:pPr>
        <w:adjustRightInd w:val="0"/>
        <w:ind w:left="720" w:hanging="720"/>
        <w:jc w:val="both"/>
        <w:rPr>
          <w:noProof/>
          <w:sz w:val="24"/>
          <w:szCs w:val="24"/>
        </w:rPr>
      </w:pPr>
      <w:r w:rsidRPr="00402F76">
        <w:rPr>
          <w:noProof/>
          <w:sz w:val="24"/>
          <w:szCs w:val="24"/>
        </w:rPr>
        <w:t xml:space="preserve">UKM Pakarunding Sdn Bhd. (2017). Kajian Penyediaan Pelan Pengurusan Lembangan Sungai </w:t>
      </w:r>
      <w:r w:rsidRPr="00402F76">
        <w:rPr>
          <w:noProof/>
          <w:sz w:val="24"/>
          <w:szCs w:val="24"/>
        </w:rPr>
        <w:lastRenderedPageBreak/>
        <w:t xml:space="preserve">Bersepadu Lembangan Sungai Klang (2016-2021). In </w:t>
      </w:r>
      <w:r w:rsidRPr="00402F76">
        <w:rPr>
          <w:i/>
          <w:iCs/>
          <w:noProof/>
          <w:sz w:val="24"/>
          <w:szCs w:val="24"/>
        </w:rPr>
        <w:t>Laporan Akhir</w:t>
      </w:r>
      <w:r w:rsidRPr="00402F76">
        <w:rPr>
          <w:noProof/>
          <w:sz w:val="24"/>
          <w:szCs w:val="24"/>
        </w:rPr>
        <w:t xml:space="preserve"> (Vol. 53, Issue 9). file:///C:/Users/User/Downloads/fvm939e.pdf</w:t>
      </w:r>
    </w:p>
    <w:p w14:paraId="08791E22" w14:textId="4AFE9E10" w:rsidR="00871B1D" w:rsidRPr="00402F76" w:rsidRDefault="00871B1D" w:rsidP="003F3E65">
      <w:pPr>
        <w:adjustRightInd w:val="0"/>
        <w:ind w:left="720" w:hanging="720"/>
        <w:jc w:val="both"/>
        <w:rPr>
          <w:noProof/>
          <w:sz w:val="24"/>
          <w:szCs w:val="24"/>
        </w:rPr>
      </w:pPr>
      <w:r w:rsidRPr="00402F76">
        <w:rPr>
          <w:noProof/>
          <w:sz w:val="24"/>
          <w:szCs w:val="24"/>
        </w:rPr>
        <w:t xml:space="preserve">van Calcar, C. J., &amp; van Emmerik, T. H. M. (2019). Abundance of plastic debris across European and Asian rivers. </w:t>
      </w:r>
      <w:r w:rsidRPr="00402F76">
        <w:rPr>
          <w:i/>
          <w:iCs/>
          <w:noProof/>
          <w:sz w:val="24"/>
          <w:szCs w:val="24"/>
        </w:rPr>
        <w:t>Environmental Research Letters</w:t>
      </w:r>
      <w:r w:rsidRPr="00402F76">
        <w:rPr>
          <w:noProof/>
          <w:sz w:val="24"/>
          <w:szCs w:val="24"/>
        </w:rPr>
        <w:t xml:space="preserve">, </w:t>
      </w:r>
      <w:r w:rsidRPr="00402F76">
        <w:rPr>
          <w:i/>
          <w:iCs/>
          <w:noProof/>
          <w:sz w:val="24"/>
          <w:szCs w:val="24"/>
        </w:rPr>
        <w:t>14</w:t>
      </w:r>
      <w:r w:rsidRPr="00402F76">
        <w:rPr>
          <w:noProof/>
          <w:sz w:val="24"/>
          <w:szCs w:val="24"/>
        </w:rPr>
        <w:t xml:space="preserve">(12), 124051. </w:t>
      </w:r>
    </w:p>
    <w:p w14:paraId="2985ADEF" w14:textId="2502ABCC" w:rsidR="00871B1D" w:rsidRPr="00402F76" w:rsidRDefault="00871B1D" w:rsidP="003F3E65">
      <w:pPr>
        <w:adjustRightInd w:val="0"/>
        <w:ind w:left="720" w:hanging="720"/>
        <w:jc w:val="both"/>
        <w:rPr>
          <w:noProof/>
          <w:sz w:val="24"/>
          <w:szCs w:val="24"/>
        </w:rPr>
      </w:pPr>
      <w:r w:rsidRPr="00402F76">
        <w:rPr>
          <w:noProof/>
          <w:sz w:val="24"/>
          <w:szCs w:val="24"/>
        </w:rPr>
        <w:t xml:space="preserve">Wasaya, A., Saleem, M. A., Ahmad, J., Nazam, M., Khan, M. M. A., &amp; Ishfaq, M. (2021). Impact of green trust and green perceived quality on green purchase intentions: a moderation study. </w:t>
      </w:r>
      <w:r w:rsidRPr="00402F76">
        <w:rPr>
          <w:i/>
          <w:iCs/>
          <w:noProof/>
          <w:sz w:val="24"/>
          <w:szCs w:val="24"/>
        </w:rPr>
        <w:t>Environment, Development and Sustainability</w:t>
      </w:r>
      <w:r w:rsidRPr="00402F76">
        <w:rPr>
          <w:noProof/>
          <w:sz w:val="24"/>
          <w:szCs w:val="24"/>
        </w:rPr>
        <w:t xml:space="preserve">, </w:t>
      </w:r>
      <w:r w:rsidRPr="00402F76">
        <w:rPr>
          <w:i/>
          <w:iCs/>
          <w:noProof/>
          <w:sz w:val="24"/>
          <w:szCs w:val="24"/>
        </w:rPr>
        <w:t>23</w:t>
      </w:r>
      <w:r w:rsidRPr="00402F76">
        <w:rPr>
          <w:noProof/>
          <w:sz w:val="24"/>
          <w:szCs w:val="24"/>
        </w:rPr>
        <w:t xml:space="preserve">(9), 13418–13435. </w:t>
      </w:r>
    </w:p>
    <w:p w14:paraId="086E6A6B" w14:textId="72857EBB" w:rsidR="00871B1D" w:rsidRPr="00402F76" w:rsidRDefault="00871B1D" w:rsidP="003F3E65">
      <w:pPr>
        <w:adjustRightInd w:val="0"/>
        <w:ind w:left="720" w:hanging="720"/>
        <w:jc w:val="both"/>
        <w:rPr>
          <w:noProof/>
          <w:sz w:val="24"/>
          <w:szCs w:val="24"/>
        </w:rPr>
      </w:pPr>
      <w:r w:rsidRPr="00402F76">
        <w:rPr>
          <w:noProof/>
          <w:sz w:val="24"/>
          <w:szCs w:val="24"/>
        </w:rPr>
        <w:t xml:space="preserve">Weng, C. N. (2005). Sustainable management of rivers in malaysia: Involving all stakeholders. </w:t>
      </w:r>
      <w:r w:rsidRPr="00402F76">
        <w:rPr>
          <w:i/>
          <w:iCs/>
          <w:noProof/>
          <w:sz w:val="24"/>
          <w:szCs w:val="24"/>
        </w:rPr>
        <w:t>International Journal of River Basin Management</w:t>
      </w:r>
      <w:r w:rsidRPr="00402F76">
        <w:rPr>
          <w:noProof/>
          <w:sz w:val="24"/>
          <w:szCs w:val="24"/>
        </w:rPr>
        <w:t xml:space="preserve">, </w:t>
      </w:r>
      <w:r w:rsidRPr="00402F76">
        <w:rPr>
          <w:i/>
          <w:iCs/>
          <w:noProof/>
          <w:sz w:val="24"/>
          <w:szCs w:val="24"/>
        </w:rPr>
        <w:t>3</w:t>
      </w:r>
      <w:r w:rsidRPr="00402F76">
        <w:rPr>
          <w:noProof/>
          <w:sz w:val="24"/>
          <w:szCs w:val="24"/>
        </w:rPr>
        <w:t xml:space="preserve">(3), 147–162. </w:t>
      </w:r>
    </w:p>
    <w:p w14:paraId="0EF52E04" w14:textId="065BD308" w:rsidR="00871B1D" w:rsidRPr="00402F76" w:rsidRDefault="00871B1D" w:rsidP="003F3E65">
      <w:pPr>
        <w:adjustRightInd w:val="0"/>
        <w:ind w:left="720" w:hanging="720"/>
        <w:jc w:val="both"/>
        <w:rPr>
          <w:noProof/>
          <w:sz w:val="24"/>
          <w:szCs w:val="24"/>
        </w:rPr>
      </w:pPr>
      <w:r w:rsidRPr="00402F76">
        <w:rPr>
          <w:noProof/>
          <w:sz w:val="24"/>
          <w:szCs w:val="24"/>
        </w:rPr>
        <w:t xml:space="preserve">Xiong, S., Wang, K., Zhang, L., &amp; Xiao, H. (2022). “I” get license but “we” keep consistent: The role of self-construal in subsequent pro-environmental decision. </w:t>
      </w:r>
      <w:r w:rsidRPr="00402F76">
        <w:rPr>
          <w:i/>
          <w:iCs/>
          <w:noProof/>
          <w:sz w:val="24"/>
          <w:szCs w:val="24"/>
        </w:rPr>
        <w:t>Current Psychology</w:t>
      </w:r>
      <w:r w:rsidRPr="00402F76">
        <w:rPr>
          <w:noProof/>
          <w:sz w:val="24"/>
          <w:szCs w:val="24"/>
        </w:rPr>
        <w:t xml:space="preserve">, </w:t>
      </w:r>
      <w:r w:rsidRPr="00402F76">
        <w:rPr>
          <w:i/>
          <w:iCs/>
          <w:noProof/>
          <w:sz w:val="24"/>
          <w:szCs w:val="24"/>
        </w:rPr>
        <w:t>42</w:t>
      </w:r>
      <w:r w:rsidRPr="00402F76">
        <w:rPr>
          <w:noProof/>
          <w:sz w:val="24"/>
          <w:szCs w:val="24"/>
        </w:rPr>
        <w:t>(1), 1–17.</w:t>
      </w:r>
    </w:p>
    <w:p w14:paraId="6EF30A32" w14:textId="380B992B" w:rsidR="00871B1D" w:rsidRPr="00402F76" w:rsidRDefault="00871B1D" w:rsidP="003F3E65">
      <w:pPr>
        <w:adjustRightInd w:val="0"/>
        <w:ind w:left="720" w:hanging="720"/>
        <w:jc w:val="both"/>
        <w:rPr>
          <w:noProof/>
          <w:sz w:val="24"/>
          <w:szCs w:val="24"/>
        </w:rPr>
      </w:pPr>
      <w:r w:rsidRPr="00402F76">
        <w:rPr>
          <w:noProof/>
          <w:sz w:val="24"/>
          <w:szCs w:val="24"/>
        </w:rPr>
        <w:t xml:space="preserve">Yusliza, M. Y., Amirudin, A., Rahadi, R. A., Athirah, N. A. N. S., Ramayah, T., Muhammad, Z., Dal Mas, F., Massaro, M., Saputra, J., &amp; Mokhlis, S. (2020). An investigation of pro-environmental behaviour and sustainable development in Malaysia. </w:t>
      </w:r>
      <w:r w:rsidRPr="00402F76">
        <w:rPr>
          <w:i/>
          <w:iCs/>
          <w:noProof/>
          <w:sz w:val="24"/>
          <w:szCs w:val="24"/>
        </w:rPr>
        <w:t>Sustainability</w:t>
      </w:r>
      <w:r w:rsidRPr="00402F76">
        <w:rPr>
          <w:noProof/>
          <w:sz w:val="24"/>
          <w:szCs w:val="24"/>
        </w:rPr>
        <w:t xml:space="preserve">, </w:t>
      </w:r>
      <w:r w:rsidRPr="00402F76">
        <w:rPr>
          <w:i/>
          <w:iCs/>
          <w:noProof/>
          <w:sz w:val="24"/>
          <w:szCs w:val="24"/>
        </w:rPr>
        <w:t>12</w:t>
      </w:r>
      <w:r w:rsidRPr="00402F76">
        <w:rPr>
          <w:noProof/>
          <w:sz w:val="24"/>
          <w:szCs w:val="24"/>
        </w:rPr>
        <w:t xml:space="preserve">(17), 1–21. </w:t>
      </w:r>
    </w:p>
    <w:p w14:paraId="7CDB0996" w14:textId="77777777" w:rsidR="00871B1D" w:rsidRPr="00402F76" w:rsidRDefault="00871B1D" w:rsidP="003F3E65">
      <w:pPr>
        <w:adjustRightInd w:val="0"/>
        <w:ind w:left="720" w:hanging="720"/>
        <w:jc w:val="both"/>
        <w:rPr>
          <w:noProof/>
          <w:sz w:val="24"/>
          <w:szCs w:val="24"/>
        </w:rPr>
      </w:pPr>
      <w:r w:rsidRPr="00402F76">
        <w:rPr>
          <w:noProof/>
          <w:sz w:val="24"/>
          <w:szCs w:val="24"/>
        </w:rPr>
        <w:t xml:space="preserve">Yusliza, M. Y., Faezah, J. N., Mat, N. H. N., Saputra, J., Muhammad, Z., Muhamad, A. S., &amp; Ramayah, T. (2021). Modelling pro-environmental behaviour in the workplace: a preliminary study. </w:t>
      </w:r>
      <w:r w:rsidRPr="00402F76">
        <w:rPr>
          <w:i/>
          <w:iCs/>
          <w:noProof/>
          <w:sz w:val="24"/>
          <w:szCs w:val="24"/>
        </w:rPr>
        <w:t>Proceedings of the International Conference on Industrial Engineering and Operations Management</w:t>
      </w:r>
      <w:r w:rsidRPr="00402F76">
        <w:rPr>
          <w:noProof/>
          <w:sz w:val="24"/>
          <w:szCs w:val="24"/>
        </w:rPr>
        <w:t xml:space="preserve">, </w:t>
      </w:r>
      <w:r w:rsidRPr="00402F76">
        <w:rPr>
          <w:i/>
          <w:iCs/>
          <w:noProof/>
          <w:sz w:val="24"/>
          <w:szCs w:val="24"/>
        </w:rPr>
        <w:t>July</w:t>
      </w:r>
      <w:r w:rsidRPr="00402F76">
        <w:rPr>
          <w:noProof/>
          <w:sz w:val="24"/>
          <w:szCs w:val="24"/>
        </w:rPr>
        <w:t>, 3953–3963.</w:t>
      </w:r>
    </w:p>
    <w:p w14:paraId="7A0BAF35" w14:textId="74D18811" w:rsidR="00871B1D" w:rsidRPr="00402F76" w:rsidRDefault="00871B1D" w:rsidP="003F3E65">
      <w:pPr>
        <w:adjustRightInd w:val="0"/>
        <w:ind w:left="720" w:hanging="720"/>
        <w:jc w:val="both"/>
        <w:rPr>
          <w:noProof/>
          <w:sz w:val="24"/>
          <w:szCs w:val="24"/>
        </w:rPr>
      </w:pPr>
      <w:r w:rsidRPr="00402F76">
        <w:rPr>
          <w:noProof/>
          <w:sz w:val="24"/>
          <w:szCs w:val="24"/>
        </w:rPr>
        <w:t xml:space="preserve">Zaki, M. R. M., Ying, P. X., Zainuddin, A. H., Razak, M. R., &amp; Aris, A. Z. (2021). Occurrence, abundance, and distribution of microplastics pollution: an evidence in surface tropical water of Klang River estuary, Malaysia. </w:t>
      </w:r>
      <w:r w:rsidRPr="00402F76">
        <w:rPr>
          <w:i/>
          <w:iCs/>
          <w:noProof/>
          <w:sz w:val="24"/>
          <w:szCs w:val="24"/>
        </w:rPr>
        <w:t>Environmental Geochemistry and Health</w:t>
      </w:r>
      <w:r w:rsidRPr="00402F76">
        <w:rPr>
          <w:noProof/>
          <w:sz w:val="24"/>
          <w:szCs w:val="24"/>
        </w:rPr>
        <w:t xml:space="preserve">, </w:t>
      </w:r>
      <w:r w:rsidRPr="00402F76">
        <w:rPr>
          <w:i/>
          <w:iCs/>
          <w:noProof/>
          <w:sz w:val="24"/>
          <w:szCs w:val="24"/>
        </w:rPr>
        <w:t>43</w:t>
      </w:r>
      <w:r w:rsidRPr="00402F76">
        <w:rPr>
          <w:noProof/>
          <w:sz w:val="24"/>
          <w:szCs w:val="24"/>
        </w:rPr>
        <w:t xml:space="preserve">(9), 3733–3748. </w:t>
      </w:r>
    </w:p>
    <w:p w14:paraId="2D4D7DDD" w14:textId="138C3C87" w:rsidR="00871B1D" w:rsidRPr="00402F76" w:rsidRDefault="00871B1D" w:rsidP="003F3E65">
      <w:pPr>
        <w:adjustRightInd w:val="0"/>
        <w:ind w:left="720" w:hanging="720"/>
        <w:jc w:val="both"/>
        <w:rPr>
          <w:noProof/>
          <w:sz w:val="24"/>
          <w:szCs w:val="24"/>
        </w:rPr>
      </w:pPr>
      <w:r w:rsidRPr="00402F76">
        <w:rPr>
          <w:noProof/>
          <w:sz w:val="24"/>
          <w:szCs w:val="24"/>
        </w:rPr>
        <w:t xml:space="preserve">Zanetell, B. A., &amp; Knuth, B. A. (2004). Participation rhetoric or community-based management reality? Influences on willingness to participate in a Venezuelan freshwater fishery. </w:t>
      </w:r>
      <w:r w:rsidRPr="00402F76">
        <w:rPr>
          <w:i/>
          <w:iCs/>
          <w:noProof/>
          <w:sz w:val="24"/>
          <w:szCs w:val="24"/>
        </w:rPr>
        <w:t>World Development</w:t>
      </w:r>
      <w:r w:rsidRPr="00402F76">
        <w:rPr>
          <w:noProof/>
          <w:sz w:val="24"/>
          <w:szCs w:val="24"/>
        </w:rPr>
        <w:t xml:space="preserve">, </w:t>
      </w:r>
      <w:r w:rsidRPr="00402F76">
        <w:rPr>
          <w:i/>
          <w:iCs/>
          <w:noProof/>
          <w:sz w:val="24"/>
          <w:szCs w:val="24"/>
        </w:rPr>
        <w:t>32</w:t>
      </w:r>
      <w:r w:rsidRPr="00402F76">
        <w:rPr>
          <w:noProof/>
          <w:sz w:val="24"/>
          <w:szCs w:val="24"/>
        </w:rPr>
        <w:t xml:space="preserve">(5), 793–807. </w:t>
      </w:r>
    </w:p>
    <w:p w14:paraId="3C099671" w14:textId="50D4ECC6" w:rsidR="00B263A8" w:rsidRPr="00402F76" w:rsidRDefault="00871B1D" w:rsidP="003F3E65">
      <w:pPr>
        <w:adjustRightInd w:val="0"/>
        <w:ind w:left="720" w:hanging="720"/>
        <w:jc w:val="both"/>
      </w:pPr>
      <w:r w:rsidRPr="00402F76">
        <w:rPr>
          <w:noProof/>
          <w:sz w:val="24"/>
          <w:szCs w:val="24"/>
        </w:rPr>
        <w:t xml:space="preserve">Zhang, J., Zhao, L., &amp; Hu, S. (2021). Visualizing recycling: Promoting recycling through mental simulation. </w:t>
      </w:r>
      <w:r w:rsidRPr="00402F76">
        <w:rPr>
          <w:i/>
          <w:iCs/>
          <w:noProof/>
          <w:sz w:val="24"/>
          <w:szCs w:val="24"/>
        </w:rPr>
        <w:t>Resources, Conservation and Recycling</w:t>
      </w:r>
      <w:r w:rsidRPr="00402F76">
        <w:rPr>
          <w:noProof/>
          <w:sz w:val="24"/>
          <w:szCs w:val="24"/>
        </w:rPr>
        <w:t xml:space="preserve">, </w:t>
      </w:r>
      <w:r w:rsidRPr="00402F76">
        <w:rPr>
          <w:i/>
          <w:iCs/>
          <w:noProof/>
          <w:sz w:val="24"/>
          <w:szCs w:val="24"/>
        </w:rPr>
        <w:t>174</w:t>
      </w:r>
      <w:r w:rsidR="00402F76" w:rsidRPr="00402F76">
        <w:rPr>
          <w:noProof/>
          <w:sz w:val="24"/>
          <w:szCs w:val="24"/>
        </w:rPr>
        <w:t xml:space="preserve">, </w:t>
      </w:r>
      <w:r w:rsidRPr="00402F76">
        <w:rPr>
          <w:noProof/>
          <w:sz w:val="24"/>
          <w:szCs w:val="24"/>
        </w:rPr>
        <w:t xml:space="preserve">105783. </w:t>
      </w:r>
      <w:r w:rsidR="007107B4" w:rsidRPr="00402F76">
        <w:fldChar w:fldCharType="end"/>
      </w:r>
    </w:p>
    <w:sectPr w:rsidR="00B263A8" w:rsidRPr="00402F76" w:rsidSect="00AE5544">
      <w:headerReference w:type="even" r:id="rId11"/>
      <w:headerReference w:type="default" r:id="rId12"/>
      <w:footerReference w:type="even" r:id="rId13"/>
      <w:footerReference w:type="default" r:id="rId14"/>
      <w:headerReference w:type="first" r:id="rId15"/>
      <w:footerReference w:type="first" r:id="rId16"/>
      <w:pgSz w:w="11910" w:h="16840"/>
      <w:pgMar w:top="1440" w:right="1440" w:bottom="1440" w:left="1440" w:header="685" w:footer="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C878C" w14:textId="77777777" w:rsidR="00B6585A" w:rsidRDefault="00B6585A">
      <w:r>
        <w:separator/>
      </w:r>
    </w:p>
  </w:endnote>
  <w:endnote w:type="continuationSeparator" w:id="0">
    <w:p w14:paraId="4EA39E55" w14:textId="77777777" w:rsidR="00B6585A" w:rsidRDefault="00B65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61549" w14:textId="77777777" w:rsidR="00707BDA" w:rsidRDefault="00707BD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9899C" w14:textId="77777777" w:rsidR="00707BDA" w:rsidRDefault="00707BD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4F64C" w14:textId="77777777" w:rsidR="00707BDA" w:rsidRDefault="00707B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F9B1F" w14:textId="77777777" w:rsidR="00B6585A" w:rsidRDefault="00B6585A">
      <w:r>
        <w:separator/>
      </w:r>
    </w:p>
  </w:footnote>
  <w:footnote w:type="continuationSeparator" w:id="0">
    <w:p w14:paraId="3C6CFE0F" w14:textId="77777777" w:rsidR="00B6585A" w:rsidRDefault="00B658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09CCC" w14:textId="77777777" w:rsidR="00707BDA" w:rsidRDefault="00707BD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733F4" w14:textId="65D5930B" w:rsidR="00C4482F" w:rsidRPr="00C4482F" w:rsidRDefault="00C4482F" w:rsidP="00C4482F">
    <w:pPr>
      <w:tabs>
        <w:tab w:val="left" w:pos="720"/>
        <w:tab w:val="center" w:pos="4680"/>
        <w:tab w:val="right" w:pos="9360"/>
      </w:tabs>
      <w:ind w:hanging="2"/>
      <w:jc w:val="both"/>
      <w:rPr>
        <w:sz w:val="18"/>
        <w:szCs w:val="18"/>
      </w:rPr>
    </w:pPr>
    <w:bookmarkStart w:id="6" w:name="_Hlk143544534"/>
    <w:r w:rsidRPr="00C4482F">
      <w:rPr>
        <w:sz w:val="18"/>
        <w:szCs w:val="18"/>
      </w:rPr>
      <w:t>Geografia-Malaysian Journal of Society and Space 20 issue 3 (1-</w:t>
    </w:r>
    <w:r w:rsidR="001360F3">
      <w:rPr>
        <w:sz w:val="18"/>
        <w:szCs w:val="18"/>
      </w:rPr>
      <w:t>17</w:t>
    </w:r>
    <w:r w:rsidRPr="00C4482F">
      <w:rPr>
        <w:sz w:val="18"/>
        <w:szCs w:val="18"/>
      </w:rPr>
      <w:t>)</w:t>
    </w:r>
    <w:r w:rsidRPr="00C4482F">
      <w:rPr>
        <w:sz w:val="18"/>
        <w:szCs w:val="18"/>
      </w:rPr>
      <w:tab/>
    </w:r>
  </w:p>
  <w:p w14:paraId="3C4BC9E5" w14:textId="4F511A55" w:rsidR="00C4482F" w:rsidRPr="00C4482F" w:rsidRDefault="00C4482F" w:rsidP="00C4482F">
    <w:pPr>
      <w:pStyle w:val="Header"/>
      <w:rPr>
        <w:sz w:val="18"/>
        <w:szCs w:val="18"/>
      </w:rPr>
    </w:pPr>
    <w:r w:rsidRPr="00C4482F">
      <w:rPr>
        <w:sz w:val="18"/>
        <w:szCs w:val="18"/>
      </w:rPr>
      <w:t xml:space="preserve">© 2024, e-ISSN 2682-7727 </w:t>
    </w:r>
    <w:bookmarkEnd w:id="6"/>
    <w:r w:rsidR="001360F3" w:rsidRPr="001360F3">
      <w:rPr>
        <w:position w:val="-1"/>
        <w:sz w:val="18"/>
        <w:szCs w:val="18"/>
      </w:rPr>
      <w:fldChar w:fldCharType="begin"/>
    </w:r>
    <w:r w:rsidR="001360F3" w:rsidRPr="001360F3">
      <w:rPr>
        <w:position w:val="-1"/>
        <w:sz w:val="18"/>
        <w:szCs w:val="18"/>
      </w:rPr>
      <w:instrText xml:space="preserve"> HYPERLINK "https://doi.org/10.17576/geo-2024-2003-01" </w:instrText>
    </w:r>
    <w:r w:rsidR="001360F3" w:rsidRPr="001360F3">
      <w:rPr>
        <w:position w:val="-1"/>
        <w:sz w:val="18"/>
        <w:szCs w:val="18"/>
      </w:rPr>
    </w:r>
    <w:r w:rsidR="001360F3" w:rsidRPr="001360F3">
      <w:rPr>
        <w:position w:val="-1"/>
        <w:sz w:val="18"/>
        <w:szCs w:val="18"/>
      </w:rPr>
      <w:fldChar w:fldCharType="separate"/>
    </w:r>
    <w:r w:rsidRPr="001360F3">
      <w:rPr>
        <w:rStyle w:val="Hyperlink"/>
        <w:color w:val="auto"/>
        <w:sz w:val="18"/>
        <w:szCs w:val="18"/>
        <w:u w:val="none"/>
      </w:rPr>
      <w:t>https://doi.org/10.17576/geo-2024-2003-01</w:t>
    </w:r>
    <w:r w:rsidR="001360F3" w:rsidRPr="001360F3">
      <w:rPr>
        <w:position w:val="-1"/>
        <w:sz w:val="18"/>
        <w:szCs w:val="18"/>
      </w:rPr>
      <w:fldChar w:fldCharType="end"/>
    </w:r>
    <w:r>
      <w:rPr>
        <w:color w:val="000000" w:themeColor="text1"/>
        <w:position w:val="-1"/>
        <w:sz w:val="18"/>
        <w:szCs w:val="18"/>
      </w:rPr>
      <w:tab/>
    </w:r>
    <w:sdt>
      <w:sdtPr>
        <w:rPr>
          <w:sz w:val="18"/>
          <w:szCs w:val="18"/>
        </w:rPr>
        <w:id w:val="-2085984051"/>
        <w:docPartObj>
          <w:docPartGallery w:val="Page Numbers (Top of Page)"/>
          <w:docPartUnique/>
        </w:docPartObj>
      </w:sdtPr>
      <w:sdtEndPr>
        <w:rPr>
          <w:noProof/>
        </w:rPr>
      </w:sdtEndPr>
      <w:sdtContent>
        <w:r w:rsidRPr="00C4482F">
          <w:rPr>
            <w:sz w:val="18"/>
            <w:szCs w:val="18"/>
          </w:rPr>
          <w:fldChar w:fldCharType="begin"/>
        </w:r>
        <w:r w:rsidRPr="00C4482F">
          <w:rPr>
            <w:sz w:val="18"/>
            <w:szCs w:val="18"/>
          </w:rPr>
          <w:instrText xml:space="preserve"> PAGE   \* MERGEFORMAT </w:instrText>
        </w:r>
        <w:r w:rsidRPr="00C4482F">
          <w:rPr>
            <w:sz w:val="18"/>
            <w:szCs w:val="18"/>
          </w:rPr>
          <w:fldChar w:fldCharType="separate"/>
        </w:r>
        <w:r w:rsidR="001360F3">
          <w:rPr>
            <w:noProof/>
            <w:sz w:val="18"/>
            <w:szCs w:val="18"/>
          </w:rPr>
          <w:t>17</w:t>
        </w:r>
        <w:r w:rsidRPr="00C4482F">
          <w:rPr>
            <w:noProof/>
            <w:sz w:val="18"/>
            <w:szCs w:val="18"/>
          </w:rPr>
          <w:fldChar w:fldCharType="end"/>
        </w:r>
      </w:sdtContent>
    </w:sdt>
    <w:bookmarkStart w:id="7" w:name="_GoBack"/>
    <w:bookmarkEnd w:id="7"/>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49C24" w14:textId="77777777" w:rsidR="00707BDA" w:rsidRDefault="00707B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10A1"/>
    <w:multiLevelType w:val="multilevel"/>
    <w:tmpl w:val="016B10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ABC6071"/>
    <w:multiLevelType w:val="multilevel"/>
    <w:tmpl w:val="1ABC6071"/>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2" w15:restartNumberingAfterBreak="0">
    <w:nsid w:val="22AC6A05"/>
    <w:multiLevelType w:val="multilevel"/>
    <w:tmpl w:val="22AC6A05"/>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B144E24"/>
    <w:multiLevelType w:val="multilevel"/>
    <w:tmpl w:val="2B144E24"/>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4" w15:restartNumberingAfterBreak="0">
    <w:nsid w:val="3B0A30F5"/>
    <w:multiLevelType w:val="multilevel"/>
    <w:tmpl w:val="3B0A30F5"/>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3D158C1"/>
    <w:multiLevelType w:val="multilevel"/>
    <w:tmpl w:val="43D158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8FF1581"/>
    <w:multiLevelType w:val="multilevel"/>
    <w:tmpl w:val="48FF1581"/>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7" w15:restartNumberingAfterBreak="0">
    <w:nsid w:val="51D052C9"/>
    <w:multiLevelType w:val="multilevel"/>
    <w:tmpl w:val="51D052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9C80941"/>
    <w:multiLevelType w:val="multilevel"/>
    <w:tmpl w:val="59C809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AE12A89"/>
    <w:multiLevelType w:val="multilevel"/>
    <w:tmpl w:val="5AE12A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2933147"/>
    <w:multiLevelType w:val="multilevel"/>
    <w:tmpl w:val="72933147"/>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803603E"/>
    <w:multiLevelType w:val="multilevel"/>
    <w:tmpl w:val="780360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10"/>
  </w:num>
  <w:num w:numId="6">
    <w:abstractNumId w:val="4"/>
  </w:num>
  <w:num w:numId="7">
    <w:abstractNumId w:val="5"/>
  </w:num>
  <w:num w:numId="8">
    <w:abstractNumId w:val="0"/>
  </w:num>
  <w:num w:numId="9">
    <w:abstractNumId w:val="11"/>
  </w:num>
  <w:num w:numId="10">
    <w:abstractNumId w:val="9"/>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6E6"/>
    <w:rsid w:val="000024D5"/>
    <w:rsid w:val="000163F4"/>
    <w:rsid w:val="00024EF7"/>
    <w:rsid w:val="0002644F"/>
    <w:rsid w:val="0002701D"/>
    <w:rsid w:val="00034030"/>
    <w:rsid w:val="000346D1"/>
    <w:rsid w:val="00035355"/>
    <w:rsid w:val="0004711E"/>
    <w:rsid w:val="00050E71"/>
    <w:rsid w:val="000634F8"/>
    <w:rsid w:val="00077A5D"/>
    <w:rsid w:val="00083F2A"/>
    <w:rsid w:val="000879AA"/>
    <w:rsid w:val="000C4F8C"/>
    <w:rsid w:val="000C6EB7"/>
    <w:rsid w:val="000C7C4E"/>
    <w:rsid w:val="000E1364"/>
    <w:rsid w:val="000E2800"/>
    <w:rsid w:val="000E605F"/>
    <w:rsid w:val="000F193B"/>
    <w:rsid w:val="000F7735"/>
    <w:rsid w:val="000F7BBF"/>
    <w:rsid w:val="00114946"/>
    <w:rsid w:val="00120176"/>
    <w:rsid w:val="00127CE0"/>
    <w:rsid w:val="001360F3"/>
    <w:rsid w:val="00143481"/>
    <w:rsid w:val="00144B97"/>
    <w:rsid w:val="001546FD"/>
    <w:rsid w:val="0016068C"/>
    <w:rsid w:val="00171E49"/>
    <w:rsid w:val="001728E5"/>
    <w:rsid w:val="001907E9"/>
    <w:rsid w:val="00190877"/>
    <w:rsid w:val="001B0EB9"/>
    <w:rsid w:val="001D192C"/>
    <w:rsid w:val="001F21AB"/>
    <w:rsid w:val="001F2B0E"/>
    <w:rsid w:val="001F7B58"/>
    <w:rsid w:val="0020272B"/>
    <w:rsid w:val="00203DC5"/>
    <w:rsid w:val="002125E2"/>
    <w:rsid w:val="00216987"/>
    <w:rsid w:val="00223D97"/>
    <w:rsid w:val="00233D90"/>
    <w:rsid w:val="002367F8"/>
    <w:rsid w:val="0024211B"/>
    <w:rsid w:val="00243939"/>
    <w:rsid w:val="0024646C"/>
    <w:rsid w:val="00254E9A"/>
    <w:rsid w:val="002668BD"/>
    <w:rsid w:val="002825FA"/>
    <w:rsid w:val="0029117D"/>
    <w:rsid w:val="00294D96"/>
    <w:rsid w:val="002A09D0"/>
    <w:rsid w:val="002A1BF5"/>
    <w:rsid w:val="002A2469"/>
    <w:rsid w:val="002B67FF"/>
    <w:rsid w:val="002E7177"/>
    <w:rsid w:val="002E7DEB"/>
    <w:rsid w:val="002F362D"/>
    <w:rsid w:val="002F39CE"/>
    <w:rsid w:val="00310EB2"/>
    <w:rsid w:val="00315145"/>
    <w:rsid w:val="00315F73"/>
    <w:rsid w:val="003334F4"/>
    <w:rsid w:val="00336F01"/>
    <w:rsid w:val="00340842"/>
    <w:rsid w:val="00341AE2"/>
    <w:rsid w:val="00367E5B"/>
    <w:rsid w:val="00374014"/>
    <w:rsid w:val="003A41FC"/>
    <w:rsid w:val="003A4C9C"/>
    <w:rsid w:val="003A6E3C"/>
    <w:rsid w:val="003B46CB"/>
    <w:rsid w:val="003C7440"/>
    <w:rsid w:val="003E0372"/>
    <w:rsid w:val="003E1FFC"/>
    <w:rsid w:val="003E34DB"/>
    <w:rsid w:val="003E7E73"/>
    <w:rsid w:val="003F0ADF"/>
    <w:rsid w:val="003F3E65"/>
    <w:rsid w:val="004007B2"/>
    <w:rsid w:val="0040252F"/>
    <w:rsid w:val="00402F76"/>
    <w:rsid w:val="0040341A"/>
    <w:rsid w:val="00424756"/>
    <w:rsid w:val="00425680"/>
    <w:rsid w:val="00425E11"/>
    <w:rsid w:val="00426FD0"/>
    <w:rsid w:val="00430622"/>
    <w:rsid w:val="00433182"/>
    <w:rsid w:val="00436A08"/>
    <w:rsid w:val="00456CEC"/>
    <w:rsid w:val="0046067C"/>
    <w:rsid w:val="0046175D"/>
    <w:rsid w:val="00473150"/>
    <w:rsid w:val="0048309A"/>
    <w:rsid w:val="00491232"/>
    <w:rsid w:val="004A1D36"/>
    <w:rsid w:val="004A7EC9"/>
    <w:rsid w:val="004B1C27"/>
    <w:rsid w:val="004F464F"/>
    <w:rsid w:val="004F6ABA"/>
    <w:rsid w:val="005068C7"/>
    <w:rsid w:val="0051261C"/>
    <w:rsid w:val="0051293D"/>
    <w:rsid w:val="00516C62"/>
    <w:rsid w:val="00516C8D"/>
    <w:rsid w:val="00551B3F"/>
    <w:rsid w:val="005520E2"/>
    <w:rsid w:val="00564A60"/>
    <w:rsid w:val="0056739F"/>
    <w:rsid w:val="00574F4A"/>
    <w:rsid w:val="005765DC"/>
    <w:rsid w:val="0057787E"/>
    <w:rsid w:val="00587582"/>
    <w:rsid w:val="005C0010"/>
    <w:rsid w:val="005E23B8"/>
    <w:rsid w:val="005F10BD"/>
    <w:rsid w:val="005F22B0"/>
    <w:rsid w:val="005F2F24"/>
    <w:rsid w:val="005F4B35"/>
    <w:rsid w:val="0060226D"/>
    <w:rsid w:val="0062677D"/>
    <w:rsid w:val="00633339"/>
    <w:rsid w:val="00635381"/>
    <w:rsid w:val="00643928"/>
    <w:rsid w:val="00650278"/>
    <w:rsid w:val="00650674"/>
    <w:rsid w:val="006533C1"/>
    <w:rsid w:val="006572F2"/>
    <w:rsid w:val="00673EE4"/>
    <w:rsid w:val="006C0D42"/>
    <w:rsid w:val="006C3E3F"/>
    <w:rsid w:val="006C5FE3"/>
    <w:rsid w:val="006D2AD5"/>
    <w:rsid w:val="006D2F9C"/>
    <w:rsid w:val="006D40F3"/>
    <w:rsid w:val="006E1866"/>
    <w:rsid w:val="006E2D5C"/>
    <w:rsid w:val="006E71D6"/>
    <w:rsid w:val="006E7422"/>
    <w:rsid w:val="006F21AE"/>
    <w:rsid w:val="007013FF"/>
    <w:rsid w:val="00707BDA"/>
    <w:rsid w:val="00707CD7"/>
    <w:rsid w:val="007107B4"/>
    <w:rsid w:val="007402AA"/>
    <w:rsid w:val="007571E8"/>
    <w:rsid w:val="007633C8"/>
    <w:rsid w:val="00767FE0"/>
    <w:rsid w:val="007832DC"/>
    <w:rsid w:val="00785774"/>
    <w:rsid w:val="00790F3F"/>
    <w:rsid w:val="0079439B"/>
    <w:rsid w:val="00795221"/>
    <w:rsid w:val="007965CF"/>
    <w:rsid w:val="00796FA5"/>
    <w:rsid w:val="007A600F"/>
    <w:rsid w:val="007D2508"/>
    <w:rsid w:val="007E36E6"/>
    <w:rsid w:val="007E7CC9"/>
    <w:rsid w:val="007F2ECF"/>
    <w:rsid w:val="007F73C1"/>
    <w:rsid w:val="00806F5B"/>
    <w:rsid w:val="008200C4"/>
    <w:rsid w:val="008251D7"/>
    <w:rsid w:val="0082673B"/>
    <w:rsid w:val="00830B3E"/>
    <w:rsid w:val="00831AC1"/>
    <w:rsid w:val="00834D4B"/>
    <w:rsid w:val="00850A88"/>
    <w:rsid w:val="008513CC"/>
    <w:rsid w:val="00860411"/>
    <w:rsid w:val="00871B1D"/>
    <w:rsid w:val="0087503B"/>
    <w:rsid w:val="00884BA0"/>
    <w:rsid w:val="00890164"/>
    <w:rsid w:val="00894E94"/>
    <w:rsid w:val="008A7347"/>
    <w:rsid w:val="008C314B"/>
    <w:rsid w:val="008D373F"/>
    <w:rsid w:val="008E5BD6"/>
    <w:rsid w:val="00901E68"/>
    <w:rsid w:val="00927DF7"/>
    <w:rsid w:val="00940E2D"/>
    <w:rsid w:val="00947054"/>
    <w:rsid w:val="00956791"/>
    <w:rsid w:val="00956BBB"/>
    <w:rsid w:val="009655B0"/>
    <w:rsid w:val="00980239"/>
    <w:rsid w:val="009A3BDB"/>
    <w:rsid w:val="009A50E8"/>
    <w:rsid w:val="009A6A19"/>
    <w:rsid w:val="009B2503"/>
    <w:rsid w:val="009B616E"/>
    <w:rsid w:val="009C0FF4"/>
    <w:rsid w:val="009C3A7F"/>
    <w:rsid w:val="009D0479"/>
    <w:rsid w:val="009D071B"/>
    <w:rsid w:val="009D117E"/>
    <w:rsid w:val="009D2C1E"/>
    <w:rsid w:val="009D427C"/>
    <w:rsid w:val="009D4425"/>
    <w:rsid w:val="009E0F80"/>
    <w:rsid w:val="009E2864"/>
    <w:rsid w:val="009E499F"/>
    <w:rsid w:val="009E6D78"/>
    <w:rsid w:val="009F281D"/>
    <w:rsid w:val="009F3C10"/>
    <w:rsid w:val="009F4D60"/>
    <w:rsid w:val="00A07131"/>
    <w:rsid w:val="00A14834"/>
    <w:rsid w:val="00A1567E"/>
    <w:rsid w:val="00A20690"/>
    <w:rsid w:val="00A25CE0"/>
    <w:rsid w:val="00A30835"/>
    <w:rsid w:val="00A37A53"/>
    <w:rsid w:val="00A64CEF"/>
    <w:rsid w:val="00A64D45"/>
    <w:rsid w:val="00A83DB7"/>
    <w:rsid w:val="00A92033"/>
    <w:rsid w:val="00AB3079"/>
    <w:rsid w:val="00AB4961"/>
    <w:rsid w:val="00AB7AC4"/>
    <w:rsid w:val="00AC4539"/>
    <w:rsid w:val="00AE1267"/>
    <w:rsid w:val="00AE3FA7"/>
    <w:rsid w:val="00AE5544"/>
    <w:rsid w:val="00AF1D3A"/>
    <w:rsid w:val="00B0376B"/>
    <w:rsid w:val="00B05C63"/>
    <w:rsid w:val="00B12D23"/>
    <w:rsid w:val="00B15003"/>
    <w:rsid w:val="00B1660B"/>
    <w:rsid w:val="00B2569D"/>
    <w:rsid w:val="00B263A8"/>
    <w:rsid w:val="00B30F7F"/>
    <w:rsid w:val="00B33D00"/>
    <w:rsid w:val="00B4226D"/>
    <w:rsid w:val="00B45644"/>
    <w:rsid w:val="00B4565A"/>
    <w:rsid w:val="00B50151"/>
    <w:rsid w:val="00B514AF"/>
    <w:rsid w:val="00B5556F"/>
    <w:rsid w:val="00B55658"/>
    <w:rsid w:val="00B61C90"/>
    <w:rsid w:val="00B6520F"/>
    <w:rsid w:val="00B6585A"/>
    <w:rsid w:val="00B74B0F"/>
    <w:rsid w:val="00B80206"/>
    <w:rsid w:val="00B82976"/>
    <w:rsid w:val="00BA372D"/>
    <w:rsid w:val="00BA4D21"/>
    <w:rsid w:val="00BA532F"/>
    <w:rsid w:val="00BB0E72"/>
    <w:rsid w:val="00BB5DD2"/>
    <w:rsid w:val="00BC3F23"/>
    <w:rsid w:val="00BD6CC5"/>
    <w:rsid w:val="00BD7C84"/>
    <w:rsid w:val="00BF429A"/>
    <w:rsid w:val="00BF5177"/>
    <w:rsid w:val="00C02A27"/>
    <w:rsid w:val="00C34D3A"/>
    <w:rsid w:val="00C35E41"/>
    <w:rsid w:val="00C3703E"/>
    <w:rsid w:val="00C4482F"/>
    <w:rsid w:val="00C558FF"/>
    <w:rsid w:val="00C6081A"/>
    <w:rsid w:val="00C676FE"/>
    <w:rsid w:val="00C7063B"/>
    <w:rsid w:val="00C720E6"/>
    <w:rsid w:val="00CB5897"/>
    <w:rsid w:val="00CB5E04"/>
    <w:rsid w:val="00CB6A64"/>
    <w:rsid w:val="00CC4EE6"/>
    <w:rsid w:val="00CC6E97"/>
    <w:rsid w:val="00CD12C5"/>
    <w:rsid w:val="00CD5EC4"/>
    <w:rsid w:val="00CE0103"/>
    <w:rsid w:val="00CE15EF"/>
    <w:rsid w:val="00D02BF4"/>
    <w:rsid w:val="00D25681"/>
    <w:rsid w:val="00D31270"/>
    <w:rsid w:val="00D32335"/>
    <w:rsid w:val="00D41C74"/>
    <w:rsid w:val="00D508D0"/>
    <w:rsid w:val="00D704A3"/>
    <w:rsid w:val="00D778C1"/>
    <w:rsid w:val="00D9131D"/>
    <w:rsid w:val="00D97170"/>
    <w:rsid w:val="00DA15A4"/>
    <w:rsid w:val="00DB16F9"/>
    <w:rsid w:val="00DB3E49"/>
    <w:rsid w:val="00DB7528"/>
    <w:rsid w:val="00DC1C2F"/>
    <w:rsid w:val="00DE432C"/>
    <w:rsid w:val="00DE70CC"/>
    <w:rsid w:val="00E120A5"/>
    <w:rsid w:val="00E14F7F"/>
    <w:rsid w:val="00E20757"/>
    <w:rsid w:val="00E2730D"/>
    <w:rsid w:val="00E751C7"/>
    <w:rsid w:val="00EA360B"/>
    <w:rsid w:val="00EB434B"/>
    <w:rsid w:val="00EC4E1D"/>
    <w:rsid w:val="00ED0083"/>
    <w:rsid w:val="00EE501D"/>
    <w:rsid w:val="00F06C7F"/>
    <w:rsid w:val="00F11EE6"/>
    <w:rsid w:val="00F1566B"/>
    <w:rsid w:val="00F15A5D"/>
    <w:rsid w:val="00F2070B"/>
    <w:rsid w:val="00F2197F"/>
    <w:rsid w:val="00F22BC6"/>
    <w:rsid w:val="00F3114A"/>
    <w:rsid w:val="00F316E0"/>
    <w:rsid w:val="00F544AA"/>
    <w:rsid w:val="00F5450F"/>
    <w:rsid w:val="00F60226"/>
    <w:rsid w:val="00F63FCC"/>
    <w:rsid w:val="00F678A3"/>
    <w:rsid w:val="00F7606F"/>
    <w:rsid w:val="00F77871"/>
    <w:rsid w:val="00F81B75"/>
    <w:rsid w:val="00F91A6B"/>
    <w:rsid w:val="00F95232"/>
    <w:rsid w:val="00FA169C"/>
    <w:rsid w:val="00FC3B0B"/>
    <w:rsid w:val="00FC64D0"/>
    <w:rsid w:val="00FC6A33"/>
    <w:rsid w:val="00FD3C6B"/>
    <w:rsid w:val="00FE4262"/>
    <w:rsid w:val="00FE60B2"/>
    <w:rsid w:val="00FF55E4"/>
    <w:rsid w:val="03147C4F"/>
    <w:rsid w:val="0B0474B6"/>
    <w:rsid w:val="14116DF7"/>
    <w:rsid w:val="15550EFB"/>
    <w:rsid w:val="28CF0801"/>
    <w:rsid w:val="33D87B9A"/>
    <w:rsid w:val="36564569"/>
    <w:rsid w:val="37C830A7"/>
    <w:rsid w:val="38DF3F18"/>
    <w:rsid w:val="39694F00"/>
    <w:rsid w:val="3D266A4F"/>
    <w:rsid w:val="3ED11114"/>
    <w:rsid w:val="3FCB0A87"/>
    <w:rsid w:val="405B525B"/>
    <w:rsid w:val="40F45215"/>
    <w:rsid w:val="4237389D"/>
    <w:rsid w:val="42704D97"/>
    <w:rsid w:val="47ED662D"/>
    <w:rsid w:val="4A4378DA"/>
    <w:rsid w:val="4B2C0426"/>
    <w:rsid w:val="4F435661"/>
    <w:rsid w:val="5C262CC6"/>
    <w:rsid w:val="5CE7687A"/>
    <w:rsid w:val="60C37E4F"/>
    <w:rsid w:val="63172158"/>
    <w:rsid w:val="63F1239C"/>
    <w:rsid w:val="65163F9F"/>
    <w:rsid w:val="6598383A"/>
    <w:rsid w:val="66790681"/>
    <w:rsid w:val="6CB17B40"/>
    <w:rsid w:val="6E9B2B83"/>
    <w:rsid w:val="76421EFD"/>
    <w:rsid w:val="7EFC23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9CE6034"/>
  <w15:docId w15:val="{C80E8B67-2EA9-4FD4-9B04-E76C685FA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ms"/>
    </w:rPr>
  </w:style>
  <w:style w:type="paragraph" w:styleId="Heading1">
    <w:name w:val="heading 1"/>
    <w:basedOn w:val="Normal"/>
    <w:uiPriority w:val="9"/>
    <w:qFormat/>
    <w:pPr>
      <w:spacing w:before="85"/>
      <w:ind w:left="3849" w:right="212" w:hanging="3623"/>
      <w:outlineLvl w:val="0"/>
    </w:pPr>
    <w:rPr>
      <w:b/>
      <w:bCs/>
      <w:sz w:val="28"/>
      <w:szCs w:val="28"/>
    </w:rPr>
  </w:style>
  <w:style w:type="paragraph" w:styleId="Heading2">
    <w:name w:val="heading 2"/>
    <w:basedOn w:val="Normal"/>
    <w:uiPriority w:val="9"/>
    <w:unhideWhenUsed/>
    <w:qFormat/>
    <w:pPr>
      <w:ind w:left="140"/>
      <w:outlineLvl w:val="1"/>
    </w:pPr>
    <w:rPr>
      <w:b/>
      <w:bCs/>
      <w:sz w:val="24"/>
      <w:szCs w:val="24"/>
    </w:rPr>
  </w:style>
  <w:style w:type="paragraph" w:styleId="Heading3">
    <w:name w:val="heading 3"/>
    <w:basedOn w:val="Normal"/>
    <w:next w:val="Normal"/>
    <w:link w:val="Heading3Char"/>
    <w:uiPriority w:val="9"/>
    <w:unhideWhenUsed/>
    <w:qFormat/>
    <w:pPr>
      <w:keepNext/>
      <w:keepLines/>
      <w:spacing w:before="120" w:after="120"/>
      <w:jc w:val="both"/>
      <w:outlineLvl w:val="2"/>
    </w:pPr>
    <w:rPr>
      <w:rFonts w:eastAsiaTheme="majorEastAsia" w:cstheme="majorBidi"/>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Caption">
    <w:name w:val="caption"/>
    <w:basedOn w:val="Normal"/>
    <w:next w:val="Normal"/>
    <w:uiPriority w:val="35"/>
    <w:unhideWhenUsed/>
    <w:qFormat/>
    <w:pPr>
      <w:autoSpaceDE/>
      <w:autoSpaceDN/>
      <w:spacing w:after="200"/>
    </w:pPr>
    <w:rPr>
      <w:i/>
      <w:iCs/>
      <w:color w:val="1F497D" w:themeColor="text2"/>
      <w:sz w:val="18"/>
      <w:szCs w:val="18"/>
      <w:lang w:val="en-GB" w:eastAsia="en-GB"/>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style>
  <w:style w:type="paragraph" w:customStyle="1" w:styleId="TableParagraph">
    <w:name w:val="Table Paragraph"/>
    <w:basedOn w:val="Normal"/>
    <w:uiPriority w:val="1"/>
    <w:qFormat/>
    <w:pPr>
      <w:jc w:val="center"/>
    </w:pPr>
  </w:style>
  <w:style w:type="character" w:customStyle="1" w:styleId="HeaderChar">
    <w:name w:val="Header Char"/>
    <w:basedOn w:val="DefaultParagraphFont"/>
    <w:link w:val="Header"/>
    <w:uiPriority w:val="99"/>
    <w:qFormat/>
    <w:rPr>
      <w:rFonts w:ascii="Times New Roman" w:eastAsia="Times New Roman" w:hAnsi="Times New Roman" w:cs="Times New Roman"/>
      <w:lang w:val="ms"/>
    </w:rPr>
  </w:style>
  <w:style w:type="character" w:customStyle="1" w:styleId="FooterChar">
    <w:name w:val="Footer Char"/>
    <w:basedOn w:val="DefaultParagraphFont"/>
    <w:link w:val="Footer"/>
    <w:uiPriority w:val="99"/>
    <w:qFormat/>
    <w:rPr>
      <w:rFonts w:ascii="Times New Roman" w:eastAsia="Times New Roman" w:hAnsi="Times New Roman" w:cs="Times New Roman"/>
      <w:lang w:val="ms"/>
    </w:r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qFormat/>
    <w:rPr>
      <w:rFonts w:ascii="Times New Roman" w:eastAsiaTheme="majorEastAsia" w:hAnsi="Times New Roman" w:cstheme="majorBidi"/>
      <w:i/>
      <w:sz w:val="24"/>
      <w:szCs w:val="24"/>
      <w:lang w:val="ms"/>
    </w:rPr>
  </w:style>
  <w:style w:type="table" w:customStyle="1" w:styleId="ListTable21">
    <w:name w:val="List Table 21"/>
    <w:basedOn w:val="TableNormal"/>
    <w:uiPriority w:val="47"/>
    <w:qFormat/>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qFormat/>
    <w:rsid w:val="006D2F9C"/>
    <w:pPr>
      <w:widowControl/>
      <w:suppressAutoHyphens/>
      <w:autoSpaceDE/>
      <w:autoSpaceDN/>
      <w:ind w:leftChars="-1" w:left="-1" w:hangingChars="1" w:hanging="1"/>
      <w:textDirection w:val="btLr"/>
      <w:textAlignment w:val="top"/>
      <w:outlineLvl w:val="0"/>
    </w:pPr>
    <w:rPr>
      <w:rFonts w:ascii="Tahoma" w:eastAsia="Calibri" w:hAnsi="Tahoma" w:cs="Tahoma"/>
      <w:position w:val="-1"/>
      <w:sz w:val="16"/>
      <w:szCs w:val="16"/>
      <w:lang w:val="en-US"/>
    </w:rPr>
  </w:style>
  <w:style w:type="character" w:customStyle="1" w:styleId="BalloonTextChar">
    <w:name w:val="Balloon Text Char"/>
    <w:basedOn w:val="DefaultParagraphFont"/>
    <w:link w:val="BalloonText"/>
    <w:rsid w:val="006D2F9C"/>
    <w:rPr>
      <w:rFonts w:ascii="Tahoma" w:eastAsia="Calibri" w:hAnsi="Tahoma" w:cs="Tahoma"/>
      <w:position w:val="-1"/>
      <w:sz w:val="16"/>
      <w:szCs w:val="16"/>
    </w:rPr>
  </w:style>
  <w:style w:type="character" w:styleId="Strong">
    <w:name w:val="Strong"/>
    <w:basedOn w:val="DefaultParagraphFont"/>
    <w:uiPriority w:val="22"/>
    <w:qFormat/>
    <w:rsid w:val="00C558FF"/>
    <w:rPr>
      <w:b/>
      <w:bCs/>
    </w:rPr>
  </w:style>
  <w:style w:type="character" w:styleId="Hyperlink">
    <w:name w:val="Hyperlink"/>
    <w:qFormat/>
    <w:rsid w:val="00707BDA"/>
    <w:rPr>
      <w:color w:val="0000FF"/>
      <w:w w:val="100"/>
      <w:position w:val="-1"/>
      <w:u w:val="single"/>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1592">
      <w:bodyDiv w:val="1"/>
      <w:marLeft w:val="0"/>
      <w:marRight w:val="0"/>
      <w:marTop w:val="0"/>
      <w:marBottom w:val="0"/>
      <w:divBdr>
        <w:top w:val="none" w:sz="0" w:space="0" w:color="auto"/>
        <w:left w:val="none" w:sz="0" w:space="0" w:color="auto"/>
        <w:bottom w:val="none" w:sz="0" w:space="0" w:color="auto"/>
        <w:right w:val="none" w:sz="0" w:space="0" w:color="auto"/>
      </w:divBdr>
    </w:div>
    <w:div w:id="253784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14C678-E02C-4D26-A35B-D65F3161B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57992</Words>
  <Characters>330561</Characters>
  <Application>Microsoft Office Word</Application>
  <DocSecurity>0</DocSecurity>
  <Lines>2754</Lines>
  <Paragraphs>775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Wafi Bin Ramli</dc:creator>
  <cp:lastModifiedBy>ADMIN</cp:lastModifiedBy>
  <cp:revision>4</cp:revision>
  <dcterms:created xsi:type="dcterms:W3CDTF">2024-08-29T03:38:00Z</dcterms:created>
  <dcterms:modified xsi:type="dcterms:W3CDTF">2024-08-29T03:44:00Z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2019-08-23T00:00:00Z</vt:filetime>
  </property>
  <property fmtid="{D5CDD505-2E9C-101B-9397-08002B2CF9AE}" pid="3" name="Creator">
    <vt:lpwstr>Microsoft® Word 2010</vt:lpwstr>
  </property>
  <property fmtid="{D5CDD505-2E9C-101B-9397-08002B2CF9AE}" pid="4" name="LastSaved">
    <vt:filetime>2024-02-05T00:00:00Z</vt:filetime>
  </property>
  <property fmtid="{D5CDD505-2E9C-101B-9397-08002B2CF9AE}" pid="5" name="Mendeley Document_1">
    <vt:lpwstr>True</vt:lpwstr>
  </property>
  <property fmtid="{D5CDD505-2E9C-101B-9397-08002B2CF9AE}" pid="6" name="Mendeley Unique User Id_1">
    <vt:lpwstr>b4822161-48d9-3a0f-a968-849ce17267c8</vt:lpwstr>
  </property>
  <property fmtid="{D5CDD505-2E9C-101B-9397-08002B2CF9AE}" pid="7" name="Mendeley Citation Style_1">
    <vt:lpwstr>http://www.zotero.org/styles/apa</vt:lpwstr>
  </property>
  <property fmtid="{D5CDD505-2E9C-101B-9397-08002B2CF9AE}" pid="8" name="Mendeley Recent Style Id 0_1">
    <vt:lpwstr>http://www.zotero.org/styles/american-political-science-association</vt:lpwstr>
  </property>
  <property fmtid="{D5CDD505-2E9C-101B-9397-08002B2CF9AE}" pid="9" name="Mendeley Recent Style Name 0_1">
    <vt:lpwstr>American Political Science Association</vt:lpwstr>
  </property>
  <property fmtid="{D5CDD505-2E9C-101B-9397-08002B2CF9AE}" pid="10" name="Mendeley Recent Style Id 1_1">
    <vt:lpwstr>http://www.zotero.org/styles/apa</vt:lpwstr>
  </property>
  <property fmtid="{D5CDD505-2E9C-101B-9397-08002B2CF9AE}" pid="11" name="Mendeley Recent Style Name 1_1">
    <vt:lpwstr>American Psychological Association 7th edition</vt:lpwstr>
  </property>
  <property fmtid="{D5CDD505-2E9C-101B-9397-08002B2CF9AE}" pid="12" name="Mendeley Recent Style Id 2_1">
    <vt:lpwstr>http://www.zotero.org/styles/american-sociological-association</vt:lpwstr>
  </property>
  <property fmtid="{D5CDD505-2E9C-101B-9397-08002B2CF9AE}" pid="13" name="Mendeley Recent Style Name 2_1">
    <vt:lpwstr>American Sociological Association 6th edition</vt:lpwstr>
  </property>
  <property fmtid="{D5CDD505-2E9C-101B-9397-08002B2CF9AE}" pid="14" name="Mendeley Recent Style Id 3_1">
    <vt:lpwstr>http://www.zotero.org/styles/chicago-author-date</vt:lpwstr>
  </property>
  <property fmtid="{D5CDD505-2E9C-101B-9397-08002B2CF9AE}" pid="15" name="Mendeley Recent Style Name 3_1">
    <vt:lpwstr>Chicago Manual of Style 17th edition (author-date)</vt:lpwstr>
  </property>
  <property fmtid="{D5CDD505-2E9C-101B-9397-08002B2CF9AE}" pid="16" name="Mendeley Recent Style Id 4_1">
    <vt:lpwstr>http://www.zotero.org/styles/harvard-cite-them-right</vt:lpwstr>
  </property>
  <property fmtid="{D5CDD505-2E9C-101B-9397-08002B2CF9AE}" pid="17" name="Mendeley Recent Style Name 4_1">
    <vt:lpwstr>Cite Them Right 10th edition - Harvard</vt:lpwstr>
  </property>
  <property fmtid="{D5CDD505-2E9C-101B-9397-08002B2CF9AE}" pid="18" name="Mendeley Recent Style Id 5_1">
    <vt:lpwstr>https://csl.mendeley.com/styles/480481211/GayaUKM-Haroon-Melayu</vt:lpwstr>
  </property>
  <property fmtid="{D5CDD505-2E9C-101B-9397-08002B2CF9AE}" pid="19" name="Mendeley Recent Style Name 5_1">
    <vt:lpwstr>Gaya UKM (BM-2018) - Dr. Haroon Rashid</vt:lpwstr>
  </property>
  <property fmtid="{D5CDD505-2E9C-101B-9397-08002B2CF9AE}" pid="20" name="Mendeley Recent Style Id 6_1">
    <vt:lpwstr>https://csl.mendeley.com/styles/480481211/GayaUKM-Haroon-English</vt:lpwstr>
  </property>
  <property fmtid="{D5CDD505-2E9C-101B-9397-08002B2CF9AE}" pid="21" name="Mendeley Recent Style Name 6_1">
    <vt:lpwstr>Gaya UKM (English-2018) - Dr. Haroon Rashid</vt:lpwstr>
  </property>
  <property fmtid="{D5CDD505-2E9C-101B-9397-08002B2CF9AE}" pid="22" name="Mendeley Recent Style Id 7_1">
    <vt:lpwstr>http://www.zotero.org/styles/ieee</vt:lpwstr>
  </property>
  <property fmtid="{D5CDD505-2E9C-101B-9397-08002B2CF9AE}" pid="23" name="Mendeley Recent Style Name 7_1">
    <vt:lpwstr>IEEE</vt:lpwstr>
  </property>
  <property fmtid="{D5CDD505-2E9C-101B-9397-08002B2CF9AE}" pid="24" name="Mendeley Recent Style Id 8_1">
    <vt:lpwstr>http://www.zotero.org/styles/modern-humanities-research-association</vt:lpwstr>
  </property>
  <property fmtid="{D5CDD505-2E9C-101B-9397-08002B2CF9AE}" pid="25" name="Mendeley Recent Style Name 8_1">
    <vt:lpwstr>Modern Humanities Research Association 3rd edition (note with bibliography)</vt:lpwstr>
  </property>
  <property fmtid="{D5CDD505-2E9C-101B-9397-08002B2CF9AE}" pid="26" name="Mendeley Recent Style Id 9_1">
    <vt:lpwstr>http://www.zotero.org/styles/modern-language-association</vt:lpwstr>
  </property>
  <property fmtid="{D5CDD505-2E9C-101B-9397-08002B2CF9AE}" pid="27" name="Mendeley Recent Style Name 9_1">
    <vt:lpwstr>Modern Language Association 8th edition</vt:lpwstr>
  </property>
  <property fmtid="{D5CDD505-2E9C-101B-9397-08002B2CF9AE}" pid="28" name="KSOProductBuildVer">
    <vt:lpwstr>1033-12.2.0.13489</vt:lpwstr>
  </property>
  <property fmtid="{D5CDD505-2E9C-101B-9397-08002B2CF9AE}" pid="29" name="ICV">
    <vt:lpwstr>1EC7F5470B6F4593AB6404C57B1995AF_13</vt:lpwstr>
  </property>
  <property fmtid="{D5CDD505-2E9C-101B-9397-08002B2CF9AE}" pid="30" name="GrammarlyDocumentId">
    <vt:lpwstr>e9ecddd90e1923cc8571082912bbaf4eaf9e964056eb98eb4c22f1ddbc727b9f</vt:lpwstr>
  </property>
</Properties>
</file>