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A4903" w14:textId="7BC6BE6C" w:rsidR="004F3706" w:rsidRPr="0088738F" w:rsidRDefault="0088738F" w:rsidP="00F51AAF">
      <w:pPr>
        <w:spacing w:after="0" w:line="240" w:lineRule="auto"/>
        <w:ind w:leftChars="0" w:left="0" w:firstLineChars="0" w:firstLine="0"/>
        <w:jc w:val="center"/>
        <w:rPr>
          <w:rFonts w:ascii="Times New Roman" w:eastAsia="Times New Roman" w:hAnsi="Times New Roman" w:cs="Times New Roman"/>
          <w:b/>
          <w:bCs/>
          <w:sz w:val="28"/>
          <w:szCs w:val="28"/>
        </w:rPr>
      </w:pPr>
      <w:r w:rsidRPr="0088738F">
        <w:rPr>
          <w:rFonts w:ascii="Times New Roman" w:eastAsia="Times New Roman" w:hAnsi="Times New Roman" w:cs="Times New Roman"/>
          <w:b/>
          <w:bCs/>
          <w:sz w:val="28"/>
          <w:szCs w:val="28"/>
          <w:lang w:val="en-GB"/>
        </w:rPr>
        <w:t xml:space="preserve">Toward Sustainable Waste Management: Assessing </w:t>
      </w:r>
      <w:r w:rsidR="001E2F15" w:rsidRPr="0088738F">
        <w:rPr>
          <w:rFonts w:ascii="Times New Roman" w:eastAsia="Times New Roman" w:hAnsi="Times New Roman" w:cs="Times New Roman"/>
          <w:b/>
          <w:bCs/>
          <w:sz w:val="28"/>
          <w:szCs w:val="28"/>
          <w:lang w:val="en-GB"/>
        </w:rPr>
        <w:t xml:space="preserve">factors affecting single-use plastic reduction </w:t>
      </w:r>
      <w:r w:rsidRPr="0088738F">
        <w:rPr>
          <w:rFonts w:ascii="Times New Roman" w:eastAsia="Times New Roman" w:hAnsi="Times New Roman" w:cs="Times New Roman"/>
          <w:b/>
          <w:bCs/>
          <w:sz w:val="28"/>
          <w:szCs w:val="28"/>
          <w:lang w:val="en-GB"/>
        </w:rPr>
        <w:t xml:space="preserve">in the Southern Region of Malaysia  </w:t>
      </w:r>
    </w:p>
    <w:p w14:paraId="2BBF7451" w14:textId="77777777" w:rsidR="00F51AAF"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353179E8" w14:textId="2630732E" w:rsidR="00C243AF" w:rsidRPr="0088738F"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vertAlign w:val="superscript"/>
        </w:rPr>
      </w:pPr>
      <w:r w:rsidRPr="0088738F">
        <w:rPr>
          <w:rFonts w:ascii="Times New Roman" w:eastAsia="Times New Roman" w:hAnsi="Times New Roman" w:cs="Times New Roman"/>
        </w:rPr>
        <w:t xml:space="preserve">Mohamad Sofian </w:t>
      </w:r>
      <w:proofErr w:type="spellStart"/>
      <w:r w:rsidRPr="0088738F">
        <w:rPr>
          <w:rFonts w:ascii="Times New Roman" w:eastAsia="Times New Roman" w:hAnsi="Times New Roman" w:cs="Times New Roman"/>
        </w:rPr>
        <w:t>Abd</w:t>
      </w:r>
      <w:proofErr w:type="spellEnd"/>
      <w:r w:rsidRPr="0088738F">
        <w:rPr>
          <w:rFonts w:ascii="Times New Roman" w:eastAsia="Times New Roman" w:hAnsi="Times New Roman" w:cs="Times New Roman"/>
        </w:rPr>
        <w:t xml:space="preserve"> Rahim</w:t>
      </w:r>
      <w:r w:rsidRPr="0088738F">
        <w:rPr>
          <w:rFonts w:ascii="Times New Roman" w:eastAsia="Times New Roman" w:hAnsi="Times New Roman" w:cs="Times New Roman"/>
          <w:vertAlign w:val="superscript"/>
        </w:rPr>
        <w:t>1</w:t>
      </w:r>
      <w:r w:rsidRPr="0088738F">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Azwani</w:t>
      </w:r>
      <w:proofErr w:type="spellEnd"/>
      <w:r w:rsidRPr="0088738F">
        <w:rPr>
          <w:rFonts w:ascii="Times New Roman" w:eastAsia="Times New Roman" w:hAnsi="Times New Roman" w:cs="Times New Roman"/>
        </w:rPr>
        <w:t xml:space="preserve"> Alias</w:t>
      </w:r>
      <w:r w:rsidRPr="0088738F">
        <w:rPr>
          <w:rFonts w:ascii="Times New Roman" w:eastAsia="Times New Roman" w:hAnsi="Times New Roman" w:cs="Times New Roman"/>
          <w:vertAlign w:val="superscript"/>
        </w:rPr>
        <w:t>1*</w:t>
      </w:r>
      <w:r w:rsidRPr="0088738F">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Nurezdiani</w:t>
      </w:r>
      <w:proofErr w:type="spellEnd"/>
      <w:r w:rsidRPr="0088738F">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Binti</w:t>
      </w:r>
      <w:proofErr w:type="spellEnd"/>
      <w:r w:rsidRPr="0088738F">
        <w:rPr>
          <w:rFonts w:ascii="Times New Roman" w:eastAsia="Times New Roman" w:hAnsi="Times New Roman" w:cs="Times New Roman"/>
        </w:rPr>
        <w:t xml:space="preserve"> Said</w:t>
      </w:r>
      <w:r w:rsidRPr="0088738F">
        <w:rPr>
          <w:rFonts w:ascii="Times New Roman" w:eastAsia="Times New Roman" w:hAnsi="Times New Roman" w:cs="Times New Roman"/>
          <w:vertAlign w:val="superscript"/>
        </w:rPr>
        <w:t>1</w:t>
      </w:r>
      <w:r w:rsidRPr="0088738F">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Siti</w:t>
      </w:r>
      <w:proofErr w:type="spellEnd"/>
      <w:r w:rsidRPr="0088738F">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Norliyana</w:t>
      </w:r>
      <w:proofErr w:type="spellEnd"/>
      <w:r w:rsidRPr="0088738F">
        <w:rPr>
          <w:rFonts w:ascii="Times New Roman" w:eastAsia="Times New Roman" w:hAnsi="Times New Roman" w:cs="Times New Roman"/>
        </w:rPr>
        <w:t xml:space="preserve"> Harun</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Noorashikin</w:t>
      </w:r>
      <w:proofErr w:type="spellEnd"/>
      <w:r w:rsidRPr="0088738F">
        <w:rPr>
          <w:rFonts w:ascii="Times New Roman" w:eastAsia="Times New Roman" w:hAnsi="Times New Roman" w:cs="Times New Roman"/>
        </w:rPr>
        <w:t xml:space="preserve"> </w:t>
      </w:r>
      <w:proofErr w:type="spellStart"/>
      <w:r w:rsidRPr="0088738F">
        <w:rPr>
          <w:rFonts w:ascii="Times New Roman" w:eastAsia="Times New Roman" w:hAnsi="Times New Roman" w:cs="Times New Roman"/>
        </w:rPr>
        <w:t>Md</w:t>
      </w:r>
      <w:proofErr w:type="spellEnd"/>
      <w:r w:rsidRPr="0088738F">
        <w:rPr>
          <w:rFonts w:ascii="Times New Roman" w:eastAsia="Times New Roman" w:hAnsi="Times New Roman" w:cs="Times New Roman"/>
        </w:rPr>
        <w:t xml:space="preserve"> Noor</w:t>
      </w:r>
      <w:r>
        <w:rPr>
          <w:rFonts w:ascii="Times New Roman" w:eastAsia="Times New Roman" w:hAnsi="Times New Roman" w:cs="Times New Roman"/>
          <w:vertAlign w:val="superscript"/>
        </w:rPr>
        <w:t>3,4</w:t>
      </w:r>
      <w:r w:rsidRPr="0088738F">
        <w:rPr>
          <w:rFonts w:ascii="Times New Roman" w:eastAsia="Times New Roman" w:hAnsi="Times New Roman" w:cs="Times New Roman"/>
          <w:vertAlign w:val="superscript"/>
        </w:rPr>
        <w:t>*</w:t>
      </w:r>
      <w:r w:rsidRPr="0088738F">
        <w:rPr>
          <w:rFonts w:ascii="Times New Roman" w:eastAsia="Times New Roman" w:hAnsi="Times New Roman" w:cs="Times New Roman"/>
        </w:rPr>
        <w:t xml:space="preserve"> </w:t>
      </w:r>
    </w:p>
    <w:p w14:paraId="461E863C" w14:textId="77777777" w:rsidR="00C243AF"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C10742E" w14:textId="128435E4" w:rsidR="00C243AF" w:rsidRPr="0088738F"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88738F">
        <w:rPr>
          <w:rFonts w:ascii="Times New Roman" w:eastAsia="Times New Roman" w:hAnsi="Times New Roman" w:cs="Times New Roman"/>
          <w:color w:val="000000"/>
          <w:vertAlign w:val="superscript"/>
        </w:rPr>
        <w:t>1</w:t>
      </w:r>
      <w:r w:rsidRPr="0088738F">
        <w:rPr>
          <w:rFonts w:ascii="Times New Roman" w:eastAsia="Times New Roman" w:hAnsi="Times New Roman" w:cs="Times New Roman"/>
          <w:color w:val="000000"/>
        </w:rPr>
        <w:t>Faculty of Allied Health Sciences (FOAHS), City University Malaysia</w:t>
      </w:r>
    </w:p>
    <w:p w14:paraId="49E211E5" w14:textId="77777777" w:rsidR="001E2F15"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Pr="0088738F">
        <w:rPr>
          <w:rFonts w:ascii="Times New Roman" w:eastAsia="Times New Roman" w:hAnsi="Times New Roman" w:cs="Times New Roman"/>
          <w:color w:val="000000"/>
        </w:rPr>
        <w:t xml:space="preserve">Centre for Tropical Climate Change System, Institute of Climate Change, </w:t>
      </w:r>
    </w:p>
    <w:p w14:paraId="76354B68" w14:textId="1F4F8D07" w:rsidR="00C243AF"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roofErr w:type="spellStart"/>
      <w:r w:rsidRPr="0088738F">
        <w:rPr>
          <w:rFonts w:ascii="Times New Roman" w:eastAsia="Times New Roman" w:hAnsi="Times New Roman" w:cs="Times New Roman"/>
          <w:color w:val="000000"/>
        </w:rPr>
        <w:t>Universiti</w:t>
      </w:r>
      <w:proofErr w:type="spellEnd"/>
      <w:r w:rsidRPr="0088738F">
        <w:rPr>
          <w:rFonts w:ascii="Times New Roman" w:eastAsia="Times New Roman" w:hAnsi="Times New Roman" w:cs="Times New Roman"/>
          <w:color w:val="000000"/>
        </w:rPr>
        <w:t xml:space="preserve"> </w:t>
      </w:r>
      <w:proofErr w:type="spellStart"/>
      <w:r w:rsidRPr="0088738F">
        <w:rPr>
          <w:rFonts w:ascii="Times New Roman" w:eastAsia="Times New Roman" w:hAnsi="Times New Roman" w:cs="Times New Roman"/>
          <w:color w:val="000000"/>
        </w:rPr>
        <w:t>Kebangsaan</w:t>
      </w:r>
      <w:proofErr w:type="spellEnd"/>
      <w:r w:rsidRPr="0088738F">
        <w:rPr>
          <w:rFonts w:ascii="Times New Roman" w:eastAsia="Times New Roman" w:hAnsi="Times New Roman" w:cs="Times New Roman"/>
          <w:color w:val="000000"/>
        </w:rPr>
        <w:t xml:space="preserve"> Malaysia </w:t>
      </w:r>
    </w:p>
    <w:p w14:paraId="143A0405" w14:textId="77777777" w:rsidR="001E2F15"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Pr="0088738F">
        <w:rPr>
          <w:rFonts w:ascii="Times New Roman" w:eastAsia="Times New Roman" w:hAnsi="Times New Roman" w:cs="Times New Roman"/>
          <w:color w:val="000000"/>
        </w:rPr>
        <w:t xml:space="preserve">Earth Observation Centre, Institute of Climate Change, </w:t>
      </w:r>
      <w:proofErr w:type="spellStart"/>
      <w:r w:rsidRPr="0088738F">
        <w:rPr>
          <w:rFonts w:ascii="Times New Roman" w:eastAsia="Times New Roman" w:hAnsi="Times New Roman" w:cs="Times New Roman"/>
          <w:color w:val="000000"/>
        </w:rPr>
        <w:t>Universiti</w:t>
      </w:r>
      <w:proofErr w:type="spellEnd"/>
      <w:r w:rsidRPr="0088738F">
        <w:rPr>
          <w:rFonts w:ascii="Times New Roman" w:eastAsia="Times New Roman" w:hAnsi="Times New Roman" w:cs="Times New Roman"/>
          <w:color w:val="000000"/>
        </w:rPr>
        <w:t xml:space="preserve"> </w:t>
      </w:r>
      <w:proofErr w:type="spellStart"/>
      <w:r w:rsidRPr="0088738F">
        <w:rPr>
          <w:rFonts w:ascii="Times New Roman" w:eastAsia="Times New Roman" w:hAnsi="Times New Roman" w:cs="Times New Roman"/>
          <w:color w:val="000000"/>
        </w:rPr>
        <w:t>Kebangsaan</w:t>
      </w:r>
      <w:proofErr w:type="spellEnd"/>
      <w:r w:rsidRPr="0088738F">
        <w:rPr>
          <w:rFonts w:ascii="Times New Roman" w:eastAsia="Times New Roman" w:hAnsi="Times New Roman" w:cs="Times New Roman"/>
          <w:color w:val="000000"/>
        </w:rPr>
        <w:t xml:space="preserve"> </w:t>
      </w:r>
    </w:p>
    <w:p w14:paraId="13CB308B" w14:textId="10B8F8CB" w:rsidR="00C243AF"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4</w:t>
      </w:r>
      <w:r w:rsidRPr="00C243AF">
        <w:rPr>
          <w:rFonts w:ascii="Times New Roman" w:eastAsia="Times New Roman" w:hAnsi="Times New Roman" w:cs="Times New Roman"/>
          <w:color w:val="000000"/>
        </w:rPr>
        <w:t>Marine Ecosystem Research Centre (EKOMAR)</w:t>
      </w:r>
      <w:r>
        <w:rPr>
          <w:rFonts w:ascii="Times New Roman" w:eastAsia="Times New Roman" w:hAnsi="Times New Roman" w:cs="Times New Roman"/>
          <w:color w:val="000000"/>
        </w:rPr>
        <w:t xml:space="preserve">, </w:t>
      </w:r>
      <w:r w:rsidRPr="00C243AF">
        <w:rPr>
          <w:rFonts w:ascii="Times New Roman" w:eastAsia="Times New Roman" w:hAnsi="Times New Roman" w:cs="Times New Roman"/>
          <w:color w:val="000000"/>
        </w:rPr>
        <w:t>Centre for Natural and Physical Laboratory Management of UKM (ALAF-UKM),</w:t>
      </w:r>
      <w:r>
        <w:rPr>
          <w:rFonts w:ascii="Times New Roman" w:eastAsia="Times New Roman" w:hAnsi="Times New Roman" w:cs="Times New Roman"/>
          <w:b/>
          <w:bCs/>
          <w:color w:val="000000"/>
        </w:rPr>
        <w:t xml:space="preserve"> </w:t>
      </w:r>
      <w:proofErr w:type="spellStart"/>
      <w:r w:rsidRPr="0088738F">
        <w:rPr>
          <w:rFonts w:ascii="Times New Roman" w:eastAsia="Times New Roman" w:hAnsi="Times New Roman" w:cs="Times New Roman"/>
          <w:color w:val="000000"/>
        </w:rPr>
        <w:t>Universiti</w:t>
      </w:r>
      <w:proofErr w:type="spellEnd"/>
      <w:r w:rsidRPr="0088738F">
        <w:rPr>
          <w:rFonts w:ascii="Times New Roman" w:eastAsia="Times New Roman" w:hAnsi="Times New Roman" w:cs="Times New Roman"/>
          <w:color w:val="000000"/>
        </w:rPr>
        <w:t xml:space="preserve"> </w:t>
      </w:r>
      <w:proofErr w:type="spellStart"/>
      <w:r w:rsidRPr="0088738F">
        <w:rPr>
          <w:rFonts w:ascii="Times New Roman" w:eastAsia="Times New Roman" w:hAnsi="Times New Roman" w:cs="Times New Roman"/>
          <w:color w:val="000000"/>
        </w:rPr>
        <w:t>Kebangsaan</w:t>
      </w:r>
      <w:proofErr w:type="spellEnd"/>
      <w:r w:rsidRPr="0088738F">
        <w:rPr>
          <w:rFonts w:ascii="Times New Roman" w:eastAsia="Times New Roman" w:hAnsi="Times New Roman" w:cs="Times New Roman"/>
          <w:color w:val="000000"/>
        </w:rPr>
        <w:t xml:space="preserve"> Malaysia </w:t>
      </w:r>
    </w:p>
    <w:p w14:paraId="66BD5EBA" w14:textId="77777777" w:rsidR="00F51AAF" w:rsidRPr="00C243AF"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rPr>
      </w:pPr>
    </w:p>
    <w:p w14:paraId="7511F8CB" w14:textId="77777777" w:rsidR="00C243AF" w:rsidRDefault="00C243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i/>
          <w:color w:val="000000"/>
        </w:rPr>
      </w:pPr>
      <w:r>
        <w:rPr>
          <w:rFonts w:ascii="Times New Roman" w:eastAsia="Times New Roman" w:hAnsi="Times New Roman" w:cs="Times New Roman"/>
          <w:color w:val="000000"/>
        </w:rPr>
        <w:t xml:space="preserve">Correspondence: </w:t>
      </w:r>
      <w:proofErr w:type="spellStart"/>
      <w:r w:rsidRPr="0088738F">
        <w:rPr>
          <w:rFonts w:ascii="Times New Roman" w:eastAsia="Times New Roman" w:hAnsi="Times New Roman" w:cs="Times New Roman"/>
          <w:color w:val="000000"/>
        </w:rPr>
        <w:t>Noorashikin</w:t>
      </w:r>
      <w:proofErr w:type="spellEnd"/>
      <w:r w:rsidRPr="0088738F">
        <w:rPr>
          <w:rFonts w:ascii="Times New Roman" w:eastAsia="Times New Roman" w:hAnsi="Times New Roman" w:cs="Times New Roman"/>
          <w:color w:val="000000"/>
        </w:rPr>
        <w:t xml:space="preserve"> </w:t>
      </w:r>
      <w:proofErr w:type="spellStart"/>
      <w:r w:rsidRPr="0088738F">
        <w:rPr>
          <w:rFonts w:ascii="Times New Roman" w:eastAsia="Times New Roman" w:hAnsi="Times New Roman" w:cs="Times New Roman"/>
          <w:color w:val="000000"/>
        </w:rPr>
        <w:t>Md</w:t>
      </w:r>
      <w:proofErr w:type="spellEnd"/>
      <w:r w:rsidRPr="0088738F">
        <w:rPr>
          <w:rFonts w:ascii="Times New Roman" w:eastAsia="Times New Roman" w:hAnsi="Times New Roman" w:cs="Times New Roman"/>
          <w:color w:val="000000"/>
        </w:rPr>
        <w:t xml:space="preserve"> Noor</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(email: </w:t>
      </w:r>
      <w:hyperlink r:id="rId7" w:history="1">
        <w:r w:rsidRPr="00033641">
          <w:rPr>
            <w:rStyle w:val="Hyperlink"/>
            <w:rFonts w:ascii="Times New Roman" w:eastAsia="Times New Roman" w:hAnsi="Times New Roman" w:cs="Times New Roman"/>
            <w:iCs/>
            <w:color w:val="auto"/>
            <w:u w:val="none"/>
          </w:rPr>
          <w:t>noor@ukm.edu.my</w:t>
        </w:r>
      </w:hyperlink>
      <w:r w:rsidRPr="00033641">
        <w:rPr>
          <w:rFonts w:ascii="Times New Roman" w:eastAsia="Times New Roman" w:hAnsi="Times New Roman" w:cs="Times New Roman"/>
          <w:iCs/>
        </w:rPr>
        <w:t>)</w:t>
      </w:r>
    </w:p>
    <w:p w14:paraId="2D2F4188" w14:textId="77777777" w:rsidR="004F3706" w:rsidRDefault="004F3706"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41AB52EE" w14:textId="5B902997" w:rsidR="004F3706" w:rsidRDefault="00265910"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265910">
        <w:rPr>
          <w:rFonts w:ascii="Times New Roman" w:eastAsia="Times New Roman" w:hAnsi="Times New Roman" w:cs="Times New Roman"/>
        </w:rPr>
        <w:t xml:space="preserve">Received: </w:t>
      </w:r>
      <w:r w:rsidR="00052DE1">
        <w:rPr>
          <w:rFonts w:ascii="Times New Roman" w:eastAsia="Times New Roman" w:hAnsi="Times New Roman" w:cs="Times New Roman"/>
        </w:rPr>
        <w:t xml:space="preserve">11 </w:t>
      </w:r>
      <w:r>
        <w:rPr>
          <w:rFonts w:ascii="Times New Roman" w:eastAsia="Times New Roman" w:hAnsi="Times New Roman" w:cs="Times New Roman"/>
        </w:rPr>
        <w:t>July</w:t>
      </w:r>
      <w:r w:rsidRPr="00265910">
        <w:rPr>
          <w:rFonts w:ascii="Times New Roman" w:eastAsia="Times New Roman" w:hAnsi="Times New Roman" w:cs="Times New Roman"/>
        </w:rPr>
        <w:t xml:space="preserve"> 2024; Accepted: </w:t>
      </w:r>
      <w:r>
        <w:rPr>
          <w:rFonts w:ascii="Times New Roman" w:eastAsia="Times New Roman" w:hAnsi="Times New Roman" w:cs="Times New Roman"/>
        </w:rPr>
        <w:t>20</w:t>
      </w:r>
      <w:r w:rsidRPr="00265910">
        <w:rPr>
          <w:rFonts w:ascii="Times New Roman" w:eastAsia="Times New Roman" w:hAnsi="Times New Roman" w:cs="Times New Roman"/>
        </w:rPr>
        <w:t xml:space="preserve"> November 2024; Published: 29 November 2024</w:t>
      </w:r>
    </w:p>
    <w:p w14:paraId="649940E3" w14:textId="77777777"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16F31B3C" w14:textId="77777777" w:rsidR="001E2F15" w:rsidRDefault="001E2F15"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65B28CB" w14:textId="74DAE434" w:rsidR="004F3706" w:rsidRDefault="0059295A" w:rsidP="00052DE1">
      <w:pPr>
        <w:pBdr>
          <w:top w:val="nil"/>
          <w:left w:val="nil"/>
          <w:bottom w:val="nil"/>
          <w:right w:val="nil"/>
          <w:between w:val="nil"/>
        </w:pBdr>
        <w:tabs>
          <w:tab w:val="left" w:pos="3944"/>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r w:rsidR="00052DE1">
        <w:rPr>
          <w:rFonts w:ascii="Times New Roman" w:eastAsia="Times New Roman" w:hAnsi="Times New Roman" w:cs="Times New Roman"/>
          <w:b/>
          <w:color w:val="000000"/>
          <w:sz w:val="24"/>
          <w:szCs w:val="24"/>
        </w:rPr>
        <w:tab/>
      </w:r>
    </w:p>
    <w:p w14:paraId="5238D5E7" w14:textId="77777777"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6370BE0" w14:textId="38C44D3E"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In response to the urgent need for enhanced waste management practices, a study was undertaken to identify factors influencing the effectiveness of a single-use plastic reduction program in the </w:t>
      </w:r>
      <w:r w:rsidRPr="00F51AAF">
        <w:rPr>
          <w:rFonts w:ascii="Times New Roman" w:eastAsia="Times New Roman" w:hAnsi="Times New Roman" w:cs="Times New Roman"/>
          <w:color w:val="000000"/>
          <w:sz w:val="24"/>
          <w:szCs w:val="24"/>
        </w:rPr>
        <w:t>Sothern part of Malaysia. By 2030, Malaysia has set an ambitious target to phase out single-use plastics, as outlined in the Roadmap Towards Zero Single-Use Plastics 2018-2030. However</w:t>
      </w:r>
      <w:r w:rsidR="006021CB" w:rsidRPr="00F51AAF">
        <w:t xml:space="preserve">, </w:t>
      </w:r>
      <w:r w:rsidR="006021CB" w:rsidRPr="00F51AAF">
        <w:rPr>
          <w:rFonts w:ascii="Times New Roman" w:eastAsia="Times New Roman" w:hAnsi="Times New Roman" w:cs="Times New Roman"/>
          <w:color w:val="000000"/>
          <w:sz w:val="24"/>
          <w:szCs w:val="24"/>
        </w:rPr>
        <w:t xml:space="preserve">the roadmap lacks a clear and unified strategy, relying on state governments and stakeholders to align their efforts. This lack of strategic cohesion represents a critical research gap, particularly regarding the role of local stakeholders, such as food hawkers, whose participation is essential for the program's success. </w:t>
      </w:r>
      <w:r w:rsidRPr="00F51AAF">
        <w:rPr>
          <w:rFonts w:ascii="Times New Roman" w:eastAsia="Times New Roman" w:hAnsi="Times New Roman" w:cs="Times New Roman"/>
          <w:color w:val="000000"/>
          <w:sz w:val="24"/>
          <w:szCs w:val="24"/>
        </w:rPr>
        <w:t>In this context, the pivotal role of food hawkers in ensuring the success of such programs cannot be overstated. A survey involving 149 respondents was conducted to analyze knowledge, attitudes, and practices related to single-use plastic reduction. Descriptive analysis, Cronbach's alpha, Likert scale analysis, and Pearson correlation were employed to achieve the research objectives. The findings reveal that knowledge significantly influences attitudes towards single-use plastic reduction, with a strong correlation observed between the two variables. Additionally, socio-demographic characteristics</w:t>
      </w:r>
      <w:r w:rsidR="006021CB" w:rsidRPr="00F51AAF">
        <w:t xml:space="preserve"> </w:t>
      </w:r>
      <w:r w:rsidR="006021CB" w:rsidRPr="00F51AAF">
        <w:rPr>
          <w:rFonts w:ascii="Times New Roman" w:eastAsia="Times New Roman" w:hAnsi="Times New Roman" w:cs="Times New Roman"/>
          <w:color w:val="000000"/>
          <w:sz w:val="24"/>
          <w:szCs w:val="24"/>
        </w:rPr>
        <w:t>such as age, education level, and income,</w:t>
      </w:r>
      <w:r w:rsidRPr="00F51AAF">
        <w:rPr>
          <w:rFonts w:ascii="Times New Roman" w:eastAsia="Times New Roman" w:hAnsi="Times New Roman" w:cs="Times New Roman"/>
          <w:color w:val="000000"/>
          <w:sz w:val="24"/>
          <w:szCs w:val="24"/>
        </w:rPr>
        <w:t xml:space="preserve"> exhibit notable disparities in factors associated with single-use plastic reduction. In</w:t>
      </w:r>
      <w:r w:rsidRPr="0088738F">
        <w:rPr>
          <w:rFonts w:ascii="Times New Roman" w:eastAsia="Times New Roman" w:hAnsi="Times New Roman" w:cs="Times New Roman"/>
          <w:color w:val="000000"/>
          <w:sz w:val="24"/>
          <w:szCs w:val="24"/>
        </w:rPr>
        <w:t xml:space="preserve"> conclusion, addressing knowledge gaps emerges as a critical aspect of effective single-use plastic reduction initiatives. Moreover, tailored interventions considering socio-demographic diversity are essential for comprehensive program success.</w:t>
      </w:r>
    </w:p>
    <w:p w14:paraId="75A79F82" w14:textId="25EC9DE0" w:rsidR="004F3706" w:rsidRDefault="004F3706"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A9F360A" w14:textId="1F7A4377"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88738F" w:rsidRPr="0088738F">
        <w:rPr>
          <w:rFonts w:ascii="Times New Roman" w:eastAsia="Times New Roman" w:hAnsi="Times New Roman" w:cs="Times New Roman"/>
          <w:bCs/>
          <w:color w:val="000000"/>
          <w:sz w:val="24"/>
          <w:szCs w:val="24"/>
        </w:rPr>
        <w:t>Geographic distribution,</w:t>
      </w:r>
      <w:r w:rsidR="0088738F">
        <w:rPr>
          <w:rFonts w:ascii="Times New Roman" w:eastAsia="Times New Roman" w:hAnsi="Times New Roman" w:cs="Times New Roman"/>
          <w:b/>
          <w:color w:val="000000"/>
          <w:sz w:val="24"/>
          <w:szCs w:val="24"/>
        </w:rPr>
        <w:t xml:space="preserve"> </w:t>
      </w:r>
      <w:r w:rsidR="00062BC8" w:rsidRPr="0088738F">
        <w:rPr>
          <w:rFonts w:ascii="Times New Roman" w:eastAsia="Times New Roman" w:hAnsi="Times New Roman" w:cs="Times New Roman"/>
          <w:color w:val="000000"/>
          <w:sz w:val="24"/>
          <w:szCs w:val="24"/>
        </w:rPr>
        <w:t>responsible production, socio-demographic,</w:t>
      </w:r>
      <w:r w:rsidR="00062BC8">
        <w:rPr>
          <w:rFonts w:ascii="Times New Roman" w:eastAsia="Times New Roman" w:hAnsi="Times New Roman" w:cs="Times New Roman"/>
          <w:color w:val="000000"/>
          <w:sz w:val="24"/>
          <w:szCs w:val="24"/>
        </w:rPr>
        <w:t xml:space="preserve"> sustainability</w:t>
      </w:r>
      <w:r w:rsidR="0088738F">
        <w:rPr>
          <w:rFonts w:ascii="Times New Roman" w:eastAsia="Times New Roman" w:hAnsi="Times New Roman" w:cs="Times New Roman"/>
          <w:color w:val="000000"/>
          <w:sz w:val="24"/>
          <w:szCs w:val="24"/>
        </w:rPr>
        <w:t xml:space="preserve">, </w:t>
      </w:r>
      <w:r w:rsidR="0088738F" w:rsidRPr="0088738F">
        <w:rPr>
          <w:rFonts w:ascii="Times New Roman" w:eastAsia="Times New Roman" w:hAnsi="Times New Roman" w:cs="Times New Roman"/>
          <w:color w:val="000000"/>
          <w:sz w:val="24"/>
          <w:szCs w:val="24"/>
        </w:rPr>
        <w:t xml:space="preserve">SDG 12, </w:t>
      </w:r>
      <w:r w:rsidR="00062BC8" w:rsidRPr="0088738F">
        <w:rPr>
          <w:rFonts w:ascii="Times New Roman" w:eastAsia="Times New Roman" w:hAnsi="Times New Roman" w:cs="Times New Roman"/>
          <w:color w:val="000000"/>
          <w:sz w:val="24"/>
          <w:szCs w:val="24"/>
        </w:rPr>
        <w:t xml:space="preserve">waste management </w:t>
      </w:r>
    </w:p>
    <w:p w14:paraId="00229F62" w14:textId="08127828" w:rsidR="004F3706" w:rsidRDefault="004F3706" w:rsidP="00062BC8">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3AF6E265" w14:textId="77777777" w:rsidR="00062BC8" w:rsidRPr="00062BC8" w:rsidRDefault="00062BC8" w:rsidP="00062BC8">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4B491AB0" w14:textId="453685DF"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4E91B299" w14:textId="77777777" w:rsidR="004F3706" w:rsidRDefault="004F3706" w:rsidP="00F51AAF">
      <w:pPr>
        <w:spacing w:after="0" w:line="240" w:lineRule="auto"/>
        <w:ind w:leftChars="0" w:left="2" w:hanging="2"/>
        <w:jc w:val="both"/>
        <w:rPr>
          <w:rFonts w:ascii="Times New Roman" w:eastAsia="Times New Roman" w:hAnsi="Times New Roman" w:cs="Times New Roman"/>
          <w:sz w:val="24"/>
          <w:szCs w:val="24"/>
        </w:rPr>
      </w:pPr>
    </w:p>
    <w:p w14:paraId="30985355" w14:textId="70218781"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88738F">
        <w:rPr>
          <w:rFonts w:ascii="Times New Roman" w:eastAsia="Times New Roman" w:hAnsi="Times New Roman" w:cs="Times New Roman"/>
          <w:bCs/>
          <w:color w:val="000000"/>
          <w:sz w:val="24"/>
          <w:szCs w:val="24"/>
        </w:rPr>
        <w:t xml:space="preserve">Single-use plastic, also known as disposable plastic, is indispensable in modern food packaging due to its ability to ensure product safety and prolong shelf life. However, its widespread use poses </w:t>
      </w:r>
      <w:r w:rsidRPr="0088738F">
        <w:rPr>
          <w:rFonts w:ascii="Times New Roman" w:eastAsia="Times New Roman" w:hAnsi="Times New Roman" w:cs="Times New Roman"/>
          <w:bCs/>
          <w:color w:val="000000"/>
          <w:sz w:val="24"/>
          <w:szCs w:val="24"/>
        </w:rPr>
        <w:lastRenderedPageBreak/>
        <w:t xml:space="preserve">significant environmental and health risks, particularly in countries like Malaysia, where packaging constitutes a substantial portion of plastic consumption (Chen et al., 2021). </w:t>
      </w:r>
      <w:r w:rsidRPr="0088738F">
        <w:rPr>
          <w:rFonts w:ascii="Times New Roman" w:eastAsia="Times New Roman" w:hAnsi="Times New Roman" w:cs="Times New Roman"/>
          <w:bCs/>
          <w:color w:val="000000"/>
          <w:sz w:val="24"/>
          <w:szCs w:val="24"/>
          <w:lang w:val="ms-MY"/>
        </w:rPr>
        <w:t xml:space="preserve">Packaging accounts for the majority of plastic use, accounting for 39.6% of total demand; packaging accounts for one-third of global plastic production. The most important application area in Malaysian plastics is packaging. Plastic production and use are harmful to both the environment and human health (Alabi et al., 2019). </w:t>
      </w:r>
      <w:r w:rsidR="006A7B24" w:rsidRPr="00F51AAF">
        <w:rPr>
          <w:rFonts w:ascii="Times New Roman" w:eastAsia="Times New Roman" w:hAnsi="Times New Roman" w:cs="Times New Roman"/>
          <w:bCs/>
          <w:color w:val="000000"/>
          <w:sz w:val="24"/>
          <w:szCs w:val="24"/>
        </w:rPr>
        <w:t>As of 2020, Malaysia's estimated annual consumption of plastic food packaging was approximately 148,000 metric tons. This figure underscores the country's significant reliance on plastic materials for food packaging. Notably, Malaysia's per capita plastic packaging consumption stands at 16.78 kilograms, the highest among six Asian countries studied, surpassing nations like Thailand and Vietnam.</w:t>
      </w:r>
      <w:r w:rsidR="00F51AAF">
        <w:rPr>
          <w:rFonts w:ascii="Times New Roman" w:eastAsia="Times New Roman" w:hAnsi="Times New Roman" w:cs="Times New Roman"/>
          <w:bCs/>
          <w:color w:val="000000"/>
          <w:sz w:val="24"/>
          <w:szCs w:val="24"/>
        </w:rPr>
        <w:t xml:space="preserve"> </w:t>
      </w:r>
      <w:r w:rsidR="006A7B24" w:rsidRPr="006A7B24">
        <w:rPr>
          <w:rFonts w:ascii="Times New Roman" w:eastAsia="Times New Roman" w:hAnsi="Times New Roman" w:cs="Times New Roman"/>
          <w:bCs/>
          <w:color w:val="000000"/>
          <w:sz w:val="24"/>
          <w:szCs w:val="24"/>
        </w:rPr>
        <w:t>This high consumption rate highlights the pressing need for effective strategies to reduce plastic usage and mitigate environmental impacts.</w:t>
      </w:r>
      <w:r w:rsidR="006A7B24" w:rsidRPr="006A7B24">
        <w:rPr>
          <w:rFonts w:ascii="Times New Roman" w:eastAsia="Times New Roman" w:hAnsi="Times New Roman" w:cs="Times New Roman"/>
          <w:bCs/>
          <w:color w:val="000000"/>
          <w:sz w:val="24"/>
          <w:szCs w:val="24"/>
          <w:lang w:val="ms-MY"/>
        </w:rPr>
        <w:t xml:space="preserve"> </w:t>
      </w:r>
      <w:r w:rsidRPr="0088738F">
        <w:rPr>
          <w:rFonts w:ascii="Times New Roman" w:eastAsia="Times New Roman" w:hAnsi="Times New Roman" w:cs="Times New Roman"/>
          <w:bCs/>
          <w:color w:val="000000"/>
          <w:sz w:val="24"/>
          <w:szCs w:val="24"/>
          <w:lang w:val="ms-MY"/>
        </w:rPr>
        <w:t xml:space="preserve">(Simon, 2019). Malaysia is ranked eighth out of ten countries worldwide in terms of uncontrolled plastic waste (Kamaruddin et al., 2022). As a result of the excessive use of plastic, Malaysia is also at risk of developing solid waste problems. Malaysia has fallen short of the 2020 National Strategic Plan (NSP) goal for Solid Waste Management, which was established in August 2005. The goal is to divert 40% of waste from landfills while increasing recycling to 22%. Nearly 90% of solid waste is disposed of in sanitary landfills, with only 10.5% recycled (Tang et al., 2021). </w:t>
      </w:r>
    </w:p>
    <w:p w14:paraId="5EC1AFEE" w14:textId="60BCD288" w:rsidR="0088738F" w:rsidRPr="0088738F" w:rsidRDefault="0088738F"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rPr>
      </w:pPr>
      <w:r w:rsidRPr="0088738F">
        <w:rPr>
          <w:rFonts w:ascii="Times New Roman" w:eastAsia="Times New Roman" w:hAnsi="Times New Roman" w:cs="Times New Roman"/>
          <w:bCs/>
          <w:color w:val="000000"/>
          <w:sz w:val="24"/>
          <w:szCs w:val="24"/>
        </w:rPr>
        <w:t xml:space="preserve">Despite governmental efforts to curb plastic usage, challenges persist, especially among small food businesses such as street hawkers. </w:t>
      </w:r>
      <w:proofErr w:type="spellStart"/>
      <w:r w:rsidRPr="0088738F">
        <w:rPr>
          <w:rFonts w:ascii="Times New Roman" w:eastAsia="Times New Roman" w:hAnsi="Times New Roman" w:cs="Times New Roman"/>
          <w:bCs/>
          <w:color w:val="000000"/>
          <w:sz w:val="24"/>
          <w:szCs w:val="24"/>
        </w:rPr>
        <w:t>Tangkak</w:t>
      </w:r>
      <w:proofErr w:type="spellEnd"/>
      <w:r w:rsidRPr="0088738F">
        <w:rPr>
          <w:rFonts w:ascii="Times New Roman" w:eastAsia="Times New Roman" w:hAnsi="Times New Roman" w:cs="Times New Roman"/>
          <w:bCs/>
          <w:color w:val="000000"/>
          <w:sz w:val="24"/>
          <w:szCs w:val="24"/>
        </w:rPr>
        <w:t xml:space="preserve">, Johor, situated in the southern part of Malaysia, epitomizes these challenges, with </w:t>
      </w:r>
      <w:r w:rsidR="00054858" w:rsidRPr="006A7B24">
        <w:rPr>
          <w:rFonts w:ascii="Times New Roman" w:eastAsia="Times New Roman" w:hAnsi="Times New Roman" w:cs="Times New Roman"/>
          <w:bCs/>
          <w:sz w:val="24"/>
          <w:szCs w:val="24"/>
        </w:rPr>
        <w:t>the</w:t>
      </w:r>
      <w:r w:rsidR="00054858">
        <w:rPr>
          <w:rFonts w:ascii="Times New Roman" w:eastAsia="Times New Roman" w:hAnsi="Times New Roman" w:cs="Times New Roman"/>
          <w:bCs/>
          <w:color w:val="FF0000"/>
          <w:sz w:val="24"/>
          <w:szCs w:val="24"/>
        </w:rPr>
        <w:t xml:space="preserve"> </w:t>
      </w:r>
      <w:r w:rsidRPr="0088738F">
        <w:rPr>
          <w:rFonts w:ascii="Times New Roman" w:eastAsia="Times New Roman" w:hAnsi="Times New Roman" w:cs="Times New Roman"/>
          <w:bCs/>
          <w:color w:val="000000"/>
          <w:sz w:val="24"/>
          <w:szCs w:val="24"/>
        </w:rPr>
        <w:t xml:space="preserve">prevalent use of single-use plastics despite ongoing initiatives. Understanding the knowledge, attitudes, and practices of street food hawkers in </w:t>
      </w:r>
      <w:proofErr w:type="spellStart"/>
      <w:r w:rsidRPr="0088738F">
        <w:rPr>
          <w:rFonts w:ascii="Times New Roman" w:eastAsia="Times New Roman" w:hAnsi="Times New Roman" w:cs="Times New Roman"/>
          <w:bCs/>
          <w:color w:val="000000"/>
          <w:sz w:val="24"/>
          <w:szCs w:val="24"/>
        </w:rPr>
        <w:t>Tangkak</w:t>
      </w:r>
      <w:proofErr w:type="spellEnd"/>
      <w:r w:rsidRPr="0088738F">
        <w:rPr>
          <w:rFonts w:ascii="Times New Roman" w:eastAsia="Times New Roman" w:hAnsi="Times New Roman" w:cs="Times New Roman"/>
          <w:bCs/>
          <w:color w:val="000000"/>
          <w:sz w:val="24"/>
          <w:szCs w:val="24"/>
        </w:rPr>
        <w:t xml:space="preserve"> regarding single-use plastic reduction programs is crucial for effectively addressing this issue. </w:t>
      </w:r>
      <w:r w:rsidR="006A7B24" w:rsidRPr="00F51AAF">
        <w:rPr>
          <w:rFonts w:ascii="Times New Roman" w:eastAsia="Times New Roman" w:hAnsi="Times New Roman" w:cs="Times New Roman"/>
          <w:bCs/>
          <w:color w:val="000000"/>
          <w:sz w:val="24"/>
          <w:szCs w:val="24"/>
        </w:rPr>
        <w:t xml:space="preserve">Several factors contribute to the continued reliance on single-use plastics among street hawkers in </w:t>
      </w:r>
      <w:proofErr w:type="spellStart"/>
      <w:r w:rsidR="006A7B24" w:rsidRPr="00F51AAF">
        <w:rPr>
          <w:rFonts w:ascii="Times New Roman" w:eastAsia="Times New Roman" w:hAnsi="Times New Roman" w:cs="Times New Roman"/>
          <w:bCs/>
          <w:color w:val="000000"/>
          <w:sz w:val="24"/>
          <w:szCs w:val="24"/>
        </w:rPr>
        <w:t>Tangkak</w:t>
      </w:r>
      <w:proofErr w:type="spellEnd"/>
      <w:r w:rsidR="006A7B24" w:rsidRPr="00F51AAF">
        <w:rPr>
          <w:rFonts w:ascii="Times New Roman" w:eastAsia="Times New Roman" w:hAnsi="Times New Roman" w:cs="Times New Roman"/>
          <w:bCs/>
          <w:color w:val="000000"/>
          <w:sz w:val="24"/>
          <w:szCs w:val="24"/>
        </w:rPr>
        <w:t>, Johor, Southern Malaysia. One significant challenge is the lack of awareness about the health and environmental risks associated with single-use plastics and the availability of eco-friendly alternatives (</w:t>
      </w:r>
      <w:proofErr w:type="spellStart"/>
      <w:r w:rsidR="006A7B24" w:rsidRPr="00F51AAF">
        <w:rPr>
          <w:rFonts w:ascii="Times New Roman" w:eastAsia="Times New Roman" w:hAnsi="Times New Roman" w:cs="Times New Roman"/>
          <w:bCs/>
          <w:color w:val="000000"/>
          <w:sz w:val="24"/>
          <w:szCs w:val="24"/>
        </w:rPr>
        <w:t>Rhein</w:t>
      </w:r>
      <w:proofErr w:type="spellEnd"/>
      <w:r w:rsidR="006A7B24" w:rsidRPr="00F51AAF">
        <w:rPr>
          <w:rFonts w:ascii="Times New Roman" w:eastAsia="Times New Roman" w:hAnsi="Times New Roman" w:cs="Times New Roman"/>
          <w:bCs/>
          <w:color w:val="000000"/>
          <w:sz w:val="24"/>
          <w:szCs w:val="24"/>
        </w:rPr>
        <w:t xml:space="preserve"> and </w:t>
      </w:r>
      <w:proofErr w:type="spellStart"/>
      <w:r w:rsidR="006A7B24" w:rsidRPr="00F51AAF">
        <w:rPr>
          <w:rFonts w:ascii="Times New Roman" w:eastAsia="Times New Roman" w:hAnsi="Times New Roman" w:cs="Times New Roman"/>
          <w:bCs/>
          <w:color w:val="000000"/>
          <w:sz w:val="24"/>
          <w:szCs w:val="24"/>
        </w:rPr>
        <w:t>Schmid</w:t>
      </w:r>
      <w:proofErr w:type="spellEnd"/>
      <w:r w:rsidR="006A7B24" w:rsidRPr="00F51AAF">
        <w:rPr>
          <w:rFonts w:ascii="Times New Roman" w:eastAsia="Times New Roman" w:hAnsi="Times New Roman" w:cs="Times New Roman"/>
          <w:bCs/>
          <w:color w:val="000000"/>
          <w:sz w:val="24"/>
          <w:szCs w:val="24"/>
        </w:rPr>
        <w:t>, 2020). Many hawkers face financial constraints, as sustainable packaging options are often more expensive, making them less accessible for small-scale vendors. Additionally, there is limited access to suppliers offering affordable and reliable alternatives in the area. Government campaigns, such as the No Plastic Bag Day initiative, have had limited success among small businesses due to inadequate outreach and support tailored to the needs of street hawkers. These challenges are further compounded by a lack of incentives or subsidies to encourage the adoption of sustainable practices, making it difficult for hawkers to transition away from single-use plastics.</w:t>
      </w:r>
      <w:r w:rsidR="006A7B24">
        <w:rPr>
          <w:rFonts w:ascii="Times New Roman" w:eastAsia="Times New Roman" w:hAnsi="Times New Roman" w:cs="Times New Roman"/>
          <w:bCs/>
          <w:color w:val="000000"/>
          <w:sz w:val="24"/>
          <w:szCs w:val="24"/>
        </w:rPr>
        <w:t xml:space="preserve"> </w:t>
      </w:r>
      <w:r w:rsidRPr="0088738F">
        <w:rPr>
          <w:rFonts w:ascii="Times New Roman" w:eastAsia="Times New Roman" w:hAnsi="Times New Roman" w:cs="Times New Roman"/>
          <w:bCs/>
          <w:color w:val="000000"/>
          <w:sz w:val="24"/>
          <w:szCs w:val="24"/>
        </w:rPr>
        <w:t>Regulatory measures have faced resistance, and the implementation of broader policies, such as Malaysia’s Roadmap Towards Zero Single-use Plastics, has been inconsistent. These challenges underscore the urgent need to assess and address the knowledge, attitudes, and practices of street food hawkers to support single-use plastic reduction efforts effectively.</w:t>
      </w:r>
    </w:p>
    <w:p w14:paraId="47872550" w14:textId="77777777" w:rsidR="0088738F" w:rsidRPr="0088738F" w:rsidRDefault="0088738F"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rPr>
      </w:pPr>
      <w:r w:rsidRPr="0088738F">
        <w:rPr>
          <w:rFonts w:ascii="Times New Roman" w:eastAsia="Times New Roman" w:hAnsi="Times New Roman" w:cs="Times New Roman"/>
          <w:bCs/>
          <w:color w:val="000000"/>
          <w:sz w:val="24"/>
          <w:szCs w:val="24"/>
        </w:rPr>
        <w:t>To address these challenges, this study aims to assess the knowledge, attitude level, and practices of street food hawkers in Johor regarding single-use plastic reduction programs and their associated factors. Specifically, the study seeks to determine the knowledge and attitude level of street food hawkers in Johor regarding single-use plastics, assess the practices hindering street food hawkers in Johor from supporting single-use plastic reduction programs, establish associations between demographic factors, knowledge, attitude level, and practices among street food hawkers in Johor, and explore the correlation between knowledge, practices, and attitude level of street food hawkers to support single-use plastic reduction programs.</w:t>
      </w:r>
    </w:p>
    <w:p w14:paraId="772DFBF1" w14:textId="26AF3E76" w:rsidR="004F3706" w:rsidRPr="0088738F" w:rsidRDefault="004F3706"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526825AE" w14:textId="76A5B366" w:rsidR="004F3706" w:rsidRDefault="0059295A" w:rsidP="004038D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Method and study area </w:t>
      </w:r>
    </w:p>
    <w:p w14:paraId="007A5793" w14:textId="77777777"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0D25AF3" w14:textId="76789232" w:rsidR="0088738F" w:rsidRPr="004038D1" w:rsidRDefault="004038D1"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4038D1">
        <w:rPr>
          <w:rFonts w:ascii="Times New Roman" w:eastAsia="Times New Roman" w:hAnsi="Times New Roman" w:cs="Times New Roman"/>
          <w:bCs/>
          <w:i/>
          <w:iCs/>
          <w:color w:val="000000"/>
          <w:sz w:val="24"/>
          <w:szCs w:val="24"/>
        </w:rPr>
        <w:t>Sampling technique and data collection</w:t>
      </w:r>
    </w:p>
    <w:p w14:paraId="43A15DFF"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lang w:val="en-GB"/>
        </w:rPr>
      </w:pPr>
    </w:p>
    <w:p w14:paraId="20F7D347" w14:textId="51584D7C"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lang w:val="en-GB"/>
        </w:rPr>
      </w:pPr>
      <w:r w:rsidRPr="0088738F">
        <w:rPr>
          <w:rFonts w:ascii="Times New Roman" w:eastAsia="Times New Roman" w:hAnsi="Times New Roman" w:cs="Times New Roman"/>
          <w:bCs/>
          <w:color w:val="000000"/>
          <w:sz w:val="24"/>
          <w:szCs w:val="24"/>
          <w:lang w:val="en-GB"/>
        </w:rPr>
        <w:t xml:space="preserve">This analysis relies on primary data collected from respondents to </w:t>
      </w:r>
      <w:proofErr w:type="spellStart"/>
      <w:r w:rsidRPr="0088738F">
        <w:rPr>
          <w:rFonts w:ascii="Times New Roman" w:eastAsia="Times New Roman" w:hAnsi="Times New Roman" w:cs="Times New Roman"/>
          <w:bCs/>
          <w:color w:val="000000"/>
          <w:sz w:val="24"/>
          <w:szCs w:val="24"/>
          <w:lang w:val="en-GB"/>
        </w:rPr>
        <w:t>fulfill</w:t>
      </w:r>
      <w:proofErr w:type="spellEnd"/>
      <w:r w:rsidRPr="0088738F">
        <w:rPr>
          <w:rFonts w:ascii="Times New Roman" w:eastAsia="Times New Roman" w:hAnsi="Times New Roman" w:cs="Times New Roman"/>
          <w:bCs/>
          <w:color w:val="000000"/>
          <w:sz w:val="24"/>
          <w:szCs w:val="24"/>
          <w:lang w:val="en-GB"/>
        </w:rPr>
        <w:t xml:space="preserve"> the research objectives. </w:t>
      </w:r>
      <w:r w:rsidR="00D06581" w:rsidRPr="00F51AAF">
        <w:rPr>
          <w:rFonts w:ascii="Times New Roman" w:eastAsia="Times New Roman" w:hAnsi="Times New Roman" w:cs="Times New Roman"/>
          <w:bCs/>
          <w:color w:val="000000"/>
          <w:sz w:val="24"/>
          <w:szCs w:val="24"/>
        </w:rPr>
        <w:t xml:space="preserve">The data were gathered using a stratified random sampling approach to ensure representation across various socio-demographic groups of hawkers in </w:t>
      </w:r>
      <w:proofErr w:type="spellStart"/>
      <w:r w:rsidR="00D06581" w:rsidRPr="00F51AAF">
        <w:rPr>
          <w:rFonts w:ascii="Times New Roman" w:eastAsia="Times New Roman" w:hAnsi="Times New Roman" w:cs="Times New Roman"/>
          <w:bCs/>
          <w:color w:val="000000"/>
          <w:sz w:val="24"/>
          <w:szCs w:val="24"/>
        </w:rPr>
        <w:t>Tangkak</w:t>
      </w:r>
      <w:proofErr w:type="spellEnd"/>
      <w:r w:rsidR="00D06581" w:rsidRPr="00F51AAF">
        <w:rPr>
          <w:rFonts w:ascii="Times New Roman" w:eastAsia="Times New Roman" w:hAnsi="Times New Roman" w:cs="Times New Roman"/>
          <w:bCs/>
          <w:color w:val="000000"/>
          <w:sz w:val="24"/>
          <w:szCs w:val="24"/>
        </w:rPr>
        <w:t xml:space="preserve">. Survey questionnaires with a 5-point Likert scale were distributed through electronic means, such as Google Forms and email, at specific time points between 2016 and 2020. These time points were selected to capture seasonal and temporal variations in hawkers' practices and perceptions regarding single-use plastic reduction. </w:t>
      </w:r>
      <w:r w:rsidRPr="00F51AAF">
        <w:rPr>
          <w:rFonts w:ascii="Times New Roman" w:eastAsia="Times New Roman" w:hAnsi="Times New Roman" w:cs="Times New Roman"/>
          <w:bCs/>
          <w:color w:val="000000"/>
          <w:sz w:val="24"/>
          <w:szCs w:val="24"/>
          <w:lang w:val="en-GB"/>
        </w:rPr>
        <w:t>The questionnaire</w:t>
      </w:r>
      <w:r w:rsidR="00D06581" w:rsidRPr="00F51AAF">
        <w:rPr>
          <w:rFonts w:ascii="Times New Roman" w:eastAsia="Times New Roman" w:hAnsi="Times New Roman" w:cs="Times New Roman"/>
          <w:bCs/>
          <w:color w:val="000000"/>
          <w:sz w:val="24"/>
          <w:szCs w:val="24"/>
          <w:lang w:val="en-GB"/>
        </w:rPr>
        <w:t xml:space="preserve">, </w:t>
      </w:r>
      <w:r w:rsidR="00D06581" w:rsidRPr="00F51AAF">
        <w:rPr>
          <w:rFonts w:ascii="Times New Roman" w:eastAsia="Times New Roman" w:hAnsi="Times New Roman" w:cs="Times New Roman"/>
          <w:bCs/>
          <w:color w:val="000000"/>
          <w:sz w:val="24"/>
          <w:szCs w:val="24"/>
        </w:rPr>
        <w:t>adapted from existing validated instruments,</w:t>
      </w:r>
      <w:r w:rsidR="00D06581" w:rsidRPr="00D06581">
        <w:rPr>
          <w:rFonts w:ascii="Times New Roman" w:eastAsia="Times New Roman" w:hAnsi="Times New Roman" w:cs="Times New Roman"/>
          <w:bCs/>
          <w:color w:val="000000"/>
          <w:sz w:val="24"/>
          <w:szCs w:val="24"/>
        </w:rPr>
        <w:t xml:space="preserve"> </w:t>
      </w:r>
      <w:r w:rsidR="00D06581" w:rsidRPr="0088738F">
        <w:rPr>
          <w:rFonts w:ascii="Times New Roman" w:eastAsia="Times New Roman" w:hAnsi="Times New Roman" w:cs="Times New Roman"/>
          <w:bCs/>
          <w:color w:val="000000"/>
          <w:sz w:val="24"/>
          <w:szCs w:val="24"/>
          <w:lang w:val="en-GB"/>
        </w:rPr>
        <w:t>comprises</w:t>
      </w:r>
      <w:r w:rsidRPr="0088738F">
        <w:rPr>
          <w:rFonts w:ascii="Times New Roman" w:eastAsia="Times New Roman" w:hAnsi="Times New Roman" w:cs="Times New Roman"/>
          <w:bCs/>
          <w:color w:val="000000"/>
          <w:sz w:val="24"/>
          <w:szCs w:val="24"/>
          <w:lang w:val="en-GB"/>
        </w:rPr>
        <w:t xml:space="preserve"> five parts, each designed to elicit pertinent information from the respondents. Part 1 addresses the demographic characteristics of the respondents, while Part 2 explores Hawkers' knowledge regarding support for plastic reduction. Part 3 investigates Hawkers' practices in plastic usage, and Part 4 delves into their attitudes toward plastic reduction. The research aims to secure responses from 382 randomly selected respondents, ensuring a 95% confidence level with a 5% margin of error. Data collection employed a formal questionnaire administered via Google Forms and analysis was conducted using SPSS Version 20.</w:t>
      </w:r>
    </w:p>
    <w:p w14:paraId="5E710AB5"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lang w:val="en-GB"/>
        </w:rPr>
      </w:pPr>
    </w:p>
    <w:p w14:paraId="31B4A4C6" w14:textId="72ACB035" w:rsidR="0088738F" w:rsidRPr="004038D1"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4038D1">
        <w:rPr>
          <w:rFonts w:ascii="Times New Roman" w:eastAsia="Times New Roman" w:hAnsi="Times New Roman" w:cs="Times New Roman"/>
          <w:bCs/>
          <w:i/>
          <w:iCs/>
          <w:color w:val="000000"/>
          <w:sz w:val="24"/>
          <w:szCs w:val="24"/>
        </w:rPr>
        <w:t>Sample</w:t>
      </w:r>
      <w:r w:rsidR="004038D1" w:rsidRPr="004038D1">
        <w:rPr>
          <w:rFonts w:ascii="Times New Roman" w:eastAsia="Times New Roman" w:hAnsi="Times New Roman" w:cs="Times New Roman"/>
          <w:bCs/>
          <w:i/>
          <w:iCs/>
          <w:color w:val="000000"/>
          <w:sz w:val="24"/>
          <w:szCs w:val="24"/>
        </w:rPr>
        <w:t xml:space="preserve"> size</w:t>
      </w:r>
    </w:p>
    <w:p w14:paraId="2E501B8A"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7A220802" w14:textId="209FD236"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88738F">
        <w:rPr>
          <w:rFonts w:ascii="Times New Roman" w:eastAsia="Times New Roman" w:hAnsi="Times New Roman" w:cs="Times New Roman"/>
          <w:bCs/>
          <w:color w:val="000000"/>
          <w:sz w:val="24"/>
          <w:szCs w:val="24"/>
        </w:rPr>
        <w:t xml:space="preserve">According to </w:t>
      </w:r>
      <w:proofErr w:type="spellStart"/>
      <w:r w:rsidRPr="0088738F">
        <w:rPr>
          <w:rFonts w:ascii="Times New Roman" w:eastAsia="Times New Roman" w:hAnsi="Times New Roman" w:cs="Times New Roman"/>
          <w:bCs/>
          <w:color w:val="000000"/>
          <w:sz w:val="24"/>
          <w:szCs w:val="24"/>
        </w:rPr>
        <w:t>Lakens</w:t>
      </w:r>
      <w:proofErr w:type="spellEnd"/>
      <w:r w:rsidRPr="0088738F">
        <w:rPr>
          <w:rFonts w:ascii="Times New Roman" w:eastAsia="Times New Roman" w:hAnsi="Times New Roman" w:cs="Times New Roman"/>
          <w:bCs/>
          <w:color w:val="000000"/>
          <w:sz w:val="24"/>
          <w:szCs w:val="24"/>
        </w:rPr>
        <w:t xml:space="preserve"> (2022), the sample size is measured by the number of groups taken from the main population to be included in the analysis to produce results that could be used to create sample conclusions. Sharma et al. (2020) formula was adopted to select a sample size</w:t>
      </w:r>
      <w:r w:rsidRPr="0088738F">
        <w:rPr>
          <w:rFonts w:ascii="Times New Roman" w:eastAsia="Times New Roman" w:hAnsi="Times New Roman" w:cs="Times New Roman"/>
          <w:b/>
          <w:color w:val="000000"/>
          <w:sz w:val="24"/>
          <w:szCs w:val="24"/>
        </w:rPr>
        <w:t>:</w:t>
      </w:r>
    </w:p>
    <w:p w14:paraId="069A2AE4" w14:textId="047C3795"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m:oMathPara>
        <m:oMath>
          <m:r>
            <w:rPr>
              <w:rFonts w:ascii="Cambria Math" w:eastAsia="Times New Roman" w:hAnsi="Cambria Math" w:cs="Times New Roman"/>
              <w:color w:val="000000"/>
              <w:sz w:val="24"/>
              <w:szCs w:val="24"/>
            </w:rPr>
            <m:t>S=</m:t>
          </m:r>
          <m:f>
            <m:fPr>
              <m:ctrlPr>
                <w:rPr>
                  <w:rFonts w:ascii="Cambria Math" w:eastAsia="Times New Roman" w:hAnsi="Cambria Math" w:cs="Times New Roman"/>
                  <w:i/>
                  <w:color w:val="000000"/>
                  <w:sz w:val="24"/>
                  <w:szCs w:val="24"/>
                </w:rPr>
              </m:ctrlPr>
            </m:fPr>
            <m:num>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X</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N(1-)</m:t>
              </m:r>
            </m:num>
            <m:den>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d</m:t>
                  </m:r>
                </m:e>
                <m:sup>
                  <m:r>
                    <w:rPr>
                      <w:rFonts w:ascii="Cambria Math" w:eastAsia="Times New Roman" w:hAnsi="Cambria Math" w:cs="Times New Roman"/>
                      <w:color w:val="000000"/>
                      <w:sz w:val="24"/>
                      <w:szCs w:val="24"/>
                    </w:rPr>
                    <m:t>2</m:t>
                  </m:r>
                </m:sup>
              </m:sSup>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N-1</m:t>
                  </m:r>
                </m:e>
              </m:d>
              <m:r>
                <w:rPr>
                  <w:rFonts w:ascii="Cambria Math" w:eastAsia="Times New Roman" w:hAnsi="Cambria Math" w:cs="Times New Roman"/>
                  <w:color w:val="000000"/>
                  <w:sz w:val="24"/>
                  <w:szCs w:val="24"/>
                </w:rPr>
                <m:t>+</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X</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P(1-P)</m:t>
              </m:r>
            </m:den>
          </m:f>
          <m:r>
            <w:rPr>
              <w:rFonts w:ascii="Cambria Math" w:eastAsia="Times New Roman" w:hAnsi="Cambria Math" w:cs="Times New Roman"/>
              <w:color w:val="000000"/>
              <w:sz w:val="24"/>
              <w:szCs w:val="24"/>
            </w:rPr>
            <m:t xml:space="preserve"> ,</m:t>
          </m:r>
        </m:oMath>
      </m:oMathPara>
    </w:p>
    <w:p w14:paraId="636C3189"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where:   </w:t>
      </w:r>
    </w:p>
    <w:p w14:paraId="48B54443"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S = requires sample size  </w:t>
      </w:r>
    </w:p>
    <w:p w14:paraId="6D08A2F7"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X = z value (1.96 at 95% confidence level)  </w:t>
      </w:r>
    </w:p>
    <w:p w14:paraId="7F60DBC2"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N = Population Size  </w:t>
      </w:r>
    </w:p>
    <w:p w14:paraId="41DB8F66"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P = Population proportion (0.5 or 50%)  </w:t>
      </w:r>
    </w:p>
    <w:p w14:paraId="1F190184"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 xml:space="preserve">d = Degree of accuracy (0.05)   </w:t>
      </w:r>
    </w:p>
    <w:p w14:paraId="37D97D4A" w14:textId="77777777" w:rsidR="0088738F" w:rsidRPr="0088738F" w:rsidRDefault="0088738F"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2DA84F75" w14:textId="610F64FA" w:rsidR="0088738F" w:rsidRPr="004038D1" w:rsidRDefault="004038D1"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4038D1">
        <w:rPr>
          <w:rFonts w:ascii="Times New Roman" w:eastAsia="Times New Roman" w:hAnsi="Times New Roman" w:cs="Times New Roman"/>
          <w:bCs/>
          <w:i/>
          <w:iCs/>
          <w:color w:val="000000"/>
          <w:sz w:val="24"/>
          <w:szCs w:val="24"/>
        </w:rPr>
        <w:t>Data analysis</w:t>
      </w:r>
    </w:p>
    <w:p w14:paraId="12D76751"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
        </w:rPr>
      </w:pPr>
    </w:p>
    <w:p w14:paraId="0398E91C" w14:textId="523D4045" w:rsid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lang w:val="en"/>
        </w:rPr>
        <w:t xml:space="preserve">Data on the level of awareness and Knowledge as well as repayment options were analyzed through SPSS software. For this research, the Knowledge of Vendors in </w:t>
      </w:r>
      <w:proofErr w:type="spellStart"/>
      <w:r w:rsidRPr="0088738F">
        <w:rPr>
          <w:rFonts w:ascii="Times New Roman" w:eastAsia="Times New Roman" w:hAnsi="Times New Roman" w:cs="Times New Roman"/>
          <w:color w:val="000000"/>
          <w:sz w:val="24"/>
          <w:szCs w:val="24"/>
          <w:lang w:val="en"/>
        </w:rPr>
        <w:t>Tangkak</w:t>
      </w:r>
      <w:proofErr w:type="spellEnd"/>
      <w:r w:rsidRPr="0088738F">
        <w:rPr>
          <w:rFonts w:ascii="Times New Roman" w:eastAsia="Times New Roman" w:hAnsi="Times New Roman" w:cs="Times New Roman"/>
          <w:color w:val="000000"/>
          <w:sz w:val="24"/>
          <w:szCs w:val="24"/>
          <w:lang w:val="en"/>
        </w:rPr>
        <w:t xml:space="preserve"> was defined as a variable of attitudes, </w:t>
      </w:r>
      <w:r w:rsidR="003A0838" w:rsidRPr="00D06581">
        <w:rPr>
          <w:rFonts w:ascii="Times New Roman" w:eastAsia="Times New Roman" w:hAnsi="Times New Roman" w:cs="Times New Roman"/>
          <w:sz w:val="24"/>
          <w:szCs w:val="24"/>
          <w:lang w:val="en"/>
        </w:rPr>
        <w:t>and</w:t>
      </w:r>
      <w:r w:rsidR="003A0838">
        <w:rPr>
          <w:rFonts w:ascii="Times New Roman" w:eastAsia="Times New Roman" w:hAnsi="Times New Roman" w:cs="Times New Roman"/>
          <w:color w:val="FF0000"/>
          <w:sz w:val="24"/>
          <w:szCs w:val="24"/>
          <w:lang w:val="en"/>
        </w:rPr>
        <w:t xml:space="preserve"> </w:t>
      </w:r>
      <w:r w:rsidRPr="0088738F">
        <w:rPr>
          <w:rFonts w:ascii="Times New Roman" w:eastAsia="Times New Roman" w:hAnsi="Times New Roman" w:cs="Times New Roman"/>
          <w:color w:val="000000"/>
          <w:sz w:val="24"/>
          <w:szCs w:val="24"/>
          <w:lang w:val="en"/>
        </w:rPr>
        <w:t xml:space="preserve">practices, of each trader to support the single-use plastic reduction program for each night market trader in the </w:t>
      </w:r>
      <w:proofErr w:type="spellStart"/>
      <w:r w:rsidRPr="0088738F">
        <w:rPr>
          <w:rFonts w:ascii="Times New Roman" w:eastAsia="Times New Roman" w:hAnsi="Times New Roman" w:cs="Times New Roman"/>
          <w:color w:val="000000"/>
          <w:sz w:val="24"/>
          <w:szCs w:val="24"/>
          <w:lang w:val="en"/>
        </w:rPr>
        <w:t>Tangkak</w:t>
      </w:r>
      <w:proofErr w:type="spellEnd"/>
      <w:r w:rsidRPr="0088738F">
        <w:rPr>
          <w:rFonts w:ascii="Times New Roman" w:eastAsia="Times New Roman" w:hAnsi="Times New Roman" w:cs="Times New Roman"/>
          <w:color w:val="000000"/>
          <w:sz w:val="24"/>
          <w:szCs w:val="24"/>
          <w:lang w:val="en"/>
        </w:rPr>
        <w:t xml:space="preserve"> district of Johor</w:t>
      </w:r>
      <w:r w:rsidRPr="0088738F">
        <w:rPr>
          <w:rFonts w:ascii="Times New Roman" w:eastAsia="Times New Roman" w:hAnsi="Times New Roman" w:cs="Times New Roman"/>
          <w:bCs/>
          <w:color w:val="000000"/>
          <w:sz w:val="24"/>
          <w:szCs w:val="24"/>
        </w:rPr>
        <w:t>.</w:t>
      </w:r>
      <w:r w:rsidR="00D06581">
        <w:rPr>
          <w:rFonts w:ascii="Times New Roman" w:eastAsia="Times New Roman" w:hAnsi="Times New Roman" w:cs="Times New Roman"/>
          <w:bCs/>
          <w:color w:val="000000"/>
          <w:sz w:val="24"/>
          <w:szCs w:val="24"/>
        </w:rPr>
        <w:t xml:space="preserve"> </w:t>
      </w:r>
      <w:r w:rsidR="00D06581" w:rsidRPr="00F51AAF">
        <w:rPr>
          <w:rFonts w:ascii="Times New Roman" w:eastAsia="Times New Roman" w:hAnsi="Times New Roman" w:cs="Times New Roman"/>
          <w:color w:val="000000"/>
          <w:sz w:val="24"/>
          <w:szCs w:val="24"/>
        </w:rPr>
        <w:t xml:space="preserve">A descriptive analysis was conducted to determine data percentages and frequencies, while inferential analysis focused on identifying relationships and predicting outcomes. Specifically, Pearson correlation was used to assess the strength and direction of relationships between knowledge, attitudes, and practices regarding single-use plastic reduction. Multiple regression analysis was performed to identify predictors of attitudes and practices, with socio-demographic characteristics and knowledge levels as independent variables. The survey data were analyzed using SPSS Version 26, employing these </w:t>
      </w:r>
      <w:r w:rsidR="00D06581" w:rsidRPr="00F51AAF">
        <w:rPr>
          <w:rFonts w:ascii="Times New Roman" w:eastAsia="Times New Roman" w:hAnsi="Times New Roman" w:cs="Times New Roman"/>
          <w:color w:val="000000"/>
          <w:sz w:val="24"/>
          <w:szCs w:val="24"/>
        </w:rPr>
        <w:lastRenderedPageBreak/>
        <w:t>statistical methods to comprehensively evaluate the factors influencing single-use plastic reduction among hawkers.</w:t>
      </w:r>
    </w:p>
    <w:p w14:paraId="613488D0" w14:textId="77777777" w:rsidR="00D06581" w:rsidRPr="0088738F" w:rsidRDefault="00D06581"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1C339870" w14:textId="4DB40716" w:rsidR="0088738F" w:rsidRPr="004038D1" w:rsidRDefault="004038D1"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proofErr w:type="spellStart"/>
      <w:r w:rsidRPr="004038D1">
        <w:rPr>
          <w:rFonts w:ascii="Times New Roman" w:eastAsia="Times New Roman" w:hAnsi="Times New Roman" w:cs="Times New Roman"/>
          <w:bCs/>
          <w:i/>
          <w:iCs/>
          <w:color w:val="000000"/>
          <w:sz w:val="24"/>
          <w:szCs w:val="24"/>
        </w:rPr>
        <w:t>likert</w:t>
      </w:r>
      <w:proofErr w:type="spellEnd"/>
      <w:r w:rsidRPr="004038D1">
        <w:rPr>
          <w:rFonts w:ascii="Times New Roman" w:eastAsia="Times New Roman" w:hAnsi="Times New Roman" w:cs="Times New Roman"/>
          <w:bCs/>
          <w:i/>
          <w:iCs/>
          <w:color w:val="000000"/>
          <w:sz w:val="24"/>
          <w:szCs w:val="24"/>
        </w:rPr>
        <w:t xml:space="preserve"> scale</w:t>
      </w:r>
    </w:p>
    <w:p w14:paraId="513A8906" w14:textId="77777777" w:rsidR="00F51AAF" w:rsidRDefault="00F51AAF" w:rsidP="00F51AAF">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bCs/>
          <w:color w:val="000000"/>
          <w:sz w:val="24"/>
          <w:szCs w:val="24"/>
        </w:rPr>
      </w:pPr>
    </w:p>
    <w:p w14:paraId="026BBC2F" w14:textId="6CA35681" w:rsidR="0088738F" w:rsidRPr="0088738F" w:rsidRDefault="0088738F" w:rsidP="00F51AAF">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bCs/>
          <w:color w:val="000000"/>
          <w:sz w:val="24"/>
          <w:szCs w:val="24"/>
        </w:rPr>
      </w:pPr>
      <w:r w:rsidRPr="0088738F">
        <w:rPr>
          <w:rFonts w:ascii="Times New Roman" w:eastAsia="Times New Roman" w:hAnsi="Times New Roman" w:cs="Times New Roman"/>
          <w:bCs/>
          <w:color w:val="000000"/>
          <w:sz w:val="24"/>
          <w:szCs w:val="24"/>
        </w:rPr>
        <w:t>The Likert scale is five or seven levels representing the person's decision to make a specific statement. The 5-liker scale consists of the following scale values: 5-Strongly agree, 4-Agree, 3-N</w:t>
      </w:r>
      <w:r w:rsidR="00D06581">
        <w:rPr>
          <w:rFonts w:ascii="Times New Roman" w:eastAsia="Times New Roman" w:hAnsi="Times New Roman" w:cs="Times New Roman"/>
          <w:bCs/>
          <w:color w:val="000000"/>
          <w:sz w:val="24"/>
          <w:szCs w:val="24"/>
        </w:rPr>
        <w:t>e</w:t>
      </w:r>
      <w:r w:rsidRPr="0088738F">
        <w:rPr>
          <w:rFonts w:ascii="Times New Roman" w:eastAsia="Times New Roman" w:hAnsi="Times New Roman" w:cs="Times New Roman"/>
          <w:bCs/>
          <w:color w:val="000000"/>
          <w:sz w:val="24"/>
          <w:szCs w:val="24"/>
        </w:rPr>
        <w:t>tural, 2-Disagree, and 1-Strongly disagree (Table 1).</w:t>
      </w:r>
      <w:r w:rsidRPr="0088738F">
        <w:rPr>
          <w:rFonts w:ascii="Times New Roman" w:eastAsia="Times New Roman" w:hAnsi="Times New Roman" w:cs="Times New Roman"/>
          <w:color w:val="000000"/>
          <w:sz w:val="24"/>
          <w:szCs w:val="24"/>
        </w:rPr>
        <w:t xml:space="preserve"> </w:t>
      </w:r>
      <w:r w:rsidRPr="0088738F">
        <w:rPr>
          <w:rFonts w:ascii="Times New Roman" w:eastAsia="Times New Roman" w:hAnsi="Times New Roman" w:cs="Times New Roman"/>
          <w:bCs/>
          <w:color w:val="000000"/>
          <w:sz w:val="24"/>
          <w:szCs w:val="24"/>
        </w:rPr>
        <w:t>This scale typically offers a greater perspective into what the respondent believes and considers in the survey since the topic is straightforward. Therefore, the higher score suggests a higher level of agreement or disagreement with the comment.</w:t>
      </w:r>
    </w:p>
    <w:p w14:paraId="7A1F1317"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152C4628"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88738F">
        <w:rPr>
          <w:rFonts w:ascii="Times New Roman" w:eastAsia="Times New Roman" w:hAnsi="Times New Roman" w:cs="Times New Roman"/>
          <w:bCs/>
          <w:color w:val="000000"/>
          <w:sz w:val="24"/>
          <w:szCs w:val="24"/>
        </w:rPr>
        <w:t>Average Index = SR/TR</w:t>
      </w:r>
    </w:p>
    <w:p w14:paraId="5E8C2D31"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bCs/>
          <w:color w:val="000000"/>
          <w:sz w:val="24"/>
          <w:szCs w:val="24"/>
        </w:rPr>
        <w:t>SR: Sum all the scales are given by the respondent</w:t>
      </w:r>
    </w:p>
    <w:p w14:paraId="42AEA7A3"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bCs/>
          <w:color w:val="000000"/>
          <w:sz w:val="24"/>
          <w:szCs w:val="24"/>
        </w:rPr>
        <w:t>TR: Total respondent</w:t>
      </w:r>
    </w:p>
    <w:p w14:paraId="4161F533"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66088F53" w14:textId="370B453E" w:rsid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r w:rsidRPr="004038D1">
        <w:rPr>
          <w:rFonts w:ascii="Times New Roman" w:eastAsia="Times New Roman" w:hAnsi="Times New Roman" w:cs="Times New Roman"/>
          <w:b/>
          <w:color w:val="000000"/>
          <w:sz w:val="20"/>
          <w:szCs w:val="20"/>
        </w:rPr>
        <w:t>Table 1</w:t>
      </w:r>
      <w:r w:rsidR="004038D1">
        <w:rPr>
          <w:rFonts w:ascii="Times New Roman" w:eastAsia="Times New Roman" w:hAnsi="Times New Roman" w:cs="Times New Roman"/>
          <w:b/>
          <w:color w:val="000000"/>
          <w:sz w:val="20"/>
          <w:szCs w:val="20"/>
        </w:rPr>
        <w:t>.</w:t>
      </w:r>
      <w:r w:rsidRPr="0088738F">
        <w:rPr>
          <w:rFonts w:ascii="Times New Roman" w:eastAsia="Times New Roman" w:hAnsi="Times New Roman" w:cs="Times New Roman"/>
          <w:bCs/>
          <w:color w:val="000000"/>
          <w:sz w:val="20"/>
          <w:szCs w:val="20"/>
        </w:rPr>
        <w:t xml:space="preserve"> Likert </w:t>
      </w:r>
      <w:r w:rsidR="004038D1" w:rsidRPr="0088738F">
        <w:rPr>
          <w:rFonts w:ascii="Times New Roman" w:eastAsia="Times New Roman" w:hAnsi="Times New Roman" w:cs="Times New Roman"/>
          <w:bCs/>
          <w:color w:val="000000"/>
          <w:sz w:val="20"/>
          <w:szCs w:val="20"/>
        </w:rPr>
        <w:t>analysis interval</w:t>
      </w:r>
    </w:p>
    <w:p w14:paraId="313C04BF" w14:textId="77777777" w:rsidR="00F51AAF" w:rsidRPr="0088738F"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p>
    <w:tbl>
      <w:tblPr>
        <w:tblW w:w="3635" w:type="pct"/>
        <w:jc w:val="center"/>
        <w:tblBorders>
          <w:top w:val="single" w:sz="4" w:space="0" w:color="auto"/>
          <w:bottom w:val="single" w:sz="4" w:space="0" w:color="auto"/>
        </w:tblBorders>
        <w:tblLook w:val="04A0" w:firstRow="1" w:lastRow="0" w:firstColumn="1" w:lastColumn="0" w:noHBand="0" w:noVBand="1"/>
      </w:tblPr>
      <w:tblGrid>
        <w:gridCol w:w="3970"/>
        <w:gridCol w:w="1417"/>
        <w:gridCol w:w="1418"/>
      </w:tblGrid>
      <w:tr w:rsidR="0088738F" w:rsidRPr="0088738F" w14:paraId="471C0DC7" w14:textId="77777777" w:rsidTr="004038D1">
        <w:trPr>
          <w:jc w:val="center"/>
        </w:trPr>
        <w:tc>
          <w:tcPr>
            <w:tcW w:w="2917" w:type="pct"/>
            <w:tcBorders>
              <w:bottom w:val="single" w:sz="4" w:space="0" w:color="auto"/>
            </w:tcBorders>
            <w:shd w:val="clear" w:color="auto" w:fill="548DD4" w:themeFill="text2" w:themeFillTint="99"/>
            <w:hideMark/>
          </w:tcPr>
          <w:p w14:paraId="716F4F45"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rPr>
            </w:pPr>
            <w:r w:rsidRPr="0088738F">
              <w:rPr>
                <w:rFonts w:ascii="Times New Roman" w:eastAsia="Times New Roman" w:hAnsi="Times New Roman" w:cs="Times New Roman"/>
                <w:b/>
                <w:bCs/>
                <w:color w:val="000000"/>
                <w:sz w:val="20"/>
                <w:szCs w:val="20"/>
              </w:rPr>
              <w:t>Level</w:t>
            </w:r>
          </w:p>
        </w:tc>
        <w:tc>
          <w:tcPr>
            <w:tcW w:w="1041" w:type="pct"/>
            <w:tcBorders>
              <w:bottom w:val="single" w:sz="4" w:space="0" w:color="auto"/>
            </w:tcBorders>
            <w:shd w:val="clear" w:color="auto" w:fill="548DD4" w:themeFill="text2" w:themeFillTint="99"/>
            <w:hideMark/>
          </w:tcPr>
          <w:p w14:paraId="56410E64"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88738F">
              <w:rPr>
                <w:rFonts w:ascii="Times New Roman" w:eastAsia="Times New Roman" w:hAnsi="Times New Roman" w:cs="Times New Roman"/>
                <w:b/>
                <w:bCs/>
                <w:color w:val="000000"/>
                <w:sz w:val="20"/>
                <w:szCs w:val="20"/>
              </w:rPr>
              <w:t>Scale</w:t>
            </w:r>
          </w:p>
        </w:tc>
        <w:tc>
          <w:tcPr>
            <w:tcW w:w="1042" w:type="pct"/>
            <w:tcBorders>
              <w:bottom w:val="single" w:sz="4" w:space="0" w:color="auto"/>
            </w:tcBorders>
            <w:shd w:val="clear" w:color="auto" w:fill="548DD4" w:themeFill="text2" w:themeFillTint="99"/>
            <w:hideMark/>
          </w:tcPr>
          <w:p w14:paraId="18D1E3C7"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88738F">
              <w:rPr>
                <w:rFonts w:ascii="Times New Roman" w:eastAsia="Times New Roman" w:hAnsi="Times New Roman" w:cs="Times New Roman"/>
                <w:b/>
                <w:bCs/>
                <w:color w:val="000000"/>
                <w:sz w:val="20"/>
                <w:szCs w:val="20"/>
              </w:rPr>
              <w:t>Interval</w:t>
            </w:r>
          </w:p>
        </w:tc>
      </w:tr>
      <w:tr w:rsidR="0088738F" w:rsidRPr="0088738F" w14:paraId="449FE74B" w14:textId="77777777" w:rsidTr="00F51AAF">
        <w:trPr>
          <w:jc w:val="center"/>
        </w:trPr>
        <w:tc>
          <w:tcPr>
            <w:tcW w:w="2917" w:type="pct"/>
            <w:tcBorders>
              <w:top w:val="single" w:sz="4" w:space="0" w:color="auto"/>
            </w:tcBorders>
            <w:shd w:val="clear" w:color="auto" w:fill="auto"/>
            <w:hideMark/>
          </w:tcPr>
          <w:p w14:paraId="1A4965E2" w14:textId="401444C9"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 xml:space="preserve">Strongly </w:t>
            </w:r>
            <w:r w:rsidR="004038D1" w:rsidRPr="0088738F">
              <w:rPr>
                <w:rFonts w:ascii="Times New Roman" w:eastAsia="Times New Roman" w:hAnsi="Times New Roman" w:cs="Times New Roman"/>
                <w:color w:val="000000"/>
                <w:sz w:val="20"/>
                <w:szCs w:val="20"/>
              </w:rPr>
              <w:t>di</w:t>
            </w:r>
            <w:r w:rsidRPr="0088738F">
              <w:rPr>
                <w:rFonts w:ascii="Times New Roman" w:eastAsia="Times New Roman" w:hAnsi="Times New Roman" w:cs="Times New Roman"/>
                <w:color w:val="000000"/>
                <w:sz w:val="20"/>
                <w:szCs w:val="20"/>
              </w:rPr>
              <w:t>sagree</w:t>
            </w:r>
          </w:p>
        </w:tc>
        <w:tc>
          <w:tcPr>
            <w:tcW w:w="1041" w:type="pct"/>
            <w:tcBorders>
              <w:top w:val="single" w:sz="4" w:space="0" w:color="auto"/>
            </w:tcBorders>
            <w:shd w:val="clear" w:color="auto" w:fill="auto"/>
            <w:hideMark/>
          </w:tcPr>
          <w:p w14:paraId="0CD659BC"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1</w:t>
            </w:r>
          </w:p>
        </w:tc>
        <w:tc>
          <w:tcPr>
            <w:tcW w:w="1042" w:type="pct"/>
            <w:tcBorders>
              <w:top w:val="single" w:sz="4" w:space="0" w:color="auto"/>
            </w:tcBorders>
            <w:shd w:val="clear" w:color="auto" w:fill="auto"/>
            <w:hideMark/>
          </w:tcPr>
          <w:p w14:paraId="163D317B"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[1.00 - 1.80]</w:t>
            </w:r>
          </w:p>
        </w:tc>
      </w:tr>
      <w:tr w:rsidR="0088738F" w:rsidRPr="0088738F" w14:paraId="19C7B86E" w14:textId="77777777" w:rsidTr="00F51AAF">
        <w:trPr>
          <w:jc w:val="center"/>
        </w:trPr>
        <w:tc>
          <w:tcPr>
            <w:tcW w:w="2917" w:type="pct"/>
            <w:shd w:val="clear" w:color="auto" w:fill="auto"/>
            <w:hideMark/>
          </w:tcPr>
          <w:p w14:paraId="4578F725"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Disagree</w:t>
            </w:r>
          </w:p>
        </w:tc>
        <w:tc>
          <w:tcPr>
            <w:tcW w:w="1041" w:type="pct"/>
            <w:shd w:val="clear" w:color="auto" w:fill="auto"/>
            <w:hideMark/>
          </w:tcPr>
          <w:p w14:paraId="4CAE2A8C"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2</w:t>
            </w:r>
          </w:p>
        </w:tc>
        <w:tc>
          <w:tcPr>
            <w:tcW w:w="1042" w:type="pct"/>
            <w:shd w:val="clear" w:color="auto" w:fill="auto"/>
            <w:hideMark/>
          </w:tcPr>
          <w:p w14:paraId="50A30A1C"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[1.81 - 2.60]</w:t>
            </w:r>
          </w:p>
        </w:tc>
      </w:tr>
      <w:tr w:rsidR="0088738F" w:rsidRPr="0088738F" w14:paraId="26918470" w14:textId="77777777" w:rsidTr="00F51AAF">
        <w:trPr>
          <w:jc w:val="center"/>
        </w:trPr>
        <w:tc>
          <w:tcPr>
            <w:tcW w:w="2917" w:type="pct"/>
            <w:shd w:val="clear" w:color="auto" w:fill="auto"/>
            <w:hideMark/>
          </w:tcPr>
          <w:p w14:paraId="1DFB08CA"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Neutral</w:t>
            </w:r>
          </w:p>
        </w:tc>
        <w:tc>
          <w:tcPr>
            <w:tcW w:w="1041" w:type="pct"/>
            <w:shd w:val="clear" w:color="auto" w:fill="auto"/>
            <w:hideMark/>
          </w:tcPr>
          <w:p w14:paraId="428CE308"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3</w:t>
            </w:r>
          </w:p>
        </w:tc>
        <w:tc>
          <w:tcPr>
            <w:tcW w:w="1042" w:type="pct"/>
            <w:shd w:val="clear" w:color="auto" w:fill="auto"/>
            <w:hideMark/>
          </w:tcPr>
          <w:p w14:paraId="31EE85D8"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[2.61 - 3.40]</w:t>
            </w:r>
          </w:p>
        </w:tc>
      </w:tr>
      <w:tr w:rsidR="0088738F" w:rsidRPr="0088738F" w14:paraId="35ED8236" w14:textId="77777777" w:rsidTr="00F51AAF">
        <w:trPr>
          <w:jc w:val="center"/>
        </w:trPr>
        <w:tc>
          <w:tcPr>
            <w:tcW w:w="2917" w:type="pct"/>
            <w:shd w:val="clear" w:color="auto" w:fill="auto"/>
            <w:hideMark/>
          </w:tcPr>
          <w:p w14:paraId="379295C7"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Agree</w:t>
            </w:r>
          </w:p>
        </w:tc>
        <w:tc>
          <w:tcPr>
            <w:tcW w:w="1041" w:type="pct"/>
            <w:shd w:val="clear" w:color="auto" w:fill="auto"/>
            <w:hideMark/>
          </w:tcPr>
          <w:p w14:paraId="0D88CC03"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4</w:t>
            </w:r>
          </w:p>
        </w:tc>
        <w:tc>
          <w:tcPr>
            <w:tcW w:w="1042" w:type="pct"/>
            <w:shd w:val="clear" w:color="auto" w:fill="auto"/>
            <w:hideMark/>
          </w:tcPr>
          <w:p w14:paraId="540744F6"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[3.41 - 4.20]</w:t>
            </w:r>
          </w:p>
        </w:tc>
      </w:tr>
      <w:tr w:rsidR="0088738F" w:rsidRPr="0088738F" w14:paraId="194D6E40" w14:textId="77777777" w:rsidTr="00F51AAF">
        <w:trPr>
          <w:jc w:val="center"/>
        </w:trPr>
        <w:tc>
          <w:tcPr>
            <w:tcW w:w="2917" w:type="pct"/>
            <w:shd w:val="clear" w:color="auto" w:fill="auto"/>
            <w:hideMark/>
          </w:tcPr>
          <w:p w14:paraId="73A91A38" w14:textId="5C444AC4"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 xml:space="preserve">Strongly </w:t>
            </w:r>
            <w:r w:rsidR="004038D1" w:rsidRPr="0088738F">
              <w:rPr>
                <w:rFonts w:ascii="Times New Roman" w:eastAsia="Times New Roman" w:hAnsi="Times New Roman" w:cs="Times New Roman"/>
                <w:color w:val="000000"/>
                <w:sz w:val="20"/>
                <w:szCs w:val="20"/>
              </w:rPr>
              <w:t>ag</w:t>
            </w:r>
            <w:r w:rsidRPr="0088738F">
              <w:rPr>
                <w:rFonts w:ascii="Times New Roman" w:eastAsia="Times New Roman" w:hAnsi="Times New Roman" w:cs="Times New Roman"/>
                <w:color w:val="000000"/>
                <w:sz w:val="20"/>
                <w:szCs w:val="20"/>
              </w:rPr>
              <w:t>ree</w:t>
            </w:r>
          </w:p>
        </w:tc>
        <w:tc>
          <w:tcPr>
            <w:tcW w:w="1041" w:type="pct"/>
            <w:shd w:val="clear" w:color="auto" w:fill="auto"/>
            <w:hideMark/>
          </w:tcPr>
          <w:p w14:paraId="395FD6EC"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5</w:t>
            </w:r>
          </w:p>
        </w:tc>
        <w:tc>
          <w:tcPr>
            <w:tcW w:w="1042" w:type="pct"/>
            <w:shd w:val="clear" w:color="auto" w:fill="auto"/>
            <w:hideMark/>
          </w:tcPr>
          <w:p w14:paraId="2CC4E9E3" w14:textId="77777777" w:rsidR="0088738F" w:rsidRP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[3.21 - 5.00]</w:t>
            </w:r>
          </w:p>
        </w:tc>
      </w:tr>
    </w:tbl>
    <w:p w14:paraId="5F88FFD7" w14:textId="77777777" w:rsidR="0088738F" w:rsidRPr="0088738F" w:rsidRDefault="0088738F" w:rsidP="00DB1F0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25CBB326" w14:textId="36259A56" w:rsidR="0088738F" w:rsidRPr="00DB1F05" w:rsidRDefault="00DB1F05"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DB1F05">
        <w:rPr>
          <w:rFonts w:ascii="Times New Roman" w:eastAsia="Times New Roman" w:hAnsi="Times New Roman" w:cs="Times New Roman"/>
          <w:bCs/>
          <w:i/>
          <w:iCs/>
          <w:color w:val="000000"/>
          <w:sz w:val="24"/>
          <w:szCs w:val="24"/>
        </w:rPr>
        <w:t>Logistic regression analysis</w:t>
      </w:r>
    </w:p>
    <w:p w14:paraId="7ECD606B"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12A47CB1" w14:textId="6590CB1F"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88738F">
        <w:rPr>
          <w:rFonts w:ascii="Times New Roman" w:eastAsia="Times New Roman" w:hAnsi="Times New Roman" w:cs="Times New Roman"/>
          <w:bCs/>
          <w:color w:val="000000"/>
          <w:sz w:val="24"/>
          <w:szCs w:val="24"/>
        </w:rPr>
        <w:t>Simple and multiple logistic regression analysis was used to determine</w:t>
      </w:r>
      <w:r w:rsidRPr="00A27C87">
        <w:rPr>
          <w:rFonts w:ascii="Times New Roman" w:eastAsia="Times New Roman" w:hAnsi="Times New Roman" w:cs="Times New Roman"/>
          <w:bCs/>
          <w:color w:val="FF0000"/>
          <w:sz w:val="24"/>
          <w:szCs w:val="24"/>
        </w:rPr>
        <w:t xml:space="preserve"> </w:t>
      </w:r>
      <w:r w:rsidR="00A27C87" w:rsidRPr="00F51AAF">
        <w:rPr>
          <w:rFonts w:ascii="Times New Roman" w:eastAsia="Times New Roman" w:hAnsi="Times New Roman" w:cs="Times New Roman"/>
          <w:bCs/>
          <w:sz w:val="24"/>
          <w:szCs w:val="24"/>
        </w:rPr>
        <w:t>the</w:t>
      </w:r>
      <w:r w:rsidR="00A27C87" w:rsidRPr="00A27C87">
        <w:rPr>
          <w:rFonts w:ascii="Times New Roman" w:eastAsia="Times New Roman" w:hAnsi="Times New Roman" w:cs="Times New Roman"/>
          <w:bCs/>
          <w:color w:val="FF0000"/>
          <w:sz w:val="24"/>
          <w:szCs w:val="24"/>
        </w:rPr>
        <w:t xml:space="preserve"> </w:t>
      </w:r>
      <w:r w:rsidRPr="0088738F">
        <w:rPr>
          <w:rFonts w:ascii="Times New Roman" w:eastAsia="Times New Roman" w:hAnsi="Times New Roman" w:cs="Times New Roman"/>
          <w:bCs/>
          <w:color w:val="000000"/>
          <w:sz w:val="24"/>
          <w:szCs w:val="24"/>
        </w:rPr>
        <w:t xml:space="preserve">association between demographic factors, knowledge, attitude level and practice </w:t>
      </w:r>
      <w:r w:rsidR="00A27C87" w:rsidRPr="00F51AAF">
        <w:rPr>
          <w:rFonts w:ascii="Times New Roman" w:eastAsia="Times New Roman" w:hAnsi="Times New Roman" w:cs="Times New Roman"/>
          <w:bCs/>
          <w:sz w:val="24"/>
          <w:szCs w:val="24"/>
        </w:rPr>
        <w:t>of</w:t>
      </w:r>
      <w:r w:rsidR="00A27C87">
        <w:rPr>
          <w:rFonts w:ascii="Times New Roman" w:eastAsia="Times New Roman" w:hAnsi="Times New Roman" w:cs="Times New Roman"/>
          <w:bCs/>
          <w:color w:val="FF0000"/>
          <w:sz w:val="24"/>
          <w:szCs w:val="24"/>
        </w:rPr>
        <w:t xml:space="preserve"> </w:t>
      </w:r>
      <w:r w:rsidRPr="0088738F">
        <w:rPr>
          <w:rFonts w:ascii="Times New Roman" w:eastAsia="Times New Roman" w:hAnsi="Times New Roman" w:cs="Times New Roman"/>
          <w:bCs/>
          <w:color w:val="000000"/>
          <w:sz w:val="24"/>
          <w:szCs w:val="24"/>
        </w:rPr>
        <w:t>street food hawkers in Johor to support the single-use plastic reduction program. The dependent (outcome) variables were knowledge and readiness level.</w:t>
      </w:r>
      <w:r w:rsidRPr="0088738F">
        <w:rPr>
          <w:rFonts w:ascii="Times New Roman" w:eastAsia="Times New Roman" w:hAnsi="Times New Roman" w:cs="Times New Roman"/>
          <w:color w:val="000000"/>
          <w:sz w:val="24"/>
          <w:szCs w:val="24"/>
        </w:rPr>
        <w:t xml:space="preserve"> </w:t>
      </w:r>
      <w:r w:rsidRPr="0088738F">
        <w:rPr>
          <w:rFonts w:ascii="Times New Roman" w:eastAsia="Times New Roman" w:hAnsi="Times New Roman" w:cs="Times New Roman"/>
          <w:bCs/>
          <w:color w:val="000000"/>
          <w:sz w:val="24"/>
          <w:szCs w:val="24"/>
        </w:rPr>
        <w:t xml:space="preserve">Modeling in multiple logistic regressions involved the following steps: (1) univariate analysis, (2) variable selection, (3) check </w:t>
      </w:r>
      <w:proofErr w:type="spellStart"/>
      <w:r w:rsidRPr="0088738F">
        <w:rPr>
          <w:rFonts w:ascii="Times New Roman" w:eastAsia="Times New Roman" w:hAnsi="Times New Roman" w:cs="Times New Roman"/>
          <w:bCs/>
          <w:color w:val="000000"/>
          <w:sz w:val="24"/>
          <w:szCs w:val="24"/>
        </w:rPr>
        <w:t>multicollinearity</w:t>
      </w:r>
      <w:proofErr w:type="spellEnd"/>
      <w:r w:rsidR="00D06581">
        <w:rPr>
          <w:rFonts w:ascii="Times New Roman" w:eastAsia="Times New Roman" w:hAnsi="Times New Roman" w:cs="Times New Roman"/>
          <w:bCs/>
          <w:color w:val="000000"/>
          <w:sz w:val="24"/>
          <w:szCs w:val="24"/>
        </w:rPr>
        <w:t xml:space="preserve"> </w:t>
      </w:r>
      <w:r w:rsidR="00D06581" w:rsidRPr="00F51AAF">
        <w:rPr>
          <w:rFonts w:ascii="Times New Roman" w:eastAsia="Times New Roman" w:hAnsi="Times New Roman" w:cs="Times New Roman"/>
          <w:bCs/>
          <w:color w:val="000000"/>
          <w:sz w:val="24"/>
          <w:szCs w:val="24"/>
        </w:rPr>
        <w:t>using Variance Inflation Factor (VIF)</w:t>
      </w:r>
      <w:r w:rsidRPr="00F51AAF">
        <w:rPr>
          <w:rFonts w:ascii="Times New Roman" w:eastAsia="Times New Roman" w:hAnsi="Times New Roman" w:cs="Times New Roman"/>
          <w:bCs/>
          <w:color w:val="000000"/>
          <w:sz w:val="24"/>
          <w:szCs w:val="24"/>
        </w:rPr>
        <w:t>,</w:t>
      </w:r>
      <w:r w:rsidRPr="0088738F">
        <w:rPr>
          <w:rFonts w:ascii="Times New Roman" w:eastAsia="Times New Roman" w:hAnsi="Times New Roman" w:cs="Times New Roman"/>
          <w:bCs/>
          <w:color w:val="000000"/>
          <w:sz w:val="24"/>
          <w:szCs w:val="24"/>
        </w:rPr>
        <w:t xml:space="preserve"> (4) check two-way interaction term, (5) assess the goodness-of-fit of the model, and (6) establish a final model.</w:t>
      </w:r>
    </w:p>
    <w:p w14:paraId="4B505B81" w14:textId="5B9E92C2"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bCs/>
          <w:color w:val="000000"/>
          <w:sz w:val="24"/>
          <w:szCs w:val="24"/>
        </w:rPr>
        <w:tab/>
      </w:r>
      <w:r w:rsidR="00DB1F05">
        <w:rPr>
          <w:rFonts w:ascii="Times New Roman" w:eastAsia="Times New Roman" w:hAnsi="Times New Roman" w:cs="Times New Roman"/>
          <w:bCs/>
          <w:color w:val="000000"/>
          <w:sz w:val="24"/>
          <w:szCs w:val="24"/>
        </w:rPr>
        <w:tab/>
      </w:r>
      <w:r w:rsidRPr="0088738F">
        <w:rPr>
          <w:rFonts w:ascii="Times New Roman" w:eastAsia="Times New Roman" w:hAnsi="Times New Roman" w:cs="Times New Roman"/>
          <w:color w:val="000000"/>
          <w:sz w:val="24"/>
          <w:szCs w:val="24"/>
        </w:rPr>
        <w:t>In univariate analysis, a simple logistic regression significant variable with a p-value &lt; 0.25 were included in the multiple logistic regression model for further analysis. The variables were selected with forward stepwise selection method by likelihood-ratio test, backward stepwise selection method by likelihood-ratio test and manual selection methods. The adjusted odds ratio (Adj. OR) and 95% CI was calculated and used as a measure of the strength of association between outcomes.</w:t>
      </w:r>
    </w:p>
    <w:p w14:paraId="64D34F75"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199C356A" w14:textId="6608AF56" w:rsidR="0088738F" w:rsidRPr="00DB1F05"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DB1F05">
        <w:rPr>
          <w:rFonts w:ascii="Times New Roman" w:eastAsia="Times New Roman" w:hAnsi="Times New Roman" w:cs="Times New Roman"/>
          <w:i/>
          <w:iCs/>
          <w:color w:val="000000"/>
          <w:sz w:val="24"/>
          <w:szCs w:val="24"/>
        </w:rPr>
        <w:t>Pearson correlation</w:t>
      </w:r>
    </w:p>
    <w:p w14:paraId="22612AB2" w14:textId="77777777" w:rsidR="00DB1F05" w:rsidRPr="0088738F" w:rsidRDefault="00DB1F05"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i/>
          <w:iCs/>
          <w:color w:val="000000"/>
          <w:sz w:val="24"/>
          <w:szCs w:val="24"/>
        </w:rPr>
      </w:pPr>
    </w:p>
    <w:p w14:paraId="18B9EB4B" w14:textId="5838132C"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This method is used to measure the relationship between two variables, which value ranges from -1 to 1. The higher</w:t>
      </w:r>
      <w:r w:rsidRPr="009320C0">
        <w:rPr>
          <w:rFonts w:ascii="Times New Roman" w:eastAsia="Times New Roman" w:hAnsi="Times New Roman" w:cs="Times New Roman"/>
          <w:color w:val="FF0000"/>
          <w:sz w:val="24"/>
          <w:szCs w:val="24"/>
        </w:rPr>
        <w:t xml:space="preserve"> </w:t>
      </w:r>
      <w:r w:rsidRPr="0088738F">
        <w:rPr>
          <w:rFonts w:ascii="Times New Roman" w:eastAsia="Times New Roman" w:hAnsi="Times New Roman" w:cs="Times New Roman"/>
          <w:color w:val="000000"/>
          <w:sz w:val="24"/>
          <w:szCs w:val="24"/>
        </w:rPr>
        <w:t>coefficient means there is a positive relationship between the variables, while the negative coefficient means when a variable is increased, the other tends to decrease (Table 2). In this study, the four variables and the dependent variable were analyzed if either two factors are related to each other.</w:t>
      </w:r>
    </w:p>
    <w:p w14:paraId="02047D1B" w14:textId="332170D9" w:rsidR="0088738F" w:rsidRPr="0088738F" w:rsidRDefault="0088738F" w:rsidP="00F51AAF">
      <w:pPr>
        <w:pBdr>
          <w:top w:val="nil"/>
          <w:left w:val="nil"/>
          <w:bottom w:val="nil"/>
          <w:right w:val="nil"/>
          <w:between w:val="nil"/>
        </w:pBdr>
        <w:spacing w:after="120" w:line="240" w:lineRule="auto"/>
        <w:ind w:leftChars="0" w:left="2" w:hanging="2"/>
        <w:jc w:val="both"/>
        <w:rPr>
          <w:rFonts w:ascii="Times New Roman" w:eastAsia="Times New Roman" w:hAnsi="Times New Roman" w:cs="Times New Roman"/>
          <w:b/>
          <w:color w:val="000000"/>
          <w:sz w:val="24"/>
          <w:szCs w:val="24"/>
        </w:rPr>
      </w:pPr>
      <m:oMathPara>
        <m:oMath>
          <m:r>
            <w:rPr>
              <w:rFonts w:ascii="Cambria Math" w:eastAsia="Times New Roman" w:hAnsi="Cambria Math" w:cs="Times New Roman"/>
              <w:color w:val="000000"/>
              <w:sz w:val="24"/>
              <w:szCs w:val="24"/>
            </w:rPr>
            <w:lastRenderedPageBreak/>
            <m:t>r=</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n</m:t>
              </m:r>
              <m:d>
                <m:dPr>
                  <m:ctrlPr>
                    <w:rPr>
                      <w:rFonts w:ascii="Cambria Math" w:eastAsia="Times New Roman" w:hAnsi="Cambria Math" w:cs="Times New Roman"/>
                      <w:i/>
                      <w:color w:val="000000"/>
                      <w:sz w:val="24"/>
                      <w:szCs w:val="24"/>
                    </w:rPr>
                  </m:ctrlPr>
                </m:dPr>
                <m:e>
                  <m:nary>
                    <m:naryPr>
                      <m:chr m:val="∑"/>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xy</m:t>
                      </m:r>
                    </m:e>
                  </m:nary>
                </m:e>
              </m:d>
              <m:r>
                <w:rPr>
                  <w:rFonts w:ascii="Cambria Math" w:eastAsia="Times New Roman" w:hAnsi="Cambria Math" w:cs="Times New Roman"/>
                  <w:color w:val="000000"/>
                  <w:sz w:val="24"/>
                  <w:szCs w:val="24"/>
                </w:rPr>
                <m:t>-(</m:t>
              </m:r>
              <m:nary>
                <m:naryPr>
                  <m:chr m:val="∑"/>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x</m:t>
                  </m:r>
                </m:e>
              </m:nary>
              <m:r>
                <w:rPr>
                  <w:rFonts w:ascii="Cambria Math" w:eastAsia="Times New Roman" w:hAnsi="Cambria Math" w:cs="Times New Roman"/>
                  <w:color w:val="000000"/>
                  <w:sz w:val="24"/>
                  <w:szCs w:val="24"/>
                </w:rPr>
                <m:t>)(</m:t>
              </m:r>
              <m:nary>
                <m:naryPr>
                  <m:chr m:val="∑"/>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y</m:t>
                  </m:r>
                </m:e>
              </m:nary>
              <m:r>
                <w:rPr>
                  <w:rFonts w:ascii="Cambria Math" w:eastAsia="Times New Roman" w:hAnsi="Cambria Math" w:cs="Times New Roman"/>
                  <w:color w:val="000000"/>
                  <w:sz w:val="24"/>
                  <w:szCs w:val="24"/>
                </w:rPr>
                <m:t>)</m:t>
              </m:r>
            </m:num>
            <m:den>
              <m:rad>
                <m:radPr>
                  <m:degHide m:val="1"/>
                  <m:ctrlPr>
                    <w:rPr>
                      <w:rFonts w:ascii="Cambria Math" w:eastAsia="Times New Roman" w:hAnsi="Cambria Math" w:cs="Times New Roman"/>
                      <w:i/>
                      <w:color w:val="000000"/>
                      <w:sz w:val="24"/>
                      <w:szCs w:val="24"/>
                    </w:rPr>
                  </m:ctrlPr>
                </m:radPr>
                <m:deg/>
                <m:e>
                  <m:d>
                    <m:dPr>
                      <m:begChr m:val="["/>
                      <m:endChr m:val="]"/>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n</m:t>
                      </m:r>
                      <m:nary>
                        <m:naryPr>
                          <m:chr m:val="∑"/>
                          <m:limLoc m:val="undOvr"/>
                          <m:subHide m:val="1"/>
                          <m:supHide m:val="1"/>
                          <m:ctrlPr>
                            <w:rPr>
                              <w:rFonts w:ascii="Cambria Math" w:eastAsia="Times New Roman" w:hAnsi="Cambria Math" w:cs="Times New Roman"/>
                              <w:i/>
                              <w:color w:val="000000"/>
                              <w:sz w:val="24"/>
                              <w:szCs w:val="24"/>
                            </w:rPr>
                          </m:ctrlPr>
                        </m:naryPr>
                        <m:sub/>
                        <m:sup/>
                        <m:e>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x</m:t>
                              </m:r>
                            </m:e>
                            <m:sup>
                              <m:r>
                                <w:rPr>
                                  <w:rFonts w:ascii="Cambria Math" w:eastAsia="Times New Roman" w:hAnsi="Cambria Math" w:cs="Times New Roman"/>
                                  <w:color w:val="000000"/>
                                  <w:sz w:val="24"/>
                                  <w:szCs w:val="24"/>
                                </w:rPr>
                                <m:t>2</m:t>
                              </m:r>
                            </m:sup>
                          </m:sSup>
                        </m:e>
                      </m:nary>
                      <m:r>
                        <w:rPr>
                          <w:rFonts w:ascii="Cambria Math" w:eastAsia="Times New Roman" w:hAnsi="Cambria Math" w:cs="Times New Roman"/>
                          <w:color w:val="000000"/>
                          <w:sz w:val="24"/>
                          <w:szCs w:val="24"/>
                        </w:rPr>
                        <m:t>-</m:t>
                      </m:r>
                      <m:sSup>
                        <m:sSupPr>
                          <m:ctrlPr>
                            <w:rPr>
                              <w:rFonts w:ascii="Cambria Math" w:eastAsia="Times New Roman" w:hAnsi="Cambria Math" w:cs="Times New Roman"/>
                              <w:i/>
                              <w:color w:val="000000"/>
                              <w:sz w:val="24"/>
                              <w:szCs w:val="24"/>
                            </w:rPr>
                          </m:ctrlPr>
                        </m:sSupPr>
                        <m:e>
                          <m:d>
                            <m:dPr>
                              <m:ctrlPr>
                                <w:rPr>
                                  <w:rFonts w:ascii="Cambria Math" w:eastAsia="Times New Roman" w:hAnsi="Cambria Math" w:cs="Times New Roman"/>
                                  <w:i/>
                                  <w:color w:val="000000"/>
                                  <w:sz w:val="24"/>
                                  <w:szCs w:val="24"/>
                                </w:rPr>
                              </m:ctrlPr>
                            </m:dPr>
                            <m:e>
                              <m:nary>
                                <m:naryPr>
                                  <m:chr m:val="∑"/>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x</m:t>
                                  </m:r>
                                </m:e>
                              </m:nary>
                            </m:e>
                          </m:d>
                        </m:e>
                        <m:sup>
                          <m:r>
                            <w:rPr>
                              <w:rFonts w:ascii="Cambria Math" w:eastAsia="Times New Roman" w:hAnsi="Cambria Math" w:cs="Times New Roman"/>
                              <w:color w:val="000000"/>
                              <w:sz w:val="24"/>
                              <w:szCs w:val="24"/>
                            </w:rPr>
                            <m:t>2</m:t>
                          </m:r>
                        </m:sup>
                      </m:sSup>
                    </m:e>
                  </m:d>
                  <m:r>
                    <w:rPr>
                      <w:rFonts w:ascii="Cambria Math" w:eastAsia="Times New Roman" w:hAnsi="Cambria Math" w:cs="Times New Roman"/>
                      <w:color w:val="000000"/>
                      <w:sz w:val="24"/>
                      <w:szCs w:val="24"/>
                    </w:rPr>
                    <m:t>[n</m:t>
                  </m:r>
                  <m:nary>
                    <m:naryPr>
                      <m:chr m:val="∑"/>
                      <m:limLoc m:val="undOvr"/>
                      <m:subHide m:val="1"/>
                      <m:supHide m:val="1"/>
                      <m:ctrlPr>
                        <w:rPr>
                          <w:rFonts w:ascii="Cambria Math" w:eastAsia="Times New Roman" w:hAnsi="Cambria Math" w:cs="Times New Roman"/>
                          <w:i/>
                          <w:color w:val="000000"/>
                          <w:sz w:val="24"/>
                          <w:szCs w:val="24"/>
                        </w:rPr>
                      </m:ctrlPr>
                    </m:naryPr>
                    <m:sub/>
                    <m:sup/>
                    <m:e>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y</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m:t>
                      </m:r>
                      <m:sSup>
                        <m:sSupPr>
                          <m:ctrlPr>
                            <w:rPr>
                              <w:rFonts w:ascii="Cambria Math" w:eastAsia="Times New Roman" w:hAnsi="Cambria Math" w:cs="Times New Roman"/>
                              <w:i/>
                              <w:color w:val="000000"/>
                              <w:sz w:val="24"/>
                              <w:szCs w:val="24"/>
                            </w:rPr>
                          </m:ctrlPr>
                        </m:sSupPr>
                        <m:e>
                          <m:d>
                            <m:dPr>
                              <m:ctrlPr>
                                <w:rPr>
                                  <w:rFonts w:ascii="Cambria Math" w:eastAsia="Times New Roman" w:hAnsi="Cambria Math" w:cs="Times New Roman"/>
                                  <w:i/>
                                  <w:color w:val="000000"/>
                                  <w:sz w:val="24"/>
                                  <w:szCs w:val="24"/>
                                </w:rPr>
                              </m:ctrlPr>
                            </m:dPr>
                            <m:e>
                              <m:nary>
                                <m:naryPr>
                                  <m:chr m:val="∑"/>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y</m:t>
                                  </m:r>
                                </m:e>
                              </m:nary>
                            </m:e>
                          </m:d>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m:t>
                      </m:r>
                    </m:e>
                  </m:nary>
                </m:e>
              </m:rad>
            </m:den>
          </m:f>
          <m:r>
            <w:rPr>
              <w:rFonts w:ascii="Cambria Math" w:eastAsia="Times New Roman" w:hAnsi="Cambria Math" w:cs="Times New Roman"/>
              <w:color w:val="000000"/>
              <w:sz w:val="24"/>
              <w:szCs w:val="24"/>
            </w:rPr>
            <m:t>,</m:t>
          </m:r>
        </m:oMath>
      </m:oMathPara>
    </w:p>
    <w:p w14:paraId="0140357A"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where</w:t>
      </w:r>
    </w:p>
    <w:p w14:paraId="1750336F"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roofErr w:type="spellStart"/>
      <w:r w:rsidRPr="0088738F">
        <w:rPr>
          <w:rFonts w:ascii="Times New Roman" w:eastAsia="Times New Roman" w:hAnsi="Times New Roman" w:cs="Times New Roman"/>
          <w:color w:val="000000"/>
          <w:sz w:val="24"/>
          <w:szCs w:val="24"/>
        </w:rPr>
        <w:t>i</w:t>
      </w:r>
      <w:proofErr w:type="spellEnd"/>
      <w:r w:rsidRPr="0088738F">
        <w:rPr>
          <w:rFonts w:ascii="Times New Roman" w:eastAsia="Times New Roman" w:hAnsi="Times New Roman" w:cs="Times New Roman"/>
          <w:color w:val="000000"/>
          <w:sz w:val="24"/>
          <w:szCs w:val="24"/>
        </w:rPr>
        <w:t>. n is the sample size</w:t>
      </w:r>
    </w:p>
    <w:p w14:paraId="7AD1F6F1"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8738F">
        <w:rPr>
          <w:rFonts w:ascii="Times New Roman" w:eastAsia="Times New Roman" w:hAnsi="Times New Roman" w:cs="Times New Roman"/>
          <w:color w:val="000000"/>
          <w:sz w:val="24"/>
          <w:szCs w:val="24"/>
        </w:rPr>
        <w:t>ii. x and y are the individual sample points</w:t>
      </w:r>
    </w:p>
    <w:p w14:paraId="63FB6F85"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FF229FE" w14:textId="09D2880B" w:rsidR="0088738F" w:rsidRDefault="0088738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DB1F05">
        <w:rPr>
          <w:rFonts w:ascii="Times New Roman" w:eastAsia="Times New Roman" w:hAnsi="Times New Roman" w:cs="Times New Roman"/>
          <w:b/>
          <w:color w:val="000000"/>
          <w:sz w:val="20"/>
          <w:szCs w:val="20"/>
        </w:rPr>
        <w:t xml:space="preserve">Table </w:t>
      </w:r>
      <w:r w:rsidR="00DB1F05">
        <w:rPr>
          <w:rFonts w:ascii="Times New Roman" w:eastAsia="Times New Roman" w:hAnsi="Times New Roman" w:cs="Times New Roman"/>
          <w:b/>
          <w:color w:val="000000"/>
          <w:sz w:val="20"/>
          <w:szCs w:val="20"/>
        </w:rPr>
        <w:t xml:space="preserve">2. </w:t>
      </w:r>
      <w:r w:rsidRPr="0088738F">
        <w:rPr>
          <w:rFonts w:ascii="Times New Roman" w:eastAsia="Times New Roman" w:hAnsi="Times New Roman" w:cs="Times New Roman"/>
          <w:color w:val="000000"/>
          <w:sz w:val="20"/>
          <w:szCs w:val="20"/>
        </w:rPr>
        <w:t xml:space="preserve">Interpretation of </w:t>
      </w:r>
      <w:r w:rsidR="00DB1F05" w:rsidRPr="0088738F">
        <w:rPr>
          <w:rFonts w:ascii="Times New Roman" w:eastAsia="Times New Roman" w:hAnsi="Times New Roman" w:cs="Times New Roman"/>
          <w:color w:val="000000"/>
          <w:sz w:val="20"/>
          <w:szCs w:val="20"/>
        </w:rPr>
        <w:t>relationship strength of correlation coefficient</w:t>
      </w:r>
    </w:p>
    <w:p w14:paraId="03F14E10" w14:textId="77777777" w:rsidR="00F51AAF" w:rsidRPr="0088738F"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tbl>
      <w:tblPr>
        <w:tblW w:w="4165" w:type="pct"/>
        <w:jc w:val="center"/>
        <w:tblBorders>
          <w:top w:val="single" w:sz="4" w:space="0" w:color="auto"/>
          <w:bottom w:val="single" w:sz="4" w:space="0" w:color="auto"/>
        </w:tblBorders>
        <w:tblLook w:val="04A0" w:firstRow="1" w:lastRow="0" w:firstColumn="1" w:lastColumn="0" w:noHBand="0" w:noVBand="1"/>
      </w:tblPr>
      <w:tblGrid>
        <w:gridCol w:w="3814"/>
        <w:gridCol w:w="3983"/>
      </w:tblGrid>
      <w:tr w:rsidR="0088738F" w:rsidRPr="0088738F" w14:paraId="0A1D0B88" w14:textId="77777777" w:rsidTr="009D111D">
        <w:trPr>
          <w:jc w:val="center"/>
        </w:trPr>
        <w:tc>
          <w:tcPr>
            <w:tcW w:w="2446" w:type="pct"/>
            <w:tcBorders>
              <w:bottom w:val="single" w:sz="4" w:space="0" w:color="auto"/>
            </w:tcBorders>
            <w:shd w:val="clear" w:color="auto" w:fill="548DD4" w:themeFill="text2" w:themeFillTint="99"/>
          </w:tcPr>
          <w:p w14:paraId="4841C599" w14:textId="2B06EA3D" w:rsidR="0088738F" w:rsidRPr="0088738F" w:rsidRDefault="0088738F" w:rsidP="009D111D">
            <w:pPr>
              <w:pBdr>
                <w:top w:val="nil"/>
                <w:left w:val="nil"/>
                <w:bottom w:val="nil"/>
                <w:right w:val="nil"/>
                <w:between w:val="nil"/>
              </w:pBdr>
              <w:shd w:val="clear" w:color="auto" w:fill="548DD4" w:themeFill="text2" w:themeFillTint="99"/>
              <w:spacing w:after="0" w:line="240" w:lineRule="auto"/>
              <w:ind w:leftChars="0" w:left="2" w:hanging="2"/>
              <w:jc w:val="center"/>
              <w:rPr>
                <w:rFonts w:ascii="Times New Roman" w:eastAsia="Times New Roman" w:hAnsi="Times New Roman" w:cs="Times New Roman"/>
                <w:b/>
                <w:bCs/>
                <w:color w:val="000000"/>
                <w:sz w:val="20"/>
                <w:szCs w:val="20"/>
              </w:rPr>
            </w:pPr>
            <w:r w:rsidRPr="0088738F">
              <w:rPr>
                <w:rFonts w:ascii="Times New Roman" w:eastAsia="Times New Roman" w:hAnsi="Times New Roman" w:cs="Times New Roman"/>
                <w:b/>
                <w:bCs/>
                <w:color w:val="000000"/>
                <w:sz w:val="20"/>
                <w:szCs w:val="20"/>
              </w:rPr>
              <w:t xml:space="preserve">Correlation </w:t>
            </w:r>
            <w:r w:rsidR="00DB1F05" w:rsidRPr="0088738F">
              <w:rPr>
                <w:rFonts w:ascii="Times New Roman" w:eastAsia="Times New Roman" w:hAnsi="Times New Roman" w:cs="Times New Roman"/>
                <w:b/>
                <w:bCs/>
                <w:color w:val="000000"/>
                <w:sz w:val="20"/>
                <w:szCs w:val="20"/>
              </w:rPr>
              <w:t>c</w:t>
            </w:r>
            <w:r w:rsidRPr="0088738F">
              <w:rPr>
                <w:rFonts w:ascii="Times New Roman" w:eastAsia="Times New Roman" w:hAnsi="Times New Roman" w:cs="Times New Roman"/>
                <w:b/>
                <w:bCs/>
                <w:color w:val="000000"/>
                <w:sz w:val="20"/>
                <w:szCs w:val="20"/>
              </w:rPr>
              <w:t>oefficient</w:t>
            </w:r>
          </w:p>
        </w:tc>
        <w:tc>
          <w:tcPr>
            <w:tcW w:w="2554" w:type="pct"/>
            <w:tcBorders>
              <w:bottom w:val="single" w:sz="4" w:space="0" w:color="auto"/>
            </w:tcBorders>
            <w:shd w:val="clear" w:color="auto" w:fill="548DD4" w:themeFill="text2" w:themeFillTint="99"/>
          </w:tcPr>
          <w:p w14:paraId="1E464DA2" w14:textId="77777777" w:rsidR="0088738F" w:rsidRPr="0088738F" w:rsidRDefault="0088738F" w:rsidP="009D111D">
            <w:pPr>
              <w:pBdr>
                <w:top w:val="nil"/>
                <w:left w:val="nil"/>
                <w:bottom w:val="nil"/>
                <w:right w:val="nil"/>
                <w:between w:val="nil"/>
              </w:pBdr>
              <w:shd w:val="clear" w:color="auto" w:fill="548DD4" w:themeFill="text2" w:themeFillTint="99"/>
              <w:spacing w:after="0" w:line="240" w:lineRule="auto"/>
              <w:ind w:leftChars="0" w:left="2" w:hanging="2"/>
              <w:jc w:val="center"/>
              <w:rPr>
                <w:rFonts w:ascii="Times New Roman" w:eastAsia="Times New Roman" w:hAnsi="Times New Roman" w:cs="Times New Roman"/>
                <w:b/>
                <w:bCs/>
                <w:color w:val="000000"/>
                <w:sz w:val="20"/>
                <w:szCs w:val="20"/>
              </w:rPr>
            </w:pPr>
            <w:r w:rsidRPr="0088738F">
              <w:rPr>
                <w:rFonts w:ascii="Times New Roman" w:eastAsia="Times New Roman" w:hAnsi="Times New Roman" w:cs="Times New Roman"/>
                <w:b/>
                <w:bCs/>
                <w:color w:val="000000"/>
                <w:sz w:val="20"/>
                <w:szCs w:val="20"/>
              </w:rPr>
              <w:t>Interpretation</w:t>
            </w:r>
          </w:p>
        </w:tc>
      </w:tr>
      <w:tr w:rsidR="0088738F" w:rsidRPr="0088738F" w14:paraId="4E5CCDBC" w14:textId="77777777" w:rsidTr="00F51AAF">
        <w:trPr>
          <w:jc w:val="center"/>
        </w:trPr>
        <w:tc>
          <w:tcPr>
            <w:tcW w:w="2446" w:type="pct"/>
            <w:tcBorders>
              <w:top w:val="single" w:sz="4" w:space="0" w:color="auto"/>
            </w:tcBorders>
          </w:tcPr>
          <w:p w14:paraId="1750256B"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|0.90| &lt; r ≤ |1.00|</w:t>
            </w:r>
          </w:p>
        </w:tc>
        <w:tc>
          <w:tcPr>
            <w:tcW w:w="2554" w:type="pct"/>
            <w:tcBorders>
              <w:top w:val="single" w:sz="4" w:space="0" w:color="auto"/>
            </w:tcBorders>
          </w:tcPr>
          <w:p w14:paraId="78B83882"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Very high positive/negative correlation</w:t>
            </w:r>
          </w:p>
        </w:tc>
      </w:tr>
      <w:tr w:rsidR="0088738F" w:rsidRPr="0088738F" w14:paraId="4273E73B" w14:textId="77777777" w:rsidTr="00F51AAF">
        <w:trPr>
          <w:jc w:val="center"/>
        </w:trPr>
        <w:tc>
          <w:tcPr>
            <w:tcW w:w="2446" w:type="pct"/>
          </w:tcPr>
          <w:p w14:paraId="594D7E89"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|0.70| &lt; r ≤ |0.90|</w:t>
            </w:r>
          </w:p>
        </w:tc>
        <w:tc>
          <w:tcPr>
            <w:tcW w:w="2554" w:type="pct"/>
          </w:tcPr>
          <w:p w14:paraId="0CFC346D"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High positive/negative correlation</w:t>
            </w:r>
          </w:p>
        </w:tc>
      </w:tr>
      <w:tr w:rsidR="0088738F" w:rsidRPr="0088738F" w14:paraId="7D10453A" w14:textId="77777777" w:rsidTr="00F51AAF">
        <w:trPr>
          <w:jc w:val="center"/>
        </w:trPr>
        <w:tc>
          <w:tcPr>
            <w:tcW w:w="2446" w:type="pct"/>
          </w:tcPr>
          <w:p w14:paraId="737A8DA9"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|0.50| &lt; r ≤ |0.70|</w:t>
            </w:r>
          </w:p>
        </w:tc>
        <w:tc>
          <w:tcPr>
            <w:tcW w:w="2554" w:type="pct"/>
          </w:tcPr>
          <w:p w14:paraId="3F997452"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Moderate positive/negative correlation</w:t>
            </w:r>
          </w:p>
        </w:tc>
      </w:tr>
      <w:tr w:rsidR="0088738F" w:rsidRPr="0088738F" w14:paraId="2BA32313" w14:textId="77777777" w:rsidTr="00F51AAF">
        <w:trPr>
          <w:jc w:val="center"/>
        </w:trPr>
        <w:tc>
          <w:tcPr>
            <w:tcW w:w="2446" w:type="pct"/>
          </w:tcPr>
          <w:p w14:paraId="743CC14C"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|0.30| &lt; r ≤ |0.50|</w:t>
            </w:r>
          </w:p>
        </w:tc>
        <w:tc>
          <w:tcPr>
            <w:tcW w:w="2554" w:type="pct"/>
          </w:tcPr>
          <w:p w14:paraId="59D06AEE"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Low positive/negative correlation</w:t>
            </w:r>
          </w:p>
        </w:tc>
      </w:tr>
      <w:tr w:rsidR="0088738F" w:rsidRPr="0088738F" w14:paraId="4D37D0F7" w14:textId="77777777" w:rsidTr="00F51AAF">
        <w:trPr>
          <w:jc w:val="center"/>
        </w:trPr>
        <w:tc>
          <w:tcPr>
            <w:tcW w:w="2446" w:type="pct"/>
          </w:tcPr>
          <w:p w14:paraId="2C8557FC"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|0.00| &lt; r ≤ |0.30|</w:t>
            </w:r>
          </w:p>
        </w:tc>
        <w:tc>
          <w:tcPr>
            <w:tcW w:w="2554" w:type="pct"/>
          </w:tcPr>
          <w:p w14:paraId="128D2E59" w14:textId="77777777" w:rsidR="0088738F" w:rsidRPr="0088738F" w:rsidRDefault="0088738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88738F">
              <w:rPr>
                <w:rFonts w:ascii="Times New Roman" w:eastAsia="Times New Roman" w:hAnsi="Times New Roman" w:cs="Times New Roman"/>
                <w:color w:val="000000"/>
                <w:sz w:val="20"/>
                <w:szCs w:val="20"/>
              </w:rPr>
              <w:t>Negligible correlation</w:t>
            </w:r>
          </w:p>
        </w:tc>
      </w:tr>
    </w:tbl>
    <w:p w14:paraId="6C9C60DF" w14:textId="1E9B5E27" w:rsidR="004F3706" w:rsidRDefault="004F3706"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63D40F3" w14:textId="77777777"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6F18085" w14:textId="3E67991C"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69DC4AC7" w14:textId="77777777" w:rsidR="004F3706" w:rsidRDefault="0059295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5D881AD" w14:textId="32661545" w:rsidR="0094536E" w:rsidRPr="009D111D" w:rsidRDefault="009D111D"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9D111D">
        <w:rPr>
          <w:rFonts w:ascii="Times New Roman" w:eastAsia="Times New Roman" w:hAnsi="Times New Roman" w:cs="Times New Roman"/>
          <w:bCs/>
          <w:i/>
          <w:iCs/>
          <w:color w:val="000000"/>
          <w:sz w:val="24"/>
          <w:szCs w:val="24"/>
          <w:lang w:val="en-GB"/>
        </w:rPr>
        <w:t>Sociodemographic profile</w:t>
      </w:r>
    </w:p>
    <w:p w14:paraId="1F8CAD97"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DF3A302" w14:textId="5B4C7761"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rPr>
      </w:pPr>
      <w:r w:rsidRPr="0094536E">
        <w:rPr>
          <w:rFonts w:ascii="Times New Roman" w:eastAsia="Times New Roman" w:hAnsi="Times New Roman" w:cs="Times New Roman"/>
          <w:color w:val="000000"/>
          <w:sz w:val="24"/>
          <w:szCs w:val="24"/>
        </w:rPr>
        <w:t xml:space="preserve">The survey was completed by 149 street food hawkers in the </w:t>
      </w:r>
      <w:proofErr w:type="spellStart"/>
      <w:r w:rsidRPr="0094536E">
        <w:rPr>
          <w:rFonts w:ascii="Times New Roman" w:eastAsia="Times New Roman" w:hAnsi="Times New Roman" w:cs="Times New Roman"/>
          <w:color w:val="000000"/>
          <w:sz w:val="24"/>
          <w:szCs w:val="24"/>
        </w:rPr>
        <w:t>Tangkak</w:t>
      </w:r>
      <w:proofErr w:type="spellEnd"/>
      <w:r w:rsidRPr="0094536E">
        <w:rPr>
          <w:rFonts w:ascii="Times New Roman" w:eastAsia="Times New Roman" w:hAnsi="Times New Roman" w:cs="Times New Roman"/>
          <w:color w:val="000000"/>
          <w:sz w:val="24"/>
          <w:szCs w:val="24"/>
        </w:rPr>
        <w:t xml:space="preserve"> district of Johor situated in the southern part of Malaysia. Most responders were aged 18 to 30 (45.6%). With 80 (53.7%) females and 69 (46.3%) males, the gender distribution was about equal. Most respondents (47%) had a secondary school education or even, followed by those with a diploma or equivalent (35.6 %) and those with a degree or higher education (11.4%). Most of them (63.8%) had more than three years of company experience. The most significant source of Knowledge on plastic use was social media (40.3%), followed by television (47.3%) and official sources (16.1%). Table 3 </w:t>
      </w:r>
      <w:proofErr w:type="spellStart"/>
      <w:r w:rsidRPr="0094536E">
        <w:rPr>
          <w:rFonts w:ascii="Times New Roman" w:eastAsia="Times New Roman" w:hAnsi="Times New Roman" w:cs="Times New Roman"/>
          <w:color w:val="000000"/>
          <w:sz w:val="24"/>
          <w:szCs w:val="24"/>
        </w:rPr>
        <w:t>summarises</w:t>
      </w:r>
      <w:proofErr w:type="spellEnd"/>
      <w:r w:rsidRPr="0094536E">
        <w:rPr>
          <w:rFonts w:ascii="Times New Roman" w:eastAsia="Times New Roman" w:hAnsi="Times New Roman" w:cs="Times New Roman"/>
          <w:color w:val="000000"/>
          <w:sz w:val="24"/>
          <w:szCs w:val="24"/>
        </w:rPr>
        <w:t xml:space="preserve"> the sociodemographic characteristics of the respondents.</w:t>
      </w:r>
    </w:p>
    <w:p w14:paraId="4B6981B9" w14:textId="293B6A09" w:rsidR="0094536E" w:rsidRPr="0094536E" w:rsidRDefault="0094536E" w:rsidP="00CD2F6A">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rPr>
      </w:pPr>
      <w:r w:rsidRPr="0094536E">
        <w:rPr>
          <w:rFonts w:ascii="Times New Roman" w:eastAsia="Times New Roman" w:hAnsi="Times New Roman" w:cs="Times New Roman"/>
          <w:bCs/>
          <w:color w:val="000000"/>
          <w:sz w:val="24"/>
          <w:szCs w:val="24"/>
        </w:rPr>
        <w:t xml:space="preserve">The descriptive analysis findings regarding the sociodemographic profile of street food hawkers in </w:t>
      </w:r>
      <w:proofErr w:type="spellStart"/>
      <w:r w:rsidRPr="0094536E">
        <w:rPr>
          <w:rFonts w:ascii="Times New Roman" w:eastAsia="Times New Roman" w:hAnsi="Times New Roman" w:cs="Times New Roman"/>
          <w:bCs/>
          <w:color w:val="000000"/>
          <w:sz w:val="24"/>
          <w:szCs w:val="24"/>
        </w:rPr>
        <w:t>Tangkak</w:t>
      </w:r>
      <w:proofErr w:type="spellEnd"/>
      <w:r w:rsidRPr="0094536E">
        <w:rPr>
          <w:rFonts w:ascii="Times New Roman" w:eastAsia="Times New Roman" w:hAnsi="Times New Roman" w:cs="Times New Roman"/>
          <w:bCs/>
          <w:color w:val="000000"/>
          <w:sz w:val="24"/>
          <w:szCs w:val="24"/>
        </w:rPr>
        <w:t>, Johor, are consistent with past research on similar populations and environmental initiatives. Studies conducted in urban areas with vibrant street food cultures have often reported a predominance of younger hawkers, reflective of the entrepreneurial opportunities that street vending offers to individuals seeking livelihoods, particularly in densely populated urban centers</w:t>
      </w:r>
      <w:r>
        <w:rPr>
          <w:rFonts w:ascii="Times New Roman" w:eastAsia="Times New Roman" w:hAnsi="Times New Roman" w:cs="Times New Roman"/>
          <w:bCs/>
          <w:color w:val="000000"/>
          <w:sz w:val="24"/>
          <w:szCs w:val="24"/>
        </w:rPr>
        <w:t xml:space="preserve"> (</w:t>
      </w:r>
      <w:r w:rsidRPr="0094536E">
        <w:rPr>
          <w:rFonts w:ascii="Times New Roman" w:eastAsia="Times New Roman" w:hAnsi="Times New Roman" w:cs="Times New Roman"/>
          <w:bCs/>
          <w:color w:val="000000"/>
          <w:sz w:val="24"/>
          <w:szCs w:val="24"/>
        </w:rPr>
        <w:t>Rahman and Aziz, 2020).</w:t>
      </w:r>
    </w:p>
    <w:p w14:paraId="29A28301" w14:textId="77777777" w:rsidR="0094536E" w:rsidRDefault="0094536E"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rPr>
      </w:pPr>
      <w:r w:rsidRPr="0094536E">
        <w:rPr>
          <w:rFonts w:ascii="Times New Roman" w:eastAsia="Times New Roman" w:hAnsi="Times New Roman" w:cs="Times New Roman"/>
          <w:bCs/>
          <w:color w:val="000000"/>
          <w:sz w:val="24"/>
          <w:szCs w:val="24"/>
        </w:rPr>
        <w:t>Similarly, the near-balanced gender distribution observed among street food hawkers aligns with broader trends seen in the informal sector, where women often play a significant role in street vending activities, contributing to household incomes and community economies (Othman et at., 2020). This gender inclusivity in street vending has been recognized as essential for promoting gender equity and economic empowerment among marginalized groups (Rahman and Aziz, 2020). Regarding educational background, the dominance of secondary school education or lower among street food hawkers is a common finding across various studies on informal economies and street vending sectors in Southeast Asia (Xavier &amp; Gomez, 2018). However, it's important to note that while formal education levels may vary, street food hawkers often possess invaluable experiential knowledge and practical skills acquired through years of hands-on experience in the industry (</w:t>
      </w:r>
      <w:proofErr w:type="spellStart"/>
      <w:r w:rsidRPr="0094536E">
        <w:rPr>
          <w:rFonts w:ascii="Times New Roman" w:eastAsia="Times New Roman" w:hAnsi="Times New Roman" w:cs="Times New Roman"/>
          <w:bCs/>
          <w:color w:val="000000"/>
          <w:sz w:val="24"/>
          <w:szCs w:val="24"/>
        </w:rPr>
        <w:t>Aryee</w:t>
      </w:r>
      <w:proofErr w:type="spellEnd"/>
      <w:r w:rsidRPr="0094536E">
        <w:rPr>
          <w:rFonts w:ascii="Times New Roman" w:eastAsia="Times New Roman" w:hAnsi="Times New Roman" w:cs="Times New Roman"/>
          <w:bCs/>
          <w:color w:val="000000"/>
          <w:sz w:val="24"/>
          <w:szCs w:val="24"/>
        </w:rPr>
        <w:t xml:space="preserve"> et al., 2023).</w:t>
      </w:r>
    </w:p>
    <w:p w14:paraId="1908F343" w14:textId="77777777" w:rsidR="00CD2F6A" w:rsidRDefault="00CD2F6A"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rPr>
      </w:pPr>
    </w:p>
    <w:p w14:paraId="7CEAF3E4" w14:textId="77777777" w:rsidR="009D111D" w:rsidRPr="0094536E" w:rsidRDefault="009D111D"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rPr>
      </w:pPr>
    </w:p>
    <w:p w14:paraId="1A1A462A" w14:textId="1A1F75A1" w:rsidR="00CD2F6A" w:rsidRDefault="00CD2F6A" w:rsidP="00CD2F6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lastRenderedPageBreak/>
        <w:t>Table 3</w:t>
      </w:r>
      <w:r w:rsidR="009D111D">
        <w:rPr>
          <w:rFonts w:ascii="Times New Roman" w:eastAsia="Times New Roman" w:hAnsi="Times New Roman" w:cs="Times New Roman"/>
          <w:b/>
          <w:bCs/>
          <w:color w:val="000000"/>
          <w:sz w:val="20"/>
          <w:szCs w:val="20"/>
        </w:rPr>
        <w:t>.</w:t>
      </w:r>
      <w:r w:rsidRPr="0094536E">
        <w:rPr>
          <w:rFonts w:ascii="Times New Roman" w:eastAsia="Times New Roman" w:hAnsi="Times New Roman" w:cs="Times New Roman"/>
          <w:b/>
          <w:bCs/>
          <w:color w:val="000000"/>
          <w:sz w:val="20"/>
          <w:szCs w:val="20"/>
        </w:rPr>
        <w:t xml:space="preserve"> </w:t>
      </w:r>
      <w:r w:rsidRPr="0094536E">
        <w:rPr>
          <w:rFonts w:ascii="Times New Roman" w:eastAsia="Times New Roman" w:hAnsi="Times New Roman" w:cs="Times New Roman"/>
          <w:color w:val="000000"/>
          <w:sz w:val="20"/>
          <w:szCs w:val="20"/>
        </w:rPr>
        <w:t xml:space="preserve">Street food hawkers’ sociodemographic background in </w:t>
      </w:r>
      <w:proofErr w:type="spellStart"/>
      <w:r w:rsidRPr="0094536E">
        <w:rPr>
          <w:rFonts w:ascii="Times New Roman" w:eastAsia="Times New Roman" w:hAnsi="Times New Roman" w:cs="Times New Roman"/>
          <w:color w:val="000000"/>
          <w:sz w:val="20"/>
          <w:szCs w:val="20"/>
        </w:rPr>
        <w:t>Tangkak</w:t>
      </w:r>
      <w:proofErr w:type="spellEnd"/>
      <w:r w:rsidRPr="0094536E">
        <w:rPr>
          <w:rFonts w:ascii="Times New Roman" w:eastAsia="Times New Roman" w:hAnsi="Times New Roman" w:cs="Times New Roman"/>
          <w:color w:val="000000"/>
          <w:sz w:val="20"/>
          <w:szCs w:val="20"/>
        </w:rPr>
        <w:t>, Johor (n = 149)</w:t>
      </w:r>
    </w:p>
    <w:p w14:paraId="0EDEAF9C" w14:textId="77777777" w:rsidR="00CD2F6A" w:rsidRPr="00F51AAF" w:rsidRDefault="00CD2F6A" w:rsidP="00CD2F6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p>
    <w:tbl>
      <w:tblPr>
        <w:tblW w:w="5812" w:type="dxa"/>
        <w:jc w:val="center"/>
        <w:tblBorders>
          <w:top w:val="single" w:sz="4" w:space="0" w:color="auto"/>
          <w:bottom w:val="single" w:sz="4" w:space="0" w:color="auto"/>
        </w:tblBorders>
        <w:tblLook w:val="0420" w:firstRow="1" w:lastRow="0" w:firstColumn="0" w:lastColumn="0" w:noHBand="0" w:noVBand="1"/>
      </w:tblPr>
      <w:tblGrid>
        <w:gridCol w:w="4407"/>
        <w:gridCol w:w="1405"/>
      </w:tblGrid>
      <w:tr w:rsidR="00CD2F6A" w:rsidRPr="0094536E" w14:paraId="13279B74" w14:textId="77777777" w:rsidTr="009D111D">
        <w:trPr>
          <w:trHeight w:val="281"/>
          <w:jc w:val="center"/>
        </w:trPr>
        <w:tc>
          <w:tcPr>
            <w:tcW w:w="4407" w:type="dxa"/>
            <w:tcBorders>
              <w:bottom w:val="single" w:sz="4" w:space="0" w:color="auto"/>
            </w:tcBorders>
            <w:shd w:val="clear" w:color="auto" w:fill="548DD4" w:themeFill="text2" w:themeFillTint="99"/>
            <w:hideMark/>
          </w:tcPr>
          <w:p w14:paraId="7D02719A" w14:textId="77777777" w:rsidR="00CD2F6A" w:rsidRPr="0094536E" w:rsidRDefault="00CD2F6A" w:rsidP="009D111D">
            <w:pPr>
              <w:pBdr>
                <w:top w:val="nil"/>
                <w:left w:val="nil"/>
                <w:bottom w:val="nil"/>
                <w:right w:val="nil"/>
                <w:between w:val="nil"/>
              </w:pBdr>
              <w:spacing w:after="0" w:line="240" w:lineRule="auto"/>
              <w:ind w:leftChars="0" w:left="2" w:hanging="2"/>
              <w:jc w:val="center"/>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Variables</w:t>
            </w:r>
          </w:p>
        </w:tc>
        <w:tc>
          <w:tcPr>
            <w:tcW w:w="1405" w:type="dxa"/>
            <w:tcBorders>
              <w:bottom w:val="single" w:sz="4" w:space="0" w:color="auto"/>
            </w:tcBorders>
            <w:shd w:val="clear" w:color="auto" w:fill="548DD4" w:themeFill="text2" w:themeFillTint="99"/>
          </w:tcPr>
          <w:p w14:paraId="61CD1190" w14:textId="77777777" w:rsidR="00CD2F6A" w:rsidRPr="0094536E" w:rsidRDefault="00CD2F6A" w:rsidP="009D111D">
            <w:pPr>
              <w:pBdr>
                <w:top w:val="nil"/>
                <w:left w:val="nil"/>
                <w:bottom w:val="nil"/>
                <w:right w:val="nil"/>
                <w:between w:val="nil"/>
              </w:pBdr>
              <w:spacing w:after="0" w:line="240" w:lineRule="auto"/>
              <w:ind w:leftChars="0" w:left="2" w:hanging="2"/>
              <w:jc w:val="center"/>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n (%)</w:t>
            </w:r>
          </w:p>
        </w:tc>
      </w:tr>
      <w:tr w:rsidR="00CD2F6A" w:rsidRPr="0094536E" w14:paraId="7A5D22F5" w14:textId="77777777" w:rsidTr="00CD2F6A">
        <w:trPr>
          <w:trHeight w:val="220"/>
          <w:jc w:val="center"/>
        </w:trPr>
        <w:tc>
          <w:tcPr>
            <w:tcW w:w="4407" w:type="dxa"/>
            <w:tcBorders>
              <w:top w:val="single" w:sz="4" w:space="0" w:color="auto"/>
              <w:bottom w:val="single" w:sz="4" w:space="0" w:color="auto"/>
            </w:tcBorders>
            <w:shd w:val="clear" w:color="auto" w:fill="auto"/>
          </w:tcPr>
          <w:p w14:paraId="7183785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Age</w:t>
            </w:r>
          </w:p>
          <w:p w14:paraId="5BABD10E"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18-30 years</w:t>
            </w:r>
          </w:p>
          <w:p w14:paraId="697FFC3F"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31-40 years</w:t>
            </w:r>
          </w:p>
          <w:p w14:paraId="6DFCE7E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41-50years</w:t>
            </w:r>
          </w:p>
          <w:p w14:paraId="1A58B1A1"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color w:val="000000"/>
                <w:sz w:val="20"/>
                <w:szCs w:val="20"/>
                <w:lang w:val="en-MY"/>
              </w:rPr>
              <w:t>≥50 years</w:t>
            </w:r>
          </w:p>
        </w:tc>
        <w:tc>
          <w:tcPr>
            <w:tcW w:w="1405" w:type="dxa"/>
            <w:tcBorders>
              <w:top w:val="single" w:sz="4" w:space="0" w:color="auto"/>
              <w:bottom w:val="single" w:sz="4" w:space="0" w:color="auto"/>
            </w:tcBorders>
            <w:shd w:val="clear" w:color="auto" w:fill="auto"/>
          </w:tcPr>
          <w:p w14:paraId="57A32FF3"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2A735B8A"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68(45.6)</w:t>
            </w:r>
          </w:p>
          <w:p w14:paraId="268B83F1"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48(32.2)</w:t>
            </w:r>
          </w:p>
          <w:p w14:paraId="515180FA"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20(13.4)</w:t>
            </w:r>
          </w:p>
          <w:p w14:paraId="3ECDDB26"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13(8.7)</w:t>
            </w:r>
          </w:p>
        </w:tc>
      </w:tr>
      <w:tr w:rsidR="00CD2F6A" w:rsidRPr="0094536E" w14:paraId="327E8563" w14:textId="77777777" w:rsidTr="00CD2F6A">
        <w:trPr>
          <w:trHeight w:val="584"/>
          <w:jc w:val="center"/>
        </w:trPr>
        <w:tc>
          <w:tcPr>
            <w:tcW w:w="4407" w:type="dxa"/>
            <w:tcBorders>
              <w:top w:val="single" w:sz="4" w:space="0" w:color="auto"/>
              <w:bottom w:val="single" w:sz="4" w:space="0" w:color="auto"/>
            </w:tcBorders>
            <w:shd w:val="clear" w:color="auto" w:fill="auto"/>
          </w:tcPr>
          <w:p w14:paraId="62130F4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Gender</w:t>
            </w:r>
          </w:p>
          <w:p w14:paraId="103D335E"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Male </w:t>
            </w:r>
          </w:p>
          <w:p w14:paraId="16E84F34"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Female</w:t>
            </w:r>
          </w:p>
        </w:tc>
        <w:tc>
          <w:tcPr>
            <w:tcW w:w="1405" w:type="dxa"/>
            <w:tcBorders>
              <w:top w:val="single" w:sz="4" w:space="0" w:color="auto"/>
              <w:bottom w:val="single" w:sz="4" w:space="0" w:color="auto"/>
            </w:tcBorders>
            <w:shd w:val="clear" w:color="auto" w:fill="auto"/>
          </w:tcPr>
          <w:p w14:paraId="69333E40"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6DE81E93"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69(46.3)</w:t>
            </w:r>
          </w:p>
          <w:p w14:paraId="7CE9DADF"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80(53.7)</w:t>
            </w:r>
          </w:p>
        </w:tc>
      </w:tr>
      <w:tr w:rsidR="00CD2F6A" w:rsidRPr="0094536E" w14:paraId="3202AD9F" w14:textId="77777777" w:rsidTr="00CD2F6A">
        <w:trPr>
          <w:trHeight w:val="584"/>
          <w:jc w:val="center"/>
        </w:trPr>
        <w:tc>
          <w:tcPr>
            <w:tcW w:w="4407" w:type="dxa"/>
            <w:tcBorders>
              <w:top w:val="single" w:sz="4" w:space="0" w:color="auto"/>
              <w:bottom w:val="single" w:sz="4" w:space="0" w:color="auto"/>
            </w:tcBorders>
            <w:shd w:val="clear" w:color="auto" w:fill="auto"/>
          </w:tcPr>
          <w:p w14:paraId="3AD001DA"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Educational background</w:t>
            </w:r>
          </w:p>
          <w:p w14:paraId="58E3EEB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Primary </w:t>
            </w:r>
          </w:p>
          <w:p w14:paraId="3B490F16"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Secondary school or lower </w:t>
            </w:r>
          </w:p>
          <w:p w14:paraId="7CD49275"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Diploma or equivalent </w:t>
            </w:r>
          </w:p>
          <w:p w14:paraId="0203A00C"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Degree or equivalent </w:t>
            </w:r>
          </w:p>
          <w:p w14:paraId="601FA47B"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Master or equivalent </w:t>
            </w:r>
          </w:p>
        </w:tc>
        <w:tc>
          <w:tcPr>
            <w:tcW w:w="1405" w:type="dxa"/>
            <w:tcBorders>
              <w:top w:val="single" w:sz="4" w:space="0" w:color="auto"/>
              <w:bottom w:val="single" w:sz="4" w:space="0" w:color="auto"/>
            </w:tcBorders>
            <w:shd w:val="clear" w:color="auto" w:fill="auto"/>
          </w:tcPr>
          <w:p w14:paraId="38F5DE66"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4B61C61F"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2(1.3)</w:t>
            </w:r>
          </w:p>
          <w:p w14:paraId="00FA6FA7"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70(47)</w:t>
            </w:r>
          </w:p>
          <w:p w14:paraId="229A0BB9"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53(35.6)</w:t>
            </w:r>
          </w:p>
          <w:p w14:paraId="0AC07893"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17(11.4)</w:t>
            </w:r>
          </w:p>
          <w:p w14:paraId="14DE5F8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7(4.7)</w:t>
            </w:r>
          </w:p>
        </w:tc>
      </w:tr>
      <w:tr w:rsidR="00CD2F6A" w:rsidRPr="0094536E" w14:paraId="7A82D4C2" w14:textId="77777777" w:rsidTr="00CD2F6A">
        <w:trPr>
          <w:trHeight w:val="584"/>
          <w:jc w:val="center"/>
        </w:trPr>
        <w:tc>
          <w:tcPr>
            <w:tcW w:w="4407" w:type="dxa"/>
            <w:tcBorders>
              <w:top w:val="single" w:sz="4" w:space="0" w:color="auto"/>
              <w:bottom w:val="single" w:sz="4" w:space="0" w:color="auto"/>
            </w:tcBorders>
            <w:shd w:val="clear" w:color="auto" w:fill="auto"/>
          </w:tcPr>
          <w:p w14:paraId="2BCB6F1D"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Business experience</w:t>
            </w:r>
          </w:p>
          <w:p w14:paraId="36726C29"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Less than 3 years</w:t>
            </w:r>
          </w:p>
          <w:p w14:paraId="5EAC4110"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More than 3 years</w:t>
            </w:r>
          </w:p>
        </w:tc>
        <w:tc>
          <w:tcPr>
            <w:tcW w:w="1405" w:type="dxa"/>
            <w:tcBorders>
              <w:top w:val="single" w:sz="4" w:space="0" w:color="auto"/>
              <w:bottom w:val="single" w:sz="4" w:space="0" w:color="auto"/>
            </w:tcBorders>
            <w:shd w:val="clear" w:color="auto" w:fill="auto"/>
          </w:tcPr>
          <w:p w14:paraId="1148F50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36EBFA4F"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54(36.2)</w:t>
            </w:r>
          </w:p>
          <w:p w14:paraId="15EE8577"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95(63.8)</w:t>
            </w:r>
          </w:p>
        </w:tc>
      </w:tr>
      <w:tr w:rsidR="00CD2F6A" w:rsidRPr="0094536E" w14:paraId="04A57191" w14:textId="77777777" w:rsidTr="00CD2F6A">
        <w:trPr>
          <w:trHeight w:val="734"/>
          <w:jc w:val="center"/>
        </w:trPr>
        <w:tc>
          <w:tcPr>
            <w:tcW w:w="4407" w:type="dxa"/>
            <w:tcBorders>
              <w:top w:val="single" w:sz="4" w:space="0" w:color="auto"/>
            </w:tcBorders>
            <w:shd w:val="clear" w:color="auto" w:fill="auto"/>
          </w:tcPr>
          <w:p w14:paraId="08290EF7"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Information source</w:t>
            </w:r>
          </w:p>
          <w:p w14:paraId="2A2FD034"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Social media</w:t>
            </w:r>
          </w:p>
          <w:p w14:paraId="075336C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Television</w:t>
            </w:r>
          </w:p>
          <w:p w14:paraId="1E68581E"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Newspaper</w:t>
            </w:r>
          </w:p>
          <w:p w14:paraId="24092DBF"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Official source </w:t>
            </w:r>
          </w:p>
          <w:p w14:paraId="0F2CD0BB"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Advertisement </w:t>
            </w:r>
          </w:p>
          <w:p w14:paraId="45504F54"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Radio</w:t>
            </w:r>
          </w:p>
        </w:tc>
        <w:tc>
          <w:tcPr>
            <w:tcW w:w="1405" w:type="dxa"/>
            <w:tcBorders>
              <w:top w:val="single" w:sz="4" w:space="0" w:color="auto"/>
            </w:tcBorders>
            <w:shd w:val="clear" w:color="auto" w:fill="auto"/>
          </w:tcPr>
          <w:p w14:paraId="3500289A"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622262AD"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60(40.3)</w:t>
            </w:r>
          </w:p>
          <w:p w14:paraId="5C3072AB"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36(24.2)</w:t>
            </w:r>
          </w:p>
          <w:p w14:paraId="49ABF29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14(9.4)</w:t>
            </w:r>
          </w:p>
          <w:p w14:paraId="6485ACD2"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24(16.1)</w:t>
            </w:r>
          </w:p>
          <w:p w14:paraId="7743CFB3"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9(6.0)</w:t>
            </w:r>
          </w:p>
          <w:p w14:paraId="7F83F6F1" w14:textId="77777777" w:rsidR="00CD2F6A" w:rsidRPr="0094536E" w:rsidRDefault="00CD2F6A" w:rsidP="00CD2F6A">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6(4.0)</w:t>
            </w:r>
          </w:p>
        </w:tc>
      </w:tr>
    </w:tbl>
    <w:p w14:paraId="2CB9D327" w14:textId="77777777" w:rsidR="00CD2F6A" w:rsidRPr="0094536E" w:rsidRDefault="00CD2F6A" w:rsidP="00CD2F6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3A208A2" w14:textId="5B685CDF" w:rsidR="0094536E" w:rsidRPr="009D111D"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9D111D">
        <w:rPr>
          <w:rFonts w:ascii="Times New Roman" w:eastAsia="Times New Roman" w:hAnsi="Times New Roman" w:cs="Times New Roman"/>
          <w:bCs/>
          <w:i/>
          <w:iCs/>
          <w:color w:val="000000"/>
          <w:sz w:val="24"/>
          <w:szCs w:val="24"/>
        </w:rPr>
        <w:t>Knowledge, attitude, practice scores, and levels of street food hawkers</w:t>
      </w:r>
    </w:p>
    <w:p w14:paraId="3C04FB7B"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743E9F71" w14:textId="0101C591"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94536E">
        <w:rPr>
          <w:rFonts w:ascii="Times New Roman" w:eastAsia="Times New Roman" w:hAnsi="Times New Roman" w:cs="Times New Roman"/>
          <w:bCs/>
          <w:color w:val="000000"/>
          <w:sz w:val="24"/>
          <w:szCs w:val="24"/>
        </w:rPr>
        <w:t>The majority of respondents (67.8 %) had strong knowledge scores, with a mean (SD) of 77.0 (15.4); the lowest score was 9.1 %. Most food hawkers (73.2%) reported that practice had low influence on their support for the single-use plastic reduction initiative, while 67.8% (92) were ready to support it. The results are shown in Table 4.</w:t>
      </w:r>
    </w:p>
    <w:p w14:paraId="3B608C3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78CD5C5D" w14:textId="6E6950EA" w:rsidR="00CD2F6A" w:rsidRDefault="0094536E" w:rsidP="00CD2F6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t>Table 4</w:t>
      </w:r>
      <w:r w:rsidR="009D111D">
        <w:rPr>
          <w:rFonts w:ascii="Times New Roman" w:eastAsia="Times New Roman" w:hAnsi="Times New Roman" w:cs="Times New Roman"/>
          <w:b/>
          <w:bCs/>
          <w:color w:val="000000"/>
          <w:sz w:val="20"/>
          <w:szCs w:val="20"/>
        </w:rPr>
        <w:t>.</w:t>
      </w:r>
      <w:r w:rsidRPr="0094536E">
        <w:rPr>
          <w:rFonts w:ascii="Times New Roman" w:eastAsia="Times New Roman" w:hAnsi="Times New Roman" w:cs="Times New Roman"/>
          <w:color w:val="000000"/>
          <w:sz w:val="20"/>
          <w:szCs w:val="20"/>
        </w:rPr>
        <w:t xml:space="preserve"> Knowledge, attitude, practice scores, and levels of street food hawkers to support the single-use plastic reduction program in </w:t>
      </w:r>
      <w:proofErr w:type="spellStart"/>
      <w:r w:rsidRPr="0094536E">
        <w:rPr>
          <w:rFonts w:ascii="Times New Roman" w:eastAsia="Times New Roman" w:hAnsi="Times New Roman" w:cs="Times New Roman"/>
          <w:color w:val="000000"/>
          <w:sz w:val="20"/>
          <w:szCs w:val="20"/>
        </w:rPr>
        <w:t>Tangkak</w:t>
      </w:r>
      <w:proofErr w:type="spellEnd"/>
      <w:r w:rsidRPr="0094536E">
        <w:rPr>
          <w:rFonts w:ascii="Times New Roman" w:eastAsia="Times New Roman" w:hAnsi="Times New Roman" w:cs="Times New Roman"/>
          <w:color w:val="000000"/>
          <w:sz w:val="20"/>
          <w:szCs w:val="20"/>
        </w:rPr>
        <w:t>, Johor (n = 149)</w:t>
      </w:r>
    </w:p>
    <w:tbl>
      <w:tblPr>
        <w:tblpPr w:leftFromText="180" w:rightFromText="180" w:vertAnchor="text" w:horzAnchor="margin" w:tblpXSpec="center" w:tblpY="151"/>
        <w:tblW w:w="7366" w:type="dxa"/>
        <w:tblBorders>
          <w:top w:val="single" w:sz="4" w:space="0" w:color="auto"/>
          <w:bottom w:val="single" w:sz="4" w:space="0" w:color="auto"/>
        </w:tblBorders>
        <w:tblLook w:val="0420" w:firstRow="1" w:lastRow="0" w:firstColumn="0" w:lastColumn="0" w:noHBand="0" w:noVBand="1"/>
      </w:tblPr>
      <w:tblGrid>
        <w:gridCol w:w="2972"/>
        <w:gridCol w:w="1276"/>
        <w:gridCol w:w="1559"/>
        <w:gridCol w:w="1559"/>
      </w:tblGrid>
      <w:tr w:rsidR="0094536E" w:rsidRPr="0094536E" w14:paraId="2176EEFE" w14:textId="77777777" w:rsidTr="009D111D">
        <w:trPr>
          <w:trHeight w:val="281"/>
        </w:trPr>
        <w:tc>
          <w:tcPr>
            <w:tcW w:w="2972" w:type="dxa"/>
            <w:tcBorders>
              <w:bottom w:val="single" w:sz="4" w:space="0" w:color="auto"/>
            </w:tcBorders>
            <w:shd w:val="clear" w:color="auto" w:fill="548DD4" w:themeFill="text2" w:themeFillTint="99"/>
            <w:hideMark/>
          </w:tcPr>
          <w:p w14:paraId="65C308DE" w14:textId="77777777" w:rsidR="0094536E" w:rsidRPr="0094536E" w:rsidRDefault="0094536E" w:rsidP="009D111D">
            <w:pPr>
              <w:pBdr>
                <w:top w:val="nil"/>
                <w:left w:val="nil"/>
                <w:bottom w:val="nil"/>
                <w:right w:val="nil"/>
                <w:between w:val="nil"/>
              </w:pBdr>
              <w:spacing w:after="0" w:line="240" w:lineRule="auto"/>
              <w:ind w:leftChars="0" w:left="2" w:hanging="2"/>
              <w:jc w:val="center"/>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Variables</w:t>
            </w:r>
          </w:p>
        </w:tc>
        <w:tc>
          <w:tcPr>
            <w:tcW w:w="1276" w:type="dxa"/>
            <w:tcBorders>
              <w:bottom w:val="single" w:sz="4" w:space="0" w:color="auto"/>
            </w:tcBorders>
            <w:shd w:val="clear" w:color="auto" w:fill="548DD4" w:themeFill="text2" w:themeFillTint="99"/>
          </w:tcPr>
          <w:p w14:paraId="06380A8A" w14:textId="77777777" w:rsidR="0094536E" w:rsidRPr="0094536E" w:rsidRDefault="0094536E" w:rsidP="009D111D">
            <w:pPr>
              <w:pBdr>
                <w:top w:val="nil"/>
                <w:left w:val="nil"/>
                <w:bottom w:val="nil"/>
                <w:right w:val="nil"/>
                <w:between w:val="nil"/>
              </w:pBdr>
              <w:spacing w:after="0" w:line="240" w:lineRule="auto"/>
              <w:ind w:leftChars="0" w:left="2" w:hanging="2"/>
              <w:jc w:val="center"/>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Mean(±SD)</w:t>
            </w:r>
          </w:p>
        </w:tc>
        <w:tc>
          <w:tcPr>
            <w:tcW w:w="1559" w:type="dxa"/>
            <w:tcBorders>
              <w:bottom w:val="single" w:sz="4" w:space="0" w:color="auto"/>
            </w:tcBorders>
            <w:shd w:val="clear" w:color="auto" w:fill="548DD4" w:themeFill="text2" w:themeFillTint="99"/>
          </w:tcPr>
          <w:p w14:paraId="2EF8F41A" w14:textId="77777777" w:rsidR="0094536E" w:rsidRPr="0094536E" w:rsidRDefault="0094536E" w:rsidP="009D111D">
            <w:pPr>
              <w:pBdr>
                <w:top w:val="nil"/>
                <w:left w:val="nil"/>
                <w:bottom w:val="nil"/>
                <w:right w:val="nil"/>
                <w:between w:val="nil"/>
              </w:pBdr>
              <w:spacing w:after="0" w:line="240" w:lineRule="auto"/>
              <w:ind w:leftChars="0" w:left="2" w:hanging="2"/>
              <w:jc w:val="center"/>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Min–Max Score</w:t>
            </w:r>
          </w:p>
        </w:tc>
        <w:tc>
          <w:tcPr>
            <w:tcW w:w="1559" w:type="dxa"/>
            <w:tcBorders>
              <w:bottom w:val="single" w:sz="4" w:space="0" w:color="auto"/>
            </w:tcBorders>
            <w:shd w:val="clear" w:color="auto" w:fill="548DD4" w:themeFill="text2" w:themeFillTint="99"/>
          </w:tcPr>
          <w:p w14:paraId="1FB9441E" w14:textId="77777777" w:rsidR="0094536E" w:rsidRPr="0094536E" w:rsidRDefault="0094536E" w:rsidP="009D111D">
            <w:pPr>
              <w:pBdr>
                <w:top w:val="nil"/>
                <w:left w:val="nil"/>
                <w:bottom w:val="nil"/>
                <w:right w:val="nil"/>
                <w:between w:val="nil"/>
              </w:pBdr>
              <w:spacing w:after="0" w:line="240" w:lineRule="auto"/>
              <w:ind w:leftChars="0" w:left="2" w:hanging="2"/>
              <w:jc w:val="center"/>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n (%)</w:t>
            </w:r>
          </w:p>
        </w:tc>
      </w:tr>
      <w:tr w:rsidR="0094536E" w:rsidRPr="0094536E" w14:paraId="7825E3FD" w14:textId="77777777" w:rsidTr="0094536E">
        <w:trPr>
          <w:trHeight w:val="220"/>
        </w:trPr>
        <w:tc>
          <w:tcPr>
            <w:tcW w:w="2972" w:type="dxa"/>
            <w:tcBorders>
              <w:top w:val="single" w:sz="4" w:space="0" w:color="auto"/>
              <w:bottom w:val="single" w:sz="4" w:space="0" w:color="auto"/>
            </w:tcBorders>
            <w:shd w:val="clear" w:color="auto" w:fill="auto"/>
          </w:tcPr>
          <w:p w14:paraId="6ABB53AC"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 xml:space="preserve">Knowledge </w:t>
            </w:r>
          </w:p>
          <w:p w14:paraId="2F85DFAD"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Poor </w:t>
            </w:r>
          </w:p>
          <w:p w14:paraId="3DE2C2CB"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Good</w:t>
            </w:r>
          </w:p>
        </w:tc>
        <w:tc>
          <w:tcPr>
            <w:tcW w:w="1276" w:type="dxa"/>
            <w:tcBorders>
              <w:top w:val="single" w:sz="4" w:space="0" w:color="auto"/>
              <w:bottom w:val="single" w:sz="4" w:space="0" w:color="auto"/>
            </w:tcBorders>
            <w:shd w:val="clear" w:color="auto" w:fill="auto"/>
          </w:tcPr>
          <w:p w14:paraId="3F57C282"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77.0(15.4)</w:t>
            </w:r>
          </w:p>
          <w:p w14:paraId="24CDCA1F"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tc>
        <w:tc>
          <w:tcPr>
            <w:tcW w:w="1559" w:type="dxa"/>
            <w:tcBorders>
              <w:top w:val="single" w:sz="4" w:space="0" w:color="auto"/>
              <w:bottom w:val="single" w:sz="4" w:space="0" w:color="auto"/>
            </w:tcBorders>
            <w:shd w:val="clear" w:color="auto" w:fill="auto"/>
          </w:tcPr>
          <w:p w14:paraId="05CFD963"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9.1-100</w:t>
            </w:r>
          </w:p>
        </w:tc>
        <w:tc>
          <w:tcPr>
            <w:tcW w:w="1559" w:type="dxa"/>
            <w:tcBorders>
              <w:top w:val="single" w:sz="4" w:space="0" w:color="auto"/>
              <w:bottom w:val="single" w:sz="4" w:space="0" w:color="auto"/>
            </w:tcBorders>
            <w:shd w:val="clear" w:color="auto" w:fill="auto"/>
          </w:tcPr>
          <w:p w14:paraId="11D36171"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754DE18C"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48(32.2)</w:t>
            </w:r>
          </w:p>
          <w:p w14:paraId="47D2AC39"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101(67.8)</w:t>
            </w:r>
          </w:p>
        </w:tc>
      </w:tr>
      <w:tr w:rsidR="0094536E" w:rsidRPr="0094536E" w14:paraId="041C69B9" w14:textId="77777777" w:rsidTr="0094536E">
        <w:trPr>
          <w:trHeight w:val="275"/>
        </w:trPr>
        <w:tc>
          <w:tcPr>
            <w:tcW w:w="2972" w:type="dxa"/>
            <w:tcBorders>
              <w:top w:val="single" w:sz="4" w:space="0" w:color="auto"/>
              <w:bottom w:val="single" w:sz="4" w:space="0" w:color="auto"/>
            </w:tcBorders>
            <w:shd w:val="clear" w:color="auto" w:fill="auto"/>
          </w:tcPr>
          <w:p w14:paraId="60A86695"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 xml:space="preserve">Attitude  </w:t>
            </w:r>
          </w:p>
          <w:p w14:paraId="37743DC4"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Not ready </w:t>
            </w:r>
          </w:p>
          <w:p w14:paraId="017267AA"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color w:val="000000"/>
                <w:sz w:val="20"/>
                <w:szCs w:val="20"/>
                <w:lang w:val="en-MY"/>
              </w:rPr>
              <w:t>Ready1</w:t>
            </w:r>
          </w:p>
        </w:tc>
        <w:tc>
          <w:tcPr>
            <w:tcW w:w="1276" w:type="dxa"/>
            <w:tcBorders>
              <w:top w:val="single" w:sz="4" w:space="0" w:color="auto"/>
              <w:bottom w:val="single" w:sz="4" w:space="0" w:color="auto"/>
            </w:tcBorders>
            <w:shd w:val="clear" w:color="auto" w:fill="auto"/>
          </w:tcPr>
          <w:p w14:paraId="1CFFA7F9"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82.3(13.4)</w:t>
            </w:r>
          </w:p>
          <w:p w14:paraId="16DBAC50"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tc>
        <w:tc>
          <w:tcPr>
            <w:tcW w:w="1559" w:type="dxa"/>
            <w:tcBorders>
              <w:top w:val="single" w:sz="4" w:space="0" w:color="auto"/>
              <w:bottom w:val="single" w:sz="4" w:space="0" w:color="auto"/>
            </w:tcBorders>
            <w:shd w:val="clear" w:color="auto" w:fill="auto"/>
          </w:tcPr>
          <w:p w14:paraId="046E4887"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41.7-100</w:t>
            </w:r>
          </w:p>
        </w:tc>
        <w:tc>
          <w:tcPr>
            <w:tcW w:w="1559" w:type="dxa"/>
            <w:tcBorders>
              <w:top w:val="single" w:sz="4" w:space="0" w:color="auto"/>
              <w:bottom w:val="single" w:sz="4" w:space="0" w:color="auto"/>
            </w:tcBorders>
            <w:shd w:val="clear" w:color="auto" w:fill="auto"/>
          </w:tcPr>
          <w:p w14:paraId="15E11B81"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77E8E563"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57(38.3)</w:t>
            </w:r>
          </w:p>
          <w:p w14:paraId="3CB4EE07"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92(67.8)</w:t>
            </w:r>
          </w:p>
        </w:tc>
      </w:tr>
      <w:tr w:rsidR="0094536E" w:rsidRPr="0094536E" w14:paraId="0CCE4573" w14:textId="77777777" w:rsidTr="0094536E">
        <w:trPr>
          <w:trHeight w:val="280"/>
        </w:trPr>
        <w:tc>
          <w:tcPr>
            <w:tcW w:w="2972" w:type="dxa"/>
            <w:tcBorders>
              <w:top w:val="single" w:sz="4" w:space="0" w:color="auto"/>
            </w:tcBorders>
            <w:shd w:val="clear" w:color="auto" w:fill="auto"/>
          </w:tcPr>
          <w:p w14:paraId="51109641"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Practice</w:t>
            </w:r>
          </w:p>
          <w:p w14:paraId="0461105C"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Low influence </w:t>
            </w:r>
          </w:p>
          <w:p w14:paraId="1ABD5D9C"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Strong  influence</w:t>
            </w:r>
          </w:p>
        </w:tc>
        <w:tc>
          <w:tcPr>
            <w:tcW w:w="1276" w:type="dxa"/>
            <w:tcBorders>
              <w:top w:val="single" w:sz="4" w:space="0" w:color="auto"/>
            </w:tcBorders>
            <w:shd w:val="clear" w:color="auto" w:fill="auto"/>
          </w:tcPr>
          <w:p w14:paraId="6DBCE862"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61.4(16.2)</w:t>
            </w:r>
          </w:p>
        </w:tc>
        <w:tc>
          <w:tcPr>
            <w:tcW w:w="1559" w:type="dxa"/>
            <w:tcBorders>
              <w:top w:val="single" w:sz="4" w:space="0" w:color="auto"/>
            </w:tcBorders>
            <w:shd w:val="clear" w:color="auto" w:fill="auto"/>
          </w:tcPr>
          <w:p w14:paraId="032BF915"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25-100</w:t>
            </w:r>
          </w:p>
        </w:tc>
        <w:tc>
          <w:tcPr>
            <w:tcW w:w="1559" w:type="dxa"/>
            <w:tcBorders>
              <w:top w:val="single" w:sz="4" w:space="0" w:color="auto"/>
            </w:tcBorders>
            <w:shd w:val="clear" w:color="auto" w:fill="auto"/>
          </w:tcPr>
          <w:p w14:paraId="48FF494F"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p>
          <w:p w14:paraId="04AC3BC3"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109(73.2)</w:t>
            </w:r>
          </w:p>
          <w:p w14:paraId="5E7D6D12" w14:textId="77777777" w:rsidR="0094536E" w:rsidRPr="0094536E" w:rsidRDefault="0094536E" w:rsidP="00F51AAF">
            <w:pPr>
              <w:pBdr>
                <w:top w:val="nil"/>
                <w:left w:val="nil"/>
                <w:bottom w:val="nil"/>
                <w:right w:val="nil"/>
                <w:between w:val="nil"/>
              </w:pBdr>
              <w:spacing w:after="0" w:line="240" w:lineRule="auto"/>
              <w:ind w:leftChars="0" w:left="2" w:hanging="2"/>
              <w:jc w:val="both"/>
              <w:textDirection w:val="lrTb"/>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40(26.8)</w:t>
            </w:r>
          </w:p>
        </w:tc>
      </w:tr>
    </w:tbl>
    <w:p w14:paraId="73FF49A5" w14:textId="77777777" w:rsidR="0094536E" w:rsidRPr="0094536E" w:rsidRDefault="0094536E"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3B931A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2B2D77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200DD7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63D64B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C4DA0C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FA666D9"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F3CE5AF"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281BD74"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0799ADB"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ED69D00"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91D4256" w14:textId="12AD7808" w:rsidR="0094536E" w:rsidRPr="0094536E" w:rsidRDefault="0094536E"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rPr>
      </w:pPr>
      <w:r w:rsidRPr="0094536E">
        <w:rPr>
          <w:rFonts w:ascii="Times New Roman" w:eastAsia="Times New Roman" w:hAnsi="Times New Roman" w:cs="Times New Roman"/>
          <w:color w:val="000000"/>
          <w:sz w:val="24"/>
          <w:szCs w:val="24"/>
        </w:rPr>
        <w:t xml:space="preserve">The preference for social media as a primary source of knowledge on plastic use among street food hawkers resonates with the growing influence of digital media in shaping consumer behaviors and awareness on environmental issues (Abdullah et al., 2022). Past research has </w:t>
      </w:r>
      <w:r w:rsidRPr="0094536E">
        <w:rPr>
          <w:rFonts w:ascii="Times New Roman" w:eastAsia="Times New Roman" w:hAnsi="Times New Roman" w:cs="Times New Roman"/>
          <w:color w:val="000000"/>
          <w:sz w:val="24"/>
          <w:szCs w:val="24"/>
        </w:rPr>
        <w:lastRenderedPageBreak/>
        <w:t xml:space="preserve">highlighted the effectiveness of targeted social media campaigns in promoting pro-environmental behaviors and raising awareness about sustainability initiatives among diverse audience groups, including street vendors and small-scale entrepreneurs (Mat </w:t>
      </w:r>
      <w:proofErr w:type="spellStart"/>
      <w:r w:rsidRPr="0094536E">
        <w:rPr>
          <w:rFonts w:ascii="Times New Roman" w:eastAsia="Times New Roman" w:hAnsi="Times New Roman" w:cs="Times New Roman"/>
          <w:color w:val="000000"/>
          <w:sz w:val="24"/>
          <w:szCs w:val="24"/>
        </w:rPr>
        <w:t>Yusoff</w:t>
      </w:r>
      <w:proofErr w:type="spellEnd"/>
      <w:r w:rsidRPr="0094536E">
        <w:rPr>
          <w:rFonts w:ascii="Times New Roman" w:eastAsia="Times New Roman" w:hAnsi="Times New Roman" w:cs="Times New Roman"/>
          <w:color w:val="000000"/>
          <w:sz w:val="24"/>
          <w:szCs w:val="24"/>
        </w:rPr>
        <w:t xml:space="preserve"> et al., 2022).</w:t>
      </w:r>
    </w:p>
    <w:p w14:paraId="2286D3DB" w14:textId="77C8C122" w:rsidR="0094536E" w:rsidRDefault="0094536E"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rPr>
      </w:pPr>
      <w:r w:rsidRPr="0094536E">
        <w:rPr>
          <w:rFonts w:ascii="Times New Roman" w:eastAsia="Times New Roman" w:hAnsi="Times New Roman" w:cs="Times New Roman"/>
          <w:color w:val="000000"/>
          <w:sz w:val="24"/>
          <w:szCs w:val="24"/>
        </w:rPr>
        <w:t>In terms of knowledge, attitude, and practice scores, the findings corroborate previous studies emphasizing the importance of knowledge acquisition and positive attitudes as drivers of behavior change in environmental conservation efforts (</w:t>
      </w:r>
      <w:proofErr w:type="spellStart"/>
      <w:r w:rsidRPr="0094536E">
        <w:rPr>
          <w:rFonts w:ascii="Times New Roman" w:eastAsia="Times New Roman" w:hAnsi="Times New Roman" w:cs="Times New Roman"/>
          <w:color w:val="000000"/>
          <w:sz w:val="24"/>
          <w:szCs w:val="24"/>
        </w:rPr>
        <w:t>Kruize</w:t>
      </w:r>
      <w:proofErr w:type="spellEnd"/>
      <w:r w:rsidRPr="0094536E">
        <w:rPr>
          <w:rFonts w:ascii="Times New Roman" w:eastAsia="Times New Roman" w:hAnsi="Times New Roman" w:cs="Times New Roman"/>
          <w:color w:val="000000"/>
          <w:sz w:val="24"/>
          <w:szCs w:val="24"/>
        </w:rPr>
        <w:t xml:space="preserve"> et al., 2019). While strong knowledge scores among street food hawkers indicate a foundational understanding of plastic reduction initiatives, addressing barriers to practice implementation remains a critical challenge, as noted in previous research on behavior change interventions in similar contexts (Harun et al., 2024).</w:t>
      </w:r>
    </w:p>
    <w:p w14:paraId="6523FCCF" w14:textId="7CC3C25F" w:rsidR="009B4692" w:rsidRPr="0094536E" w:rsidRDefault="009B4692"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rPr>
      </w:pPr>
      <w:r w:rsidRPr="00F51AAF">
        <w:rPr>
          <w:rFonts w:ascii="Times New Roman" w:eastAsia="Times New Roman" w:hAnsi="Times New Roman" w:cs="Times New Roman"/>
          <w:color w:val="000000"/>
          <w:sz w:val="24"/>
          <w:szCs w:val="24"/>
        </w:rPr>
        <w:t>The low influence of practice on supporting the single-use plastic reduction initiative can be attributed to several challenges faced by street food hawkers. Financial constraints, such as the higher cost of eco-friendly packaging, remain a significant barrier, especially for vendors with tight profit margins (</w:t>
      </w:r>
      <w:proofErr w:type="spellStart"/>
      <w:r w:rsidRPr="00F51AAF">
        <w:rPr>
          <w:rFonts w:ascii="Times New Roman" w:eastAsia="Times New Roman" w:hAnsi="Times New Roman" w:cs="Times New Roman"/>
          <w:color w:val="000000"/>
          <w:sz w:val="24"/>
          <w:szCs w:val="24"/>
        </w:rPr>
        <w:t>Hashim</w:t>
      </w:r>
      <w:proofErr w:type="spellEnd"/>
      <w:r w:rsidRPr="00F51AAF">
        <w:rPr>
          <w:rFonts w:ascii="Times New Roman" w:eastAsia="Times New Roman" w:hAnsi="Times New Roman" w:cs="Times New Roman"/>
          <w:color w:val="000000"/>
          <w:sz w:val="24"/>
          <w:szCs w:val="24"/>
        </w:rPr>
        <w:t xml:space="preserve"> et al., 2023). Limited enforcement of regulations and the lack of consistent access to affordable sustainable alternatives further discourage behavior change. Additionally, cultural norms and convenience habits tied to single-use plastics play a role in maintaining the status quo (Noor &amp; Harun, 2022). To address these challenges, future interventions should combine financial incentives, such as subsidies or discounts, with educational campaigns emphasizing the economic and environmental benefits of sustainable practices. Collaborative efforts with stakeholders and improved access to affordable alternatives can help bridge the gap between knowledge and practice, ensuring meaningful and lasting behavior change among street food hawkers.</w:t>
      </w:r>
    </w:p>
    <w:p w14:paraId="297A40A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20EA360" w14:textId="6869D7D4" w:rsidR="0094536E" w:rsidRPr="009D111D"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9D111D">
        <w:rPr>
          <w:rFonts w:ascii="Times New Roman" w:eastAsia="Times New Roman" w:hAnsi="Times New Roman" w:cs="Times New Roman"/>
          <w:bCs/>
          <w:i/>
          <w:iCs/>
          <w:color w:val="000000"/>
          <w:sz w:val="24"/>
          <w:szCs w:val="24"/>
        </w:rPr>
        <w:t>Logistic Regression based factors on the knowledge level of street food hawkers</w:t>
      </w:r>
    </w:p>
    <w:p w14:paraId="43C49096"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169E84E0" w14:textId="0ABB053C"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94536E">
        <w:rPr>
          <w:rFonts w:ascii="Times New Roman" w:eastAsia="Times New Roman" w:hAnsi="Times New Roman" w:cs="Times New Roman"/>
          <w:bCs/>
          <w:color w:val="000000"/>
          <w:sz w:val="24"/>
          <w:szCs w:val="24"/>
        </w:rPr>
        <w:t>Table 5 demonstrates that there was an association between attitude and practice with relation to knowledge level. A food hawker who is ready to change is 1.27 times more likely to have higher levels of knowledge (95% CI: 0.62,2.60, p-value 0.001) than those who are not ready to change. In addition, food hawkers with significant practice were 2.94 times more likely to have higher levels of knowledge (95% CI:1.40,6.19, p-value 0.005) than those without significant practice.</w:t>
      </w:r>
    </w:p>
    <w:p w14:paraId="5D355395" w14:textId="77777777" w:rsidR="00CD2F6A" w:rsidRPr="0094536E" w:rsidRDefault="00CD2F6A" w:rsidP="00CD2F6A">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lang w:val="en-GB"/>
        </w:rPr>
      </w:pPr>
      <w:r w:rsidRPr="0094536E">
        <w:rPr>
          <w:rFonts w:ascii="Times New Roman" w:eastAsia="Times New Roman" w:hAnsi="Times New Roman" w:cs="Times New Roman"/>
          <w:bCs/>
          <w:color w:val="000000"/>
          <w:sz w:val="24"/>
          <w:szCs w:val="24"/>
          <w:lang w:val="en-GB"/>
        </w:rPr>
        <w:t xml:space="preserve">The findings presented in Table 5 reveal significant associations between attitude, practice, and the knowledge level of street food hawkers regarding the support for the single-use plastic reduction program. The logistic regression analysis indicates that food hawkers who exhibit a positive attitude towards change are 1.27 times more likely to possess higher levels of knowledge (95% CI: 0.62, 2.60, p-value 0.001) compared to those who are not inclined towards change. This aligns with past literature that underscores the role of attitude as a predictor of knowledge acquisition and </w:t>
      </w:r>
      <w:proofErr w:type="spellStart"/>
      <w:r w:rsidRPr="0094536E">
        <w:rPr>
          <w:rFonts w:ascii="Times New Roman" w:eastAsia="Times New Roman" w:hAnsi="Times New Roman" w:cs="Times New Roman"/>
          <w:bCs/>
          <w:color w:val="000000"/>
          <w:sz w:val="24"/>
          <w:szCs w:val="24"/>
          <w:lang w:val="en-GB"/>
        </w:rPr>
        <w:t>behavior</w:t>
      </w:r>
      <w:proofErr w:type="spellEnd"/>
      <w:r w:rsidRPr="0094536E">
        <w:rPr>
          <w:rFonts w:ascii="Times New Roman" w:eastAsia="Times New Roman" w:hAnsi="Times New Roman" w:cs="Times New Roman"/>
          <w:bCs/>
          <w:color w:val="000000"/>
          <w:sz w:val="24"/>
          <w:szCs w:val="24"/>
          <w:lang w:val="en-GB"/>
        </w:rPr>
        <w:t xml:space="preserve"> modification (Braun et al., 2018; Safari et al., 2018). Moreover, the study highlights a compelling link between practice and knowledge level, indicating that food hawkers with significant practice are 2.94 times more likely to have higher knowledge levels (95% CI: 1.40, 6.19, p-value 0.005) than those without significant practice. This corroborates previous research emphasizing the importance of hands-on experience and practical application in reinforcing knowledge retention and comprehension (</w:t>
      </w:r>
      <w:proofErr w:type="spellStart"/>
      <w:r w:rsidRPr="0094536E">
        <w:rPr>
          <w:rFonts w:ascii="Times New Roman" w:eastAsia="Times New Roman" w:hAnsi="Times New Roman" w:cs="Times New Roman"/>
          <w:bCs/>
          <w:color w:val="000000"/>
          <w:sz w:val="24"/>
          <w:szCs w:val="24"/>
          <w:lang w:val="en-GB"/>
        </w:rPr>
        <w:t>Trott</w:t>
      </w:r>
      <w:proofErr w:type="spellEnd"/>
      <w:r w:rsidRPr="0094536E">
        <w:rPr>
          <w:rFonts w:ascii="Times New Roman" w:eastAsia="Times New Roman" w:hAnsi="Times New Roman" w:cs="Times New Roman"/>
          <w:bCs/>
          <w:color w:val="000000"/>
          <w:sz w:val="24"/>
          <w:szCs w:val="24"/>
          <w:lang w:val="en-GB"/>
        </w:rPr>
        <w:t>, 2020; Park, 2022). Overall, these findings underscore the multifaceted nature of factors influencing knowledge acquisition among street food hawkers, emphasizing the importance of addressing both attitudinal and practical aspects in educational interventions aimed at supporting environmental sustainability initiatives.</w:t>
      </w:r>
    </w:p>
    <w:p w14:paraId="5A5C4789" w14:textId="77777777" w:rsidR="0094536E" w:rsidRPr="00CD2F6A"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21313B86" w14:textId="6BD10A71" w:rsidR="0094536E" w:rsidRDefault="0094536E"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color w:val="000000"/>
          <w:sz w:val="20"/>
          <w:szCs w:val="20"/>
        </w:rPr>
        <w:lastRenderedPageBreak/>
        <w:t>Table 5</w:t>
      </w:r>
      <w:r w:rsidR="009D111D">
        <w:rPr>
          <w:rFonts w:ascii="Times New Roman" w:eastAsia="Times New Roman" w:hAnsi="Times New Roman" w:cs="Times New Roman"/>
          <w:b/>
          <w:color w:val="000000"/>
          <w:sz w:val="20"/>
          <w:szCs w:val="20"/>
        </w:rPr>
        <w:t>.</w:t>
      </w:r>
      <w:r w:rsidRPr="0094536E">
        <w:rPr>
          <w:rFonts w:ascii="Times New Roman" w:eastAsia="Times New Roman" w:hAnsi="Times New Roman" w:cs="Times New Roman"/>
          <w:bCs/>
          <w:color w:val="000000"/>
          <w:sz w:val="20"/>
          <w:szCs w:val="20"/>
        </w:rPr>
        <w:t xml:space="preserve"> Logistic Regression based factors on knowledge scores of street food hawkers about supporting the single-use plastic reduction program (n = 149)</w:t>
      </w:r>
    </w:p>
    <w:p w14:paraId="012F32C3" w14:textId="77777777" w:rsidR="00F51AAF" w:rsidRPr="0094536E"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744"/>
        <w:gridCol w:w="1745"/>
        <w:gridCol w:w="1745"/>
        <w:gridCol w:w="1745"/>
        <w:gridCol w:w="1745"/>
      </w:tblGrid>
      <w:tr w:rsidR="0094536E" w:rsidRPr="0094536E" w14:paraId="080C8238" w14:textId="77777777" w:rsidTr="009D111D">
        <w:trPr>
          <w:trHeight w:val="70"/>
          <w:jc w:val="center"/>
        </w:trPr>
        <w:tc>
          <w:tcPr>
            <w:tcW w:w="1744" w:type="dxa"/>
            <w:tcBorders>
              <w:bottom w:val="single" w:sz="4" w:space="0" w:color="auto"/>
            </w:tcBorders>
            <w:shd w:val="clear" w:color="auto" w:fill="548DD4" w:themeFill="text2" w:themeFillTint="99"/>
          </w:tcPr>
          <w:p w14:paraId="78C5349B" w14:textId="77777777" w:rsidR="0094536E" w:rsidRPr="0094536E" w:rsidRDefault="0094536E" w:rsidP="009D11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Knowledge</w:t>
            </w:r>
          </w:p>
        </w:tc>
        <w:tc>
          <w:tcPr>
            <w:tcW w:w="1745" w:type="dxa"/>
            <w:tcBorders>
              <w:bottom w:val="single" w:sz="4" w:space="0" w:color="auto"/>
            </w:tcBorders>
            <w:shd w:val="clear" w:color="auto" w:fill="548DD4" w:themeFill="text2" w:themeFillTint="99"/>
          </w:tcPr>
          <w:p w14:paraId="40800F9A" w14:textId="77777777" w:rsidR="0094536E" w:rsidRPr="0094536E" w:rsidRDefault="0094536E" w:rsidP="009D11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proofErr w:type="spellStart"/>
            <w:r w:rsidRPr="0094536E">
              <w:rPr>
                <w:rFonts w:ascii="Times New Roman" w:eastAsia="Times New Roman" w:hAnsi="Times New Roman" w:cs="Times New Roman"/>
                <w:b/>
                <w:bCs/>
                <w:color w:val="000000"/>
                <w:sz w:val="20"/>
                <w:szCs w:val="20"/>
                <w:lang w:val="en-MY"/>
              </w:rPr>
              <w:t>Univariable</w:t>
            </w:r>
            <w:proofErr w:type="spellEnd"/>
          </w:p>
        </w:tc>
        <w:tc>
          <w:tcPr>
            <w:tcW w:w="1745" w:type="dxa"/>
            <w:tcBorders>
              <w:bottom w:val="single" w:sz="4" w:space="0" w:color="auto"/>
            </w:tcBorders>
            <w:shd w:val="clear" w:color="auto" w:fill="548DD4" w:themeFill="text2" w:themeFillTint="99"/>
          </w:tcPr>
          <w:p w14:paraId="0BE35300" w14:textId="77777777" w:rsidR="0094536E" w:rsidRPr="0094536E" w:rsidRDefault="0094536E" w:rsidP="009D11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p>
        </w:tc>
        <w:tc>
          <w:tcPr>
            <w:tcW w:w="1745" w:type="dxa"/>
            <w:tcBorders>
              <w:bottom w:val="single" w:sz="4" w:space="0" w:color="auto"/>
            </w:tcBorders>
            <w:shd w:val="clear" w:color="auto" w:fill="548DD4" w:themeFill="text2" w:themeFillTint="99"/>
          </w:tcPr>
          <w:p w14:paraId="2AF3E87D" w14:textId="77777777" w:rsidR="0094536E" w:rsidRPr="0094536E" w:rsidRDefault="0094536E" w:rsidP="009D11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Multivariable</w:t>
            </w:r>
          </w:p>
        </w:tc>
        <w:tc>
          <w:tcPr>
            <w:tcW w:w="1745" w:type="dxa"/>
            <w:tcBorders>
              <w:bottom w:val="single" w:sz="4" w:space="0" w:color="auto"/>
            </w:tcBorders>
            <w:shd w:val="clear" w:color="auto" w:fill="548DD4" w:themeFill="text2" w:themeFillTint="99"/>
          </w:tcPr>
          <w:p w14:paraId="6A2AD3CE" w14:textId="77777777" w:rsidR="0094536E" w:rsidRPr="0094536E" w:rsidRDefault="0094536E" w:rsidP="009D11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sz w:val="20"/>
                <w:szCs w:val="20"/>
              </w:rPr>
            </w:pPr>
          </w:p>
        </w:tc>
      </w:tr>
      <w:tr w:rsidR="0094536E" w:rsidRPr="0094536E" w14:paraId="03FBB907" w14:textId="77777777" w:rsidTr="00CD2F6A">
        <w:trPr>
          <w:jc w:val="center"/>
        </w:trPr>
        <w:tc>
          <w:tcPr>
            <w:tcW w:w="1744" w:type="dxa"/>
            <w:tcBorders>
              <w:top w:val="single" w:sz="4" w:space="0" w:color="auto"/>
              <w:bottom w:val="single" w:sz="4" w:space="0" w:color="auto"/>
            </w:tcBorders>
            <w:shd w:val="clear" w:color="auto" w:fill="FFFFFF" w:themeFill="background1"/>
          </w:tcPr>
          <w:p w14:paraId="62EC65E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p>
        </w:tc>
        <w:tc>
          <w:tcPr>
            <w:tcW w:w="1745" w:type="dxa"/>
            <w:tcBorders>
              <w:top w:val="single" w:sz="4" w:space="0" w:color="auto"/>
              <w:bottom w:val="single" w:sz="4" w:space="0" w:color="auto"/>
            </w:tcBorders>
            <w:shd w:val="clear" w:color="auto" w:fill="FFFFFF" w:themeFill="background1"/>
          </w:tcPr>
          <w:p w14:paraId="220E144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vertAlign w:val="superscript"/>
                <w:lang w:val="en-MY"/>
              </w:rPr>
            </w:pPr>
            <w:r w:rsidRPr="0094536E">
              <w:rPr>
                <w:rFonts w:ascii="Times New Roman" w:eastAsia="Times New Roman" w:hAnsi="Times New Roman" w:cs="Times New Roman"/>
                <w:b/>
                <w:bCs/>
                <w:color w:val="000000"/>
                <w:sz w:val="20"/>
                <w:szCs w:val="20"/>
                <w:lang w:val="en-MY"/>
              </w:rPr>
              <w:t>Crude OR</w:t>
            </w:r>
            <w:r w:rsidRPr="0094536E">
              <w:rPr>
                <w:rFonts w:ascii="Times New Roman" w:eastAsia="Times New Roman" w:hAnsi="Times New Roman" w:cs="Times New Roman"/>
                <w:b/>
                <w:bCs/>
                <w:color w:val="000000"/>
                <w:sz w:val="20"/>
                <w:szCs w:val="20"/>
                <w:vertAlign w:val="superscript"/>
                <w:lang w:val="en-MY"/>
              </w:rPr>
              <w:t>1</w:t>
            </w:r>
          </w:p>
          <w:p w14:paraId="112DAF7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(95% CI)</w:t>
            </w:r>
          </w:p>
        </w:tc>
        <w:tc>
          <w:tcPr>
            <w:tcW w:w="1745" w:type="dxa"/>
            <w:tcBorders>
              <w:top w:val="single" w:sz="4" w:space="0" w:color="auto"/>
              <w:bottom w:val="single" w:sz="4" w:space="0" w:color="auto"/>
            </w:tcBorders>
            <w:shd w:val="clear" w:color="auto" w:fill="FFFFFF" w:themeFill="background1"/>
          </w:tcPr>
          <w:p w14:paraId="20B0DB0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p-value</w:t>
            </w:r>
          </w:p>
        </w:tc>
        <w:tc>
          <w:tcPr>
            <w:tcW w:w="1745" w:type="dxa"/>
            <w:tcBorders>
              <w:top w:val="single" w:sz="4" w:space="0" w:color="auto"/>
              <w:bottom w:val="single" w:sz="4" w:space="0" w:color="auto"/>
            </w:tcBorders>
            <w:shd w:val="clear" w:color="auto" w:fill="FFFFFF" w:themeFill="background1"/>
          </w:tcPr>
          <w:p w14:paraId="3BD0100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vertAlign w:val="superscript"/>
                <w:lang w:val="en-MY"/>
              </w:rPr>
            </w:pPr>
            <w:proofErr w:type="spellStart"/>
            <w:r w:rsidRPr="0094536E">
              <w:rPr>
                <w:rFonts w:ascii="Times New Roman" w:eastAsia="Times New Roman" w:hAnsi="Times New Roman" w:cs="Times New Roman"/>
                <w:b/>
                <w:bCs/>
                <w:color w:val="000000"/>
                <w:sz w:val="20"/>
                <w:szCs w:val="20"/>
                <w:lang w:val="en-MY"/>
              </w:rPr>
              <w:t>Adj</w:t>
            </w:r>
            <w:proofErr w:type="spellEnd"/>
            <w:r w:rsidRPr="0094536E">
              <w:rPr>
                <w:rFonts w:ascii="Times New Roman" w:eastAsia="Times New Roman" w:hAnsi="Times New Roman" w:cs="Times New Roman"/>
                <w:b/>
                <w:bCs/>
                <w:color w:val="000000"/>
                <w:sz w:val="20"/>
                <w:szCs w:val="20"/>
                <w:lang w:val="en-MY"/>
              </w:rPr>
              <w:t xml:space="preserve"> OR</w:t>
            </w:r>
            <w:r w:rsidRPr="0094536E">
              <w:rPr>
                <w:rFonts w:ascii="Times New Roman" w:eastAsia="Times New Roman" w:hAnsi="Times New Roman" w:cs="Times New Roman"/>
                <w:b/>
                <w:bCs/>
                <w:color w:val="000000"/>
                <w:sz w:val="20"/>
                <w:szCs w:val="20"/>
                <w:vertAlign w:val="superscript"/>
                <w:lang w:val="en-MY"/>
              </w:rPr>
              <w:t>1</w:t>
            </w:r>
          </w:p>
          <w:p w14:paraId="3803F75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(95% CI)</w:t>
            </w:r>
          </w:p>
        </w:tc>
        <w:tc>
          <w:tcPr>
            <w:tcW w:w="1745" w:type="dxa"/>
            <w:tcBorders>
              <w:top w:val="single" w:sz="4" w:space="0" w:color="auto"/>
              <w:bottom w:val="single" w:sz="4" w:space="0" w:color="auto"/>
            </w:tcBorders>
            <w:shd w:val="clear" w:color="auto" w:fill="FFFFFF" w:themeFill="background1"/>
          </w:tcPr>
          <w:p w14:paraId="0B34CF2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p-value</w:t>
            </w:r>
          </w:p>
        </w:tc>
      </w:tr>
      <w:tr w:rsidR="0094536E" w:rsidRPr="0094536E" w14:paraId="2D1EB798" w14:textId="77777777" w:rsidTr="00CD2F6A">
        <w:trPr>
          <w:jc w:val="center"/>
        </w:trPr>
        <w:tc>
          <w:tcPr>
            <w:tcW w:w="1744" w:type="dxa"/>
            <w:tcBorders>
              <w:top w:val="single" w:sz="4" w:space="0" w:color="auto"/>
              <w:bottom w:val="single" w:sz="4" w:space="0" w:color="auto"/>
            </w:tcBorders>
            <w:shd w:val="clear" w:color="auto" w:fill="auto"/>
          </w:tcPr>
          <w:p w14:paraId="6AF5FB4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Age</w:t>
            </w:r>
          </w:p>
          <w:p w14:paraId="79B7079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18-30 years (Ref)</w:t>
            </w:r>
          </w:p>
          <w:p w14:paraId="7DAC5DC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31-40 years</w:t>
            </w:r>
          </w:p>
          <w:p w14:paraId="5895FD8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41-50years</w:t>
            </w:r>
          </w:p>
          <w:p w14:paraId="0D2CB98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≥50 years</w:t>
            </w:r>
          </w:p>
        </w:tc>
        <w:tc>
          <w:tcPr>
            <w:tcW w:w="1745" w:type="dxa"/>
            <w:tcBorders>
              <w:top w:val="single" w:sz="4" w:space="0" w:color="auto"/>
              <w:bottom w:val="single" w:sz="4" w:space="0" w:color="auto"/>
            </w:tcBorders>
            <w:shd w:val="clear" w:color="auto" w:fill="auto"/>
          </w:tcPr>
          <w:p w14:paraId="07D554F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1E287B8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12183CB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1.279(0.58,2.80)</w:t>
            </w:r>
          </w:p>
          <w:p w14:paraId="46DF162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1.744(0.56,5.38)</w:t>
            </w:r>
          </w:p>
          <w:p w14:paraId="776264F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1.938(0.48,7.71)</w:t>
            </w:r>
          </w:p>
        </w:tc>
        <w:tc>
          <w:tcPr>
            <w:tcW w:w="1745" w:type="dxa"/>
            <w:tcBorders>
              <w:top w:val="single" w:sz="4" w:space="0" w:color="auto"/>
              <w:bottom w:val="single" w:sz="4" w:space="0" w:color="auto"/>
            </w:tcBorders>
            <w:shd w:val="clear" w:color="auto" w:fill="auto"/>
          </w:tcPr>
          <w:p w14:paraId="14C7F61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5638267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4328B53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0.539</w:t>
            </w:r>
          </w:p>
          <w:p w14:paraId="0BBBEC5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0.333</w:t>
            </w:r>
          </w:p>
          <w:p w14:paraId="4366DA1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0.348</w:t>
            </w:r>
          </w:p>
        </w:tc>
        <w:tc>
          <w:tcPr>
            <w:tcW w:w="1745" w:type="dxa"/>
            <w:tcBorders>
              <w:top w:val="single" w:sz="4" w:space="0" w:color="auto"/>
              <w:bottom w:val="single" w:sz="4" w:space="0" w:color="auto"/>
            </w:tcBorders>
            <w:shd w:val="clear" w:color="auto" w:fill="auto"/>
          </w:tcPr>
          <w:p w14:paraId="5BCA64D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c>
          <w:tcPr>
            <w:tcW w:w="1745" w:type="dxa"/>
            <w:tcBorders>
              <w:top w:val="single" w:sz="4" w:space="0" w:color="auto"/>
              <w:bottom w:val="single" w:sz="4" w:space="0" w:color="auto"/>
            </w:tcBorders>
            <w:shd w:val="clear" w:color="auto" w:fill="auto"/>
          </w:tcPr>
          <w:p w14:paraId="7E8AC7C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r>
      <w:tr w:rsidR="0094536E" w:rsidRPr="0094536E" w14:paraId="7A026AEA" w14:textId="77777777" w:rsidTr="00CD2F6A">
        <w:trPr>
          <w:jc w:val="center"/>
        </w:trPr>
        <w:tc>
          <w:tcPr>
            <w:tcW w:w="1744" w:type="dxa"/>
            <w:tcBorders>
              <w:top w:val="single" w:sz="4" w:space="0" w:color="auto"/>
              <w:bottom w:val="single" w:sz="4" w:space="0" w:color="auto"/>
            </w:tcBorders>
            <w:shd w:val="clear" w:color="auto" w:fill="auto"/>
          </w:tcPr>
          <w:p w14:paraId="0E7612C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Gender</w:t>
            </w:r>
          </w:p>
          <w:p w14:paraId="62BACD2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Female</w:t>
            </w:r>
          </w:p>
          <w:p w14:paraId="335D5D3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Male</w:t>
            </w:r>
          </w:p>
        </w:tc>
        <w:tc>
          <w:tcPr>
            <w:tcW w:w="1745" w:type="dxa"/>
            <w:tcBorders>
              <w:top w:val="single" w:sz="4" w:space="0" w:color="auto"/>
              <w:bottom w:val="single" w:sz="4" w:space="0" w:color="auto"/>
            </w:tcBorders>
            <w:shd w:val="clear" w:color="auto" w:fill="auto"/>
          </w:tcPr>
          <w:p w14:paraId="1FCDA6C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2F82EE3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4CF88A7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0.86(0.43,1.71)</w:t>
            </w:r>
          </w:p>
        </w:tc>
        <w:tc>
          <w:tcPr>
            <w:tcW w:w="1745" w:type="dxa"/>
            <w:tcBorders>
              <w:top w:val="single" w:sz="4" w:space="0" w:color="auto"/>
              <w:bottom w:val="single" w:sz="4" w:space="0" w:color="auto"/>
            </w:tcBorders>
            <w:shd w:val="clear" w:color="auto" w:fill="auto"/>
          </w:tcPr>
          <w:p w14:paraId="75E5E28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0F31592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7336C2E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0.666</w:t>
            </w:r>
          </w:p>
        </w:tc>
        <w:tc>
          <w:tcPr>
            <w:tcW w:w="1745" w:type="dxa"/>
            <w:tcBorders>
              <w:top w:val="single" w:sz="4" w:space="0" w:color="auto"/>
              <w:bottom w:val="single" w:sz="4" w:space="0" w:color="auto"/>
            </w:tcBorders>
            <w:shd w:val="clear" w:color="auto" w:fill="auto"/>
          </w:tcPr>
          <w:p w14:paraId="16E0E50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c>
          <w:tcPr>
            <w:tcW w:w="1745" w:type="dxa"/>
            <w:tcBorders>
              <w:top w:val="single" w:sz="4" w:space="0" w:color="auto"/>
              <w:bottom w:val="single" w:sz="4" w:space="0" w:color="auto"/>
            </w:tcBorders>
            <w:shd w:val="clear" w:color="auto" w:fill="auto"/>
          </w:tcPr>
          <w:p w14:paraId="4CBFED6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r>
      <w:tr w:rsidR="0094536E" w:rsidRPr="0094536E" w14:paraId="58ADD866" w14:textId="77777777" w:rsidTr="00CD2F6A">
        <w:trPr>
          <w:jc w:val="center"/>
        </w:trPr>
        <w:tc>
          <w:tcPr>
            <w:tcW w:w="1744" w:type="dxa"/>
            <w:tcBorders>
              <w:top w:val="single" w:sz="4" w:space="0" w:color="auto"/>
              <w:bottom w:val="single" w:sz="4" w:space="0" w:color="auto"/>
            </w:tcBorders>
            <w:shd w:val="clear" w:color="auto" w:fill="auto"/>
          </w:tcPr>
          <w:p w14:paraId="49CC9A8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Educational background</w:t>
            </w:r>
          </w:p>
          <w:p w14:paraId="495203B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Secondary school </w:t>
            </w:r>
          </w:p>
          <w:p w14:paraId="6A64696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Primary</w:t>
            </w:r>
          </w:p>
          <w:p w14:paraId="292D696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Diploma </w:t>
            </w:r>
          </w:p>
          <w:p w14:paraId="4E31FA2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Degree </w:t>
            </w:r>
          </w:p>
          <w:p w14:paraId="6E565A3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 xml:space="preserve">Master </w:t>
            </w:r>
          </w:p>
        </w:tc>
        <w:tc>
          <w:tcPr>
            <w:tcW w:w="1745" w:type="dxa"/>
            <w:tcBorders>
              <w:top w:val="single" w:sz="4" w:space="0" w:color="auto"/>
              <w:bottom w:val="single" w:sz="4" w:space="0" w:color="auto"/>
            </w:tcBorders>
            <w:shd w:val="clear" w:color="auto" w:fill="auto"/>
          </w:tcPr>
          <w:p w14:paraId="01CF1A9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013ADD7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4A4E8E7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0.00</w:t>
            </w:r>
          </w:p>
          <w:p w14:paraId="42BD896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1.51(0.68,3.35)</w:t>
            </w:r>
          </w:p>
          <w:p w14:paraId="7C4E0BE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0.70(0.24, 2.07)</w:t>
            </w:r>
          </w:p>
          <w:p w14:paraId="592AF5E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0.65(0.14,3.16)</w:t>
            </w:r>
          </w:p>
        </w:tc>
        <w:tc>
          <w:tcPr>
            <w:tcW w:w="1745" w:type="dxa"/>
            <w:tcBorders>
              <w:top w:val="single" w:sz="4" w:space="0" w:color="auto"/>
              <w:bottom w:val="single" w:sz="4" w:space="0" w:color="auto"/>
            </w:tcBorders>
            <w:shd w:val="clear" w:color="auto" w:fill="auto"/>
          </w:tcPr>
          <w:p w14:paraId="6027A0A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6B4B711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483FAA8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.999</w:t>
            </w:r>
          </w:p>
          <w:p w14:paraId="4D7D9EA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.316</w:t>
            </w:r>
          </w:p>
          <w:p w14:paraId="673D8EC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.519</w:t>
            </w:r>
          </w:p>
          <w:p w14:paraId="3F9AE45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.596</w:t>
            </w:r>
          </w:p>
        </w:tc>
        <w:tc>
          <w:tcPr>
            <w:tcW w:w="1745" w:type="dxa"/>
            <w:tcBorders>
              <w:top w:val="single" w:sz="4" w:space="0" w:color="auto"/>
              <w:bottom w:val="single" w:sz="4" w:space="0" w:color="auto"/>
            </w:tcBorders>
            <w:shd w:val="clear" w:color="auto" w:fill="auto"/>
          </w:tcPr>
          <w:p w14:paraId="343605F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c>
          <w:tcPr>
            <w:tcW w:w="1745" w:type="dxa"/>
            <w:tcBorders>
              <w:top w:val="single" w:sz="4" w:space="0" w:color="auto"/>
              <w:bottom w:val="single" w:sz="4" w:space="0" w:color="auto"/>
            </w:tcBorders>
            <w:shd w:val="clear" w:color="auto" w:fill="auto"/>
          </w:tcPr>
          <w:p w14:paraId="178EB47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r>
      <w:tr w:rsidR="0094536E" w:rsidRPr="0094536E" w14:paraId="10DE60D3" w14:textId="77777777" w:rsidTr="00CD2F6A">
        <w:trPr>
          <w:trHeight w:val="307"/>
          <w:jc w:val="center"/>
        </w:trPr>
        <w:tc>
          <w:tcPr>
            <w:tcW w:w="1744" w:type="dxa"/>
            <w:tcBorders>
              <w:top w:val="single" w:sz="4" w:space="0" w:color="auto"/>
              <w:bottom w:val="single" w:sz="4" w:space="0" w:color="auto"/>
            </w:tcBorders>
            <w:shd w:val="clear" w:color="auto" w:fill="auto"/>
          </w:tcPr>
          <w:p w14:paraId="2053B07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Business experience</w:t>
            </w:r>
          </w:p>
          <w:p w14:paraId="45A5EF9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Less than 3 years</w:t>
            </w:r>
          </w:p>
          <w:p w14:paraId="09E65C3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More than 3 years</w:t>
            </w:r>
          </w:p>
        </w:tc>
        <w:tc>
          <w:tcPr>
            <w:tcW w:w="1745" w:type="dxa"/>
            <w:tcBorders>
              <w:top w:val="single" w:sz="4" w:space="0" w:color="auto"/>
              <w:bottom w:val="single" w:sz="4" w:space="0" w:color="auto"/>
            </w:tcBorders>
            <w:shd w:val="clear" w:color="auto" w:fill="auto"/>
          </w:tcPr>
          <w:p w14:paraId="656B647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63FA30E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1033CC1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1.60(0.79,3.25)</w:t>
            </w:r>
          </w:p>
        </w:tc>
        <w:tc>
          <w:tcPr>
            <w:tcW w:w="1745" w:type="dxa"/>
            <w:tcBorders>
              <w:top w:val="single" w:sz="4" w:space="0" w:color="auto"/>
              <w:bottom w:val="single" w:sz="4" w:space="0" w:color="auto"/>
            </w:tcBorders>
            <w:shd w:val="clear" w:color="auto" w:fill="auto"/>
          </w:tcPr>
          <w:p w14:paraId="2E28651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5EBB170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4A6FEC3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0.19</w:t>
            </w:r>
          </w:p>
        </w:tc>
        <w:tc>
          <w:tcPr>
            <w:tcW w:w="1745" w:type="dxa"/>
            <w:tcBorders>
              <w:top w:val="single" w:sz="4" w:space="0" w:color="auto"/>
              <w:bottom w:val="single" w:sz="4" w:space="0" w:color="auto"/>
            </w:tcBorders>
            <w:shd w:val="clear" w:color="auto" w:fill="auto"/>
          </w:tcPr>
          <w:p w14:paraId="42C5F76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c>
          <w:tcPr>
            <w:tcW w:w="1745" w:type="dxa"/>
            <w:tcBorders>
              <w:top w:val="single" w:sz="4" w:space="0" w:color="auto"/>
              <w:bottom w:val="single" w:sz="4" w:space="0" w:color="auto"/>
            </w:tcBorders>
            <w:shd w:val="clear" w:color="auto" w:fill="auto"/>
          </w:tcPr>
          <w:p w14:paraId="3FB1538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r>
      <w:tr w:rsidR="0094536E" w:rsidRPr="0094536E" w14:paraId="257D49C1" w14:textId="77777777" w:rsidTr="00CD2F6A">
        <w:trPr>
          <w:trHeight w:val="307"/>
          <w:jc w:val="center"/>
        </w:trPr>
        <w:tc>
          <w:tcPr>
            <w:tcW w:w="1744" w:type="dxa"/>
            <w:tcBorders>
              <w:top w:val="single" w:sz="4" w:space="0" w:color="auto"/>
            </w:tcBorders>
            <w:shd w:val="clear" w:color="auto" w:fill="auto"/>
          </w:tcPr>
          <w:p w14:paraId="3E353F0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Information source</w:t>
            </w:r>
          </w:p>
          <w:p w14:paraId="1BBF576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Social media </w:t>
            </w:r>
          </w:p>
          <w:p w14:paraId="16896AF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Television </w:t>
            </w:r>
          </w:p>
          <w:p w14:paraId="30D9E11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Newspaper </w:t>
            </w:r>
          </w:p>
          <w:p w14:paraId="319E361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Official source </w:t>
            </w:r>
          </w:p>
          <w:p w14:paraId="1D8E8D7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Advertisement </w:t>
            </w:r>
          </w:p>
          <w:p w14:paraId="00D5D80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color w:val="000000"/>
                <w:sz w:val="20"/>
                <w:szCs w:val="20"/>
                <w:lang w:val="en-MY"/>
              </w:rPr>
              <w:t>Radio</w:t>
            </w:r>
          </w:p>
        </w:tc>
        <w:tc>
          <w:tcPr>
            <w:tcW w:w="1745" w:type="dxa"/>
            <w:tcBorders>
              <w:top w:val="single" w:sz="4" w:space="0" w:color="auto"/>
            </w:tcBorders>
            <w:shd w:val="clear" w:color="auto" w:fill="auto"/>
          </w:tcPr>
          <w:p w14:paraId="26CDA7E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3AAE886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54B3D40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1.41(0.59,3.41)</w:t>
            </w:r>
          </w:p>
          <w:p w14:paraId="11DB368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1.55(0.44,5.54)</w:t>
            </w:r>
          </w:p>
          <w:p w14:paraId="21C825F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1.87(0.65,5.39)</w:t>
            </w:r>
          </w:p>
          <w:p w14:paraId="1665932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2.18(0.42,11.39)</w:t>
            </w:r>
          </w:p>
          <w:p w14:paraId="51CA326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1.24(0.21,7.34)</w:t>
            </w:r>
          </w:p>
        </w:tc>
        <w:tc>
          <w:tcPr>
            <w:tcW w:w="1745" w:type="dxa"/>
            <w:tcBorders>
              <w:top w:val="single" w:sz="4" w:space="0" w:color="auto"/>
            </w:tcBorders>
            <w:shd w:val="clear" w:color="auto" w:fill="auto"/>
          </w:tcPr>
          <w:p w14:paraId="54FB817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4FA27DF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27C7F88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0.441</w:t>
            </w:r>
          </w:p>
          <w:p w14:paraId="3D960D9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0.497</w:t>
            </w:r>
          </w:p>
          <w:p w14:paraId="409321D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0.249</w:t>
            </w:r>
          </w:p>
          <w:p w14:paraId="6785BE0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0.357</w:t>
            </w:r>
          </w:p>
          <w:p w14:paraId="10D7B74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0.810</w:t>
            </w:r>
          </w:p>
        </w:tc>
        <w:tc>
          <w:tcPr>
            <w:tcW w:w="1745" w:type="dxa"/>
            <w:tcBorders>
              <w:top w:val="single" w:sz="4" w:space="0" w:color="auto"/>
            </w:tcBorders>
            <w:shd w:val="clear" w:color="auto" w:fill="auto"/>
          </w:tcPr>
          <w:p w14:paraId="3E9E38F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c>
          <w:tcPr>
            <w:tcW w:w="1745" w:type="dxa"/>
            <w:tcBorders>
              <w:top w:val="single" w:sz="4" w:space="0" w:color="auto"/>
            </w:tcBorders>
            <w:shd w:val="clear" w:color="auto" w:fill="auto"/>
          </w:tcPr>
          <w:p w14:paraId="56FC3B5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Cs/>
                <w:color w:val="000000"/>
                <w:sz w:val="20"/>
                <w:szCs w:val="20"/>
              </w:rPr>
              <w:t>-</w:t>
            </w:r>
          </w:p>
        </w:tc>
      </w:tr>
      <w:tr w:rsidR="0094536E" w:rsidRPr="0094536E" w14:paraId="40ADBD40" w14:textId="77777777" w:rsidTr="00CD2F6A">
        <w:trPr>
          <w:trHeight w:val="307"/>
          <w:jc w:val="center"/>
        </w:trPr>
        <w:tc>
          <w:tcPr>
            <w:tcW w:w="1744" w:type="dxa"/>
            <w:tcBorders>
              <w:top w:val="single" w:sz="4" w:space="0" w:color="auto"/>
              <w:bottom w:val="single" w:sz="4" w:space="0" w:color="auto"/>
            </w:tcBorders>
            <w:shd w:val="clear" w:color="auto" w:fill="auto"/>
          </w:tcPr>
          <w:p w14:paraId="5283401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Attitude level</w:t>
            </w:r>
          </w:p>
          <w:p w14:paraId="103E771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Not ready </w:t>
            </w:r>
          </w:p>
          <w:p w14:paraId="476A904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color w:val="000000"/>
                <w:sz w:val="20"/>
                <w:szCs w:val="20"/>
                <w:lang w:val="en-MY"/>
              </w:rPr>
              <w:t>Ready</w:t>
            </w:r>
          </w:p>
        </w:tc>
        <w:tc>
          <w:tcPr>
            <w:tcW w:w="1745" w:type="dxa"/>
            <w:tcBorders>
              <w:top w:val="single" w:sz="4" w:space="0" w:color="auto"/>
              <w:bottom w:val="single" w:sz="4" w:space="0" w:color="auto"/>
            </w:tcBorders>
            <w:shd w:val="clear" w:color="auto" w:fill="auto"/>
          </w:tcPr>
          <w:p w14:paraId="5E2EE4F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4812AF6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0FDFA37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2.67(1.32,5.42)</w:t>
            </w:r>
          </w:p>
        </w:tc>
        <w:tc>
          <w:tcPr>
            <w:tcW w:w="1745" w:type="dxa"/>
            <w:tcBorders>
              <w:top w:val="single" w:sz="4" w:space="0" w:color="auto"/>
              <w:bottom w:val="single" w:sz="4" w:space="0" w:color="auto"/>
            </w:tcBorders>
            <w:shd w:val="clear" w:color="auto" w:fill="auto"/>
          </w:tcPr>
          <w:p w14:paraId="118EC3A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2CF5AD9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68109F3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b/>
                <w:bCs/>
                <w:color w:val="000000"/>
                <w:sz w:val="20"/>
                <w:szCs w:val="20"/>
                <w:lang w:val="en-MY"/>
              </w:rPr>
              <w:t>0.007</w:t>
            </w:r>
          </w:p>
        </w:tc>
        <w:tc>
          <w:tcPr>
            <w:tcW w:w="1745" w:type="dxa"/>
            <w:tcBorders>
              <w:top w:val="single" w:sz="4" w:space="0" w:color="auto"/>
              <w:bottom w:val="single" w:sz="4" w:space="0" w:color="auto"/>
            </w:tcBorders>
            <w:shd w:val="clear" w:color="auto" w:fill="auto"/>
          </w:tcPr>
          <w:p w14:paraId="60B7FCE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0D6D3B0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327E359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color w:val="000000"/>
                <w:sz w:val="20"/>
                <w:szCs w:val="20"/>
                <w:lang w:val="en-MY"/>
              </w:rPr>
              <w:t>1.27(0.62,2.60)</w:t>
            </w:r>
          </w:p>
        </w:tc>
        <w:tc>
          <w:tcPr>
            <w:tcW w:w="1745" w:type="dxa"/>
            <w:tcBorders>
              <w:top w:val="single" w:sz="4" w:space="0" w:color="auto"/>
              <w:bottom w:val="single" w:sz="4" w:space="0" w:color="auto"/>
            </w:tcBorders>
            <w:shd w:val="clear" w:color="auto" w:fill="auto"/>
          </w:tcPr>
          <w:p w14:paraId="2EDB991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398D8F2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06BAA08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sidRPr="0094536E">
              <w:rPr>
                <w:rFonts w:ascii="Times New Roman" w:eastAsia="Times New Roman" w:hAnsi="Times New Roman" w:cs="Times New Roman"/>
                <w:b/>
                <w:bCs/>
                <w:color w:val="000000"/>
                <w:sz w:val="20"/>
                <w:szCs w:val="20"/>
                <w:lang w:val="en-MY"/>
              </w:rPr>
              <w:t>0.001</w:t>
            </w:r>
          </w:p>
        </w:tc>
      </w:tr>
      <w:tr w:rsidR="0094536E" w:rsidRPr="0094536E" w14:paraId="6D38D662" w14:textId="77777777" w:rsidTr="00CD2F6A">
        <w:trPr>
          <w:trHeight w:val="307"/>
          <w:jc w:val="center"/>
        </w:trPr>
        <w:tc>
          <w:tcPr>
            <w:tcW w:w="1744" w:type="dxa"/>
            <w:tcBorders>
              <w:top w:val="single" w:sz="4" w:space="0" w:color="auto"/>
            </w:tcBorders>
            <w:shd w:val="clear" w:color="auto" w:fill="auto"/>
          </w:tcPr>
          <w:p w14:paraId="6442286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b/>
                <w:bCs/>
                <w:color w:val="000000"/>
                <w:sz w:val="20"/>
                <w:szCs w:val="20"/>
                <w:lang w:val="en-MY"/>
              </w:rPr>
              <w:t>Practice level</w:t>
            </w:r>
          </w:p>
          <w:p w14:paraId="5914BD5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 xml:space="preserve">Not significant </w:t>
            </w:r>
          </w:p>
          <w:p w14:paraId="0BB0050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0"/>
                <w:szCs w:val="20"/>
                <w:lang w:val="en-MY"/>
              </w:rPr>
            </w:pPr>
            <w:r w:rsidRPr="0094536E">
              <w:rPr>
                <w:rFonts w:ascii="Times New Roman" w:eastAsia="Times New Roman" w:hAnsi="Times New Roman" w:cs="Times New Roman"/>
                <w:color w:val="000000"/>
                <w:sz w:val="20"/>
                <w:szCs w:val="20"/>
                <w:lang w:val="en-MY"/>
              </w:rPr>
              <w:t>Significant</w:t>
            </w:r>
          </w:p>
        </w:tc>
        <w:tc>
          <w:tcPr>
            <w:tcW w:w="1745" w:type="dxa"/>
            <w:tcBorders>
              <w:top w:val="single" w:sz="4" w:space="0" w:color="auto"/>
            </w:tcBorders>
            <w:shd w:val="clear" w:color="auto" w:fill="auto"/>
          </w:tcPr>
          <w:p w14:paraId="7ABE8CC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7B2B8BF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1</w:t>
            </w:r>
          </w:p>
          <w:p w14:paraId="50A4EB9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0.30(0.14,0.64)</w:t>
            </w:r>
          </w:p>
        </w:tc>
        <w:tc>
          <w:tcPr>
            <w:tcW w:w="1745" w:type="dxa"/>
            <w:tcBorders>
              <w:top w:val="single" w:sz="4" w:space="0" w:color="auto"/>
            </w:tcBorders>
            <w:shd w:val="clear" w:color="auto" w:fill="auto"/>
          </w:tcPr>
          <w:p w14:paraId="61EE61C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112B224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3ECE129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b/>
                <w:bCs/>
                <w:color w:val="000000"/>
                <w:sz w:val="20"/>
                <w:szCs w:val="20"/>
                <w:lang w:val="en-MY"/>
              </w:rPr>
              <w:t>0.002</w:t>
            </w:r>
          </w:p>
        </w:tc>
        <w:tc>
          <w:tcPr>
            <w:tcW w:w="1745" w:type="dxa"/>
            <w:tcBorders>
              <w:top w:val="single" w:sz="4" w:space="0" w:color="auto"/>
            </w:tcBorders>
            <w:shd w:val="clear" w:color="auto" w:fill="auto"/>
          </w:tcPr>
          <w:p w14:paraId="02AB47A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7FE8989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19340C7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color w:val="000000"/>
                <w:sz w:val="20"/>
                <w:szCs w:val="20"/>
                <w:lang w:val="en-MY"/>
              </w:rPr>
              <w:t>2.94(1.40,6.19)</w:t>
            </w:r>
          </w:p>
        </w:tc>
        <w:tc>
          <w:tcPr>
            <w:tcW w:w="1745" w:type="dxa"/>
            <w:tcBorders>
              <w:top w:val="single" w:sz="4" w:space="0" w:color="auto"/>
            </w:tcBorders>
            <w:shd w:val="clear" w:color="auto" w:fill="auto"/>
          </w:tcPr>
          <w:p w14:paraId="7CD00A9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54328A3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p>
          <w:p w14:paraId="31ED072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lang w:val="en-MY"/>
              </w:rPr>
            </w:pPr>
            <w:r w:rsidRPr="0094536E">
              <w:rPr>
                <w:rFonts w:ascii="Times New Roman" w:eastAsia="Times New Roman" w:hAnsi="Times New Roman" w:cs="Times New Roman"/>
                <w:b/>
                <w:bCs/>
                <w:color w:val="000000"/>
                <w:sz w:val="20"/>
                <w:szCs w:val="20"/>
                <w:lang w:val="en-MY"/>
              </w:rPr>
              <w:t>0.005</w:t>
            </w:r>
          </w:p>
        </w:tc>
      </w:tr>
    </w:tbl>
    <w:p w14:paraId="38855EAB" w14:textId="74C9172C" w:rsidR="0094536E" w:rsidRPr="0094536E" w:rsidRDefault="009D111D"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0094536E" w:rsidRPr="0094536E">
        <w:rPr>
          <w:rFonts w:ascii="Times New Roman" w:eastAsia="Times New Roman" w:hAnsi="Times New Roman" w:cs="Times New Roman"/>
          <w:bCs/>
          <w:color w:val="000000"/>
          <w:sz w:val="20"/>
          <w:szCs w:val="20"/>
        </w:rPr>
        <w:t>1OR = Odds Ratio, CI = Confidence Interval</w:t>
      </w:r>
    </w:p>
    <w:p w14:paraId="6F8DA3B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0379F0FD" w14:textId="38430001" w:rsidR="0094536E" w:rsidRPr="009D111D"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9D111D">
        <w:rPr>
          <w:rFonts w:ascii="Times New Roman" w:eastAsia="Times New Roman" w:hAnsi="Times New Roman" w:cs="Times New Roman"/>
          <w:bCs/>
          <w:i/>
          <w:iCs/>
          <w:color w:val="000000"/>
          <w:sz w:val="24"/>
          <w:szCs w:val="24"/>
        </w:rPr>
        <w:t>Logistic Regression based factors on the attitude level of street food hawkers</w:t>
      </w:r>
    </w:p>
    <w:p w14:paraId="2155691B" w14:textId="77777777" w:rsidR="00F51AAF"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781EC511" w14:textId="65C067A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94536E">
        <w:rPr>
          <w:rFonts w:ascii="Times New Roman" w:eastAsia="Times New Roman" w:hAnsi="Times New Roman" w:cs="Times New Roman"/>
          <w:bCs/>
          <w:color w:val="000000"/>
          <w:sz w:val="24"/>
          <w:szCs w:val="24"/>
        </w:rPr>
        <w:t xml:space="preserve">The possibility of food hawker supporting the plastic reduction </w:t>
      </w:r>
      <w:proofErr w:type="spellStart"/>
      <w:r w:rsidRPr="0094536E">
        <w:rPr>
          <w:rFonts w:ascii="Times New Roman" w:eastAsia="Times New Roman" w:hAnsi="Times New Roman" w:cs="Times New Roman"/>
          <w:bCs/>
          <w:color w:val="000000"/>
          <w:sz w:val="24"/>
          <w:szCs w:val="24"/>
        </w:rPr>
        <w:t>programme</w:t>
      </w:r>
      <w:proofErr w:type="spellEnd"/>
      <w:r w:rsidRPr="0094536E">
        <w:rPr>
          <w:rFonts w:ascii="Times New Roman" w:eastAsia="Times New Roman" w:hAnsi="Times New Roman" w:cs="Times New Roman"/>
          <w:bCs/>
          <w:color w:val="000000"/>
          <w:sz w:val="24"/>
          <w:szCs w:val="24"/>
        </w:rPr>
        <w:t xml:space="preserve"> was 2.67 times greater for those with good knowledge compared to those with poor knowledge (95% CI: 1.31,5.42, p-value = 0.007) according to a logistic regression analysis. There was no association between sociodemographic and practice level and attitude level. Table 6 </w:t>
      </w:r>
      <w:proofErr w:type="spellStart"/>
      <w:r w:rsidRPr="0094536E">
        <w:rPr>
          <w:rFonts w:ascii="Times New Roman" w:eastAsia="Times New Roman" w:hAnsi="Times New Roman" w:cs="Times New Roman"/>
          <w:bCs/>
          <w:color w:val="000000"/>
          <w:sz w:val="24"/>
          <w:szCs w:val="24"/>
        </w:rPr>
        <w:t>summarises</w:t>
      </w:r>
      <w:proofErr w:type="spellEnd"/>
      <w:r w:rsidRPr="0094536E">
        <w:rPr>
          <w:rFonts w:ascii="Times New Roman" w:eastAsia="Times New Roman" w:hAnsi="Times New Roman" w:cs="Times New Roman"/>
          <w:bCs/>
          <w:color w:val="000000"/>
          <w:sz w:val="24"/>
          <w:szCs w:val="24"/>
        </w:rPr>
        <w:t xml:space="preserve"> the results.</w:t>
      </w:r>
    </w:p>
    <w:p w14:paraId="2EC60D24" w14:textId="77777777" w:rsidR="0094536E" w:rsidRDefault="0094536E"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55E4394D" w14:textId="77777777" w:rsidR="000F277F" w:rsidRDefault="000F277F"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08BD4131" w14:textId="77777777" w:rsidR="000F277F" w:rsidRDefault="000F277F"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0187C718" w14:textId="77777777" w:rsidR="000F277F" w:rsidRDefault="000F277F"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48213011" w14:textId="77777777" w:rsidR="000F277F" w:rsidRPr="0094536E" w:rsidRDefault="000F277F" w:rsidP="00F51A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7EF2DBF7" w14:textId="7AA866D3" w:rsidR="0094536E" w:rsidRDefault="0094536E"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lastRenderedPageBreak/>
        <w:t>Table 6.</w:t>
      </w:r>
      <w:r w:rsidRPr="0094536E">
        <w:rPr>
          <w:rFonts w:ascii="Times New Roman" w:eastAsia="Times New Roman" w:hAnsi="Times New Roman" w:cs="Times New Roman"/>
          <w:color w:val="000000"/>
          <w:sz w:val="20"/>
          <w:szCs w:val="20"/>
        </w:rPr>
        <w:t xml:space="preserve"> Logistic Regression based factors on attitudes scores of street food hawkers about supporting the single-use plastic reduction program (n = 149)</w:t>
      </w:r>
    </w:p>
    <w:p w14:paraId="4DA59E8D" w14:textId="77777777" w:rsidR="00F51AAF" w:rsidRPr="0094536E"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3840"/>
        <w:gridCol w:w="2691"/>
        <w:gridCol w:w="1483"/>
        <w:gridCol w:w="1346"/>
      </w:tblGrid>
      <w:tr w:rsidR="0094536E" w:rsidRPr="0094536E" w14:paraId="0562E1AB" w14:textId="77777777" w:rsidTr="000F277F">
        <w:tc>
          <w:tcPr>
            <w:tcW w:w="2016" w:type="pct"/>
            <w:tcBorders>
              <w:bottom w:val="single" w:sz="4" w:space="0" w:color="auto"/>
            </w:tcBorders>
            <w:shd w:val="clear" w:color="auto" w:fill="548DD4" w:themeFill="text2" w:themeFillTint="99"/>
            <w:hideMark/>
          </w:tcPr>
          <w:p w14:paraId="45ED9448"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94536E">
              <w:rPr>
                <w:rFonts w:ascii="Times New Roman" w:eastAsia="Times New Roman" w:hAnsi="Times New Roman" w:cs="Times New Roman"/>
                <w:b/>
                <w:bCs/>
                <w:color w:val="000000"/>
                <w:sz w:val="20"/>
                <w:szCs w:val="20"/>
              </w:rPr>
              <w:t>Factor</w:t>
            </w:r>
          </w:p>
        </w:tc>
        <w:tc>
          <w:tcPr>
            <w:tcW w:w="1413" w:type="pct"/>
            <w:tcBorders>
              <w:bottom w:val="single" w:sz="4" w:space="0" w:color="auto"/>
            </w:tcBorders>
            <w:shd w:val="clear" w:color="auto" w:fill="548DD4" w:themeFill="text2" w:themeFillTint="99"/>
            <w:hideMark/>
          </w:tcPr>
          <w:p w14:paraId="465E6A3E"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94536E">
              <w:rPr>
                <w:rFonts w:ascii="Times New Roman" w:eastAsia="Times New Roman" w:hAnsi="Times New Roman" w:cs="Times New Roman"/>
                <w:b/>
                <w:bCs/>
                <w:color w:val="000000"/>
                <w:sz w:val="20"/>
                <w:szCs w:val="20"/>
              </w:rPr>
              <w:t>Crude OR1</w:t>
            </w:r>
          </w:p>
        </w:tc>
        <w:tc>
          <w:tcPr>
            <w:tcW w:w="778" w:type="pct"/>
            <w:tcBorders>
              <w:bottom w:val="single" w:sz="4" w:space="0" w:color="auto"/>
            </w:tcBorders>
            <w:shd w:val="clear" w:color="auto" w:fill="548DD4" w:themeFill="text2" w:themeFillTint="99"/>
            <w:hideMark/>
          </w:tcPr>
          <w:p w14:paraId="2F1EAF6E"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94536E">
              <w:rPr>
                <w:rFonts w:ascii="Times New Roman" w:eastAsia="Times New Roman" w:hAnsi="Times New Roman" w:cs="Times New Roman"/>
                <w:b/>
                <w:bCs/>
                <w:color w:val="000000"/>
                <w:sz w:val="20"/>
                <w:szCs w:val="20"/>
              </w:rPr>
              <w:t>(95% CI)</w:t>
            </w:r>
          </w:p>
        </w:tc>
        <w:tc>
          <w:tcPr>
            <w:tcW w:w="706" w:type="pct"/>
            <w:tcBorders>
              <w:bottom w:val="single" w:sz="4" w:space="0" w:color="auto"/>
            </w:tcBorders>
            <w:shd w:val="clear" w:color="auto" w:fill="548DD4" w:themeFill="text2" w:themeFillTint="99"/>
            <w:hideMark/>
          </w:tcPr>
          <w:p w14:paraId="473CDFCF"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94536E">
              <w:rPr>
                <w:rFonts w:ascii="Times New Roman" w:eastAsia="Times New Roman" w:hAnsi="Times New Roman" w:cs="Times New Roman"/>
                <w:b/>
                <w:bCs/>
                <w:color w:val="000000"/>
                <w:sz w:val="20"/>
                <w:szCs w:val="20"/>
              </w:rPr>
              <w:t>p-value</w:t>
            </w:r>
          </w:p>
        </w:tc>
      </w:tr>
      <w:tr w:rsidR="0094536E" w:rsidRPr="0094536E" w14:paraId="3AB341BB" w14:textId="77777777" w:rsidTr="004A0CF1">
        <w:tc>
          <w:tcPr>
            <w:tcW w:w="2016" w:type="pct"/>
            <w:tcBorders>
              <w:top w:val="single" w:sz="4" w:space="0" w:color="auto"/>
            </w:tcBorders>
            <w:shd w:val="clear" w:color="auto" w:fill="auto"/>
            <w:hideMark/>
          </w:tcPr>
          <w:p w14:paraId="3D780BF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Age</w:t>
            </w:r>
          </w:p>
        </w:tc>
        <w:tc>
          <w:tcPr>
            <w:tcW w:w="1413" w:type="pct"/>
            <w:tcBorders>
              <w:top w:val="single" w:sz="4" w:space="0" w:color="auto"/>
            </w:tcBorders>
            <w:shd w:val="clear" w:color="auto" w:fill="auto"/>
            <w:hideMark/>
          </w:tcPr>
          <w:p w14:paraId="416F574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6773E4C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641CAA0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06B681A7" w14:textId="77777777" w:rsidTr="004A0CF1">
        <w:tc>
          <w:tcPr>
            <w:tcW w:w="2016" w:type="pct"/>
            <w:shd w:val="clear" w:color="auto" w:fill="auto"/>
            <w:hideMark/>
          </w:tcPr>
          <w:p w14:paraId="09ED7A7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18-30 years</w:t>
            </w:r>
          </w:p>
        </w:tc>
        <w:tc>
          <w:tcPr>
            <w:tcW w:w="1413" w:type="pct"/>
            <w:shd w:val="clear" w:color="auto" w:fill="auto"/>
            <w:hideMark/>
          </w:tcPr>
          <w:p w14:paraId="767F6D9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w:t>
            </w:r>
          </w:p>
        </w:tc>
        <w:tc>
          <w:tcPr>
            <w:tcW w:w="778" w:type="pct"/>
            <w:shd w:val="clear" w:color="auto" w:fill="auto"/>
            <w:hideMark/>
          </w:tcPr>
          <w:p w14:paraId="119CDFB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4A3FA55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2EB78EEE" w14:textId="77777777" w:rsidTr="004A0CF1">
        <w:tc>
          <w:tcPr>
            <w:tcW w:w="2016" w:type="pct"/>
            <w:shd w:val="clear" w:color="auto" w:fill="auto"/>
            <w:hideMark/>
          </w:tcPr>
          <w:p w14:paraId="229899F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31-40 years</w:t>
            </w:r>
          </w:p>
        </w:tc>
        <w:tc>
          <w:tcPr>
            <w:tcW w:w="1413" w:type="pct"/>
            <w:shd w:val="clear" w:color="auto" w:fill="auto"/>
            <w:hideMark/>
          </w:tcPr>
          <w:p w14:paraId="5358733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1.06</w:t>
            </w:r>
          </w:p>
        </w:tc>
        <w:tc>
          <w:tcPr>
            <w:tcW w:w="778" w:type="pct"/>
            <w:shd w:val="clear" w:color="auto" w:fill="auto"/>
            <w:hideMark/>
          </w:tcPr>
          <w:p w14:paraId="034841C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060FFF0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0.882</w:t>
            </w:r>
          </w:p>
        </w:tc>
      </w:tr>
      <w:tr w:rsidR="0094536E" w:rsidRPr="0094536E" w14:paraId="2FF05E24" w14:textId="77777777" w:rsidTr="004A0CF1">
        <w:tc>
          <w:tcPr>
            <w:tcW w:w="2016" w:type="pct"/>
            <w:shd w:val="clear" w:color="auto" w:fill="auto"/>
            <w:hideMark/>
          </w:tcPr>
          <w:p w14:paraId="52F313B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41-50 years</w:t>
            </w:r>
          </w:p>
        </w:tc>
        <w:tc>
          <w:tcPr>
            <w:tcW w:w="1413" w:type="pct"/>
            <w:shd w:val="clear" w:color="auto" w:fill="auto"/>
            <w:hideMark/>
          </w:tcPr>
          <w:p w14:paraId="52477D0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0.87</w:t>
            </w:r>
          </w:p>
        </w:tc>
        <w:tc>
          <w:tcPr>
            <w:tcW w:w="778" w:type="pct"/>
            <w:shd w:val="clear" w:color="auto" w:fill="auto"/>
            <w:hideMark/>
          </w:tcPr>
          <w:p w14:paraId="1B9534B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4615086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0.793</w:t>
            </w:r>
          </w:p>
        </w:tc>
      </w:tr>
      <w:tr w:rsidR="0094536E" w:rsidRPr="0094536E" w14:paraId="47089410" w14:textId="77777777" w:rsidTr="004A0CF1">
        <w:tc>
          <w:tcPr>
            <w:tcW w:w="2016" w:type="pct"/>
            <w:tcBorders>
              <w:bottom w:val="single" w:sz="4" w:space="0" w:color="auto"/>
            </w:tcBorders>
            <w:shd w:val="clear" w:color="auto" w:fill="auto"/>
            <w:hideMark/>
          </w:tcPr>
          <w:p w14:paraId="3358552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≥50 years</w:t>
            </w:r>
          </w:p>
        </w:tc>
        <w:tc>
          <w:tcPr>
            <w:tcW w:w="1413" w:type="pct"/>
            <w:tcBorders>
              <w:bottom w:val="single" w:sz="4" w:space="0" w:color="auto"/>
            </w:tcBorders>
            <w:shd w:val="clear" w:color="auto" w:fill="auto"/>
            <w:hideMark/>
          </w:tcPr>
          <w:p w14:paraId="5EC8B83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0.50</w:t>
            </w:r>
          </w:p>
        </w:tc>
        <w:tc>
          <w:tcPr>
            <w:tcW w:w="778" w:type="pct"/>
            <w:tcBorders>
              <w:bottom w:val="single" w:sz="4" w:space="0" w:color="auto"/>
            </w:tcBorders>
            <w:shd w:val="clear" w:color="auto" w:fill="auto"/>
            <w:hideMark/>
          </w:tcPr>
          <w:p w14:paraId="554F6B5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tcBorders>
              <w:bottom w:val="single" w:sz="4" w:space="0" w:color="auto"/>
            </w:tcBorders>
            <w:shd w:val="clear" w:color="auto" w:fill="auto"/>
            <w:hideMark/>
          </w:tcPr>
          <w:p w14:paraId="62D6019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0.254</w:t>
            </w:r>
          </w:p>
        </w:tc>
      </w:tr>
      <w:tr w:rsidR="0094536E" w:rsidRPr="0094536E" w14:paraId="2B3E6796" w14:textId="77777777" w:rsidTr="004A0CF1">
        <w:tc>
          <w:tcPr>
            <w:tcW w:w="2016" w:type="pct"/>
            <w:tcBorders>
              <w:top w:val="single" w:sz="4" w:space="0" w:color="auto"/>
            </w:tcBorders>
            <w:shd w:val="clear" w:color="auto" w:fill="auto"/>
            <w:hideMark/>
          </w:tcPr>
          <w:p w14:paraId="2F25143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Gender</w:t>
            </w:r>
          </w:p>
        </w:tc>
        <w:tc>
          <w:tcPr>
            <w:tcW w:w="1413" w:type="pct"/>
            <w:tcBorders>
              <w:top w:val="single" w:sz="4" w:space="0" w:color="auto"/>
            </w:tcBorders>
            <w:shd w:val="clear" w:color="auto" w:fill="auto"/>
            <w:hideMark/>
          </w:tcPr>
          <w:p w14:paraId="3C8532C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5CF91FD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5C4702A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3688CA4A" w14:textId="77777777" w:rsidTr="004A0CF1">
        <w:tc>
          <w:tcPr>
            <w:tcW w:w="2016" w:type="pct"/>
            <w:shd w:val="clear" w:color="auto" w:fill="auto"/>
            <w:hideMark/>
          </w:tcPr>
          <w:p w14:paraId="1418BCF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Female</w:t>
            </w:r>
          </w:p>
        </w:tc>
        <w:tc>
          <w:tcPr>
            <w:tcW w:w="1413" w:type="pct"/>
            <w:shd w:val="clear" w:color="auto" w:fill="auto"/>
            <w:hideMark/>
          </w:tcPr>
          <w:p w14:paraId="1414F5B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w:t>
            </w:r>
          </w:p>
        </w:tc>
        <w:tc>
          <w:tcPr>
            <w:tcW w:w="778" w:type="pct"/>
            <w:shd w:val="clear" w:color="auto" w:fill="auto"/>
            <w:hideMark/>
          </w:tcPr>
          <w:p w14:paraId="03224B1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55A859C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4C9E0740" w14:textId="77777777" w:rsidTr="004A0CF1">
        <w:tc>
          <w:tcPr>
            <w:tcW w:w="2016" w:type="pct"/>
            <w:tcBorders>
              <w:bottom w:val="single" w:sz="4" w:space="0" w:color="auto"/>
            </w:tcBorders>
            <w:shd w:val="clear" w:color="auto" w:fill="auto"/>
            <w:hideMark/>
          </w:tcPr>
          <w:p w14:paraId="38C53CB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Male</w:t>
            </w:r>
          </w:p>
        </w:tc>
        <w:tc>
          <w:tcPr>
            <w:tcW w:w="1413" w:type="pct"/>
            <w:tcBorders>
              <w:bottom w:val="single" w:sz="4" w:space="0" w:color="auto"/>
            </w:tcBorders>
            <w:shd w:val="clear" w:color="auto" w:fill="auto"/>
            <w:hideMark/>
          </w:tcPr>
          <w:p w14:paraId="01B63AE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0.96 (0.49, 1.85)</w:t>
            </w:r>
          </w:p>
        </w:tc>
        <w:tc>
          <w:tcPr>
            <w:tcW w:w="778" w:type="pct"/>
            <w:tcBorders>
              <w:bottom w:val="single" w:sz="4" w:space="0" w:color="auto"/>
            </w:tcBorders>
            <w:shd w:val="clear" w:color="auto" w:fill="auto"/>
            <w:hideMark/>
          </w:tcPr>
          <w:p w14:paraId="46FE794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tcBorders>
              <w:bottom w:val="single" w:sz="4" w:space="0" w:color="auto"/>
            </w:tcBorders>
            <w:shd w:val="clear" w:color="auto" w:fill="auto"/>
            <w:hideMark/>
          </w:tcPr>
          <w:p w14:paraId="2B7F459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0.894</w:t>
            </w:r>
          </w:p>
        </w:tc>
      </w:tr>
      <w:tr w:rsidR="0094536E" w:rsidRPr="0094536E" w14:paraId="7D7DF983" w14:textId="77777777" w:rsidTr="004A0CF1">
        <w:tc>
          <w:tcPr>
            <w:tcW w:w="2016" w:type="pct"/>
            <w:tcBorders>
              <w:top w:val="single" w:sz="4" w:space="0" w:color="auto"/>
            </w:tcBorders>
            <w:shd w:val="clear" w:color="auto" w:fill="auto"/>
            <w:hideMark/>
          </w:tcPr>
          <w:p w14:paraId="6589081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Educational Background</w:t>
            </w:r>
          </w:p>
        </w:tc>
        <w:tc>
          <w:tcPr>
            <w:tcW w:w="1413" w:type="pct"/>
            <w:tcBorders>
              <w:top w:val="single" w:sz="4" w:space="0" w:color="auto"/>
            </w:tcBorders>
            <w:shd w:val="clear" w:color="auto" w:fill="auto"/>
            <w:hideMark/>
          </w:tcPr>
          <w:p w14:paraId="5507BB5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24AAA47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4173407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0CE48062" w14:textId="77777777" w:rsidTr="004A0CF1">
        <w:tc>
          <w:tcPr>
            <w:tcW w:w="2016" w:type="pct"/>
            <w:shd w:val="clear" w:color="auto" w:fill="auto"/>
            <w:hideMark/>
          </w:tcPr>
          <w:p w14:paraId="64DA0B5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Secondary school (Ref)</w:t>
            </w:r>
          </w:p>
        </w:tc>
        <w:tc>
          <w:tcPr>
            <w:tcW w:w="1413" w:type="pct"/>
            <w:shd w:val="clear" w:color="auto" w:fill="auto"/>
            <w:hideMark/>
          </w:tcPr>
          <w:p w14:paraId="1BF16F5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shd w:val="clear" w:color="auto" w:fill="auto"/>
            <w:hideMark/>
          </w:tcPr>
          <w:p w14:paraId="1849C7B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shd w:val="clear" w:color="auto" w:fill="auto"/>
            <w:hideMark/>
          </w:tcPr>
          <w:p w14:paraId="61802A5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727994A7" w14:textId="77777777" w:rsidTr="004A0CF1">
        <w:tc>
          <w:tcPr>
            <w:tcW w:w="2016" w:type="pct"/>
            <w:shd w:val="clear" w:color="auto" w:fill="auto"/>
            <w:hideMark/>
          </w:tcPr>
          <w:p w14:paraId="351DD4F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Primary</w:t>
            </w:r>
          </w:p>
        </w:tc>
        <w:tc>
          <w:tcPr>
            <w:tcW w:w="1413" w:type="pct"/>
            <w:shd w:val="clear" w:color="auto" w:fill="auto"/>
            <w:hideMark/>
          </w:tcPr>
          <w:p w14:paraId="5480E04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1.33 (0.05, 12.48)</w:t>
            </w:r>
          </w:p>
        </w:tc>
        <w:tc>
          <w:tcPr>
            <w:tcW w:w="778" w:type="pct"/>
            <w:shd w:val="clear" w:color="auto" w:fill="auto"/>
            <w:hideMark/>
          </w:tcPr>
          <w:p w14:paraId="6F27D82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669B64D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0.841</w:t>
            </w:r>
          </w:p>
        </w:tc>
      </w:tr>
      <w:tr w:rsidR="0094536E" w:rsidRPr="0094536E" w14:paraId="12948C79" w14:textId="77777777" w:rsidTr="004A0CF1">
        <w:tc>
          <w:tcPr>
            <w:tcW w:w="2016" w:type="pct"/>
            <w:shd w:val="clear" w:color="auto" w:fill="auto"/>
            <w:hideMark/>
          </w:tcPr>
          <w:p w14:paraId="3D48BC1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Diploma</w:t>
            </w:r>
          </w:p>
        </w:tc>
        <w:tc>
          <w:tcPr>
            <w:tcW w:w="1413" w:type="pct"/>
            <w:shd w:val="clear" w:color="auto" w:fill="auto"/>
            <w:hideMark/>
          </w:tcPr>
          <w:p w14:paraId="2A65585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2.10 (0.75, 3.35)</w:t>
            </w:r>
          </w:p>
        </w:tc>
        <w:tc>
          <w:tcPr>
            <w:tcW w:w="778" w:type="pct"/>
            <w:shd w:val="clear" w:color="auto" w:fill="auto"/>
            <w:hideMark/>
          </w:tcPr>
          <w:p w14:paraId="0CF9BC3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63B785C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0.224</w:t>
            </w:r>
          </w:p>
        </w:tc>
      </w:tr>
      <w:tr w:rsidR="0094536E" w:rsidRPr="0094536E" w14:paraId="71883D80" w14:textId="77777777" w:rsidTr="004A0CF1">
        <w:tc>
          <w:tcPr>
            <w:tcW w:w="2016" w:type="pct"/>
            <w:shd w:val="clear" w:color="auto" w:fill="auto"/>
            <w:hideMark/>
          </w:tcPr>
          <w:p w14:paraId="67DDBB9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Degree</w:t>
            </w:r>
          </w:p>
        </w:tc>
        <w:tc>
          <w:tcPr>
            <w:tcW w:w="1413" w:type="pct"/>
            <w:shd w:val="clear" w:color="auto" w:fill="auto"/>
            <w:hideMark/>
          </w:tcPr>
          <w:p w14:paraId="4073AF6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0.89 (0.23, 1.93)</w:t>
            </w:r>
          </w:p>
        </w:tc>
        <w:tc>
          <w:tcPr>
            <w:tcW w:w="778" w:type="pct"/>
            <w:shd w:val="clear" w:color="auto" w:fill="auto"/>
            <w:hideMark/>
          </w:tcPr>
          <w:p w14:paraId="311D112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4328065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0.455</w:t>
            </w:r>
          </w:p>
        </w:tc>
      </w:tr>
      <w:tr w:rsidR="0094536E" w:rsidRPr="0094536E" w14:paraId="041FE0AF" w14:textId="77777777" w:rsidTr="004A0CF1">
        <w:tc>
          <w:tcPr>
            <w:tcW w:w="2016" w:type="pct"/>
            <w:tcBorders>
              <w:bottom w:val="single" w:sz="4" w:space="0" w:color="auto"/>
            </w:tcBorders>
            <w:shd w:val="clear" w:color="auto" w:fill="auto"/>
            <w:hideMark/>
          </w:tcPr>
          <w:p w14:paraId="12AC480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Master</w:t>
            </w:r>
          </w:p>
        </w:tc>
        <w:tc>
          <w:tcPr>
            <w:tcW w:w="1413" w:type="pct"/>
            <w:tcBorders>
              <w:bottom w:val="single" w:sz="4" w:space="0" w:color="auto"/>
            </w:tcBorders>
            <w:shd w:val="clear" w:color="auto" w:fill="auto"/>
            <w:hideMark/>
          </w:tcPr>
          <w:p w14:paraId="7654A13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w:t>
            </w:r>
          </w:p>
        </w:tc>
        <w:tc>
          <w:tcPr>
            <w:tcW w:w="778" w:type="pct"/>
            <w:tcBorders>
              <w:bottom w:val="single" w:sz="4" w:space="0" w:color="auto"/>
            </w:tcBorders>
            <w:shd w:val="clear" w:color="auto" w:fill="auto"/>
            <w:hideMark/>
          </w:tcPr>
          <w:p w14:paraId="27BA99C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tcBorders>
              <w:bottom w:val="single" w:sz="4" w:space="0" w:color="auto"/>
            </w:tcBorders>
            <w:shd w:val="clear" w:color="auto" w:fill="auto"/>
            <w:hideMark/>
          </w:tcPr>
          <w:p w14:paraId="3CAAEBA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0.999</w:t>
            </w:r>
          </w:p>
        </w:tc>
      </w:tr>
      <w:tr w:rsidR="0094536E" w:rsidRPr="0094536E" w14:paraId="20856443" w14:textId="77777777" w:rsidTr="004A0CF1">
        <w:tc>
          <w:tcPr>
            <w:tcW w:w="2016" w:type="pct"/>
            <w:tcBorders>
              <w:top w:val="single" w:sz="4" w:space="0" w:color="auto"/>
            </w:tcBorders>
            <w:shd w:val="clear" w:color="auto" w:fill="auto"/>
            <w:hideMark/>
          </w:tcPr>
          <w:p w14:paraId="55FB39B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Business Experience</w:t>
            </w:r>
          </w:p>
        </w:tc>
        <w:tc>
          <w:tcPr>
            <w:tcW w:w="1413" w:type="pct"/>
            <w:tcBorders>
              <w:top w:val="single" w:sz="4" w:space="0" w:color="auto"/>
            </w:tcBorders>
            <w:shd w:val="clear" w:color="auto" w:fill="auto"/>
            <w:hideMark/>
          </w:tcPr>
          <w:p w14:paraId="21E21EC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7AC2ED4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2316108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4B2A1F41" w14:textId="77777777" w:rsidTr="004A0CF1">
        <w:tc>
          <w:tcPr>
            <w:tcW w:w="2016" w:type="pct"/>
            <w:shd w:val="clear" w:color="auto" w:fill="auto"/>
            <w:hideMark/>
          </w:tcPr>
          <w:p w14:paraId="386427E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Less than 3 years</w:t>
            </w:r>
          </w:p>
        </w:tc>
        <w:tc>
          <w:tcPr>
            <w:tcW w:w="1413" w:type="pct"/>
            <w:shd w:val="clear" w:color="auto" w:fill="auto"/>
            <w:hideMark/>
          </w:tcPr>
          <w:p w14:paraId="755C4A7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w:t>
            </w:r>
          </w:p>
        </w:tc>
        <w:tc>
          <w:tcPr>
            <w:tcW w:w="778" w:type="pct"/>
            <w:shd w:val="clear" w:color="auto" w:fill="auto"/>
            <w:hideMark/>
          </w:tcPr>
          <w:p w14:paraId="70A0DCB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6640487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65F902E1" w14:textId="77777777" w:rsidTr="004A0CF1">
        <w:tc>
          <w:tcPr>
            <w:tcW w:w="2016" w:type="pct"/>
            <w:tcBorders>
              <w:bottom w:val="single" w:sz="4" w:space="0" w:color="auto"/>
            </w:tcBorders>
            <w:shd w:val="clear" w:color="auto" w:fill="auto"/>
            <w:hideMark/>
          </w:tcPr>
          <w:p w14:paraId="29FDE8C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More than 3 years</w:t>
            </w:r>
          </w:p>
        </w:tc>
        <w:tc>
          <w:tcPr>
            <w:tcW w:w="1413" w:type="pct"/>
            <w:tcBorders>
              <w:bottom w:val="single" w:sz="4" w:space="0" w:color="auto"/>
            </w:tcBorders>
            <w:shd w:val="clear" w:color="auto" w:fill="auto"/>
            <w:hideMark/>
          </w:tcPr>
          <w:p w14:paraId="0CD76D1D"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0.72 (0.36, 1.44)</w:t>
            </w:r>
          </w:p>
        </w:tc>
        <w:tc>
          <w:tcPr>
            <w:tcW w:w="778" w:type="pct"/>
            <w:tcBorders>
              <w:bottom w:val="single" w:sz="4" w:space="0" w:color="auto"/>
            </w:tcBorders>
            <w:shd w:val="clear" w:color="auto" w:fill="auto"/>
            <w:hideMark/>
          </w:tcPr>
          <w:p w14:paraId="3F81B71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tcBorders>
              <w:bottom w:val="single" w:sz="4" w:space="0" w:color="auto"/>
            </w:tcBorders>
            <w:shd w:val="clear" w:color="auto" w:fill="auto"/>
            <w:hideMark/>
          </w:tcPr>
          <w:p w14:paraId="6E58F69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0.352</w:t>
            </w:r>
          </w:p>
        </w:tc>
      </w:tr>
      <w:tr w:rsidR="0094536E" w:rsidRPr="0094536E" w14:paraId="45021CDC" w14:textId="77777777" w:rsidTr="004A0CF1">
        <w:tc>
          <w:tcPr>
            <w:tcW w:w="2016" w:type="pct"/>
            <w:tcBorders>
              <w:top w:val="single" w:sz="4" w:space="0" w:color="auto"/>
            </w:tcBorders>
            <w:shd w:val="clear" w:color="auto" w:fill="auto"/>
            <w:hideMark/>
          </w:tcPr>
          <w:p w14:paraId="1CF04DA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Information Source</w:t>
            </w:r>
          </w:p>
        </w:tc>
        <w:tc>
          <w:tcPr>
            <w:tcW w:w="1413" w:type="pct"/>
            <w:tcBorders>
              <w:top w:val="single" w:sz="4" w:space="0" w:color="auto"/>
            </w:tcBorders>
            <w:shd w:val="clear" w:color="auto" w:fill="auto"/>
            <w:hideMark/>
          </w:tcPr>
          <w:p w14:paraId="49E0BAD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4D6BBD0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393F1B2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38FFE325" w14:textId="77777777" w:rsidTr="004A0CF1">
        <w:tc>
          <w:tcPr>
            <w:tcW w:w="2016" w:type="pct"/>
            <w:shd w:val="clear" w:color="auto" w:fill="auto"/>
            <w:hideMark/>
          </w:tcPr>
          <w:p w14:paraId="7D19EE6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Social media</w:t>
            </w:r>
          </w:p>
        </w:tc>
        <w:tc>
          <w:tcPr>
            <w:tcW w:w="1413" w:type="pct"/>
            <w:shd w:val="clear" w:color="auto" w:fill="auto"/>
            <w:hideMark/>
          </w:tcPr>
          <w:p w14:paraId="66DBAE0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w:t>
            </w:r>
          </w:p>
        </w:tc>
        <w:tc>
          <w:tcPr>
            <w:tcW w:w="778" w:type="pct"/>
            <w:shd w:val="clear" w:color="auto" w:fill="auto"/>
            <w:hideMark/>
          </w:tcPr>
          <w:p w14:paraId="14AFF67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3D8F2EB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6B28F46D" w14:textId="77777777" w:rsidTr="004A0CF1">
        <w:tc>
          <w:tcPr>
            <w:tcW w:w="2016" w:type="pct"/>
            <w:shd w:val="clear" w:color="auto" w:fill="auto"/>
            <w:hideMark/>
          </w:tcPr>
          <w:p w14:paraId="4BB9D2E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Television</w:t>
            </w:r>
          </w:p>
        </w:tc>
        <w:tc>
          <w:tcPr>
            <w:tcW w:w="1413" w:type="pct"/>
            <w:shd w:val="clear" w:color="auto" w:fill="auto"/>
            <w:hideMark/>
          </w:tcPr>
          <w:p w14:paraId="32DD37F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0.85 (0.36, 1.99)</w:t>
            </w:r>
          </w:p>
        </w:tc>
        <w:tc>
          <w:tcPr>
            <w:tcW w:w="778" w:type="pct"/>
            <w:shd w:val="clear" w:color="auto" w:fill="auto"/>
            <w:hideMark/>
          </w:tcPr>
          <w:p w14:paraId="6BB9F51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57FB9FA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0.702</w:t>
            </w:r>
          </w:p>
        </w:tc>
      </w:tr>
      <w:tr w:rsidR="0094536E" w:rsidRPr="0094536E" w14:paraId="046DAFCC" w14:textId="77777777" w:rsidTr="004A0CF1">
        <w:tc>
          <w:tcPr>
            <w:tcW w:w="2016" w:type="pct"/>
            <w:shd w:val="clear" w:color="auto" w:fill="auto"/>
            <w:hideMark/>
          </w:tcPr>
          <w:p w14:paraId="1D35F83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Newspaper</w:t>
            </w:r>
          </w:p>
        </w:tc>
        <w:tc>
          <w:tcPr>
            <w:tcW w:w="1413" w:type="pct"/>
            <w:shd w:val="clear" w:color="auto" w:fill="auto"/>
            <w:hideMark/>
          </w:tcPr>
          <w:p w14:paraId="3A80A20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0.97 (0.29, 3.27)</w:t>
            </w:r>
          </w:p>
        </w:tc>
        <w:tc>
          <w:tcPr>
            <w:tcW w:w="778" w:type="pct"/>
            <w:shd w:val="clear" w:color="auto" w:fill="auto"/>
            <w:hideMark/>
          </w:tcPr>
          <w:p w14:paraId="73D417D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2AA4842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0.960</w:t>
            </w:r>
          </w:p>
        </w:tc>
      </w:tr>
      <w:tr w:rsidR="0094536E" w:rsidRPr="0094536E" w14:paraId="2EBB9821" w14:textId="77777777" w:rsidTr="004A0CF1">
        <w:tc>
          <w:tcPr>
            <w:tcW w:w="2016" w:type="pct"/>
            <w:shd w:val="clear" w:color="auto" w:fill="auto"/>
            <w:hideMark/>
          </w:tcPr>
          <w:p w14:paraId="7EFDD55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Official source</w:t>
            </w:r>
          </w:p>
        </w:tc>
        <w:tc>
          <w:tcPr>
            <w:tcW w:w="1413" w:type="pct"/>
            <w:shd w:val="clear" w:color="auto" w:fill="auto"/>
            <w:hideMark/>
          </w:tcPr>
          <w:p w14:paraId="6AEF29B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1.31 (0.47, 3.66)</w:t>
            </w:r>
          </w:p>
        </w:tc>
        <w:tc>
          <w:tcPr>
            <w:tcW w:w="778" w:type="pct"/>
            <w:shd w:val="clear" w:color="auto" w:fill="auto"/>
            <w:hideMark/>
          </w:tcPr>
          <w:p w14:paraId="74208F6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202B0DC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0.609</w:t>
            </w:r>
          </w:p>
        </w:tc>
      </w:tr>
      <w:tr w:rsidR="0094536E" w:rsidRPr="0094536E" w14:paraId="0481E75B" w14:textId="77777777" w:rsidTr="004A0CF1">
        <w:tc>
          <w:tcPr>
            <w:tcW w:w="2016" w:type="pct"/>
            <w:shd w:val="clear" w:color="auto" w:fill="auto"/>
            <w:hideMark/>
          </w:tcPr>
          <w:p w14:paraId="6DC7FCD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Advertisement</w:t>
            </w:r>
          </w:p>
        </w:tc>
        <w:tc>
          <w:tcPr>
            <w:tcW w:w="1413" w:type="pct"/>
            <w:shd w:val="clear" w:color="auto" w:fill="auto"/>
            <w:hideMark/>
          </w:tcPr>
          <w:p w14:paraId="2C3C59B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0.27 (0.06, 1.18)</w:t>
            </w:r>
          </w:p>
        </w:tc>
        <w:tc>
          <w:tcPr>
            <w:tcW w:w="778" w:type="pct"/>
            <w:shd w:val="clear" w:color="auto" w:fill="auto"/>
            <w:hideMark/>
          </w:tcPr>
          <w:p w14:paraId="224A9A9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2318ABC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0.083</w:t>
            </w:r>
          </w:p>
        </w:tc>
      </w:tr>
      <w:tr w:rsidR="0094536E" w:rsidRPr="0094536E" w14:paraId="0C6077FB" w14:textId="77777777" w:rsidTr="004A0CF1">
        <w:tc>
          <w:tcPr>
            <w:tcW w:w="2016" w:type="pct"/>
            <w:tcBorders>
              <w:bottom w:val="single" w:sz="4" w:space="0" w:color="auto"/>
            </w:tcBorders>
            <w:shd w:val="clear" w:color="auto" w:fill="auto"/>
            <w:hideMark/>
          </w:tcPr>
          <w:p w14:paraId="0695322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Radio</w:t>
            </w:r>
          </w:p>
        </w:tc>
        <w:tc>
          <w:tcPr>
            <w:tcW w:w="1413" w:type="pct"/>
            <w:tcBorders>
              <w:bottom w:val="single" w:sz="4" w:space="0" w:color="auto"/>
            </w:tcBorders>
            <w:shd w:val="clear" w:color="auto" w:fill="auto"/>
            <w:hideMark/>
          </w:tcPr>
          <w:p w14:paraId="24B2B0F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0.27 (0.27, 0.45)</w:t>
            </w:r>
          </w:p>
        </w:tc>
        <w:tc>
          <w:tcPr>
            <w:tcW w:w="778" w:type="pct"/>
            <w:tcBorders>
              <w:bottom w:val="single" w:sz="4" w:space="0" w:color="auto"/>
            </w:tcBorders>
            <w:shd w:val="clear" w:color="auto" w:fill="auto"/>
            <w:hideMark/>
          </w:tcPr>
          <w:p w14:paraId="763B5AD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tcBorders>
              <w:bottom w:val="single" w:sz="4" w:space="0" w:color="auto"/>
            </w:tcBorders>
            <w:shd w:val="clear" w:color="auto" w:fill="auto"/>
            <w:hideMark/>
          </w:tcPr>
          <w:p w14:paraId="5E1951B5"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0.148</w:t>
            </w:r>
          </w:p>
        </w:tc>
      </w:tr>
      <w:tr w:rsidR="0094536E" w:rsidRPr="0094536E" w14:paraId="7C359BE8" w14:textId="77777777" w:rsidTr="004A0CF1">
        <w:tc>
          <w:tcPr>
            <w:tcW w:w="2016" w:type="pct"/>
            <w:tcBorders>
              <w:top w:val="single" w:sz="4" w:space="0" w:color="auto"/>
            </w:tcBorders>
            <w:shd w:val="clear" w:color="auto" w:fill="auto"/>
            <w:hideMark/>
          </w:tcPr>
          <w:p w14:paraId="6BE788E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Knowledge Level</w:t>
            </w:r>
          </w:p>
        </w:tc>
        <w:tc>
          <w:tcPr>
            <w:tcW w:w="1413" w:type="pct"/>
            <w:tcBorders>
              <w:top w:val="single" w:sz="4" w:space="0" w:color="auto"/>
            </w:tcBorders>
            <w:shd w:val="clear" w:color="auto" w:fill="auto"/>
            <w:hideMark/>
          </w:tcPr>
          <w:p w14:paraId="2C7B48D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10A6ABB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65154644"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5C009E02" w14:textId="77777777" w:rsidTr="004A0CF1">
        <w:tc>
          <w:tcPr>
            <w:tcW w:w="2016" w:type="pct"/>
            <w:shd w:val="clear" w:color="auto" w:fill="auto"/>
            <w:hideMark/>
          </w:tcPr>
          <w:p w14:paraId="2FAB012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Poor</w:t>
            </w:r>
          </w:p>
        </w:tc>
        <w:tc>
          <w:tcPr>
            <w:tcW w:w="1413" w:type="pct"/>
            <w:shd w:val="clear" w:color="auto" w:fill="auto"/>
            <w:hideMark/>
          </w:tcPr>
          <w:p w14:paraId="4E570D8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w:t>
            </w:r>
          </w:p>
        </w:tc>
        <w:tc>
          <w:tcPr>
            <w:tcW w:w="778" w:type="pct"/>
            <w:shd w:val="clear" w:color="auto" w:fill="auto"/>
            <w:hideMark/>
          </w:tcPr>
          <w:p w14:paraId="7CAFCDC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7F758F1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45F58D7D" w14:textId="77777777" w:rsidTr="004A0CF1">
        <w:tc>
          <w:tcPr>
            <w:tcW w:w="2016" w:type="pct"/>
            <w:tcBorders>
              <w:bottom w:val="single" w:sz="4" w:space="0" w:color="auto"/>
            </w:tcBorders>
            <w:shd w:val="clear" w:color="auto" w:fill="auto"/>
            <w:hideMark/>
          </w:tcPr>
          <w:p w14:paraId="1EBA956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Good</w:t>
            </w:r>
          </w:p>
        </w:tc>
        <w:tc>
          <w:tcPr>
            <w:tcW w:w="1413" w:type="pct"/>
            <w:tcBorders>
              <w:bottom w:val="single" w:sz="4" w:space="0" w:color="auto"/>
            </w:tcBorders>
            <w:shd w:val="clear" w:color="auto" w:fill="auto"/>
            <w:hideMark/>
          </w:tcPr>
          <w:p w14:paraId="7702991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2.67 (1.31, 5.42)</w:t>
            </w:r>
          </w:p>
        </w:tc>
        <w:tc>
          <w:tcPr>
            <w:tcW w:w="778" w:type="pct"/>
            <w:tcBorders>
              <w:bottom w:val="single" w:sz="4" w:space="0" w:color="auto"/>
            </w:tcBorders>
            <w:shd w:val="clear" w:color="auto" w:fill="auto"/>
            <w:hideMark/>
          </w:tcPr>
          <w:p w14:paraId="39B7C6D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tcBorders>
              <w:bottom w:val="single" w:sz="4" w:space="0" w:color="auto"/>
            </w:tcBorders>
            <w:shd w:val="clear" w:color="auto" w:fill="auto"/>
            <w:hideMark/>
          </w:tcPr>
          <w:p w14:paraId="5A533A6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0.007</w:t>
            </w:r>
          </w:p>
        </w:tc>
      </w:tr>
      <w:tr w:rsidR="0094536E" w:rsidRPr="0094536E" w14:paraId="350B0FBB" w14:textId="77777777" w:rsidTr="004A0CF1">
        <w:tc>
          <w:tcPr>
            <w:tcW w:w="2016" w:type="pct"/>
            <w:tcBorders>
              <w:top w:val="single" w:sz="4" w:space="0" w:color="auto"/>
            </w:tcBorders>
            <w:shd w:val="clear" w:color="auto" w:fill="auto"/>
            <w:hideMark/>
          </w:tcPr>
          <w:p w14:paraId="7841D41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Practice Level</w:t>
            </w:r>
          </w:p>
        </w:tc>
        <w:tc>
          <w:tcPr>
            <w:tcW w:w="1413" w:type="pct"/>
            <w:tcBorders>
              <w:top w:val="single" w:sz="4" w:space="0" w:color="auto"/>
            </w:tcBorders>
            <w:shd w:val="clear" w:color="auto" w:fill="auto"/>
            <w:hideMark/>
          </w:tcPr>
          <w:p w14:paraId="107274D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78" w:type="pct"/>
            <w:tcBorders>
              <w:top w:val="single" w:sz="4" w:space="0" w:color="auto"/>
            </w:tcBorders>
            <w:shd w:val="clear" w:color="auto" w:fill="auto"/>
            <w:hideMark/>
          </w:tcPr>
          <w:p w14:paraId="11F9009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706" w:type="pct"/>
            <w:tcBorders>
              <w:top w:val="single" w:sz="4" w:space="0" w:color="auto"/>
            </w:tcBorders>
            <w:shd w:val="clear" w:color="auto" w:fill="auto"/>
            <w:hideMark/>
          </w:tcPr>
          <w:p w14:paraId="1898B2A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r>
      <w:tr w:rsidR="0094536E" w:rsidRPr="0094536E" w14:paraId="326E5702" w14:textId="77777777" w:rsidTr="004A0CF1">
        <w:tc>
          <w:tcPr>
            <w:tcW w:w="2016" w:type="pct"/>
            <w:shd w:val="clear" w:color="auto" w:fill="auto"/>
            <w:hideMark/>
          </w:tcPr>
          <w:p w14:paraId="046748F6"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Not significant</w:t>
            </w:r>
          </w:p>
        </w:tc>
        <w:tc>
          <w:tcPr>
            <w:tcW w:w="1413" w:type="pct"/>
            <w:shd w:val="clear" w:color="auto" w:fill="auto"/>
            <w:hideMark/>
          </w:tcPr>
          <w:p w14:paraId="0966B88C"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w:t>
            </w:r>
          </w:p>
        </w:tc>
        <w:tc>
          <w:tcPr>
            <w:tcW w:w="778" w:type="pct"/>
            <w:shd w:val="clear" w:color="auto" w:fill="auto"/>
            <w:hideMark/>
          </w:tcPr>
          <w:p w14:paraId="44C288A8"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76017EE7"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0D3FAD15" w14:textId="77777777" w:rsidTr="004A0CF1">
        <w:tc>
          <w:tcPr>
            <w:tcW w:w="2016" w:type="pct"/>
            <w:shd w:val="clear" w:color="auto" w:fill="auto"/>
            <w:hideMark/>
          </w:tcPr>
          <w:p w14:paraId="4E0CC19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Significant</w:t>
            </w:r>
          </w:p>
        </w:tc>
        <w:tc>
          <w:tcPr>
            <w:tcW w:w="1413" w:type="pct"/>
            <w:shd w:val="clear" w:color="auto" w:fill="auto"/>
            <w:hideMark/>
          </w:tcPr>
          <w:p w14:paraId="5A6AA95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1.045 (0.50, 2.20)</w:t>
            </w:r>
          </w:p>
        </w:tc>
        <w:tc>
          <w:tcPr>
            <w:tcW w:w="778" w:type="pct"/>
            <w:shd w:val="clear" w:color="auto" w:fill="auto"/>
            <w:hideMark/>
          </w:tcPr>
          <w:p w14:paraId="48EF94B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706" w:type="pct"/>
            <w:shd w:val="clear" w:color="auto" w:fill="auto"/>
            <w:hideMark/>
          </w:tcPr>
          <w:p w14:paraId="2A294B6F"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0.909</w:t>
            </w:r>
          </w:p>
        </w:tc>
      </w:tr>
    </w:tbl>
    <w:p w14:paraId="5EDFA43E"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44ACBF68" w14:textId="77777777" w:rsidR="0094536E" w:rsidRPr="0094536E" w:rsidRDefault="0094536E" w:rsidP="00F51AAF">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bCs/>
          <w:color w:val="000000"/>
          <w:sz w:val="24"/>
          <w:szCs w:val="24"/>
          <w:lang w:val="en-GB"/>
        </w:rPr>
      </w:pPr>
      <w:r w:rsidRPr="0094536E">
        <w:rPr>
          <w:rFonts w:ascii="Times New Roman" w:eastAsia="Times New Roman" w:hAnsi="Times New Roman" w:cs="Times New Roman"/>
          <w:bCs/>
          <w:color w:val="000000"/>
          <w:sz w:val="24"/>
          <w:szCs w:val="24"/>
          <w:lang w:val="en-GB"/>
        </w:rPr>
        <w:t xml:space="preserve">The logistic regression analysis conducted to determine factors influencing the attitude level of street food hawkers towards supporting the single-use plastic reduction program yielded insightful findings, as summarized in Table 6. Notably, the analysis revealed a significant association between knowledge level and attitude. Street food hawkers with good knowledge were found to be 2.67 times more likely to support the plastic reduction program compared to those with poor knowledge (95% CI: 1.31, 5.42, p-value = 0.007). This underscores the importance of knowledge acquisition in shaping attitudes and </w:t>
      </w:r>
      <w:proofErr w:type="spellStart"/>
      <w:r w:rsidRPr="0094536E">
        <w:rPr>
          <w:rFonts w:ascii="Times New Roman" w:eastAsia="Times New Roman" w:hAnsi="Times New Roman" w:cs="Times New Roman"/>
          <w:bCs/>
          <w:color w:val="000000"/>
          <w:sz w:val="24"/>
          <w:szCs w:val="24"/>
          <w:lang w:val="en-GB"/>
        </w:rPr>
        <w:t>behavioral</w:t>
      </w:r>
      <w:proofErr w:type="spellEnd"/>
      <w:r w:rsidRPr="0094536E">
        <w:rPr>
          <w:rFonts w:ascii="Times New Roman" w:eastAsia="Times New Roman" w:hAnsi="Times New Roman" w:cs="Times New Roman"/>
          <w:bCs/>
          <w:color w:val="000000"/>
          <w:sz w:val="24"/>
          <w:szCs w:val="24"/>
          <w:lang w:val="en-GB"/>
        </w:rPr>
        <w:t xml:space="preserve"> intentions towards environmental initiatives, aligning with prior literature highlighting the role of education in fostering pro-environmental attitudes (Varela-</w:t>
      </w:r>
      <w:proofErr w:type="spellStart"/>
      <w:r w:rsidRPr="0094536E">
        <w:rPr>
          <w:rFonts w:ascii="Times New Roman" w:eastAsia="Times New Roman" w:hAnsi="Times New Roman" w:cs="Times New Roman"/>
          <w:bCs/>
          <w:color w:val="000000"/>
          <w:sz w:val="24"/>
          <w:szCs w:val="24"/>
          <w:lang w:val="en-GB"/>
        </w:rPr>
        <w:t>Candamio</w:t>
      </w:r>
      <w:proofErr w:type="spellEnd"/>
      <w:r w:rsidRPr="0094536E">
        <w:rPr>
          <w:rFonts w:ascii="Times New Roman" w:eastAsia="Times New Roman" w:hAnsi="Times New Roman" w:cs="Times New Roman"/>
          <w:bCs/>
          <w:color w:val="000000"/>
          <w:sz w:val="24"/>
          <w:szCs w:val="24"/>
          <w:lang w:val="en-GB"/>
        </w:rPr>
        <w:t xml:space="preserve"> et al., 2018; van de </w:t>
      </w:r>
      <w:proofErr w:type="spellStart"/>
      <w:r w:rsidRPr="0094536E">
        <w:rPr>
          <w:rFonts w:ascii="Times New Roman" w:eastAsia="Times New Roman" w:hAnsi="Times New Roman" w:cs="Times New Roman"/>
          <w:bCs/>
          <w:color w:val="000000"/>
          <w:sz w:val="24"/>
          <w:szCs w:val="24"/>
          <w:lang w:val="en-GB"/>
        </w:rPr>
        <w:t>Wetering</w:t>
      </w:r>
      <w:proofErr w:type="spellEnd"/>
      <w:r w:rsidRPr="0094536E">
        <w:rPr>
          <w:rFonts w:ascii="Times New Roman" w:eastAsia="Times New Roman" w:hAnsi="Times New Roman" w:cs="Times New Roman"/>
          <w:bCs/>
          <w:color w:val="000000"/>
          <w:sz w:val="24"/>
          <w:szCs w:val="24"/>
          <w:lang w:val="en-GB"/>
        </w:rPr>
        <w:t xml:space="preserve"> et al., 2022). Conversely, sociodemographic factors such as age, gender, educational background, and business experience showed no significant association with attitude level. Similarly, practice level exhibited no significant impact on attitude, indicating that while practical experience may influence </w:t>
      </w:r>
      <w:proofErr w:type="spellStart"/>
      <w:r w:rsidRPr="0094536E">
        <w:rPr>
          <w:rFonts w:ascii="Times New Roman" w:eastAsia="Times New Roman" w:hAnsi="Times New Roman" w:cs="Times New Roman"/>
          <w:bCs/>
          <w:color w:val="000000"/>
          <w:sz w:val="24"/>
          <w:szCs w:val="24"/>
          <w:lang w:val="en-GB"/>
        </w:rPr>
        <w:t>behavior</w:t>
      </w:r>
      <w:proofErr w:type="spellEnd"/>
      <w:r w:rsidRPr="0094536E">
        <w:rPr>
          <w:rFonts w:ascii="Times New Roman" w:eastAsia="Times New Roman" w:hAnsi="Times New Roman" w:cs="Times New Roman"/>
          <w:bCs/>
          <w:color w:val="000000"/>
          <w:sz w:val="24"/>
          <w:szCs w:val="24"/>
          <w:lang w:val="en-GB"/>
        </w:rPr>
        <w:t xml:space="preserve">, it does not necessarily translate into attitude change in this context. Overall, these findings emphasize the pivotal role of knowledge enhancement in promoting positive attitudes and </w:t>
      </w:r>
      <w:proofErr w:type="spellStart"/>
      <w:r w:rsidRPr="0094536E">
        <w:rPr>
          <w:rFonts w:ascii="Times New Roman" w:eastAsia="Times New Roman" w:hAnsi="Times New Roman" w:cs="Times New Roman"/>
          <w:bCs/>
          <w:color w:val="000000"/>
          <w:sz w:val="24"/>
          <w:szCs w:val="24"/>
          <w:lang w:val="en-GB"/>
        </w:rPr>
        <w:t>behaviors</w:t>
      </w:r>
      <w:proofErr w:type="spellEnd"/>
      <w:r w:rsidRPr="0094536E">
        <w:rPr>
          <w:rFonts w:ascii="Times New Roman" w:eastAsia="Times New Roman" w:hAnsi="Times New Roman" w:cs="Times New Roman"/>
          <w:bCs/>
          <w:color w:val="000000"/>
          <w:sz w:val="24"/>
          <w:szCs w:val="24"/>
          <w:lang w:val="en-GB"/>
        </w:rPr>
        <w:t xml:space="preserve"> conducive to environmental sustainability among street food hawkers.</w:t>
      </w:r>
    </w:p>
    <w:p w14:paraId="3237CD4D"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29A72173" w14:textId="77777777" w:rsidR="00CD2F6A" w:rsidRPr="0094536E" w:rsidRDefault="00CD2F6A"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21CBD89E" w14:textId="7EC1838E" w:rsidR="0094536E" w:rsidRPr="000F277F"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color w:val="000000"/>
          <w:sz w:val="24"/>
          <w:szCs w:val="24"/>
        </w:rPr>
      </w:pPr>
      <w:r w:rsidRPr="000F277F">
        <w:rPr>
          <w:rFonts w:ascii="Times New Roman" w:eastAsia="Times New Roman" w:hAnsi="Times New Roman" w:cs="Times New Roman"/>
          <w:bCs/>
          <w:i/>
          <w:iCs/>
          <w:color w:val="000000"/>
          <w:sz w:val="24"/>
          <w:szCs w:val="24"/>
        </w:rPr>
        <w:lastRenderedPageBreak/>
        <w:t xml:space="preserve">Correlations between </w:t>
      </w:r>
      <w:r w:rsidR="000F277F" w:rsidRPr="000F277F">
        <w:rPr>
          <w:rFonts w:ascii="Times New Roman" w:eastAsia="Times New Roman" w:hAnsi="Times New Roman" w:cs="Times New Roman"/>
          <w:bCs/>
          <w:i/>
          <w:iCs/>
          <w:color w:val="000000"/>
          <w:sz w:val="24"/>
          <w:szCs w:val="24"/>
        </w:rPr>
        <w:t xml:space="preserve">knowledge, practices, </w:t>
      </w:r>
      <w:r w:rsidRPr="000F277F">
        <w:rPr>
          <w:rFonts w:ascii="Times New Roman" w:eastAsia="Times New Roman" w:hAnsi="Times New Roman" w:cs="Times New Roman"/>
          <w:bCs/>
          <w:i/>
          <w:iCs/>
          <w:color w:val="000000"/>
          <w:sz w:val="24"/>
          <w:szCs w:val="24"/>
        </w:rPr>
        <w:t>and attitude scores of street food hawkers</w:t>
      </w:r>
    </w:p>
    <w:p w14:paraId="4B2E1E00" w14:textId="77777777" w:rsidR="00F51AAF" w:rsidRPr="0094536E"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2441F07B"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94536E">
        <w:rPr>
          <w:rFonts w:ascii="Times New Roman" w:eastAsia="Times New Roman" w:hAnsi="Times New Roman" w:cs="Times New Roman"/>
          <w:bCs/>
          <w:color w:val="000000"/>
          <w:sz w:val="24"/>
          <w:szCs w:val="24"/>
        </w:rPr>
        <w:t>A Pearson correlation analysis was conducted to determine the strength and direction of the relationship between food vendors' knowledge, practices, and attitude to support the program for reducing single-use plastics. There was a significant and direct moderate effect. There was a significant correlation between knowledge and attitude scores (r = 0.427, p &lt; 0.01). Food hawkers with higher attitude scores also had higher knowledge scores. However, there was no correlation between the practice score and the knowledge and attitude scores. Table 7 presents a summary of these findings.</w:t>
      </w:r>
    </w:p>
    <w:p w14:paraId="10B35250"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4A69804F" w14:textId="3D854B2C" w:rsidR="0094536E" w:rsidRDefault="0094536E"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t>Table 7</w:t>
      </w:r>
      <w:r w:rsidR="000F277F">
        <w:rPr>
          <w:rFonts w:ascii="Times New Roman" w:eastAsia="Times New Roman" w:hAnsi="Times New Roman" w:cs="Times New Roman"/>
          <w:b/>
          <w:bCs/>
          <w:color w:val="000000"/>
          <w:sz w:val="20"/>
          <w:szCs w:val="20"/>
        </w:rPr>
        <w:t>.</w:t>
      </w:r>
      <w:r w:rsidRPr="0094536E">
        <w:rPr>
          <w:rFonts w:ascii="Times New Roman" w:eastAsia="Times New Roman" w:hAnsi="Times New Roman" w:cs="Times New Roman"/>
          <w:color w:val="000000"/>
          <w:sz w:val="20"/>
          <w:szCs w:val="20"/>
        </w:rPr>
        <w:t xml:space="preserve"> Correlations between Knowledge, practices, and attitude scores of street food hawkers in </w:t>
      </w:r>
      <w:proofErr w:type="spellStart"/>
      <w:r w:rsidRPr="0094536E">
        <w:rPr>
          <w:rFonts w:ascii="Times New Roman" w:eastAsia="Times New Roman" w:hAnsi="Times New Roman" w:cs="Times New Roman"/>
          <w:color w:val="000000"/>
          <w:sz w:val="20"/>
          <w:szCs w:val="20"/>
        </w:rPr>
        <w:t>Tangkak</w:t>
      </w:r>
      <w:proofErr w:type="spellEnd"/>
      <w:r w:rsidRPr="0094536E">
        <w:rPr>
          <w:rFonts w:ascii="Times New Roman" w:eastAsia="Times New Roman" w:hAnsi="Times New Roman" w:cs="Times New Roman"/>
          <w:color w:val="000000"/>
          <w:sz w:val="20"/>
          <w:szCs w:val="20"/>
        </w:rPr>
        <w:t>, Johor to support the single-use plastic reduction program (n = 149)</w:t>
      </w:r>
    </w:p>
    <w:p w14:paraId="49438AB8" w14:textId="77777777" w:rsidR="00F51AAF" w:rsidRPr="0094536E" w:rsidRDefault="00F51AAF" w:rsidP="00F51AA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181"/>
        <w:gridCol w:w="2181"/>
        <w:gridCol w:w="2181"/>
        <w:gridCol w:w="2181"/>
      </w:tblGrid>
      <w:tr w:rsidR="0094536E" w:rsidRPr="0094536E" w14:paraId="5190BE6E" w14:textId="77777777" w:rsidTr="000F277F">
        <w:trPr>
          <w:jc w:val="center"/>
        </w:trPr>
        <w:tc>
          <w:tcPr>
            <w:tcW w:w="2181" w:type="dxa"/>
            <w:tcBorders>
              <w:bottom w:val="single" w:sz="4" w:space="0" w:color="auto"/>
            </w:tcBorders>
            <w:shd w:val="clear" w:color="auto" w:fill="548DD4" w:themeFill="text2" w:themeFillTint="99"/>
          </w:tcPr>
          <w:p w14:paraId="4C6C27D9"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c>
        <w:tc>
          <w:tcPr>
            <w:tcW w:w="2181" w:type="dxa"/>
            <w:tcBorders>
              <w:bottom w:val="single" w:sz="4" w:space="0" w:color="auto"/>
            </w:tcBorders>
            <w:shd w:val="clear" w:color="auto" w:fill="548DD4" w:themeFill="text2" w:themeFillTint="99"/>
          </w:tcPr>
          <w:p w14:paraId="6C417ECE" w14:textId="2BEFB2A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t xml:space="preserve">Knowledge </w:t>
            </w:r>
            <w:r w:rsidR="000F277F" w:rsidRPr="0094536E">
              <w:rPr>
                <w:rFonts w:ascii="Times New Roman" w:eastAsia="Times New Roman" w:hAnsi="Times New Roman" w:cs="Times New Roman"/>
                <w:b/>
                <w:bCs/>
                <w:color w:val="000000"/>
                <w:sz w:val="20"/>
                <w:szCs w:val="20"/>
              </w:rPr>
              <w:t>score</w:t>
            </w:r>
            <w:r w:rsidRPr="0094536E">
              <w:rPr>
                <w:rFonts w:ascii="Times New Roman" w:eastAsia="Times New Roman" w:hAnsi="Times New Roman" w:cs="Times New Roman"/>
                <w:b/>
                <w:bCs/>
                <w:color w:val="000000"/>
                <w:sz w:val="20"/>
                <w:szCs w:val="20"/>
              </w:rPr>
              <w:t xml:space="preserve"> </w:t>
            </w:r>
          </w:p>
        </w:tc>
        <w:tc>
          <w:tcPr>
            <w:tcW w:w="2181" w:type="dxa"/>
            <w:tcBorders>
              <w:bottom w:val="single" w:sz="4" w:space="0" w:color="auto"/>
            </w:tcBorders>
            <w:shd w:val="clear" w:color="auto" w:fill="548DD4" w:themeFill="text2" w:themeFillTint="99"/>
          </w:tcPr>
          <w:p w14:paraId="27AA8FE9" w14:textId="5A5513AF"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t xml:space="preserve">Attitude </w:t>
            </w:r>
            <w:r w:rsidR="000F277F" w:rsidRPr="0094536E">
              <w:rPr>
                <w:rFonts w:ascii="Times New Roman" w:eastAsia="Times New Roman" w:hAnsi="Times New Roman" w:cs="Times New Roman"/>
                <w:b/>
                <w:bCs/>
                <w:color w:val="000000"/>
                <w:sz w:val="20"/>
                <w:szCs w:val="20"/>
              </w:rPr>
              <w:t>scores</w:t>
            </w:r>
          </w:p>
        </w:tc>
        <w:tc>
          <w:tcPr>
            <w:tcW w:w="2181" w:type="dxa"/>
            <w:tcBorders>
              <w:bottom w:val="single" w:sz="4" w:space="0" w:color="auto"/>
            </w:tcBorders>
            <w:shd w:val="clear" w:color="auto" w:fill="548DD4" w:themeFill="text2" w:themeFillTint="99"/>
          </w:tcPr>
          <w:p w14:paraId="555FA6D9" w14:textId="2DBCE8A3"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b/>
                <w:bCs/>
                <w:color w:val="000000"/>
                <w:sz w:val="20"/>
                <w:szCs w:val="20"/>
              </w:rPr>
              <w:t xml:space="preserve">Practice </w:t>
            </w:r>
            <w:r w:rsidR="000F277F" w:rsidRPr="0094536E">
              <w:rPr>
                <w:rFonts w:ascii="Times New Roman" w:eastAsia="Times New Roman" w:hAnsi="Times New Roman" w:cs="Times New Roman"/>
                <w:b/>
                <w:bCs/>
                <w:color w:val="000000"/>
                <w:sz w:val="20"/>
                <w:szCs w:val="20"/>
              </w:rPr>
              <w:t>score</w:t>
            </w:r>
          </w:p>
        </w:tc>
      </w:tr>
      <w:tr w:rsidR="0094536E" w:rsidRPr="0094536E" w14:paraId="2EB0F0F0" w14:textId="77777777" w:rsidTr="000F277F">
        <w:trPr>
          <w:jc w:val="center"/>
        </w:trPr>
        <w:tc>
          <w:tcPr>
            <w:tcW w:w="2181" w:type="dxa"/>
            <w:tcBorders>
              <w:top w:val="single" w:sz="4" w:space="0" w:color="auto"/>
            </w:tcBorders>
            <w:shd w:val="clear" w:color="auto" w:fill="auto"/>
          </w:tcPr>
          <w:p w14:paraId="38E65582"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Knowledge Score</w:t>
            </w:r>
          </w:p>
        </w:tc>
        <w:tc>
          <w:tcPr>
            <w:tcW w:w="2181" w:type="dxa"/>
            <w:tcBorders>
              <w:top w:val="single" w:sz="4" w:space="0" w:color="auto"/>
            </w:tcBorders>
            <w:shd w:val="clear" w:color="auto" w:fill="auto"/>
          </w:tcPr>
          <w:p w14:paraId="776B2401"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2181" w:type="dxa"/>
            <w:tcBorders>
              <w:top w:val="single" w:sz="4" w:space="0" w:color="auto"/>
            </w:tcBorders>
            <w:shd w:val="clear" w:color="auto" w:fill="auto"/>
          </w:tcPr>
          <w:p w14:paraId="64513B03"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2181" w:type="dxa"/>
            <w:tcBorders>
              <w:top w:val="single" w:sz="4" w:space="0" w:color="auto"/>
            </w:tcBorders>
            <w:shd w:val="clear" w:color="auto" w:fill="auto"/>
          </w:tcPr>
          <w:p w14:paraId="1B51DDA6"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649F87FE" w14:textId="77777777" w:rsidTr="000F277F">
        <w:trPr>
          <w:jc w:val="center"/>
        </w:trPr>
        <w:tc>
          <w:tcPr>
            <w:tcW w:w="2181" w:type="dxa"/>
            <w:shd w:val="clear" w:color="auto" w:fill="auto"/>
          </w:tcPr>
          <w:p w14:paraId="5517F38A"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 xml:space="preserve">Attitude score </w:t>
            </w:r>
          </w:p>
        </w:tc>
        <w:tc>
          <w:tcPr>
            <w:tcW w:w="2181" w:type="dxa"/>
            <w:shd w:val="clear" w:color="auto" w:fill="auto"/>
          </w:tcPr>
          <w:p w14:paraId="12E6D27F"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0.427*</w:t>
            </w:r>
          </w:p>
        </w:tc>
        <w:tc>
          <w:tcPr>
            <w:tcW w:w="2181" w:type="dxa"/>
            <w:shd w:val="clear" w:color="auto" w:fill="auto"/>
          </w:tcPr>
          <w:p w14:paraId="3C26120D"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c>
          <w:tcPr>
            <w:tcW w:w="2181" w:type="dxa"/>
            <w:shd w:val="clear" w:color="auto" w:fill="auto"/>
          </w:tcPr>
          <w:p w14:paraId="1B8F543E"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r w:rsidR="0094536E" w:rsidRPr="0094536E" w14:paraId="24743786" w14:textId="77777777" w:rsidTr="000F277F">
        <w:trPr>
          <w:jc w:val="center"/>
        </w:trPr>
        <w:tc>
          <w:tcPr>
            <w:tcW w:w="2181" w:type="dxa"/>
            <w:shd w:val="clear" w:color="auto" w:fill="auto"/>
          </w:tcPr>
          <w:p w14:paraId="57310153"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Practice score</w:t>
            </w:r>
          </w:p>
        </w:tc>
        <w:tc>
          <w:tcPr>
            <w:tcW w:w="2181" w:type="dxa"/>
            <w:shd w:val="clear" w:color="auto" w:fill="auto"/>
          </w:tcPr>
          <w:p w14:paraId="0E0CB621"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-0.159</w:t>
            </w:r>
          </w:p>
        </w:tc>
        <w:tc>
          <w:tcPr>
            <w:tcW w:w="2181" w:type="dxa"/>
            <w:shd w:val="clear" w:color="auto" w:fill="auto"/>
          </w:tcPr>
          <w:p w14:paraId="18B3D5D3"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-0.140</w:t>
            </w:r>
          </w:p>
        </w:tc>
        <w:tc>
          <w:tcPr>
            <w:tcW w:w="2181" w:type="dxa"/>
            <w:shd w:val="clear" w:color="auto" w:fill="auto"/>
          </w:tcPr>
          <w:p w14:paraId="461EBE38" w14:textId="77777777" w:rsidR="0094536E" w:rsidRPr="0094536E" w:rsidRDefault="0094536E" w:rsidP="000F277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94536E">
              <w:rPr>
                <w:rFonts w:ascii="Times New Roman" w:eastAsia="Times New Roman" w:hAnsi="Times New Roman" w:cs="Times New Roman"/>
                <w:color w:val="000000"/>
                <w:sz w:val="20"/>
                <w:szCs w:val="20"/>
              </w:rPr>
              <w:t>-</w:t>
            </w:r>
          </w:p>
        </w:tc>
      </w:tr>
    </w:tbl>
    <w:p w14:paraId="1982C69B" w14:textId="656C8784" w:rsidR="0094536E" w:rsidRPr="0094536E"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536E" w:rsidRPr="0094536E">
        <w:rPr>
          <w:rFonts w:ascii="Times New Roman" w:eastAsia="Times New Roman" w:hAnsi="Times New Roman" w:cs="Times New Roman"/>
          <w:color w:val="000000"/>
          <w:sz w:val="20"/>
          <w:szCs w:val="20"/>
        </w:rPr>
        <w:t>* p-value &lt; 0.01(2-tailed)</w:t>
      </w:r>
    </w:p>
    <w:p w14:paraId="4909E141" w14:textId="77777777"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1B135641" w14:textId="1F3C91CF" w:rsidR="0094536E" w:rsidRPr="0094536E" w:rsidRDefault="0094536E" w:rsidP="00CD2F6A">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color w:val="000000"/>
          <w:sz w:val="24"/>
          <w:szCs w:val="24"/>
          <w:lang w:val="en-GB"/>
        </w:rPr>
      </w:pPr>
      <w:r w:rsidRPr="0094536E">
        <w:rPr>
          <w:rFonts w:ascii="Times New Roman" w:eastAsia="Times New Roman" w:hAnsi="Times New Roman" w:cs="Times New Roman"/>
          <w:color w:val="000000"/>
          <w:sz w:val="24"/>
          <w:szCs w:val="24"/>
          <w:lang w:val="en-GB"/>
        </w:rPr>
        <w:t xml:space="preserve">The correlation analysis conducted among street food hawkers in </w:t>
      </w:r>
      <w:proofErr w:type="spellStart"/>
      <w:r w:rsidRPr="0094536E">
        <w:rPr>
          <w:rFonts w:ascii="Times New Roman" w:eastAsia="Times New Roman" w:hAnsi="Times New Roman" w:cs="Times New Roman"/>
          <w:color w:val="000000"/>
          <w:sz w:val="24"/>
          <w:szCs w:val="24"/>
          <w:lang w:val="en-GB"/>
        </w:rPr>
        <w:t>Tangkak</w:t>
      </w:r>
      <w:proofErr w:type="spellEnd"/>
      <w:r w:rsidRPr="0094536E">
        <w:rPr>
          <w:rFonts w:ascii="Times New Roman" w:eastAsia="Times New Roman" w:hAnsi="Times New Roman" w:cs="Times New Roman"/>
          <w:color w:val="000000"/>
          <w:sz w:val="24"/>
          <w:szCs w:val="24"/>
          <w:lang w:val="en-GB"/>
        </w:rPr>
        <w:t xml:space="preserve">, Johor, to explore the relationship between knowledge, practices, and attitudes towards supporting the single-use plastic reduction program revealed noteworthy insights, as summarized in Table 7. Firstly, a significant positive correlation was found between knowledge and attitude scores (r = 0.427, p &lt; 0.01), indicating that food hawkers with higher levels of knowledge tended to exhibit more </w:t>
      </w:r>
      <w:proofErr w:type="spellStart"/>
      <w:r w:rsidRPr="0094536E">
        <w:rPr>
          <w:rFonts w:ascii="Times New Roman" w:eastAsia="Times New Roman" w:hAnsi="Times New Roman" w:cs="Times New Roman"/>
          <w:color w:val="000000"/>
          <w:sz w:val="24"/>
          <w:szCs w:val="24"/>
          <w:lang w:val="en-GB"/>
        </w:rPr>
        <w:t>favorable</w:t>
      </w:r>
      <w:proofErr w:type="spellEnd"/>
      <w:r w:rsidRPr="0094536E">
        <w:rPr>
          <w:rFonts w:ascii="Times New Roman" w:eastAsia="Times New Roman" w:hAnsi="Times New Roman" w:cs="Times New Roman"/>
          <w:color w:val="000000"/>
          <w:sz w:val="24"/>
          <w:szCs w:val="24"/>
          <w:lang w:val="en-GB"/>
        </w:rPr>
        <w:t xml:space="preserve"> attitudes towards the program. This aligns with previous research emphasizing the role of knowledge acquisition in shaping attitudes towards environmental issues (Wang et al., 2020; </w:t>
      </w:r>
      <w:proofErr w:type="spellStart"/>
      <w:r w:rsidRPr="0094536E">
        <w:rPr>
          <w:rFonts w:ascii="Times New Roman" w:eastAsia="Times New Roman" w:hAnsi="Times New Roman" w:cs="Times New Roman"/>
          <w:color w:val="000000"/>
          <w:sz w:val="24"/>
          <w:szCs w:val="24"/>
          <w:lang w:val="en-GB"/>
        </w:rPr>
        <w:t>Jagodzińska</w:t>
      </w:r>
      <w:proofErr w:type="spellEnd"/>
      <w:r w:rsidRPr="0094536E">
        <w:rPr>
          <w:rFonts w:ascii="Times New Roman" w:eastAsia="Times New Roman" w:hAnsi="Times New Roman" w:cs="Times New Roman"/>
          <w:color w:val="000000"/>
          <w:sz w:val="24"/>
          <w:szCs w:val="24"/>
          <w:lang w:val="en-GB"/>
        </w:rPr>
        <w:t xml:space="preserve">, and </w:t>
      </w:r>
      <w:proofErr w:type="spellStart"/>
      <w:r w:rsidRPr="0094536E">
        <w:rPr>
          <w:rFonts w:ascii="Times New Roman" w:eastAsia="Times New Roman" w:hAnsi="Times New Roman" w:cs="Times New Roman"/>
          <w:color w:val="000000"/>
          <w:sz w:val="24"/>
          <w:szCs w:val="24"/>
          <w:lang w:val="en-GB"/>
        </w:rPr>
        <w:t>Strumińska-Doktór</w:t>
      </w:r>
      <w:proofErr w:type="spellEnd"/>
      <w:r w:rsidRPr="0094536E">
        <w:rPr>
          <w:rFonts w:ascii="Times New Roman" w:eastAsia="Times New Roman" w:hAnsi="Times New Roman" w:cs="Times New Roman"/>
          <w:color w:val="000000"/>
          <w:sz w:val="24"/>
          <w:szCs w:val="24"/>
          <w:lang w:val="en-GB"/>
        </w:rPr>
        <w:t xml:space="preserve">, 2022). However, there was no significant correlation observed between practice scores and both knowledge and attitude scores, suggesting that while knowledge may influence attitudes, practical </w:t>
      </w:r>
      <w:proofErr w:type="spellStart"/>
      <w:r w:rsidRPr="0094536E">
        <w:rPr>
          <w:rFonts w:ascii="Times New Roman" w:eastAsia="Times New Roman" w:hAnsi="Times New Roman" w:cs="Times New Roman"/>
          <w:color w:val="000000"/>
          <w:sz w:val="24"/>
          <w:szCs w:val="24"/>
          <w:lang w:val="en-GB"/>
        </w:rPr>
        <w:t>behaviors</w:t>
      </w:r>
      <w:proofErr w:type="spellEnd"/>
      <w:r w:rsidRPr="0094536E">
        <w:rPr>
          <w:rFonts w:ascii="Times New Roman" w:eastAsia="Times New Roman" w:hAnsi="Times New Roman" w:cs="Times New Roman"/>
          <w:color w:val="000000"/>
          <w:sz w:val="24"/>
          <w:szCs w:val="24"/>
          <w:lang w:val="en-GB"/>
        </w:rPr>
        <w:t xml:space="preserve"> may not necessarily reflect these attitudes in this context. This underscores the complexity of translating knowledge and attitudes into actionable </w:t>
      </w:r>
      <w:proofErr w:type="spellStart"/>
      <w:r w:rsidRPr="0094536E">
        <w:rPr>
          <w:rFonts w:ascii="Times New Roman" w:eastAsia="Times New Roman" w:hAnsi="Times New Roman" w:cs="Times New Roman"/>
          <w:color w:val="000000"/>
          <w:sz w:val="24"/>
          <w:szCs w:val="24"/>
          <w:lang w:val="en-GB"/>
        </w:rPr>
        <w:t>behaviors</w:t>
      </w:r>
      <w:proofErr w:type="spellEnd"/>
      <w:r w:rsidRPr="0094536E">
        <w:rPr>
          <w:rFonts w:ascii="Times New Roman" w:eastAsia="Times New Roman" w:hAnsi="Times New Roman" w:cs="Times New Roman"/>
          <w:color w:val="000000"/>
          <w:sz w:val="24"/>
          <w:szCs w:val="24"/>
          <w:lang w:val="en-GB"/>
        </w:rPr>
        <w:t>, highlighting the need for targeted interventions to bridge this gap and promote more sustainable practices among street food hawkers.</w:t>
      </w:r>
    </w:p>
    <w:p w14:paraId="4FE0B4B5"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3593EC8A" w14:textId="77777777" w:rsidR="00F51AAF" w:rsidRPr="0094536E"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7A816D53" w14:textId="16B73E6E"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94536E">
        <w:rPr>
          <w:rFonts w:ascii="Times New Roman" w:eastAsia="Times New Roman" w:hAnsi="Times New Roman" w:cs="Times New Roman"/>
          <w:b/>
          <w:color w:val="000000"/>
          <w:sz w:val="24"/>
          <w:szCs w:val="24"/>
          <w:lang w:val="en-GB"/>
        </w:rPr>
        <w:t>Conclusion</w:t>
      </w:r>
    </w:p>
    <w:p w14:paraId="68B358D0" w14:textId="77777777" w:rsidR="00CD2F6A" w:rsidRDefault="00CD2F6A" w:rsidP="00CD2F6A">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color w:val="000000"/>
          <w:sz w:val="24"/>
          <w:szCs w:val="24"/>
          <w:lang w:val="en-GB"/>
        </w:rPr>
      </w:pPr>
    </w:p>
    <w:p w14:paraId="524C06BB" w14:textId="71B2855E" w:rsidR="0094536E" w:rsidRPr="0094536E" w:rsidRDefault="0094536E" w:rsidP="00CD2F6A">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b/>
          <w:color w:val="000000"/>
          <w:sz w:val="24"/>
          <w:szCs w:val="24"/>
          <w:lang w:val="en-GB"/>
        </w:rPr>
      </w:pPr>
      <w:r w:rsidRPr="0094536E">
        <w:rPr>
          <w:rFonts w:ascii="Times New Roman" w:eastAsia="Times New Roman" w:hAnsi="Times New Roman" w:cs="Times New Roman"/>
          <w:color w:val="000000"/>
          <w:sz w:val="24"/>
          <w:szCs w:val="24"/>
          <w:lang w:val="en-GB"/>
        </w:rPr>
        <w:t xml:space="preserve">The study aimed to identify the knowledge, attitudes, and practices of food hawkers in </w:t>
      </w:r>
      <w:proofErr w:type="spellStart"/>
      <w:r w:rsidRPr="0094536E">
        <w:rPr>
          <w:rFonts w:ascii="Times New Roman" w:eastAsia="Times New Roman" w:hAnsi="Times New Roman" w:cs="Times New Roman"/>
          <w:color w:val="000000"/>
          <w:sz w:val="24"/>
          <w:szCs w:val="24"/>
          <w:lang w:val="en-GB"/>
        </w:rPr>
        <w:t>Tangkak</w:t>
      </w:r>
      <w:proofErr w:type="spellEnd"/>
      <w:r w:rsidRPr="0094536E">
        <w:rPr>
          <w:rFonts w:ascii="Times New Roman" w:eastAsia="Times New Roman" w:hAnsi="Times New Roman" w:cs="Times New Roman"/>
          <w:color w:val="000000"/>
          <w:sz w:val="24"/>
          <w:szCs w:val="24"/>
          <w:lang w:val="en-GB"/>
        </w:rPr>
        <w:t>, Johor, in supporting the single-use plastic reduction program. Results indicated that food hawkers were aware of the program, with knowledge being the most influential factor, followed by attitude and practice. However, a notable finding was that despite awareness, there was a lack of implementation of the program among some food hawkers. A negative correlation was observed between practice and both knowledge and attitude, suggesting that high knowledge did not necessarily translate into supportive practices. Additionally, certain socio-demographic factors such as business experience and educational background played significant roles in influencing support for the program. However, limitations were encountered, primarily due to challenges in obtaining a sufficient sample size and ensuring respondents' genuine responses. Future studies should aim to address these limitations by increasing sample size and including additional factors such as business planning and customer capacity to provide a more comprehensive analysis.</w:t>
      </w:r>
    </w:p>
    <w:p w14:paraId="44B49A26"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r w:rsidRPr="0094536E">
        <w:rPr>
          <w:rFonts w:ascii="Times New Roman" w:eastAsia="Times New Roman" w:hAnsi="Times New Roman" w:cs="Times New Roman"/>
          <w:b/>
          <w:color w:val="000000"/>
          <w:sz w:val="24"/>
          <w:szCs w:val="24"/>
          <w:lang w:val="en-GB"/>
        </w:rPr>
        <w:lastRenderedPageBreak/>
        <w:t>Acknowledgements</w:t>
      </w:r>
    </w:p>
    <w:p w14:paraId="78E8FBD1" w14:textId="77777777" w:rsidR="000F277F" w:rsidRPr="0094536E" w:rsidRDefault="000F277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5F8A8B47" w14:textId="0B6262E3" w:rsidR="0094536E"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94536E">
        <w:rPr>
          <w:rFonts w:ascii="Times New Roman" w:eastAsia="Times New Roman" w:hAnsi="Times New Roman" w:cs="Times New Roman"/>
          <w:color w:val="000000"/>
          <w:sz w:val="24"/>
          <w:szCs w:val="24"/>
          <w:lang w:val="en-GB"/>
        </w:rPr>
        <w:t xml:space="preserve">The author extends their gratitude to the Faculty of Allied Health Sciences (FOAHS) at City University Malaysia for their generous support and resources, which have greatly facilitated this research. </w:t>
      </w:r>
    </w:p>
    <w:p w14:paraId="610E1D13"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4E3B0B1B" w14:textId="77777777" w:rsidR="00F51AAF" w:rsidRPr="0094536E" w:rsidRDefault="00F51AAF"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757E4C86" w14:textId="77777777" w:rsid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GB"/>
        </w:rPr>
      </w:pPr>
      <w:r w:rsidRPr="0094536E">
        <w:rPr>
          <w:rFonts w:ascii="Times New Roman" w:eastAsia="Times New Roman" w:hAnsi="Times New Roman" w:cs="Times New Roman"/>
          <w:b/>
          <w:bCs/>
          <w:color w:val="000000"/>
          <w:sz w:val="24"/>
          <w:szCs w:val="24"/>
          <w:lang w:val="en-GB"/>
        </w:rPr>
        <w:t>Conflict of Interest</w:t>
      </w:r>
    </w:p>
    <w:p w14:paraId="5D2B6E21" w14:textId="77777777" w:rsidR="00806351" w:rsidRPr="0094536E" w:rsidRDefault="00806351"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GB"/>
        </w:rPr>
      </w:pPr>
    </w:p>
    <w:p w14:paraId="60A2B89D" w14:textId="1B8A179B" w:rsidR="004F3706" w:rsidRPr="0094536E" w:rsidRDefault="0094536E" w:rsidP="00F51AA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94536E">
        <w:rPr>
          <w:rFonts w:ascii="Times New Roman" w:eastAsia="Times New Roman" w:hAnsi="Times New Roman" w:cs="Times New Roman"/>
          <w:color w:val="000000"/>
          <w:sz w:val="24"/>
          <w:szCs w:val="24"/>
          <w:lang w:val="en-GB"/>
        </w:rPr>
        <w:t>The authors declare that they have no conflict of interest.</w:t>
      </w:r>
    </w:p>
    <w:p w14:paraId="5D914DB4" w14:textId="77777777" w:rsidR="004F3706" w:rsidRDefault="0059295A" w:rsidP="00F51AAF">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9855434" w14:textId="77777777" w:rsidR="00F51AAF" w:rsidRDefault="00F51AAF" w:rsidP="00F51AAF">
      <w:pPr>
        <w:spacing w:after="0" w:line="240" w:lineRule="auto"/>
        <w:ind w:leftChars="0" w:left="2" w:hanging="2"/>
        <w:rPr>
          <w:rFonts w:ascii="Times New Roman" w:eastAsia="Times New Roman" w:hAnsi="Times New Roman" w:cs="Times New Roman"/>
          <w:sz w:val="24"/>
          <w:szCs w:val="24"/>
        </w:rPr>
      </w:pPr>
    </w:p>
    <w:p w14:paraId="2A5ED719" w14:textId="618DF79A" w:rsidR="004F3706" w:rsidRDefault="0059295A" w:rsidP="00F51AAF">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136E925B" w14:textId="77777777" w:rsidR="004F3706" w:rsidRDefault="0059295A" w:rsidP="00F51AAF">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0DFB0C1"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Abdullah, N. B. A., </w:t>
      </w:r>
      <w:proofErr w:type="spellStart"/>
      <w:r w:rsidRPr="0094536E">
        <w:rPr>
          <w:rFonts w:ascii="Times New Roman" w:eastAsia="Times New Roman" w:hAnsi="Times New Roman" w:cs="Times New Roman"/>
          <w:sz w:val="24"/>
          <w:szCs w:val="24"/>
          <w:lang w:val="en-GB"/>
        </w:rPr>
        <w:t>Yaacob</w:t>
      </w:r>
      <w:proofErr w:type="spellEnd"/>
      <w:r w:rsidRPr="0094536E">
        <w:rPr>
          <w:rFonts w:ascii="Times New Roman" w:eastAsia="Times New Roman" w:hAnsi="Times New Roman" w:cs="Times New Roman"/>
          <w:sz w:val="24"/>
          <w:szCs w:val="24"/>
          <w:lang w:val="en-GB"/>
        </w:rPr>
        <w:t xml:space="preserve">, N. A., Ab </w:t>
      </w:r>
      <w:proofErr w:type="spellStart"/>
      <w:r w:rsidRPr="0094536E">
        <w:rPr>
          <w:rFonts w:ascii="Times New Roman" w:eastAsia="Times New Roman" w:hAnsi="Times New Roman" w:cs="Times New Roman"/>
          <w:sz w:val="24"/>
          <w:szCs w:val="24"/>
          <w:lang w:val="en-GB"/>
        </w:rPr>
        <w:t>Samat</w:t>
      </w:r>
      <w:proofErr w:type="spellEnd"/>
      <w:r w:rsidRPr="0094536E">
        <w:rPr>
          <w:rFonts w:ascii="Times New Roman" w:eastAsia="Times New Roman" w:hAnsi="Times New Roman" w:cs="Times New Roman"/>
          <w:sz w:val="24"/>
          <w:szCs w:val="24"/>
          <w:lang w:val="en-GB"/>
        </w:rPr>
        <w:t>, R., &amp; Ismail, A. F. (2022). Knowledge, readiness and barriers of street food hawkers to support the single-use plastic reduction program in Northeast Malaysia. </w:t>
      </w:r>
      <w:r w:rsidRPr="0094536E">
        <w:rPr>
          <w:rFonts w:ascii="Times New Roman" w:eastAsia="Times New Roman" w:hAnsi="Times New Roman" w:cs="Times New Roman"/>
          <w:i/>
          <w:iCs/>
          <w:sz w:val="24"/>
          <w:szCs w:val="24"/>
          <w:lang w:val="en-GB"/>
        </w:rPr>
        <w:t>International Journal of Environmental Research and Public Health</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19</w:t>
      </w:r>
      <w:r w:rsidRPr="0094536E">
        <w:rPr>
          <w:rFonts w:ascii="Times New Roman" w:eastAsia="Times New Roman" w:hAnsi="Times New Roman" w:cs="Times New Roman"/>
          <w:sz w:val="24"/>
          <w:szCs w:val="24"/>
          <w:lang w:val="en-GB"/>
        </w:rPr>
        <w:t>(8), 4507.</w:t>
      </w:r>
    </w:p>
    <w:p w14:paraId="1E5473CA" w14:textId="77777777" w:rsidR="00B54596" w:rsidRPr="0094536E" w:rsidRDefault="00B54596" w:rsidP="00B54596">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Alabi</w:t>
      </w:r>
      <w:proofErr w:type="spellEnd"/>
      <w:r>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O</w:t>
      </w:r>
      <w:r>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A</w:t>
      </w:r>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Ologbonjaye</w:t>
      </w:r>
      <w:proofErr w:type="spellEnd"/>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K</w:t>
      </w:r>
      <w:r>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I</w:t>
      </w:r>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Awosolu</w:t>
      </w:r>
      <w:proofErr w:type="spellEnd"/>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O</w:t>
      </w:r>
      <w:r>
        <w:rPr>
          <w:rFonts w:ascii="Times New Roman" w:eastAsia="Times New Roman" w:hAnsi="Times New Roman" w:cs="Times New Roman"/>
          <w:sz w:val="24"/>
          <w:szCs w:val="24"/>
          <w:lang w:val="en-GB"/>
        </w:rPr>
        <w:t xml:space="preserve">., &amp; </w:t>
      </w:r>
      <w:proofErr w:type="spellStart"/>
      <w:r w:rsidRPr="0094536E">
        <w:rPr>
          <w:rFonts w:ascii="Times New Roman" w:eastAsia="Times New Roman" w:hAnsi="Times New Roman" w:cs="Times New Roman"/>
          <w:sz w:val="24"/>
          <w:szCs w:val="24"/>
          <w:lang w:val="en-GB"/>
        </w:rPr>
        <w:t>Alalade</w:t>
      </w:r>
      <w:proofErr w:type="spellEnd"/>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O</w:t>
      </w:r>
      <w:r>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E</w:t>
      </w:r>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(2019). Public and environmental health effects of plastic wastes disposal:</w:t>
      </w:r>
      <w:r>
        <w:rPr>
          <w:rFonts w:ascii="Times New Roman" w:eastAsia="Times New Roman" w:hAnsi="Times New Roman" w:cs="Times New Roman"/>
          <w:sz w:val="24"/>
          <w:szCs w:val="24"/>
          <w:lang w:val="en-GB"/>
        </w:rPr>
        <w:t xml:space="preserve"> A</w:t>
      </w:r>
      <w:r w:rsidRPr="0094536E">
        <w:rPr>
          <w:rFonts w:ascii="Times New Roman" w:eastAsia="Times New Roman" w:hAnsi="Times New Roman" w:cs="Times New Roman"/>
          <w:sz w:val="24"/>
          <w:szCs w:val="24"/>
          <w:lang w:val="en-GB"/>
        </w:rPr>
        <w:t xml:space="preserve"> review. </w:t>
      </w:r>
      <w:r w:rsidRPr="000F277F">
        <w:rPr>
          <w:rFonts w:ascii="Times New Roman" w:eastAsia="Times New Roman" w:hAnsi="Times New Roman" w:cs="Times New Roman"/>
          <w:i/>
          <w:iCs/>
          <w:sz w:val="24"/>
          <w:szCs w:val="24"/>
          <w:lang w:val="en-GB"/>
        </w:rPr>
        <w:t>J</w:t>
      </w:r>
      <w:r>
        <w:rPr>
          <w:rFonts w:ascii="Times New Roman" w:eastAsia="Times New Roman" w:hAnsi="Times New Roman" w:cs="Times New Roman"/>
          <w:i/>
          <w:iCs/>
          <w:sz w:val="24"/>
          <w:szCs w:val="24"/>
          <w:lang w:val="en-GB"/>
        </w:rPr>
        <w:t xml:space="preserve">ournal of </w:t>
      </w:r>
      <w:proofErr w:type="spellStart"/>
      <w:r w:rsidRPr="000F277F">
        <w:rPr>
          <w:rFonts w:ascii="Times New Roman" w:eastAsia="Times New Roman" w:hAnsi="Times New Roman" w:cs="Times New Roman"/>
          <w:i/>
          <w:iCs/>
          <w:sz w:val="24"/>
          <w:szCs w:val="24"/>
          <w:lang w:val="en-GB"/>
        </w:rPr>
        <w:t>Toxicol</w:t>
      </w:r>
      <w:proofErr w:type="spellEnd"/>
      <w:r w:rsidRPr="000F277F">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i/>
          <w:iCs/>
          <w:sz w:val="24"/>
          <w:szCs w:val="24"/>
          <w:lang w:val="en-GB"/>
        </w:rPr>
        <w:t xml:space="preserve">and </w:t>
      </w:r>
      <w:r w:rsidRPr="000F277F">
        <w:rPr>
          <w:rFonts w:ascii="Times New Roman" w:eastAsia="Times New Roman" w:hAnsi="Times New Roman" w:cs="Times New Roman"/>
          <w:i/>
          <w:iCs/>
          <w:sz w:val="24"/>
          <w:szCs w:val="24"/>
          <w:lang w:val="en-GB"/>
        </w:rPr>
        <w:t>Risk Assess 5</w:t>
      </w:r>
      <w:r w:rsidRPr="0094536E">
        <w:rPr>
          <w:rFonts w:ascii="Times New Roman" w:eastAsia="Times New Roman" w:hAnsi="Times New Roman" w:cs="Times New Roman"/>
          <w:sz w:val="24"/>
          <w:szCs w:val="24"/>
          <w:lang w:val="en-GB"/>
        </w:rPr>
        <w:t>(021): 1-13.</w:t>
      </w:r>
    </w:p>
    <w:p w14:paraId="6EE87D6F" w14:textId="77E5D8F6"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Aryee</w:t>
      </w:r>
      <w:proofErr w:type="spellEnd"/>
      <w:r w:rsidRPr="0094536E">
        <w:rPr>
          <w:rFonts w:ascii="Times New Roman" w:eastAsia="Times New Roman" w:hAnsi="Times New Roman" w:cs="Times New Roman"/>
          <w:sz w:val="24"/>
          <w:szCs w:val="24"/>
          <w:lang w:val="en-GB"/>
        </w:rPr>
        <w:t xml:space="preserve">, A. N., </w:t>
      </w:r>
      <w:proofErr w:type="spellStart"/>
      <w:r w:rsidRPr="0094536E">
        <w:rPr>
          <w:rFonts w:ascii="Times New Roman" w:eastAsia="Times New Roman" w:hAnsi="Times New Roman" w:cs="Times New Roman"/>
          <w:sz w:val="24"/>
          <w:szCs w:val="24"/>
          <w:lang w:val="en-GB"/>
        </w:rPr>
        <w:t>Tawiah</w:t>
      </w:r>
      <w:proofErr w:type="spellEnd"/>
      <w:r w:rsidRPr="0094536E">
        <w:rPr>
          <w:rFonts w:ascii="Times New Roman" w:eastAsia="Times New Roman" w:hAnsi="Times New Roman" w:cs="Times New Roman"/>
          <w:sz w:val="24"/>
          <w:szCs w:val="24"/>
          <w:lang w:val="en-GB"/>
        </w:rPr>
        <w:t xml:space="preserve">, N. A., &amp; </w:t>
      </w:r>
      <w:proofErr w:type="spellStart"/>
      <w:r w:rsidRPr="0094536E">
        <w:rPr>
          <w:rFonts w:ascii="Times New Roman" w:eastAsia="Times New Roman" w:hAnsi="Times New Roman" w:cs="Times New Roman"/>
          <w:sz w:val="24"/>
          <w:szCs w:val="24"/>
          <w:lang w:val="en-GB"/>
        </w:rPr>
        <w:t>Bonsi</w:t>
      </w:r>
      <w:proofErr w:type="spellEnd"/>
      <w:r w:rsidRPr="0094536E">
        <w:rPr>
          <w:rFonts w:ascii="Times New Roman" w:eastAsia="Times New Roman" w:hAnsi="Times New Roman" w:cs="Times New Roman"/>
          <w:sz w:val="24"/>
          <w:szCs w:val="24"/>
          <w:lang w:val="en-GB"/>
        </w:rPr>
        <w:t xml:space="preserve">, E. (2023). Leveraging </w:t>
      </w:r>
      <w:r w:rsidR="00BD0A82" w:rsidRPr="0094536E">
        <w:rPr>
          <w:rFonts w:ascii="Times New Roman" w:eastAsia="Times New Roman" w:hAnsi="Times New Roman" w:cs="Times New Roman"/>
          <w:sz w:val="24"/>
          <w:szCs w:val="24"/>
          <w:lang w:val="en-GB"/>
        </w:rPr>
        <w:t>international experiential learning opportunities in food and agricultural science programs</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Professional Agricultural Workers Journal</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9</w:t>
      </w:r>
      <w:r w:rsidRPr="0094536E">
        <w:rPr>
          <w:rFonts w:ascii="Times New Roman" w:eastAsia="Times New Roman" w:hAnsi="Times New Roman" w:cs="Times New Roman"/>
          <w:sz w:val="24"/>
          <w:szCs w:val="24"/>
          <w:lang w:val="en-GB"/>
        </w:rPr>
        <w:t>(2), 28.</w:t>
      </w:r>
    </w:p>
    <w:p w14:paraId="6820FF89"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Braun, T., Cottrell, R., &amp; </w:t>
      </w:r>
      <w:proofErr w:type="spellStart"/>
      <w:r w:rsidRPr="0094536E">
        <w:rPr>
          <w:rFonts w:ascii="Times New Roman" w:eastAsia="Times New Roman" w:hAnsi="Times New Roman" w:cs="Times New Roman"/>
          <w:sz w:val="24"/>
          <w:szCs w:val="24"/>
          <w:lang w:val="en-GB"/>
        </w:rPr>
        <w:t>Dierkes</w:t>
      </w:r>
      <w:proofErr w:type="spellEnd"/>
      <w:r w:rsidRPr="0094536E">
        <w:rPr>
          <w:rFonts w:ascii="Times New Roman" w:eastAsia="Times New Roman" w:hAnsi="Times New Roman" w:cs="Times New Roman"/>
          <w:sz w:val="24"/>
          <w:szCs w:val="24"/>
          <w:lang w:val="en-GB"/>
        </w:rPr>
        <w:t xml:space="preserve">, P. (2018). Fostering changes in attitude, knowledge and </w:t>
      </w:r>
      <w:proofErr w:type="spellStart"/>
      <w:r w:rsidRPr="0094536E">
        <w:rPr>
          <w:rFonts w:ascii="Times New Roman" w:eastAsia="Times New Roman" w:hAnsi="Times New Roman" w:cs="Times New Roman"/>
          <w:sz w:val="24"/>
          <w:szCs w:val="24"/>
          <w:lang w:val="en-GB"/>
        </w:rPr>
        <w:t>behavior</w:t>
      </w:r>
      <w:proofErr w:type="spellEnd"/>
      <w:r w:rsidRPr="0094536E">
        <w:rPr>
          <w:rFonts w:ascii="Times New Roman" w:eastAsia="Times New Roman" w:hAnsi="Times New Roman" w:cs="Times New Roman"/>
          <w:sz w:val="24"/>
          <w:szCs w:val="24"/>
          <w:lang w:val="en-GB"/>
        </w:rPr>
        <w:t>: demographic variation in environmental education effects. </w:t>
      </w:r>
      <w:r w:rsidRPr="0094536E">
        <w:rPr>
          <w:rFonts w:ascii="Times New Roman" w:eastAsia="Times New Roman" w:hAnsi="Times New Roman" w:cs="Times New Roman"/>
          <w:i/>
          <w:iCs/>
          <w:sz w:val="24"/>
          <w:szCs w:val="24"/>
          <w:lang w:val="en-GB"/>
        </w:rPr>
        <w:t>Environmental Education Research</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24</w:t>
      </w:r>
      <w:r w:rsidRPr="0094536E">
        <w:rPr>
          <w:rFonts w:ascii="Times New Roman" w:eastAsia="Times New Roman" w:hAnsi="Times New Roman" w:cs="Times New Roman"/>
          <w:sz w:val="24"/>
          <w:szCs w:val="24"/>
          <w:lang w:val="en-GB"/>
        </w:rPr>
        <w:t>(6), 899-920.</w:t>
      </w:r>
    </w:p>
    <w:p w14:paraId="54F8207B" w14:textId="7EA7D2A0"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Chen</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H</w:t>
      </w:r>
      <w:r w:rsidR="00BD0A82">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L</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Nath</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T</w:t>
      </w:r>
      <w:r w:rsidR="00BD0A82">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K</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Chong</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S</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Foo</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Gibbins</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C</w:t>
      </w:r>
      <w:r w:rsidR="00BD0A82">
        <w:rPr>
          <w:rFonts w:ascii="Times New Roman" w:eastAsia="Times New Roman" w:hAnsi="Times New Roman" w:cs="Times New Roman"/>
          <w:sz w:val="24"/>
          <w:szCs w:val="24"/>
          <w:lang w:val="en-GB"/>
        </w:rPr>
        <w:t>., &amp;</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Lechner</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A</w:t>
      </w:r>
      <w:r w:rsidR="00BD0A82">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M</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(2021). The plastic waste problem in Malaysia: management, recycling and disposal of local and global plastic waste. </w:t>
      </w:r>
      <w:r w:rsidRPr="00BD0A82">
        <w:rPr>
          <w:rFonts w:ascii="Times New Roman" w:eastAsia="Times New Roman" w:hAnsi="Times New Roman" w:cs="Times New Roman"/>
          <w:i/>
          <w:iCs/>
          <w:sz w:val="24"/>
          <w:szCs w:val="24"/>
          <w:lang w:val="en-GB"/>
        </w:rPr>
        <w:t>SN Applied Sciences</w:t>
      </w:r>
      <w:r w:rsidR="00BD0A82" w:rsidRPr="00BD0A82">
        <w:rPr>
          <w:rFonts w:ascii="Times New Roman" w:eastAsia="Times New Roman" w:hAnsi="Times New Roman" w:cs="Times New Roman"/>
          <w:i/>
          <w:iCs/>
          <w:sz w:val="24"/>
          <w:szCs w:val="24"/>
          <w:lang w:val="en-GB"/>
        </w:rPr>
        <w:t>,</w:t>
      </w:r>
      <w:r w:rsidRPr="00BD0A82">
        <w:rPr>
          <w:rFonts w:ascii="Times New Roman" w:eastAsia="Times New Roman" w:hAnsi="Times New Roman" w:cs="Times New Roman"/>
          <w:i/>
          <w:iCs/>
          <w:sz w:val="24"/>
          <w:szCs w:val="24"/>
          <w:lang w:val="en-GB"/>
        </w:rPr>
        <w:t> 3</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1-15.</w:t>
      </w:r>
    </w:p>
    <w:p w14:paraId="4E02F63C" w14:textId="77777777" w:rsid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Harun, S. N., Alias, A., </w:t>
      </w:r>
      <w:proofErr w:type="spellStart"/>
      <w:r w:rsidRPr="0094536E">
        <w:rPr>
          <w:rFonts w:ascii="Times New Roman" w:eastAsia="Times New Roman" w:hAnsi="Times New Roman" w:cs="Times New Roman"/>
          <w:sz w:val="24"/>
          <w:szCs w:val="24"/>
          <w:lang w:val="en-GB"/>
        </w:rPr>
        <w:t>Md</w:t>
      </w:r>
      <w:proofErr w:type="spellEnd"/>
      <w:r w:rsidRPr="0094536E">
        <w:rPr>
          <w:rFonts w:ascii="Times New Roman" w:eastAsia="Times New Roman" w:hAnsi="Times New Roman" w:cs="Times New Roman"/>
          <w:sz w:val="24"/>
          <w:szCs w:val="24"/>
          <w:lang w:val="en-GB"/>
        </w:rPr>
        <w:t xml:space="preserve"> Noor, N., &amp; Wee, H. B. (2024). </w:t>
      </w:r>
      <w:proofErr w:type="spellStart"/>
      <w:r w:rsidRPr="0094536E">
        <w:rPr>
          <w:rFonts w:ascii="Times New Roman" w:eastAsia="Times New Roman" w:hAnsi="Times New Roman" w:cs="Times New Roman"/>
          <w:sz w:val="24"/>
          <w:szCs w:val="24"/>
          <w:lang w:val="en-GB"/>
        </w:rPr>
        <w:t>Persepsi</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Pengendali</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Makanan</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Perkhidmatan</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Katering</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Terhadap</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Amalan</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Kebersihan</w:t>
      </w:r>
      <w:proofErr w:type="spellEnd"/>
      <w:r w:rsidRPr="0094536E">
        <w:rPr>
          <w:rFonts w:ascii="Times New Roman" w:eastAsia="Times New Roman" w:hAnsi="Times New Roman" w:cs="Times New Roman"/>
          <w:sz w:val="24"/>
          <w:szCs w:val="24"/>
          <w:lang w:val="en-GB"/>
        </w:rPr>
        <w:t xml:space="preserve"> Dan </w:t>
      </w:r>
      <w:proofErr w:type="spellStart"/>
      <w:r w:rsidRPr="0094536E">
        <w:rPr>
          <w:rFonts w:ascii="Times New Roman" w:eastAsia="Times New Roman" w:hAnsi="Times New Roman" w:cs="Times New Roman"/>
          <w:sz w:val="24"/>
          <w:szCs w:val="24"/>
          <w:lang w:val="en-GB"/>
        </w:rPr>
        <w:t>Keselamatan</w:t>
      </w:r>
      <w:proofErr w:type="spellEnd"/>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Makanan</w:t>
      </w:r>
      <w:proofErr w:type="spellEnd"/>
      <w:r w:rsidRPr="0094536E">
        <w:rPr>
          <w:rFonts w:ascii="Times New Roman" w:eastAsia="Times New Roman" w:hAnsi="Times New Roman" w:cs="Times New Roman"/>
          <w:sz w:val="24"/>
          <w:szCs w:val="24"/>
          <w:lang w:val="en-GB"/>
        </w:rPr>
        <w:t>. </w:t>
      </w:r>
      <w:proofErr w:type="spellStart"/>
      <w:r w:rsidRPr="0094536E">
        <w:rPr>
          <w:rFonts w:ascii="Times New Roman" w:eastAsia="Times New Roman" w:hAnsi="Times New Roman" w:cs="Times New Roman"/>
          <w:i/>
          <w:iCs/>
          <w:sz w:val="24"/>
          <w:szCs w:val="24"/>
          <w:lang w:val="en-GB"/>
        </w:rPr>
        <w:t>Universiti</w:t>
      </w:r>
      <w:proofErr w:type="spellEnd"/>
      <w:r w:rsidRPr="0094536E">
        <w:rPr>
          <w:rFonts w:ascii="Times New Roman" w:eastAsia="Times New Roman" w:hAnsi="Times New Roman" w:cs="Times New Roman"/>
          <w:i/>
          <w:iCs/>
          <w:sz w:val="24"/>
          <w:szCs w:val="24"/>
          <w:lang w:val="en-GB"/>
        </w:rPr>
        <w:t xml:space="preserve"> Malaysia Terengganu Journal of Undergraduate Research</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5</w:t>
      </w:r>
      <w:r w:rsidRPr="0094536E">
        <w:rPr>
          <w:rFonts w:ascii="Times New Roman" w:eastAsia="Times New Roman" w:hAnsi="Times New Roman" w:cs="Times New Roman"/>
          <w:sz w:val="24"/>
          <w:szCs w:val="24"/>
          <w:lang w:val="en-GB"/>
        </w:rPr>
        <w:t>(4).</w:t>
      </w:r>
    </w:p>
    <w:p w14:paraId="39697639" w14:textId="3135AD93" w:rsidR="009B4692" w:rsidRPr="0094536E" w:rsidRDefault="009B4692"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B4692">
        <w:rPr>
          <w:rFonts w:ascii="Times New Roman" w:eastAsia="Times New Roman" w:hAnsi="Times New Roman" w:cs="Times New Roman"/>
          <w:sz w:val="24"/>
          <w:szCs w:val="24"/>
        </w:rPr>
        <w:t>Hashim</w:t>
      </w:r>
      <w:proofErr w:type="spellEnd"/>
      <w:r w:rsidRPr="009B4692">
        <w:rPr>
          <w:rFonts w:ascii="Times New Roman" w:eastAsia="Times New Roman" w:hAnsi="Times New Roman" w:cs="Times New Roman"/>
          <w:sz w:val="24"/>
          <w:szCs w:val="24"/>
        </w:rPr>
        <w:t xml:space="preserve">, H. F., Rahman, H. A., &amp; Zain, I. N. M. (2023). Knowledge and practice on green purchasing of personal care products among undergraduate students in </w:t>
      </w:r>
      <w:proofErr w:type="spellStart"/>
      <w:r w:rsidRPr="009B4692">
        <w:rPr>
          <w:rFonts w:ascii="Times New Roman" w:eastAsia="Times New Roman" w:hAnsi="Times New Roman" w:cs="Times New Roman"/>
          <w:sz w:val="24"/>
          <w:szCs w:val="24"/>
        </w:rPr>
        <w:t>Universiti</w:t>
      </w:r>
      <w:proofErr w:type="spellEnd"/>
      <w:r w:rsidRPr="009B4692">
        <w:rPr>
          <w:rFonts w:ascii="Times New Roman" w:eastAsia="Times New Roman" w:hAnsi="Times New Roman" w:cs="Times New Roman"/>
          <w:sz w:val="24"/>
          <w:szCs w:val="24"/>
        </w:rPr>
        <w:t xml:space="preserve"> Putra Malaysia. </w:t>
      </w:r>
      <w:proofErr w:type="spellStart"/>
      <w:r w:rsidRPr="009B4692">
        <w:rPr>
          <w:rFonts w:ascii="Times New Roman" w:eastAsia="Times New Roman" w:hAnsi="Times New Roman" w:cs="Times New Roman"/>
          <w:i/>
          <w:iCs/>
          <w:sz w:val="24"/>
          <w:szCs w:val="24"/>
        </w:rPr>
        <w:t>Geografia</w:t>
      </w:r>
      <w:proofErr w:type="spellEnd"/>
      <w:r w:rsidRPr="009B4692">
        <w:rPr>
          <w:rFonts w:ascii="Times New Roman" w:eastAsia="Times New Roman" w:hAnsi="Times New Roman" w:cs="Times New Roman"/>
          <w:i/>
          <w:iCs/>
          <w:sz w:val="24"/>
          <w:szCs w:val="24"/>
        </w:rPr>
        <w:t>-Malaysian Journal of Society and Space</w:t>
      </w:r>
      <w:r w:rsidRPr="009B4692">
        <w:rPr>
          <w:rFonts w:ascii="Times New Roman" w:eastAsia="Times New Roman" w:hAnsi="Times New Roman" w:cs="Times New Roman"/>
          <w:sz w:val="24"/>
          <w:szCs w:val="24"/>
        </w:rPr>
        <w:t>, </w:t>
      </w:r>
      <w:r w:rsidRPr="009B4692">
        <w:rPr>
          <w:rFonts w:ascii="Times New Roman" w:eastAsia="Times New Roman" w:hAnsi="Times New Roman" w:cs="Times New Roman"/>
          <w:i/>
          <w:iCs/>
          <w:sz w:val="24"/>
          <w:szCs w:val="24"/>
        </w:rPr>
        <w:t>19</w:t>
      </w:r>
      <w:r w:rsidRPr="009B4692">
        <w:rPr>
          <w:rFonts w:ascii="Times New Roman" w:eastAsia="Times New Roman" w:hAnsi="Times New Roman" w:cs="Times New Roman"/>
          <w:sz w:val="24"/>
          <w:szCs w:val="24"/>
        </w:rPr>
        <w:t>(1), 165-178.</w:t>
      </w:r>
    </w:p>
    <w:p w14:paraId="6EB5DB56" w14:textId="77777777" w:rsidR="00806351" w:rsidRPr="0094536E" w:rsidRDefault="00806351" w:rsidP="00806351">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Jagodzińska</w:t>
      </w:r>
      <w:proofErr w:type="spellEnd"/>
      <w:r w:rsidRPr="0094536E">
        <w:rPr>
          <w:rFonts w:ascii="Times New Roman" w:eastAsia="Times New Roman" w:hAnsi="Times New Roman" w:cs="Times New Roman"/>
          <w:sz w:val="24"/>
          <w:szCs w:val="24"/>
          <w:lang w:val="en-GB"/>
        </w:rPr>
        <w:t xml:space="preserve">, M., &amp; </w:t>
      </w:r>
      <w:proofErr w:type="spellStart"/>
      <w:r w:rsidRPr="0094536E">
        <w:rPr>
          <w:rFonts w:ascii="Times New Roman" w:eastAsia="Times New Roman" w:hAnsi="Times New Roman" w:cs="Times New Roman"/>
          <w:sz w:val="24"/>
          <w:szCs w:val="24"/>
          <w:lang w:val="en-GB"/>
        </w:rPr>
        <w:t>Strumińska-Doktór</w:t>
      </w:r>
      <w:proofErr w:type="spellEnd"/>
      <w:r w:rsidRPr="0094536E">
        <w:rPr>
          <w:rFonts w:ascii="Times New Roman" w:eastAsia="Times New Roman" w:hAnsi="Times New Roman" w:cs="Times New Roman"/>
          <w:sz w:val="24"/>
          <w:szCs w:val="24"/>
          <w:lang w:val="en-GB"/>
        </w:rPr>
        <w:t>, A. (2022). Using the Knowledge Acquired During Studies in Shaping Attitudes Towards Sustainable Development. </w:t>
      </w:r>
      <w:proofErr w:type="spellStart"/>
      <w:r w:rsidRPr="0094536E">
        <w:rPr>
          <w:rFonts w:ascii="Times New Roman" w:eastAsia="Times New Roman" w:hAnsi="Times New Roman" w:cs="Times New Roman"/>
          <w:i/>
          <w:iCs/>
          <w:sz w:val="24"/>
          <w:szCs w:val="24"/>
          <w:lang w:val="en-GB"/>
        </w:rPr>
        <w:t>Studia</w:t>
      </w:r>
      <w:proofErr w:type="spellEnd"/>
      <w:r w:rsidRPr="0094536E">
        <w:rPr>
          <w:rFonts w:ascii="Times New Roman" w:eastAsia="Times New Roman" w:hAnsi="Times New Roman" w:cs="Times New Roman"/>
          <w:i/>
          <w:iCs/>
          <w:sz w:val="24"/>
          <w:szCs w:val="24"/>
          <w:lang w:val="en-GB"/>
        </w:rPr>
        <w:t xml:space="preserve"> </w:t>
      </w:r>
      <w:proofErr w:type="spellStart"/>
      <w:r w:rsidRPr="0094536E">
        <w:rPr>
          <w:rFonts w:ascii="Times New Roman" w:eastAsia="Times New Roman" w:hAnsi="Times New Roman" w:cs="Times New Roman"/>
          <w:i/>
          <w:iCs/>
          <w:sz w:val="24"/>
          <w:szCs w:val="24"/>
          <w:lang w:val="en-GB"/>
        </w:rPr>
        <w:t>Ecologiae</w:t>
      </w:r>
      <w:proofErr w:type="spellEnd"/>
      <w:r w:rsidRPr="0094536E">
        <w:rPr>
          <w:rFonts w:ascii="Times New Roman" w:eastAsia="Times New Roman" w:hAnsi="Times New Roman" w:cs="Times New Roman"/>
          <w:i/>
          <w:iCs/>
          <w:sz w:val="24"/>
          <w:szCs w:val="24"/>
          <w:lang w:val="en-GB"/>
        </w:rPr>
        <w:t xml:space="preserve"> et </w:t>
      </w:r>
      <w:proofErr w:type="spellStart"/>
      <w:r w:rsidRPr="0094536E">
        <w:rPr>
          <w:rFonts w:ascii="Times New Roman" w:eastAsia="Times New Roman" w:hAnsi="Times New Roman" w:cs="Times New Roman"/>
          <w:i/>
          <w:iCs/>
          <w:sz w:val="24"/>
          <w:szCs w:val="24"/>
          <w:lang w:val="en-GB"/>
        </w:rPr>
        <w:t>Bioethicae</w:t>
      </w:r>
      <w:proofErr w:type="spellEnd"/>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20</w:t>
      </w:r>
      <w:r w:rsidRPr="0094536E">
        <w:rPr>
          <w:rFonts w:ascii="Times New Roman" w:eastAsia="Times New Roman" w:hAnsi="Times New Roman" w:cs="Times New Roman"/>
          <w:sz w:val="24"/>
          <w:szCs w:val="24"/>
          <w:lang w:val="en-GB"/>
        </w:rPr>
        <w:t>(1).</w:t>
      </w:r>
    </w:p>
    <w:p w14:paraId="62AD36AF" w14:textId="382BB70F"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Kamaruddin</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H</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Patittingi</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F</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Assidiq</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H</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Bachril</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S</w:t>
      </w:r>
      <w:r w:rsidR="00BD0A82">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N</w:t>
      </w:r>
      <w:r w:rsidR="00BD0A82">
        <w:rPr>
          <w:rFonts w:ascii="Times New Roman" w:eastAsia="Times New Roman" w:hAnsi="Times New Roman" w:cs="Times New Roman"/>
          <w:sz w:val="24"/>
          <w:szCs w:val="24"/>
          <w:lang w:val="en-GB"/>
        </w:rPr>
        <w:t>., &amp;</w:t>
      </w:r>
      <w:r w:rsidRPr="0094536E">
        <w:rPr>
          <w:rFonts w:ascii="Times New Roman" w:eastAsia="Times New Roman" w:hAnsi="Times New Roman" w:cs="Times New Roman"/>
          <w:sz w:val="24"/>
          <w:szCs w:val="24"/>
          <w:lang w:val="en-GB"/>
        </w:rPr>
        <w:t xml:space="preserve"> Al </w:t>
      </w:r>
      <w:proofErr w:type="spellStart"/>
      <w:r w:rsidRPr="0094536E">
        <w:rPr>
          <w:rFonts w:ascii="Times New Roman" w:eastAsia="Times New Roman" w:hAnsi="Times New Roman" w:cs="Times New Roman"/>
          <w:sz w:val="24"/>
          <w:szCs w:val="24"/>
          <w:lang w:val="en-GB"/>
        </w:rPr>
        <w:t>Mukarramah</w:t>
      </w:r>
      <w:proofErr w:type="spellEnd"/>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N</w:t>
      </w:r>
      <w:r w:rsidR="00BD0A82">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H</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(2022). Legal aspect of plastic waste management in Indonesia and Malaysia: Addressing marine plastic debris. </w:t>
      </w:r>
      <w:r w:rsidRPr="00BD0A82">
        <w:rPr>
          <w:rFonts w:ascii="Times New Roman" w:eastAsia="Times New Roman" w:hAnsi="Times New Roman" w:cs="Times New Roman"/>
          <w:i/>
          <w:iCs/>
          <w:sz w:val="24"/>
          <w:szCs w:val="24"/>
          <w:lang w:val="en-GB"/>
        </w:rPr>
        <w:t>Sustainability</w:t>
      </w:r>
      <w:r w:rsidR="00BD0A82" w:rsidRPr="00BD0A82">
        <w:rPr>
          <w:rFonts w:ascii="Times New Roman" w:eastAsia="Times New Roman" w:hAnsi="Times New Roman" w:cs="Times New Roman"/>
          <w:i/>
          <w:iCs/>
          <w:sz w:val="24"/>
          <w:szCs w:val="24"/>
          <w:lang w:val="en-GB"/>
        </w:rPr>
        <w:t>,</w:t>
      </w:r>
      <w:r w:rsidRPr="00BD0A82">
        <w:rPr>
          <w:rFonts w:ascii="Times New Roman" w:eastAsia="Times New Roman" w:hAnsi="Times New Roman" w:cs="Times New Roman"/>
          <w:i/>
          <w:iCs/>
          <w:sz w:val="24"/>
          <w:szCs w:val="24"/>
          <w:lang w:val="en-GB"/>
        </w:rPr>
        <w:t xml:space="preserve"> 14</w:t>
      </w:r>
      <w:r w:rsidRPr="0094536E">
        <w:rPr>
          <w:rFonts w:ascii="Times New Roman" w:eastAsia="Times New Roman" w:hAnsi="Times New Roman" w:cs="Times New Roman"/>
          <w:sz w:val="24"/>
          <w:szCs w:val="24"/>
          <w:lang w:val="en-GB"/>
        </w:rPr>
        <w:t>(12)</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6985.</w:t>
      </w:r>
    </w:p>
    <w:p w14:paraId="2A17BE14" w14:textId="001A824F"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Kruize</w:t>
      </w:r>
      <w:proofErr w:type="spellEnd"/>
      <w:r w:rsidRPr="0094536E">
        <w:rPr>
          <w:rFonts w:ascii="Times New Roman" w:eastAsia="Times New Roman" w:hAnsi="Times New Roman" w:cs="Times New Roman"/>
          <w:sz w:val="24"/>
          <w:szCs w:val="24"/>
          <w:lang w:val="en-GB"/>
        </w:rPr>
        <w:t xml:space="preserve">, H., van Der </w:t>
      </w:r>
      <w:proofErr w:type="spellStart"/>
      <w:r w:rsidRPr="0094536E">
        <w:rPr>
          <w:rFonts w:ascii="Times New Roman" w:eastAsia="Times New Roman" w:hAnsi="Times New Roman" w:cs="Times New Roman"/>
          <w:sz w:val="24"/>
          <w:szCs w:val="24"/>
          <w:lang w:val="en-GB"/>
        </w:rPr>
        <w:t>Vliet</w:t>
      </w:r>
      <w:proofErr w:type="spellEnd"/>
      <w:r w:rsidRPr="0094536E">
        <w:rPr>
          <w:rFonts w:ascii="Times New Roman" w:eastAsia="Times New Roman" w:hAnsi="Times New Roman" w:cs="Times New Roman"/>
          <w:sz w:val="24"/>
          <w:szCs w:val="24"/>
          <w:lang w:val="en-GB"/>
        </w:rPr>
        <w:t xml:space="preserve">, N., </w:t>
      </w:r>
      <w:proofErr w:type="spellStart"/>
      <w:r w:rsidRPr="0094536E">
        <w:rPr>
          <w:rFonts w:ascii="Times New Roman" w:eastAsia="Times New Roman" w:hAnsi="Times New Roman" w:cs="Times New Roman"/>
          <w:sz w:val="24"/>
          <w:szCs w:val="24"/>
          <w:lang w:val="en-GB"/>
        </w:rPr>
        <w:t>Staatsen</w:t>
      </w:r>
      <w:proofErr w:type="spellEnd"/>
      <w:r w:rsidRPr="0094536E">
        <w:rPr>
          <w:rFonts w:ascii="Times New Roman" w:eastAsia="Times New Roman" w:hAnsi="Times New Roman" w:cs="Times New Roman"/>
          <w:sz w:val="24"/>
          <w:szCs w:val="24"/>
          <w:lang w:val="en-GB"/>
        </w:rPr>
        <w:t xml:space="preserve">, B., Bell, R., </w:t>
      </w:r>
      <w:proofErr w:type="spellStart"/>
      <w:r w:rsidRPr="0094536E">
        <w:rPr>
          <w:rFonts w:ascii="Times New Roman" w:eastAsia="Times New Roman" w:hAnsi="Times New Roman" w:cs="Times New Roman"/>
          <w:sz w:val="24"/>
          <w:szCs w:val="24"/>
          <w:lang w:val="en-GB"/>
        </w:rPr>
        <w:t>Chiabai</w:t>
      </w:r>
      <w:proofErr w:type="spellEnd"/>
      <w:r w:rsidRPr="0094536E">
        <w:rPr>
          <w:rFonts w:ascii="Times New Roman" w:eastAsia="Times New Roman" w:hAnsi="Times New Roman" w:cs="Times New Roman"/>
          <w:sz w:val="24"/>
          <w:szCs w:val="24"/>
          <w:lang w:val="en-GB"/>
        </w:rPr>
        <w:t xml:space="preserve">, A., </w:t>
      </w:r>
      <w:proofErr w:type="spellStart"/>
      <w:r w:rsidRPr="0094536E">
        <w:rPr>
          <w:rFonts w:ascii="Times New Roman" w:eastAsia="Times New Roman" w:hAnsi="Times New Roman" w:cs="Times New Roman"/>
          <w:sz w:val="24"/>
          <w:szCs w:val="24"/>
          <w:lang w:val="en-GB"/>
        </w:rPr>
        <w:t>Muiños</w:t>
      </w:r>
      <w:proofErr w:type="spellEnd"/>
      <w:r w:rsidRPr="0094536E">
        <w:rPr>
          <w:rFonts w:ascii="Times New Roman" w:eastAsia="Times New Roman" w:hAnsi="Times New Roman" w:cs="Times New Roman"/>
          <w:sz w:val="24"/>
          <w:szCs w:val="24"/>
          <w:lang w:val="en-GB"/>
        </w:rPr>
        <w:t>, G.</w:t>
      </w:r>
      <w:r w:rsidR="00BD0A82">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&amp; </w:t>
      </w:r>
      <w:proofErr w:type="spellStart"/>
      <w:r w:rsidRPr="0094536E">
        <w:rPr>
          <w:rFonts w:ascii="Times New Roman" w:eastAsia="Times New Roman" w:hAnsi="Times New Roman" w:cs="Times New Roman"/>
          <w:sz w:val="24"/>
          <w:szCs w:val="24"/>
          <w:lang w:val="en-GB"/>
        </w:rPr>
        <w:t>Stegeman</w:t>
      </w:r>
      <w:proofErr w:type="spellEnd"/>
      <w:r w:rsidRPr="0094536E">
        <w:rPr>
          <w:rFonts w:ascii="Times New Roman" w:eastAsia="Times New Roman" w:hAnsi="Times New Roman" w:cs="Times New Roman"/>
          <w:sz w:val="24"/>
          <w:szCs w:val="24"/>
          <w:lang w:val="en-GB"/>
        </w:rPr>
        <w:t xml:space="preserve">, I. (2019). Urban green space: creating a triple win for environmental sustainability, health, and health equity through </w:t>
      </w:r>
      <w:proofErr w:type="spellStart"/>
      <w:r w:rsidRPr="0094536E">
        <w:rPr>
          <w:rFonts w:ascii="Times New Roman" w:eastAsia="Times New Roman" w:hAnsi="Times New Roman" w:cs="Times New Roman"/>
          <w:sz w:val="24"/>
          <w:szCs w:val="24"/>
          <w:lang w:val="en-GB"/>
        </w:rPr>
        <w:t>behavior</w:t>
      </w:r>
      <w:proofErr w:type="spellEnd"/>
      <w:r w:rsidRPr="0094536E">
        <w:rPr>
          <w:rFonts w:ascii="Times New Roman" w:eastAsia="Times New Roman" w:hAnsi="Times New Roman" w:cs="Times New Roman"/>
          <w:sz w:val="24"/>
          <w:szCs w:val="24"/>
          <w:lang w:val="en-GB"/>
        </w:rPr>
        <w:t xml:space="preserve"> change. </w:t>
      </w:r>
      <w:r w:rsidRPr="0094536E">
        <w:rPr>
          <w:rFonts w:ascii="Times New Roman" w:eastAsia="Times New Roman" w:hAnsi="Times New Roman" w:cs="Times New Roman"/>
          <w:i/>
          <w:iCs/>
          <w:sz w:val="24"/>
          <w:szCs w:val="24"/>
          <w:lang w:val="en-GB"/>
        </w:rPr>
        <w:t>International journal of environmental research and public health</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16</w:t>
      </w:r>
      <w:r w:rsidRPr="0094536E">
        <w:rPr>
          <w:rFonts w:ascii="Times New Roman" w:eastAsia="Times New Roman" w:hAnsi="Times New Roman" w:cs="Times New Roman"/>
          <w:sz w:val="24"/>
          <w:szCs w:val="24"/>
          <w:lang w:val="en-GB"/>
        </w:rPr>
        <w:t>(22), 4403.</w:t>
      </w:r>
    </w:p>
    <w:p w14:paraId="6BE3CB52" w14:textId="3D605738"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lastRenderedPageBreak/>
        <w:t>Lakens</w:t>
      </w:r>
      <w:proofErr w:type="spellEnd"/>
      <w:r w:rsidRPr="0094536E">
        <w:rPr>
          <w:rFonts w:ascii="Times New Roman" w:eastAsia="Times New Roman" w:hAnsi="Times New Roman" w:cs="Times New Roman"/>
          <w:sz w:val="24"/>
          <w:szCs w:val="24"/>
          <w:lang w:val="en-GB"/>
        </w:rPr>
        <w:t>, D. (2022). Sample size justification. </w:t>
      </w:r>
      <w:r w:rsidRPr="0094536E">
        <w:rPr>
          <w:rFonts w:ascii="Times New Roman" w:eastAsia="Times New Roman" w:hAnsi="Times New Roman" w:cs="Times New Roman"/>
          <w:i/>
          <w:iCs/>
          <w:sz w:val="24"/>
          <w:szCs w:val="24"/>
          <w:lang w:val="en-GB"/>
        </w:rPr>
        <w:t xml:space="preserve">Collabra: </w:t>
      </w:r>
      <w:r w:rsidR="00BD0A82">
        <w:rPr>
          <w:rFonts w:ascii="Times New Roman" w:eastAsia="Times New Roman" w:hAnsi="Times New Roman" w:cs="Times New Roman"/>
          <w:i/>
          <w:iCs/>
          <w:sz w:val="24"/>
          <w:szCs w:val="24"/>
          <w:lang w:val="en-GB"/>
        </w:rPr>
        <w:t>P</w:t>
      </w:r>
      <w:r w:rsidRPr="0094536E">
        <w:rPr>
          <w:rFonts w:ascii="Times New Roman" w:eastAsia="Times New Roman" w:hAnsi="Times New Roman" w:cs="Times New Roman"/>
          <w:i/>
          <w:iCs/>
          <w:sz w:val="24"/>
          <w:szCs w:val="24"/>
          <w:lang w:val="en-GB"/>
        </w:rPr>
        <w:t>sychology</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8</w:t>
      </w:r>
      <w:r w:rsidRPr="0094536E">
        <w:rPr>
          <w:rFonts w:ascii="Times New Roman" w:eastAsia="Times New Roman" w:hAnsi="Times New Roman" w:cs="Times New Roman"/>
          <w:sz w:val="24"/>
          <w:szCs w:val="24"/>
          <w:lang w:val="en-GB"/>
        </w:rPr>
        <w:t>(1), 33267.</w:t>
      </w:r>
    </w:p>
    <w:p w14:paraId="1CFC02A0" w14:textId="59E02BC1" w:rsid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Mat </w:t>
      </w:r>
      <w:proofErr w:type="spellStart"/>
      <w:r w:rsidRPr="0094536E">
        <w:rPr>
          <w:rFonts w:ascii="Times New Roman" w:eastAsia="Times New Roman" w:hAnsi="Times New Roman" w:cs="Times New Roman"/>
          <w:sz w:val="24"/>
          <w:szCs w:val="24"/>
          <w:lang w:val="en-GB"/>
        </w:rPr>
        <w:t>Yusoff</w:t>
      </w:r>
      <w:proofErr w:type="spellEnd"/>
      <w:r w:rsidRPr="0094536E">
        <w:rPr>
          <w:rFonts w:ascii="Times New Roman" w:eastAsia="Times New Roman" w:hAnsi="Times New Roman" w:cs="Times New Roman"/>
          <w:sz w:val="24"/>
          <w:szCs w:val="24"/>
          <w:lang w:val="en-GB"/>
        </w:rPr>
        <w:t xml:space="preserve">, N. D. B., Abdul </w:t>
      </w:r>
      <w:proofErr w:type="spellStart"/>
      <w:r w:rsidRPr="0094536E">
        <w:rPr>
          <w:rFonts w:ascii="Times New Roman" w:eastAsia="Times New Roman" w:hAnsi="Times New Roman" w:cs="Times New Roman"/>
          <w:sz w:val="24"/>
          <w:szCs w:val="24"/>
          <w:lang w:val="en-GB"/>
        </w:rPr>
        <w:t>Latip</w:t>
      </w:r>
      <w:proofErr w:type="spellEnd"/>
      <w:r w:rsidRPr="0094536E">
        <w:rPr>
          <w:rFonts w:ascii="Times New Roman" w:eastAsia="Times New Roman" w:hAnsi="Times New Roman" w:cs="Times New Roman"/>
          <w:sz w:val="24"/>
          <w:szCs w:val="24"/>
          <w:lang w:val="en-GB"/>
        </w:rPr>
        <w:t xml:space="preserve">, H. B., </w:t>
      </w:r>
      <w:proofErr w:type="spellStart"/>
      <w:r w:rsidRPr="0094536E">
        <w:rPr>
          <w:rFonts w:ascii="Times New Roman" w:eastAsia="Times New Roman" w:hAnsi="Times New Roman" w:cs="Times New Roman"/>
          <w:sz w:val="24"/>
          <w:szCs w:val="24"/>
          <w:lang w:val="en-GB"/>
        </w:rPr>
        <w:t>Jaafar</w:t>
      </w:r>
      <w:proofErr w:type="spellEnd"/>
      <w:r w:rsidRPr="0094536E">
        <w:rPr>
          <w:rFonts w:ascii="Times New Roman" w:eastAsia="Times New Roman" w:hAnsi="Times New Roman" w:cs="Times New Roman"/>
          <w:sz w:val="24"/>
          <w:szCs w:val="24"/>
          <w:lang w:val="en-GB"/>
        </w:rPr>
        <w:t xml:space="preserve">, N. B., </w:t>
      </w:r>
      <w:proofErr w:type="spellStart"/>
      <w:r w:rsidRPr="0094536E">
        <w:rPr>
          <w:rFonts w:ascii="Times New Roman" w:eastAsia="Times New Roman" w:hAnsi="Times New Roman" w:cs="Times New Roman"/>
          <w:sz w:val="24"/>
          <w:szCs w:val="24"/>
          <w:lang w:val="en-GB"/>
        </w:rPr>
        <w:t>Zainol</w:t>
      </w:r>
      <w:proofErr w:type="spellEnd"/>
      <w:r w:rsidRPr="0094536E">
        <w:rPr>
          <w:rFonts w:ascii="Times New Roman" w:eastAsia="Times New Roman" w:hAnsi="Times New Roman" w:cs="Times New Roman"/>
          <w:sz w:val="24"/>
          <w:szCs w:val="24"/>
          <w:lang w:val="en-GB"/>
        </w:rPr>
        <w:t xml:space="preserve">, N. R. B., &amp; Mat </w:t>
      </w:r>
      <w:proofErr w:type="spellStart"/>
      <w:r w:rsidRPr="0094536E">
        <w:rPr>
          <w:rFonts w:ascii="Times New Roman" w:eastAsia="Times New Roman" w:hAnsi="Times New Roman" w:cs="Times New Roman"/>
          <w:sz w:val="24"/>
          <w:szCs w:val="24"/>
          <w:lang w:val="en-GB"/>
        </w:rPr>
        <w:t>Daud</w:t>
      </w:r>
      <w:proofErr w:type="spellEnd"/>
      <w:r w:rsidRPr="0094536E">
        <w:rPr>
          <w:rFonts w:ascii="Times New Roman" w:eastAsia="Times New Roman" w:hAnsi="Times New Roman" w:cs="Times New Roman"/>
          <w:sz w:val="24"/>
          <w:szCs w:val="24"/>
          <w:lang w:val="en-GB"/>
        </w:rPr>
        <w:t xml:space="preserve">, N. I. (2022, April). </w:t>
      </w:r>
      <w:r w:rsidRPr="00BD0A82">
        <w:rPr>
          <w:rFonts w:ascii="Times New Roman" w:eastAsia="Times New Roman" w:hAnsi="Times New Roman" w:cs="Times New Roman"/>
          <w:sz w:val="24"/>
          <w:szCs w:val="24"/>
          <w:lang w:val="en-GB"/>
        </w:rPr>
        <w:t>Hawkers’ Attitude on Environmentally Friendly Food Packaging Practices in Night Market. In</w:t>
      </w:r>
      <w:r w:rsidR="00BD0A82">
        <w:rPr>
          <w:rFonts w:ascii="Times New Roman" w:eastAsia="Times New Roman" w:hAnsi="Times New Roman" w:cs="Times New Roman"/>
          <w:sz w:val="24"/>
          <w:szCs w:val="24"/>
          <w:lang w:val="en-GB"/>
        </w:rPr>
        <w:t>.</w:t>
      </w:r>
      <w:r w:rsidRPr="00BD0A82">
        <w:rPr>
          <w:rFonts w:ascii="Times New Roman" w:eastAsia="Times New Roman" w:hAnsi="Times New Roman" w:cs="Times New Roman"/>
          <w:sz w:val="24"/>
          <w:szCs w:val="24"/>
          <w:lang w:val="en-GB"/>
        </w:rPr>
        <w:t> Eurasian Business and Economics Perspectives: Proceedings of the 35th Eurasia Business and Economics Society Conference (pp. 23-34). Springer International Publishing.</w:t>
      </w:r>
    </w:p>
    <w:p w14:paraId="5A4D69D7" w14:textId="12930EDC" w:rsidR="00A7727A" w:rsidRDefault="00A7727A"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B4692">
        <w:rPr>
          <w:rFonts w:ascii="Times New Roman" w:eastAsia="Times New Roman" w:hAnsi="Times New Roman" w:cs="Times New Roman"/>
          <w:sz w:val="24"/>
          <w:szCs w:val="24"/>
        </w:rPr>
        <w:t>Noor, N.</w:t>
      </w:r>
      <w:r>
        <w:rPr>
          <w:rFonts w:ascii="Times New Roman" w:eastAsia="Times New Roman" w:hAnsi="Times New Roman" w:cs="Times New Roman"/>
          <w:sz w:val="24"/>
          <w:szCs w:val="24"/>
        </w:rPr>
        <w:t xml:space="preserve"> M.</w:t>
      </w:r>
      <w:r w:rsidRPr="009B4692">
        <w:rPr>
          <w:rFonts w:ascii="Times New Roman" w:eastAsia="Times New Roman" w:hAnsi="Times New Roman" w:cs="Times New Roman"/>
          <w:sz w:val="24"/>
          <w:szCs w:val="24"/>
        </w:rPr>
        <w:t>, &amp; Harun, S. N. (2022). Towards sustainable aquaculture: A brief look into management issues. </w:t>
      </w:r>
      <w:r w:rsidRPr="009B4692">
        <w:rPr>
          <w:rFonts w:ascii="Times New Roman" w:eastAsia="Times New Roman" w:hAnsi="Times New Roman" w:cs="Times New Roman"/>
          <w:i/>
          <w:iCs/>
          <w:sz w:val="24"/>
          <w:szCs w:val="24"/>
        </w:rPr>
        <w:t>Applied Sciences</w:t>
      </w:r>
      <w:r w:rsidRPr="009B4692">
        <w:rPr>
          <w:rFonts w:ascii="Times New Roman" w:eastAsia="Times New Roman" w:hAnsi="Times New Roman" w:cs="Times New Roman"/>
          <w:sz w:val="24"/>
          <w:szCs w:val="24"/>
        </w:rPr>
        <w:t>, </w:t>
      </w:r>
      <w:r w:rsidRPr="009B4692">
        <w:rPr>
          <w:rFonts w:ascii="Times New Roman" w:eastAsia="Times New Roman" w:hAnsi="Times New Roman" w:cs="Times New Roman"/>
          <w:i/>
          <w:iCs/>
          <w:sz w:val="24"/>
          <w:szCs w:val="24"/>
        </w:rPr>
        <w:t>12</w:t>
      </w:r>
      <w:r w:rsidRPr="009B4692">
        <w:rPr>
          <w:rFonts w:ascii="Times New Roman" w:eastAsia="Times New Roman" w:hAnsi="Times New Roman" w:cs="Times New Roman"/>
          <w:sz w:val="24"/>
          <w:szCs w:val="24"/>
        </w:rPr>
        <w:t>(15), 7448.</w:t>
      </w:r>
    </w:p>
    <w:p w14:paraId="0AFD7517"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Othman, A. R., </w:t>
      </w:r>
      <w:proofErr w:type="spellStart"/>
      <w:r w:rsidRPr="0094536E">
        <w:rPr>
          <w:rFonts w:ascii="Times New Roman" w:eastAsia="Times New Roman" w:hAnsi="Times New Roman" w:cs="Times New Roman"/>
          <w:sz w:val="24"/>
          <w:szCs w:val="24"/>
          <w:lang w:val="en-GB"/>
        </w:rPr>
        <w:t>Jusoh</w:t>
      </w:r>
      <w:proofErr w:type="spellEnd"/>
      <w:r w:rsidRPr="0094536E">
        <w:rPr>
          <w:rFonts w:ascii="Times New Roman" w:eastAsia="Times New Roman" w:hAnsi="Times New Roman" w:cs="Times New Roman"/>
          <w:sz w:val="24"/>
          <w:szCs w:val="24"/>
          <w:lang w:val="en-GB"/>
        </w:rPr>
        <w:t xml:space="preserve">, Z. M., Rahim, H. A., </w:t>
      </w:r>
      <w:proofErr w:type="spellStart"/>
      <w:r w:rsidRPr="0094536E">
        <w:rPr>
          <w:rFonts w:ascii="Times New Roman" w:eastAsia="Times New Roman" w:hAnsi="Times New Roman" w:cs="Times New Roman"/>
          <w:sz w:val="24"/>
          <w:szCs w:val="24"/>
          <w:lang w:val="en-GB"/>
        </w:rPr>
        <w:t>Wahab</w:t>
      </w:r>
      <w:proofErr w:type="spellEnd"/>
      <w:r w:rsidRPr="0094536E">
        <w:rPr>
          <w:rFonts w:ascii="Times New Roman" w:eastAsia="Times New Roman" w:hAnsi="Times New Roman" w:cs="Times New Roman"/>
          <w:sz w:val="24"/>
          <w:szCs w:val="24"/>
          <w:lang w:val="en-GB"/>
        </w:rPr>
        <w:t xml:space="preserve">, A., Abdullah, W. A. W., &amp; </w:t>
      </w:r>
      <w:proofErr w:type="spellStart"/>
      <w:r w:rsidRPr="0094536E">
        <w:rPr>
          <w:rFonts w:ascii="Times New Roman" w:eastAsia="Times New Roman" w:hAnsi="Times New Roman" w:cs="Times New Roman"/>
          <w:sz w:val="24"/>
          <w:szCs w:val="24"/>
          <w:lang w:val="en-GB"/>
        </w:rPr>
        <w:t>Paim</w:t>
      </w:r>
      <w:proofErr w:type="spellEnd"/>
      <w:r w:rsidRPr="0094536E">
        <w:rPr>
          <w:rFonts w:ascii="Times New Roman" w:eastAsia="Times New Roman" w:hAnsi="Times New Roman" w:cs="Times New Roman"/>
          <w:sz w:val="24"/>
          <w:szCs w:val="24"/>
          <w:lang w:val="en-GB"/>
        </w:rPr>
        <w:t>, L. (2020). Women Participation in Malaysia Informal Sector, Challenges and Policy Implication: Overview on Literature Perspective. </w:t>
      </w:r>
      <w:proofErr w:type="spellStart"/>
      <w:r w:rsidRPr="0094536E">
        <w:rPr>
          <w:rFonts w:ascii="Times New Roman" w:eastAsia="Times New Roman" w:hAnsi="Times New Roman" w:cs="Times New Roman"/>
          <w:i/>
          <w:iCs/>
          <w:sz w:val="24"/>
          <w:szCs w:val="24"/>
          <w:lang w:val="en-GB"/>
        </w:rPr>
        <w:t>Jurnal</w:t>
      </w:r>
      <w:proofErr w:type="spellEnd"/>
      <w:r w:rsidRPr="0094536E">
        <w:rPr>
          <w:rFonts w:ascii="Times New Roman" w:eastAsia="Times New Roman" w:hAnsi="Times New Roman" w:cs="Times New Roman"/>
          <w:i/>
          <w:iCs/>
          <w:sz w:val="24"/>
          <w:szCs w:val="24"/>
          <w:lang w:val="en-GB"/>
        </w:rPr>
        <w:t xml:space="preserve"> </w:t>
      </w:r>
      <w:proofErr w:type="spellStart"/>
      <w:r w:rsidRPr="0094536E">
        <w:rPr>
          <w:rFonts w:ascii="Times New Roman" w:eastAsia="Times New Roman" w:hAnsi="Times New Roman" w:cs="Times New Roman"/>
          <w:i/>
          <w:iCs/>
          <w:sz w:val="24"/>
          <w:szCs w:val="24"/>
          <w:lang w:val="en-GB"/>
        </w:rPr>
        <w:t>Pengguna</w:t>
      </w:r>
      <w:proofErr w:type="spellEnd"/>
      <w:r w:rsidRPr="0094536E">
        <w:rPr>
          <w:rFonts w:ascii="Times New Roman" w:eastAsia="Times New Roman" w:hAnsi="Times New Roman" w:cs="Times New Roman"/>
          <w:i/>
          <w:iCs/>
          <w:sz w:val="24"/>
          <w:szCs w:val="24"/>
          <w:lang w:val="en-GB"/>
        </w:rPr>
        <w:t xml:space="preserve"> Malaysia</w:t>
      </w:r>
      <w:r w:rsidRPr="0094536E">
        <w:rPr>
          <w:rFonts w:ascii="Times New Roman" w:eastAsia="Times New Roman" w:hAnsi="Times New Roman" w:cs="Times New Roman"/>
          <w:sz w:val="24"/>
          <w:szCs w:val="24"/>
          <w:lang w:val="en-GB"/>
        </w:rPr>
        <w:t>, 1-25.</w:t>
      </w:r>
    </w:p>
    <w:p w14:paraId="673C47D7"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Park, Y. M. (2022). A GPS-enabled portable air pollution sensor and web-mapping technologies for field-based learning in health geography. </w:t>
      </w:r>
      <w:r w:rsidRPr="0094536E">
        <w:rPr>
          <w:rFonts w:ascii="Times New Roman" w:eastAsia="Times New Roman" w:hAnsi="Times New Roman" w:cs="Times New Roman"/>
          <w:i/>
          <w:iCs/>
          <w:sz w:val="24"/>
          <w:szCs w:val="24"/>
          <w:lang w:val="en-GB"/>
        </w:rPr>
        <w:t>Journal of Geography in Higher Education</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46</w:t>
      </w:r>
      <w:r w:rsidRPr="0094536E">
        <w:rPr>
          <w:rFonts w:ascii="Times New Roman" w:eastAsia="Times New Roman" w:hAnsi="Times New Roman" w:cs="Times New Roman"/>
          <w:sz w:val="24"/>
          <w:szCs w:val="24"/>
          <w:lang w:val="en-GB"/>
        </w:rPr>
        <w:t>(2), 241-261.</w:t>
      </w:r>
    </w:p>
    <w:p w14:paraId="0E9D01D0"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Rahman, N. H., &amp; Aziz, S. N. (2020). Challenges in implementing inclusive development concept in sustainable development Goals 2030. </w:t>
      </w:r>
      <w:proofErr w:type="spellStart"/>
      <w:r w:rsidRPr="0094536E">
        <w:rPr>
          <w:rFonts w:ascii="Times New Roman" w:eastAsia="Times New Roman" w:hAnsi="Times New Roman" w:cs="Times New Roman"/>
          <w:i/>
          <w:iCs/>
          <w:sz w:val="24"/>
          <w:szCs w:val="24"/>
          <w:lang w:val="en-GB"/>
        </w:rPr>
        <w:t>Jurnal</w:t>
      </w:r>
      <w:proofErr w:type="spellEnd"/>
      <w:r w:rsidRPr="0094536E">
        <w:rPr>
          <w:rFonts w:ascii="Times New Roman" w:eastAsia="Times New Roman" w:hAnsi="Times New Roman" w:cs="Times New Roman"/>
          <w:i/>
          <w:iCs/>
          <w:sz w:val="24"/>
          <w:szCs w:val="24"/>
          <w:lang w:val="en-GB"/>
        </w:rPr>
        <w:t xml:space="preserve"> </w:t>
      </w:r>
      <w:proofErr w:type="spellStart"/>
      <w:r w:rsidRPr="0094536E">
        <w:rPr>
          <w:rFonts w:ascii="Times New Roman" w:eastAsia="Times New Roman" w:hAnsi="Times New Roman" w:cs="Times New Roman"/>
          <w:i/>
          <w:iCs/>
          <w:sz w:val="24"/>
          <w:szCs w:val="24"/>
          <w:lang w:val="en-GB"/>
        </w:rPr>
        <w:t>Undang-Undang</w:t>
      </w:r>
      <w:proofErr w:type="spellEnd"/>
      <w:r w:rsidRPr="0094536E">
        <w:rPr>
          <w:rFonts w:ascii="Times New Roman" w:eastAsia="Times New Roman" w:hAnsi="Times New Roman" w:cs="Times New Roman"/>
          <w:i/>
          <w:iCs/>
          <w:sz w:val="24"/>
          <w:szCs w:val="24"/>
          <w:lang w:val="en-GB"/>
        </w:rPr>
        <w:t xml:space="preserve"> Dan </w:t>
      </w:r>
      <w:proofErr w:type="spellStart"/>
      <w:r w:rsidRPr="0094536E">
        <w:rPr>
          <w:rFonts w:ascii="Times New Roman" w:eastAsia="Times New Roman" w:hAnsi="Times New Roman" w:cs="Times New Roman"/>
          <w:i/>
          <w:iCs/>
          <w:sz w:val="24"/>
          <w:szCs w:val="24"/>
          <w:lang w:val="en-GB"/>
        </w:rPr>
        <w:t>Masyarakat</w:t>
      </w:r>
      <w:proofErr w:type="spellEnd"/>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26</w:t>
      </w:r>
      <w:r w:rsidRPr="0094536E">
        <w:rPr>
          <w:rFonts w:ascii="Times New Roman" w:eastAsia="Times New Roman" w:hAnsi="Times New Roman" w:cs="Times New Roman"/>
          <w:sz w:val="24"/>
          <w:szCs w:val="24"/>
          <w:lang w:val="en-GB"/>
        </w:rPr>
        <w:t>, 15.</w:t>
      </w:r>
    </w:p>
    <w:p w14:paraId="5E1EBB85" w14:textId="77777777" w:rsidR="00806351" w:rsidRPr="0094536E" w:rsidRDefault="00806351" w:rsidP="00806351">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Rhein</w:t>
      </w:r>
      <w:proofErr w:type="spellEnd"/>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S</w:t>
      </w:r>
      <w:r>
        <w:rPr>
          <w:rFonts w:ascii="Times New Roman" w:eastAsia="Times New Roman" w:hAnsi="Times New Roman" w:cs="Times New Roman"/>
          <w:sz w:val="24"/>
          <w:szCs w:val="24"/>
          <w:lang w:val="en-GB"/>
        </w:rPr>
        <w:t>., &amp;</w:t>
      </w:r>
      <w:r w:rsidRPr="0094536E">
        <w:rPr>
          <w:rFonts w:ascii="Times New Roman" w:eastAsia="Times New Roman" w:hAnsi="Times New Roman" w:cs="Times New Roman"/>
          <w:sz w:val="24"/>
          <w:szCs w:val="24"/>
          <w:lang w:val="en-GB"/>
        </w:rPr>
        <w:t xml:space="preserve"> </w:t>
      </w:r>
      <w:proofErr w:type="spellStart"/>
      <w:r w:rsidRPr="0094536E">
        <w:rPr>
          <w:rFonts w:ascii="Times New Roman" w:eastAsia="Times New Roman" w:hAnsi="Times New Roman" w:cs="Times New Roman"/>
          <w:sz w:val="24"/>
          <w:szCs w:val="24"/>
          <w:lang w:val="en-GB"/>
        </w:rPr>
        <w:t>Schmid</w:t>
      </w:r>
      <w:proofErr w:type="spellEnd"/>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M</w:t>
      </w:r>
      <w:r>
        <w:rPr>
          <w:rFonts w:ascii="Times New Roman" w:eastAsia="Times New Roman" w:hAnsi="Times New Roman" w:cs="Times New Roman"/>
          <w:sz w:val="24"/>
          <w:szCs w:val="24"/>
          <w:lang w:val="en-GB"/>
        </w:rPr>
        <w:t>.</w:t>
      </w:r>
      <w:r w:rsidRPr="0094536E">
        <w:rPr>
          <w:rFonts w:ascii="Times New Roman" w:eastAsia="Times New Roman" w:hAnsi="Times New Roman" w:cs="Times New Roman"/>
          <w:sz w:val="24"/>
          <w:szCs w:val="24"/>
          <w:lang w:val="en-GB"/>
        </w:rPr>
        <w:t xml:space="preserve"> (2020). Consumers’ awareness of plastic packaging: More than just environmental concerns. </w:t>
      </w:r>
      <w:r w:rsidRPr="00BD0A82">
        <w:rPr>
          <w:rFonts w:ascii="Times New Roman" w:eastAsia="Times New Roman" w:hAnsi="Times New Roman" w:cs="Times New Roman"/>
          <w:i/>
          <w:iCs/>
          <w:sz w:val="24"/>
          <w:szCs w:val="24"/>
          <w:lang w:val="en-GB"/>
        </w:rPr>
        <w:t>Resources, Conservation and Recycling 162</w:t>
      </w:r>
      <w:r>
        <w:rPr>
          <w:rFonts w:ascii="Times New Roman" w:eastAsia="Times New Roman" w:hAnsi="Times New Roman" w:cs="Times New Roman"/>
          <w:sz w:val="24"/>
          <w:szCs w:val="24"/>
          <w:lang w:val="en-GB"/>
        </w:rPr>
        <w:t xml:space="preserve">, </w:t>
      </w:r>
      <w:r w:rsidRPr="0094536E">
        <w:rPr>
          <w:rFonts w:ascii="Times New Roman" w:eastAsia="Times New Roman" w:hAnsi="Times New Roman" w:cs="Times New Roman"/>
          <w:sz w:val="24"/>
          <w:szCs w:val="24"/>
          <w:lang w:val="en-GB"/>
        </w:rPr>
        <w:t>105063.</w:t>
      </w:r>
    </w:p>
    <w:p w14:paraId="385B41F5" w14:textId="70C38354"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Safari, A., </w:t>
      </w:r>
      <w:proofErr w:type="spellStart"/>
      <w:r w:rsidRPr="0094536E">
        <w:rPr>
          <w:rFonts w:ascii="Times New Roman" w:eastAsia="Times New Roman" w:hAnsi="Times New Roman" w:cs="Times New Roman"/>
          <w:sz w:val="24"/>
          <w:szCs w:val="24"/>
          <w:lang w:val="en-GB"/>
        </w:rPr>
        <w:t>Salehzadeh</w:t>
      </w:r>
      <w:proofErr w:type="spellEnd"/>
      <w:r w:rsidRPr="0094536E">
        <w:rPr>
          <w:rFonts w:ascii="Times New Roman" w:eastAsia="Times New Roman" w:hAnsi="Times New Roman" w:cs="Times New Roman"/>
          <w:sz w:val="24"/>
          <w:szCs w:val="24"/>
          <w:lang w:val="en-GB"/>
        </w:rPr>
        <w:t xml:space="preserve">, R., </w:t>
      </w:r>
      <w:proofErr w:type="spellStart"/>
      <w:r w:rsidRPr="0094536E">
        <w:rPr>
          <w:rFonts w:ascii="Times New Roman" w:eastAsia="Times New Roman" w:hAnsi="Times New Roman" w:cs="Times New Roman"/>
          <w:sz w:val="24"/>
          <w:szCs w:val="24"/>
          <w:lang w:val="en-GB"/>
        </w:rPr>
        <w:t>Panahi</w:t>
      </w:r>
      <w:proofErr w:type="spellEnd"/>
      <w:r w:rsidRPr="0094536E">
        <w:rPr>
          <w:rFonts w:ascii="Times New Roman" w:eastAsia="Times New Roman" w:hAnsi="Times New Roman" w:cs="Times New Roman"/>
          <w:sz w:val="24"/>
          <w:szCs w:val="24"/>
          <w:lang w:val="en-GB"/>
        </w:rPr>
        <w:t xml:space="preserve">, R., &amp; </w:t>
      </w:r>
      <w:proofErr w:type="spellStart"/>
      <w:r w:rsidRPr="0094536E">
        <w:rPr>
          <w:rFonts w:ascii="Times New Roman" w:eastAsia="Times New Roman" w:hAnsi="Times New Roman" w:cs="Times New Roman"/>
          <w:sz w:val="24"/>
          <w:szCs w:val="24"/>
          <w:lang w:val="en-GB"/>
        </w:rPr>
        <w:t>Abolghasemian</w:t>
      </w:r>
      <w:proofErr w:type="spellEnd"/>
      <w:r w:rsidRPr="0094536E">
        <w:rPr>
          <w:rFonts w:ascii="Times New Roman" w:eastAsia="Times New Roman" w:hAnsi="Times New Roman" w:cs="Times New Roman"/>
          <w:sz w:val="24"/>
          <w:szCs w:val="24"/>
          <w:lang w:val="en-GB"/>
        </w:rPr>
        <w:t xml:space="preserve">, S. (2018). Multiple pathways linking environmental knowledge and awareness to employees’ green </w:t>
      </w:r>
      <w:proofErr w:type="spellStart"/>
      <w:r w:rsidRPr="0094536E">
        <w:rPr>
          <w:rFonts w:ascii="Times New Roman" w:eastAsia="Times New Roman" w:hAnsi="Times New Roman" w:cs="Times New Roman"/>
          <w:sz w:val="24"/>
          <w:szCs w:val="24"/>
          <w:lang w:val="en-GB"/>
        </w:rPr>
        <w:t>behavior</w:t>
      </w:r>
      <w:proofErr w:type="spellEnd"/>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Corporate Governance: The international journal of business in society</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18</w:t>
      </w:r>
      <w:r w:rsidRPr="0094536E">
        <w:rPr>
          <w:rFonts w:ascii="Times New Roman" w:eastAsia="Times New Roman" w:hAnsi="Times New Roman" w:cs="Times New Roman"/>
          <w:sz w:val="24"/>
          <w:szCs w:val="24"/>
          <w:lang w:val="en-GB"/>
        </w:rPr>
        <w:t>(1), 81-103.</w:t>
      </w:r>
    </w:p>
    <w:p w14:paraId="1FFE3317"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bCs/>
          <w:sz w:val="24"/>
          <w:szCs w:val="24"/>
        </w:rPr>
      </w:pPr>
      <w:r w:rsidRPr="0094536E">
        <w:rPr>
          <w:rFonts w:ascii="Times New Roman" w:eastAsia="Times New Roman" w:hAnsi="Times New Roman" w:cs="Times New Roman"/>
          <w:bCs/>
          <w:sz w:val="24"/>
          <w:szCs w:val="24"/>
          <w:lang w:val="en-GB"/>
        </w:rPr>
        <w:t xml:space="preserve">Sharma, S. K., </w:t>
      </w:r>
      <w:proofErr w:type="spellStart"/>
      <w:r w:rsidRPr="0094536E">
        <w:rPr>
          <w:rFonts w:ascii="Times New Roman" w:eastAsia="Times New Roman" w:hAnsi="Times New Roman" w:cs="Times New Roman"/>
          <w:bCs/>
          <w:sz w:val="24"/>
          <w:szCs w:val="24"/>
          <w:lang w:val="en-GB"/>
        </w:rPr>
        <w:t>Mudgal</w:t>
      </w:r>
      <w:proofErr w:type="spellEnd"/>
      <w:r w:rsidRPr="0094536E">
        <w:rPr>
          <w:rFonts w:ascii="Times New Roman" w:eastAsia="Times New Roman" w:hAnsi="Times New Roman" w:cs="Times New Roman"/>
          <w:bCs/>
          <w:sz w:val="24"/>
          <w:szCs w:val="24"/>
          <w:lang w:val="en-GB"/>
        </w:rPr>
        <w:t>, S. K., Thakur, K., &amp; Gaur, R. (2020). How to calculate sample size for observational and experimental nursing research studies. </w:t>
      </w:r>
      <w:r w:rsidRPr="0094536E">
        <w:rPr>
          <w:rFonts w:ascii="Times New Roman" w:eastAsia="Times New Roman" w:hAnsi="Times New Roman" w:cs="Times New Roman"/>
          <w:bCs/>
          <w:i/>
          <w:iCs/>
          <w:sz w:val="24"/>
          <w:szCs w:val="24"/>
          <w:lang w:val="en-GB"/>
        </w:rPr>
        <w:t>National Journal of Physiology, Pharmacy and Pharmacology</w:t>
      </w:r>
      <w:r w:rsidRPr="0094536E">
        <w:rPr>
          <w:rFonts w:ascii="Times New Roman" w:eastAsia="Times New Roman" w:hAnsi="Times New Roman" w:cs="Times New Roman"/>
          <w:bCs/>
          <w:sz w:val="24"/>
          <w:szCs w:val="24"/>
          <w:lang w:val="en-GB"/>
        </w:rPr>
        <w:t>, </w:t>
      </w:r>
      <w:r w:rsidRPr="0094536E">
        <w:rPr>
          <w:rFonts w:ascii="Times New Roman" w:eastAsia="Times New Roman" w:hAnsi="Times New Roman" w:cs="Times New Roman"/>
          <w:bCs/>
          <w:i/>
          <w:iCs/>
          <w:sz w:val="24"/>
          <w:szCs w:val="24"/>
          <w:lang w:val="en-GB"/>
        </w:rPr>
        <w:t>10</w:t>
      </w:r>
      <w:r w:rsidRPr="0094536E">
        <w:rPr>
          <w:rFonts w:ascii="Times New Roman" w:eastAsia="Times New Roman" w:hAnsi="Times New Roman" w:cs="Times New Roman"/>
          <w:bCs/>
          <w:sz w:val="24"/>
          <w:szCs w:val="24"/>
          <w:lang w:val="en-GB"/>
        </w:rPr>
        <w:t>(1), 1-8.</w:t>
      </w:r>
    </w:p>
    <w:p w14:paraId="75FAC016" w14:textId="5D14A960" w:rsidR="0094536E" w:rsidRPr="0094536E" w:rsidRDefault="00806351"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806351">
        <w:rPr>
          <w:rFonts w:ascii="Times New Roman" w:eastAsia="Times New Roman" w:hAnsi="Times New Roman" w:cs="Times New Roman"/>
          <w:sz w:val="24"/>
          <w:szCs w:val="24"/>
          <w:lang w:val="en-GB"/>
        </w:rPr>
        <w:t>Simon, E. (2019). Plastics from a whole planet perspective. Field Actions Science Reports: The journal of field actions, (Special Issue 19</w:t>
      </w:r>
      <w:proofErr w:type="gramStart"/>
      <w:r w:rsidRPr="00806351">
        <w:rPr>
          <w:rFonts w:ascii="Times New Roman" w:eastAsia="Times New Roman" w:hAnsi="Times New Roman" w:cs="Times New Roman"/>
          <w:sz w:val="24"/>
          <w:szCs w:val="24"/>
          <w:lang w:val="en-GB"/>
        </w:rPr>
        <w:t>).</w:t>
      </w:r>
      <w:r w:rsidR="0094536E" w:rsidRPr="0094536E">
        <w:rPr>
          <w:rFonts w:ascii="Times New Roman" w:eastAsia="Times New Roman" w:hAnsi="Times New Roman" w:cs="Times New Roman"/>
          <w:sz w:val="24"/>
          <w:szCs w:val="24"/>
          <w:lang w:val="en-GB"/>
        </w:rPr>
        <w:t>Tang</w:t>
      </w:r>
      <w:proofErr w:type="gramEnd"/>
      <w:r w:rsidR="0094536E" w:rsidRPr="0094536E">
        <w:rPr>
          <w:rFonts w:ascii="Times New Roman" w:eastAsia="Times New Roman" w:hAnsi="Times New Roman" w:cs="Times New Roman"/>
          <w:sz w:val="24"/>
          <w:szCs w:val="24"/>
          <w:lang w:val="en-GB"/>
        </w:rPr>
        <w:t xml:space="preserve">, Y. Y., Tang, K. H. D., </w:t>
      </w:r>
      <w:proofErr w:type="spellStart"/>
      <w:r w:rsidR="0094536E" w:rsidRPr="0094536E">
        <w:rPr>
          <w:rFonts w:ascii="Times New Roman" w:eastAsia="Times New Roman" w:hAnsi="Times New Roman" w:cs="Times New Roman"/>
          <w:sz w:val="24"/>
          <w:szCs w:val="24"/>
          <w:lang w:val="en-GB"/>
        </w:rPr>
        <w:t>Maharjan</w:t>
      </w:r>
      <w:proofErr w:type="spellEnd"/>
      <w:r w:rsidR="0094536E" w:rsidRPr="0094536E">
        <w:rPr>
          <w:rFonts w:ascii="Times New Roman" w:eastAsia="Times New Roman" w:hAnsi="Times New Roman" w:cs="Times New Roman"/>
          <w:sz w:val="24"/>
          <w:szCs w:val="24"/>
          <w:lang w:val="en-GB"/>
        </w:rPr>
        <w:t xml:space="preserve">, A. K., Aziz, A. A., &amp; </w:t>
      </w:r>
      <w:proofErr w:type="spellStart"/>
      <w:r w:rsidR="0094536E" w:rsidRPr="0094536E">
        <w:rPr>
          <w:rFonts w:ascii="Times New Roman" w:eastAsia="Times New Roman" w:hAnsi="Times New Roman" w:cs="Times New Roman"/>
          <w:sz w:val="24"/>
          <w:szCs w:val="24"/>
          <w:lang w:val="en-GB"/>
        </w:rPr>
        <w:t>Bunrith</w:t>
      </w:r>
      <w:proofErr w:type="spellEnd"/>
      <w:r w:rsidR="0094536E" w:rsidRPr="0094536E">
        <w:rPr>
          <w:rFonts w:ascii="Times New Roman" w:eastAsia="Times New Roman" w:hAnsi="Times New Roman" w:cs="Times New Roman"/>
          <w:sz w:val="24"/>
          <w:szCs w:val="24"/>
          <w:lang w:val="en-GB"/>
        </w:rPr>
        <w:t>, S. (2021). Malaysia moving towards a sustainability municipal waste management. </w:t>
      </w:r>
      <w:r w:rsidR="0094536E" w:rsidRPr="0094536E">
        <w:rPr>
          <w:rFonts w:ascii="Times New Roman" w:eastAsia="Times New Roman" w:hAnsi="Times New Roman" w:cs="Times New Roman"/>
          <w:i/>
          <w:iCs/>
          <w:sz w:val="24"/>
          <w:szCs w:val="24"/>
          <w:lang w:val="en-GB"/>
        </w:rPr>
        <w:t>Industrial and Domestic Waste Management</w:t>
      </w:r>
      <w:r w:rsidR="0094536E" w:rsidRPr="0094536E">
        <w:rPr>
          <w:rFonts w:ascii="Times New Roman" w:eastAsia="Times New Roman" w:hAnsi="Times New Roman" w:cs="Times New Roman"/>
          <w:sz w:val="24"/>
          <w:szCs w:val="24"/>
          <w:lang w:val="en-GB"/>
        </w:rPr>
        <w:t>, </w:t>
      </w:r>
      <w:r w:rsidR="0094536E" w:rsidRPr="0094536E">
        <w:rPr>
          <w:rFonts w:ascii="Times New Roman" w:eastAsia="Times New Roman" w:hAnsi="Times New Roman" w:cs="Times New Roman"/>
          <w:i/>
          <w:iCs/>
          <w:sz w:val="24"/>
          <w:szCs w:val="24"/>
          <w:lang w:val="en-GB"/>
        </w:rPr>
        <w:t>1</w:t>
      </w:r>
      <w:r w:rsidR="0094536E" w:rsidRPr="0094536E">
        <w:rPr>
          <w:rFonts w:ascii="Times New Roman" w:eastAsia="Times New Roman" w:hAnsi="Times New Roman" w:cs="Times New Roman"/>
          <w:sz w:val="24"/>
          <w:szCs w:val="24"/>
          <w:lang w:val="en-GB"/>
        </w:rPr>
        <w:t>(1), 26-40.</w:t>
      </w:r>
    </w:p>
    <w:p w14:paraId="2FA7F7D1"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94536E">
        <w:rPr>
          <w:rFonts w:ascii="Times New Roman" w:eastAsia="Times New Roman" w:hAnsi="Times New Roman" w:cs="Times New Roman"/>
          <w:sz w:val="24"/>
          <w:szCs w:val="24"/>
          <w:lang w:val="en-GB"/>
        </w:rPr>
        <w:t>Trott</w:t>
      </w:r>
      <w:proofErr w:type="spellEnd"/>
      <w:r w:rsidRPr="0094536E">
        <w:rPr>
          <w:rFonts w:ascii="Times New Roman" w:eastAsia="Times New Roman" w:hAnsi="Times New Roman" w:cs="Times New Roman"/>
          <w:sz w:val="24"/>
          <w:szCs w:val="24"/>
          <w:lang w:val="en-GB"/>
        </w:rPr>
        <w:t>, C. D. (2020). Children’s constructive climate change engagement: Empowering awareness, agency, and action. </w:t>
      </w:r>
      <w:r w:rsidRPr="0094536E">
        <w:rPr>
          <w:rFonts w:ascii="Times New Roman" w:eastAsia="Times New Roman" w:hAnsi="Times New Roman" w:cs="Times New Roman"/>
          <w:i/>
          <w:iCs/>
          <w:sz w:val="24"/>
          <w:szCs w:val="24"/>
          <w:lang w:val="en-GB"/>
        </w:rPr>
        <w:t>Environmental Education Research</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26</w:t>
      </w:r>
      <w:r w:rsidRPr="0094536E">
        <w:rPr>
          <w:rFonts w:ascii="Times New Roman" w:eastAsia="Times New Roman" w:hAnsi="Times New Roman" w:cs="Times New Roman"/>
          <w:sz w:val="24"/>
          <w:szCs w:val="24"/>
          <w:lang w:val="en-GB"/>
        </w:rPr>
        <w:t>(4), 532-554.</w:t>
      </w:r>
    </w:p>
    <w:p w14:paraId="59DACF16"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van de </w:t>
      </w:r>
      <w:proofErr w:type="spellStart"/>
      <w:r w:rsidRPr="0094536E">
        <w:rPr>
          <w:rFonts w:ascii="Times New Roman" w:eastAsia="Times New Roman" w:hAnsi="Times New Roman" w:cs="Times New Roman"/>
          <w:sz w:val="24"/>
          <w:szCs w:val="24"/>
          <w:lang w:val="en-GB"/>
        </w:rPr>
        <w:t>Wetering</w:t>
      </w:r>
      <w:proofErr w:type="spellEnd"/>
      <w:r w:rsidRPr="0094536E">
        <w:rPr>
          <w:rFonts w:ascii="Times New Roman" w:eastAsia="Times New Roman" w:hAnsi="Times New Roman" w:cs="Times New Roman"/>
          <w:sz w:val="24"/>
          <w:szCs w:val="24"/>
          <w:lang w:val="en-GB"/>
        </w:rPr>
        <w:t xml:space="preserve">, J., </w:t>
      </w:r>
      <w:proofErr w:type="spellStart"/>
      <w:r w:rsidRPr="0094536E">
        <w:rPr>
          <w:rFonts w:ascii="Times New Roman" w:eastAsia="Times New Roman" w:hAnsi="Times New Roman" w:cs="Times New Roman"/>
          <w:sz w:val="24"/>
          <w:szCs w:val="24"/>
          <w:lang w:val="en-GB"/>
        </w:rPr>
        <w:t>Leijten</w:t>
      </w:r>
      <w:proofErr w:type="spellEnd"/>
      <w:r w:rsidRPr="0094536E">
        <w:rPr>
          <w:rFonts w:ascii="Times New Roman" w:eastAsia="Times New Roman" w:hAnsi="Times New Roman" w:cs="Times New Roman"/>
          <w:sz w:val="24"/>
          <w:szCs w:val="24"/>
          <w:lang w:val="en-GB"/>
        </w:rPr>
        <w:t xml:space="preserve">, P., Spitzer, J., &amp; </w:t>
      </w:r>
      <w:proofErr w:type="spellStart"/>
      <w:r w:rsidRPr="0094536E">
        <w:rPr>
          <w:rFonts w:ascii="Times New Roman" w:eastAsia="Times New Roman" w:hAnsi="Times New Roman" w:cs="Times New Roman"/>
          <w:sz w:val="24"/>
          <w:szCs w:val="24"/>
          <w:lang w:val="en-GB"/>
        </w:rPr>
        <w:t>Thomaes</w:t>
      </w:r>
      <w:proofErr w:type="spellEnd"/>
      <w:r w:rsidRPr="0094536E">
        <w:rPr>
          <w:rFonts w:ascii="Times New Roman" w:eastAsia="Times New Roman" w:hAnsi="Times New Roman" w:cs="Times New Roman"/>
          <w:sz w:val="24"/>
          <w:szCs w:val="24"/>
          <w:lang w:val="en-GB"/>
        </w:rPr>
        <w:t>, S. (2022). Does environmental education benefit environmental outcomes in children and adolescents? A meta-analysis. </w:t>
      </w:r>
      <w:r w:rsidRPr="0094536E">
        <w:rPr>
          <w:rFonts w:ascii="Times New Roman" w:eastAsia="Times New Roman" w:hAnsi="Times New Roman" w:cs="Times New Roman"/>
          <w:i/>
          <w:iCs/>
          <w:sz w:val="24"/>
          <w:szCs w:val="24"/>
          <w:lang w:val="en-GB"/>
        </w:rPr>
        <w:t>Journal of Environmental Psychology</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81</w:t>
      </w:r>
      <w:r w:rsidRPr="0094536E">
        <w:rPr>
          <w:rFonts w:ascii="Times New Roman" w:eastAsia="Times New Roman" w:hAnsi="Times New Roman" w:cs="Times New Roman"/>
          <w:sz w:val="24"/>
          <w:szCs w:val="24"/>
          <w:lang w:val="en-GB"/>
        </w:rPr>
        <w:t>, 101782.</w:t>
      </w:r>
    </w:p>
    <w:p w14:paraId="3A4767BE"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Varela-</w:t>
      </w:r>
      <w:proofErr w:type="spellStart"/>
      <w:r w:rsidRPr="0094536E">
        <w:rPr>
          <w:rFonts w:ascii="Times New Roman" w:eastAsia="Times New Roman" w:hAnsi="Times New Roman" w:cs="Times New Roman"/>
          <w:sz w:val="24"/>
          <w:szCs w:val="24"/>
          <w:lang w:val="en-GB"/>
        </w:rPr>
        <w:t>Candamio</w:t>
      </w:r>
      <w:proofErr w:type="spellEnd"/>
      <w:r w:rsidRPr="0094536E">
        <w:rPr>
          <w:rFonts w:ascii="Times New Roman" w:eastAsia="Times New Roman" w:hAnsi="Times New Roman" w:cs="Times New Roman"/>
          <w:sz w:val="24"/>
          <w:szCs w:val="24"/>
          <w:lang w:val="en-GB"/>
        </w:rPr>
        <w:t>, L., Novo-</w:t>
      </w:r>
      <w:proofErr w:type="spellStart"/>
      <w:r w:rsidRPr="0094536E">
        <w:rPr>
          <w:rFonts w:ascii="Times New Roman" w:eastAsia="Times New Roman" w:hAnsi="Times New Roman" w:cs="Times New Roman"/>
          <w:sz w:val="24"/>
          <w:szCs w:val="24"/>
          <w:lang w:val="en-GB"/>
        </w:rPr>
        <w:t>Corti</w:t>
      </w:r>
      <w:proofErr w:type="spellEnd"/>
      <w:r w:rsidRPr="0094536E">
        <w:rPr>
          <w:rFonts w:ascii="Times New Roman" w:eastAsia="Times New Roman" w:hAnsi="Times New Roman" w:cs="Times New Roman"/>
          <w:sz w:val="24"/>
          <w:szCs w:val="24"/>
          <w:lang w:val="en-GB"/>
        </w:rPr>
        <w:t xml:space="preserve">, I., &amp; </w:t>
      </w:r>
      <w:proofErr w:type="spellStart"/>
      <w:r w:rsidRPr="0094536E">
        <w:rPr>
          <w:rFonts w:ascii="Times New Roman" w:eastAsia="Times New Roman" w:hAnsi="Times New Roman" w:cs="Times New Roman"/>
          <w:sz w:val="24"/>
          <w:szCs w:val="24"/>
          <w:lang w:val="en-GB"/>
        </w:rPr>
        <w:t>García-Álvarez</w:t>
      </w:r>
      <w:proofErr w:type="spellEnd"/>
      <w:r w:rsidRPr="0094536E">
        <w:rPr>
          <w:rFonts w:ascii="Times New Roman" w:eastAsia="Times New Roman" w:hAnsi="Times New Roman" w:cs="Times New Roman"/>
          <w:sz w:val="24"/>
          <w:szCs w:val="24"/>
          <w:lang w:val="en-GB"/>
        </w:rPr>
        <w:t xml:space="preserve">, M. T. (2018). The importance of environmental education in the determinants of green </w:t>
      </w:r>
      <w:proofErr w:type="spellStart"/>
      <w:r w:rsidRPr="0094536E">
        <w:rPr>
          <w:rFonts w:ascii="Times New Roman" w:eastAsia="Times New Roman" w:hAnsi="Times New Roman" w:cs="Times New Roman"/>
          <w:sz w:val="24"/>
          <w:szCs w:val="24"/>
          <w:lang w:val="en-GB"/>
        </w:rPr>
        <w:t>behavior</w:t>
      </w:r>
      <w:proofErr w:type="spellEnd"/>
      <w:r w:rsidRPr="0094536E">
        <w:rPr>
          <w:rFonts w:ascii="Times New Roman" w:eastAsia="Times New Roman" w:hAnsi="Times New Roman" w:cs="Times New Roman"/>
          <w:sz w:val="24"/>
          <w:szCs w:val="24"/>
          <w:lang w:val="en-GB"/>
        </w:rPr>
        <w:t>: A meta-analysis approach. </w:t>
      </w:r>
      <w:r w:rsidRPr="0094536E">
        <w:rPr>
          <w:rFonts w:ascii="Times New Roman" w:eastAsia="Times New Roman" w:hAnsi="Times New Roman" w:cs="Times New Roman"/>
          <w:i/>
          <w:iCs/>
          <w:sz w:val="24"/>
          <w:szCs w:val="24"/>
          <w:lang w:val="en-GB"/>
        </w:rPr>
        <w:t>Journal of cleaner production</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170</w:t>
      </w:r>
      <w:r w:rsidRPr="0094536E">
        <w:rPr>
          <w:rFonts w:ascii="Times New Roman" w:eastAsia="Times New Roman" w:hAnsi="Times New Roman" w:cs="Times New Roman"/>
          <w:sz w:val="24"/>
          <w:szCs w:val="24"/>
          <w:lang w:val="en-GB"/>
        </w:rPr>
        <w:t>, 1565-1578.</w:t>
      </w:r>
    </w:p>
    <w:p w14:paraId="6063BB50" w14:textId="77777777" w:rsidR="0094536E" w:rsidRPr="0094536E"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 xml:space="preserve">Wang, J., </w:t>
      </w:r>
      <w:proofErr w:type="spellStart"/>
      <w:r w:rsidRPr="0094536E">
        <w:rPr>
          <w:rFonts w:ascii="Times New Roman" w:eastAsia="Times New Roman" w:hAnsi="Times New Roman" w:cs="Times New Roman"/>
          <w:sz w:val="24"/>
          <w:szCs w:val="24"/>
          <w:lang w:val="en-GB"/>
        </w:rPr>
        <w:t>Xue</w:t>
      </w:r>
      <w:proofErr w:type="spellEnd"/>
      <w:r w:rsidRPr="0094536E">
        <w:rPr>
          <w:rFonts w:ascii="Times New Roman" w:eastAsia="Times New Roman" w:hAnsi="Times New Roman" w:cs="Times New Roman"/>
          <w:sz w:val="24"/>
          <w:szCs w:val="24"/>
          <w:lang w:val="en-GB"/>
        </w:rPr>
        <w:t>, Y., Sun, X., &amp; Yang, J. (2020). Green learning orientation, green knowledge acquisition and ambidextrous green innovation. </w:t>
      </w:r>
      <w:r w:rsidRPr="0094536E">
        <w:rPr>
          <w:rFonts w:ascii="Times New Roman" w:eastAsia="Times New Roman" w:hAnsi="Times New Roman" w:cs="Times New Roman"/>
          <w:i/>
          <w:iCs/>
          <w:sz w:val="24"/>
          <w:szCs w:val="24"/>
          <w:lang w:val="en-GB"/>
        </w:rPr>
        <w:t>Journal of cleaner production</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250</w:t>
      </w:r>
      <w:r w:rsidRPr="0094536E">
        <w:rPr>
          <w:rFonts w:ascii="Times New Roman" w:eastAsia="Times New Roman" w:hAnsi="Times New Roman" w:cs="Times New Roman"/>
          <w:sz w:val="24"/>
          <w:szCs w:val="24"/>
          <w:lang w:val="en-GB"/>
        </w:rPr>
        <w:t>, 119475.</w:t>
      </w:r>
    </w:p>
    <w:p w14:paraId="09CF5B3F" w14:textId="027A9BBE" w:rsidR="004F3706" w:rsidRPr="00A7727A" w:rsidRDefault="0094536E" w:rsidP="00CD2F6A">
      <w:pPr>
        <w:spacing w:after="0" w:line="240" w:lineRule="auto"/>
        <w:ind w:leftChars="0" w:left="720" w:firstLineChars="0" w:hanging="720"/>
        <w:jc w:val="both"/>
        <w:rPr>
          <w:rFonts w:ascii="Times New Roman" w:eastAsia="Times New Roman" w:hAnsi="Times New Roman" w:cs="Times New Roman"/>
          <w:sz w:val="24"/>
          <w:szCs w:val="24"/>
          <w:lang w:val="en-GB"/>
        </w:rPr>
      </w:pPr>
      <w:r w:rsidRPr="0094536E">
        <w:rPr>
          <w:rFonts w:ascii="Times New Roman" w:eastAsia="Times New Roman" w:hAnsi="Times New Roman" w:cs="Times New Roman"/>
          <w:sz w:val="24"/>
          <w:szCs w:val="24"/>
          <w:lang w:val="en-GB"/>
        </w:rPr>
        <w:t>Xavier, J. A., &amp; Gomez, E. T. (2018). Still an ethnic enterprise after a generational change? Indian-owned SMEs in Malaysia. </w:t>
      </w:r>
      <w:r w:rsidRPr="0094536E">
        <w:rPr>
          <w:rFonts w:ascii="Times New Roman" w:eastAsia="Times New Roman" w:hAnsi="Times New Roman" w:cs="Times New Roman"/>
          <w:i/>
          <w:iCs/>
          <w:sz w:val="24"/>
          <w:szCs w:val="24"/>
          <w:lang w:val="en-GB"/>
        </w:rPr>
        <w:t>Journal of Southeast Asian Studies</w:t>
      </w:r>
      <w:r w:rsidRPr="0094536E">
        <w:rPr>
          <w:rFonts w:ascii="Times New Roman" w:eastAsia="Times New Roman" w:hAnsi="Times New Roman" w:cs="Times New Roman"/>
          <w:sz w:val="24"/>
          <w:szCs w:val="24"/>
          <w:lang w:val="en-GB"/>
        </w:rPr>
        <w:t>, </w:t>
      </w:r>
      <w:r w:rsidRPr="0094536E">
        <w:rPr>
          <w:rFonts w:ascii="Times New Roman" w:eastAsia="Times New Roman" w:hAnsi="Times New Roman" w:cs="Times New Roman"/>
          <w:i/>
          <w:iCs/>
          <w:sz w:val="24"/>
          <w:szCs w:val="24"/>
          <w:lang w:val="en-GB"/>
        </w:rPr>
        <w:t>49</w:t>
      </w:r>
      <w:r w:rsidRPr="0094536E">
        <w:rPr>
          <w:rFonts w:ascii="Times New Roman" w:eastAsia="Times New Roman" w:hAnsi="Times New Roman" w:cs="Times New Roman"/>
          <w:sz w:val="24"/>
          <w:szCs w:val="24"/>
          <w:lang w:val="en-GB"/>
        </w:rPr>
        <w:t>(2), 297-322.</w:t>
      </w:r>
    </w:p>
    <w:sectPr w:rsidR="004F3706" w:rsidRPr="00A7727A" w:rsidSect="00052D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1A1F" w14:textId="77777777" w:rsidR="00023315" w:rsidRDefault="00023315">
      <w:pPr>
        <w:spacing w:after="0" w:line="240" w:lineRule="auto"/>
        <w:ind w:left="0" w:hanging="2"/>
      </w:pPr>
      <w:r>
        <w:separator/>
      </w:r>
    </w:p>
  </w:endnote>
  <w:endnote w:type="continuationSeparator" w:id="0">
    <w:p w14:paraId="001C9F56" w14:textId="77777777" w:rsidR="00023315" w:rsidRDefault="0002331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C780" w14:textId="77777777" w:rsidR="00DF2478" w:rsidRDefault="00DF247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ED88" w14:textId="77777777" w:rsidR="00DF2478" w:rsidRDefault="00DF247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43B1" w14:textId="77777777" w:rsidR="00DF2478" w:rsidRDefault="00DF247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98BE0" w14:textId="77777777" w:rsidR="00023315" w:rsidRDefault="00023315">
      <w:pPr>
        <w:spacing w:after="0" w:line="240" w:lineRule="auto"/>
        <w:ind w:left="0" w:hanging="2"/>
      </w:pPr>
      <w:r>
        <w:separator/>
      </w:r>
    </w:p>
  </w:footnote>
  <w:footnote w:type="continuationSeparator" w:id="0">
    <w:p w14:paraId="2B21EF75" w14:textId="77777777" w:rsidR="00023315" w:rsidRDefault="0002331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8C907" w14:textId="77777777" w:rsidR="00DF2478" w:rsidRDefault="00DF247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1C97" w14:textId="4C362EAB" w:rsidR="00052DE1" w:rsidRPr="00052DE1" w:rsidRDefault="00052DE1" w:rsidP="00052DE1">
    <w:pPr>
      <w:tabs>
        <w:tab w:val="left" w:pos="720"/>
        <w:tab w:val="center" w:pos="4680"/>
        <w:tab w:val="right" w:pos="9360"/>
      </w:tabs>
      <w:spacing w:after="0" w:line="240" w:lineRule="auto"/>
      <w:ind w:left="0" w:hanging="2"/>
      <w:jc w:val="both"/>
      <w:rPr>
        <w:rFonts w:ascii="Times New Roman" w:hAnsi="Times New Roman" w:cs="Times New Roman"/>
        <w:sz w:val="18"/>
        <w:szCs w:val="18"/>
      </w:rPr>
    </w:pPr>
    <w:bookmarkStart w:id="1" w:name="_Hlk143544534"/>
    <w:proofErr w:type="spellStart"/>
    <w:r w:rsidRPr="00052DE1">
      <w:rPr>
        <w:rFonts w:ascii="Times New Roman" w:hAnsi="Times New Roman" w:cs="Times New Roman"/>
        <w:sz w:val="18"/>
        <w:szCs w:val="18"/>
      </w:rPr>
      <w:t>Geografia</w:t>
    </w:r>
    <w:proofErr w:type="spellEnd"/>
    <w:r w:rsidRPr="00052DE1">
      <w:rPr>
        <w:rFonts w:ascii="Times New Roman" w:hAnsi="Times New Roman" w:cs="Times New Roman"/>
        <w:sz w:val="18"/>
        <w:szCs w:val="18"/>
      </w:rPr>
      <w:t>-Malaysian Journal of Society and Space 20 issue 4 (1-1</w:t>
    </w:r>
    <w:r w:rsidR="0018273A">
      <w:rPr>
        <w:rFonts w:ascii="Times New Roman" w:hAnsi="Times New Roman" w:cs="Times New Roman"/>
        <w:sz w:val="18"/>
        <w:szCs w:val="18"/>
      </w:rPr>
      <w:t>2</w:t>
    </w:r>
    <w:r w:rsidRPr="00052DE1">
      <w:rPr>
        <w:rFonts w:ascii="Times New Roman" w:hAnsi="Times New Roman" w:cs="Times New Roman"/>
        <w:sz w:val="18"/>
        <w:szCs w:val="18"/>
      </w:rPr>
      <w:t>)</w:t>
    </w:r>
    <w:r w:rsidRPr="00052DE1">
      <w:rPr>
        <w:rFonts w:ascii="Times New Roman" w:hAnsi="Times New Roman" w:cs="Times New Roman"/>
        <w:sz w:val="18"/>
        <w:szCs w:val="18"/>
      </w:rPr>
      <w:tab/>
    </w:r>
  </w:p>
  <w:p w14:paraId="7C42C12C" w14:textId="366A3F05" w:rsidR="00052DE1" w:rsidRPr="00052DE1" w:rsidRDefault="00052DE1" w:rsidP="00052DE1">
    <w:pPr>
      <w:pStyle w:val="Header"/>
      <w:ind w:left="0" w:hanging="2"/>
      <w:rPr>
        <w:rFonts w:ascii="Times New Roman" w:hAnsi="Times New Roman" w:cs="Times New Roman"/>
        <w:sz w:val="18"/>
        <w:szCs w:val="18"/>
      </w:rPr>
    </w:pPr>
    <w:r w:rsidRPr="00052DE1">
      <w:rPr>
        <w:rFonts w:ascii="Times New Roman" w:hAnsi="Times New Roman" w:cs="Times New Roman"/>
        <w:sz w:val="18"/>
        <w:szCs w:val="18"/>
      </w:rPr>
      <w:t xml:space="preserve">© 2024, e-ISSN 2682-7727 </w:t>
    </w:r>
    <w:bookmarkStart w:id="2" w:name="_GoBack"/>
    <w:bookmarkEnd w:id="1"/>
    <w:r w:rsidR="0018273A" w:rsidRPr="0018273A">
      <w:rPr>
        <w:rFonts w:ascii="Times New Roman" w:hAnsi="Times New Roman" w:cs="Times New Roman"/>
        <w:sz w:val="18"/>
        <w:szCs w:val="18"/>
      </w:rPr>
      <w:fldChar w:fldCharType="begin"/>
    </w:r>
    <w:r w:rsidR="0018273A" w:rsidRPr="0018273A">
      <w:rPr>
        <w:rFonts w:ascii="Times New Roman" w:hAnsi="Times New Roman" w:cs="Times New Roman"/>
        <w:sz w:val="18"/>
        <w:szCs w:val="18"/>
      </w:rPr>
      <w:instrText xml:space="preserve"> HYPERLINK "https://doi.org/10.17576/geo-2024-2004-01" </w:instrText>
    </w:r>
    <w:r w:rsidR="0018273A" w:rsidRPr="0018273A">
      <w:rPr>
        <w:rFonts w:ascii="Times New Roman" w:hAnsi="Times New Roman" w:cs="Times New Roman"/>
        <w:sz w:val="18"/>
        <w:szCs w:val="18"/>
      </w:rPr>
    </w:r>
    <w:r w:rsidR="0018273A" w:rsidRPr="0018273A">
      <w:rPr>
        <w:rFonts w:ascii="Times New Roman" w:hAnsi="Times New Roman" w:cs="Times New Roman"/>
        <w:sz w:val="18"/>
        <w:szCs w:val="18"/>
      </w:rPr>
      <w:fldChar w:fldCharType="separate"/>
    </w:r>
    <w:r w:rsidRPr="0018273A">
      <w:rPr>
        <w:rStyle w:val="Hyperlink"/>
        <w:rFonts w:ascii="Times New Roman" w:hAnsi="Times New Roman" w:cs="Times New Roman"/>
        <w:color w:val="auto"/>
        <w:sz w:val="18"/>
        <w:szCs w:val="18"/>
        <w:u w:val="none"/>
      </w:rPr>
      <w:t>https://doi.org/10.17576/geo-2024-2004-01</w:t>
    </w:r>
    <w:r w:rsidR="0018273A" w:rsidRPr="0018273A">
      <w:rPr>
        <w:rFonts w:ascii="Times New Roman" w:hAnsi="Times New Roman" w:cs="Times New Roman"/>
        <w:sz w:val="18"/>
        <w:szCs w:val="18"/>
      </w:rPr>
      <w:fldChar w:fldCharType="end"/>
    </w:r>
    <w:bookmarkEnd w:id="2"/>
    <w:sdt>
      <w:sdtPr>
        <w:rPr>
          <w:rFonts w:ascii="Times New Roman" w:hAnsi="Times New Roman" w:cs="Times New Roman"/>
          <w:sz w:val="18"/>
          <w:szCs w:val="18"/>
        </w:rPr>
        <w:id w:val="-56318381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052DE1">
          <w:rPr>
            <w:rFonts w:ascii="Times New Roman" w:hAnsi="Times New Roman" w:cs="Times New Roman"/>
            <w:sz w:val="18"/>
            <w:szCs w:val="18"/>
          </w:rPr>
          <w:fldChar w:fldCharType="begin"/>
        </w:r>
        <w:r w:rsidRPr="00052DE1">
          <w:rPr>
            <w:rFonts w:ascii="Times New Roman" w:hAnsi="Times New Roman" w:cs="Times New Roman"/>
            <w:sz w:val="18"/>
            <w:szCs w:val="18"/>
          </w:rPr>
          <w:instrText xml:space="preserve"> PAGE   \* MERGEFORMAT </w:instrText>
        </w:r>
        <w:r w:rsidRPr="00052DE1">
          <w:rPr>
            <w:rFonts w:ascii="Times New Roman" w:hAnsi="Times New Roman" w:cs="Times New Roman"/>
            <w:sz w:val="18"/>
            <w:szCs w:val="18"/>
          </w:rPr>
          <w:fldChar w:fldCharType="separate"/>
        </w:r>
        <w:r w:rsidR="0018273A">
          <w:rPr>
            <w:rFonts w:ascii="Times New Roman" w:hAnsi="Times New Roman" w:cs="Times New Roman"/>
            <w:noProof/>
            <w:sz w:val="18"/>
            <w:szCs w:val="18"/>
          </w:rPr>
          <w:t>1</w:t>
        </w:r>
        <w:r w:rsidRPr="00052DE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92A8" w14:textId="77777777" w:rsidR="00DF2478" w:rsidRDefault="00DF247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06"/>
    <w:rsid w:val="00023315"/>
    <w:rsid w:val="00033641"/>
    <w:rsid w:val="000510F0"/>
    <w:rsid w:val="00052DE1"/>
    <w:rsid w:val="00054858"/>
    <w:rsid w:val="00062BC8"/>
    <w:rsid w:val="000F277F"/>
    <w:rsid w:val="0018273A"/>
    <w:rsid w:val="001C4044"/>
    <w:rsid w:val="001E2F15"/>
    <w:rsid w:val="001F4D0F"/>
    <w:rsid w:val="00265910"/>
    <w:rsid w:val="00303220"/>
    <w:rsid w:val="003A0838"/>
    <w:rsid w:val="003E3BBA"/>
    <w:rsid w:val="004038D1"/>
    <w:rsid w:val="00424FFE"/>
    <w:rsid w:val="004D19D6"/>
    <w:rsid w:val="004F3706"/>
    <w:rsid w:val="00592866"/>
    <w:rsid w:val="0059295A"/>
    <w:rsid w:val="005E1A32"/>
    <w:rsid w:val="006021CB"/>
    <w:rsid w:val="006A7B24"/>
    <w:rsid w:val="007262D2"/>
    <w:rsid w:val="00802CE0"/>
    <w:rsid w:val="00806351"/>
    <w:rsid w:val="0088738F"/>
    <w:rsid w:val="00905D87"/>
    <w:rsid w:val="009320C0"/>
    <w:rsid w:val="0094536E"/>
    <w:rsid w:val="00962BCE"/>
    <w:rsid w:val="009952A3"/>
    <w:rsid w:val="009B4692"/>
    <w:rsid w:val="009D111D"/>
    <w:rsid w:val="009E7860"/>
    <w:rsid w:val="00A27C87"/>
    <w:rsid w:val="00A7727A"/>
    <w:rsid w:val="00A81C0B"/>
    <w:rsid w:val="00A93061"/>
    <w:rsid w:val="00AE4D04"/>
    <w:rsid w:val="00B54596"/>
    <w:rsid w:val="00BD0A82"/>
    <w:rsid w:val="00C04384"/>
    <w:rsid w:val="00C07613"/>
    <w:rsid w:val="00C243AF"/>
    <w:rsid w:val="00C27260"/>
    <w:rsid w:val="00C8708F"/>
    <w:rsid w:val="00CD2F6A"/>
    <w:rsid w:val="00CF6F32"/>
    <w:rsid w:val="00D06581"/>
    <w:rsid w:val="00DB1F05"/>
    <w:rsid w:val="00DE3701"/>
    <w:rsid w:val="00DF1324"/>
    <w:rsid w:val="00DF2478"/>
    <w:rsid w:val="00F30B6A"/>
    <w:rsid w:val="00F51AAF"/>
    <w:rsid w:val="00FA3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8ABC"/>
  <w15:docId w15:val="{6EC298D9-5ED4-4A07-B376-A1AFD727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6A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8268">
      <w:bodyDiv w:val="1"/>
      <w:marLeft w:val="0"/>
      <w:marRight w:val="0"/>
      <w:marTop w:val="0"/>
      <w:marBottom w:val="0"/>
      <w:divBdr>
        <w:top w:val="none" w:sz="0" w:space="0" w:color="auto"/>
        <w:left w:val="none" w:sz="0" w:space="0" w:color="auto"/>
        <w:bottom w:val="none" w:sz="0" w:space="0" w:color="auto"/>
        <w:right w:val="none" w:sz="0" w:space="0" w:color="auto"/>
      </w:divBdr>
    </w:div>
    <w:div w:id="251474149">
      <w:bodyDiv w:val="1"/>
      <w:marLeft w:val="0"/>
      <w:marRight w:val="0"/>
      <w:marTop w:val="0"/>
      <w:marBottom w:val="0"/>
      <w:divBdr>
        <w:top w:val="none" w:sz="0" w:space="0" w:color="auto"/>
        <w:left w:val="none" w:sz="0" w:space="0" w:color="auto"/>
        <w:bottom w:val="none" w:sz="0" w:space="0" w:color="auto"/>
        <w:right w:val="none" w:sz="0" w:space="0" w:color="auto"/>
      </w:divBdr>
    </w:div>
    <w:div w:id="303580118">
      <w:bodyDiv w:val="1"/>
      <w:marLeft w:val="0"/>
      <w:marRight w:val="0"/>
      <w:marTop w:val="0"/>
      <w:marBottom w:val="0"/>
      <w:divBdr>
        <w:top w:val="none" w:sz="0" w:space="0" w:color="auto"/>
        <w:left w:val="none" w:sz="0" w:space="0" w:color="auto"/>
        <w:bottom w:val="none" w:sz="0" w:space="0" w:color="auto"/>
        <w:right w:val="none" w:sz="0" w:space="0" w:color="auto"/>
      </w:divBdr>
      <w:divsChild>
        <w:div w:id="992102560">
          <w:marLeft w:val="0"/>
          <w:marRight w:val="0"/>
          <w:marTop w:val="0"/>
          <w:marBottom w:val="0"/>
          <w:divBdr>
            <w:top w:val="none" w:sz="0" w:space="0" w:color="auto"/>
            <w:left w:val="none" w:sz="0" w:space="0" w:color="auto"/>
            <w:bottom w:val="none" w:sz="0" w:space="0" w:color="auto"/>
            <w:right w:val="none" w:sz="0" w:space="0" w:color="auto"/>
          </w:divBdr>
        </w:div>
        <w:div w:id="1212303512">
          <w:marLeft w:val="0"/>
          <w:marRight w:val="0"/>
          <w:marTop w:val="0"/>
          <w:marBottom w:val="0"/>
          <w:divBdr>
            <w:top w:val="none" w:sz="0" w:space="0" w:color="auto"/>
            <w:left w:val="none" w:sz="0" w:space="0" w:color="auto"/>
            <w:bottom w:val="none" w:sz="0" w:space="0" w:color="auto"/>
            <w:right w:val="none" w:sz="0" w:space="0" w:color="auto"/>
          </w:divBdr>
        </w:div>
      </w:divsChild>
    </w:div>
    <w:div w:id="840269715">
      <w:bodyDiv w:val="1"/>
      <w:marLeft w:val="0"/>
      <w:marRight w:val="0"/>
      <w:marTop w:val="0"/>
      <w:marBottom w:val="0"/>
      <w:divBdr>
        <w:top w:val="none" w:sz="0" w:space="0" w:color="auto"/>
        <w:left w:val="none" w:sz="0" w:space="0" w:color="auto"/>
        <w:bottom w:val="none" w:sz="0" w:space="0" w:color="auto"/>
        <w:right w:val="none" w:sz="0" w:space="0" w:color="auto"/>
      </w:divBdr>
      <w:divsChild>
        <w:div w:id="1134328351">
          <w:marLeft w:val="0"/>
          <w:marRight w:val="0"/>
          <w:marTop w:val="0"/>
          <w:marBottom w:val="0"/>
          <w:divBdr>
            <w:top w:val="none" w:sz="0" w:space="0" w:color="auto"/>
            <w:left w:val="none" w:sz="0" w:space="0" w:color="auto"/>
            <w:bottom w:val="none" w:sz="0" w:space="0" w:color="auto"/>
            <w:right w:val="none" w:sz="0" w:space="0" w:color="auto"/>
          </w:divBdr>
          <w:divsChild>
            <w:div w:id="519514036">
              <w:marLeft w:val="0"/>
              <w:marRight w:val="0"/>
              <w:marTop w:val="0"/>
              <w:marBottom w:val="0"/>
              <w:divBdr>
                <w:top w:val="none" w:sz="0" w:space="0" w:color="auto"/>
                <w:left w:val="none" w:sz="0" w:space="0" w:color="auto"/>
                <w:bottom w:val="none" w:sz="0" w:space="0" w:color="auto"/>
                <w:right w:val="none" w:sz="0" w:space="0" w:color="auto"/>
              </w:divBdr>
              <w:divsChild>
                <w:div w:id="1235706364">
                  <w:marLeft w:val="0"/>
                  <w:marRight w:val="0"/>
                  <w:marTop w:val="0"/>
                  <w:marBottom w:val="0"/>
                  <w:divBdr>
                    <w:top w:val="none" w:sz="0" w:space="0" w:color="auto"/>
                    <w:left w:val="none" w:sz="0" w:space="0" w:color="auto"/>
                    <w:bottom w:val="none" w:sz="0" w:space="0" w:color="auto"/>
                    <w:right w:val="none" w:sz="0" w:space="0" w:color="auto"/>
                  </w:divBdr>
                  <w:divsChild>
                    <w:div w:id="8859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15449">
      <w:bodyDiv w:val="1"/>
      <w:marLeft w:val="0"/>
      <w:marRight w:val="0"/>
      <w:marTop w:val="0"/>
      <w:marBottom w:val="0"/>
      <w:divBdr>
        <w:top w:val="none" w:sz="0" w:space="0" w:color="auto"/>
        <w:left w:val="none" w:sz="0" w:space="0" w:color="auto"/>
        <w:bottom w:val="none" w:sz="0" w:space="0" w:color="auto"/>
        <w:right w:val="none" w:sz="0" w:space="0" w:color="auto"/>
      </w:divBdr>
    </w:div>
    <w:div w:id="1392852538">
      <w:bodyDiv w:val="1"/>
      <w:marLeft w:val="0"/>
      <w:marRight w:val="0"/>
      <w:marTop w:val="0"/>
      <w:marBottom w:val="0"/>
      <w:divBdr>
        <w:top w:val="none" w:sz="0" w:space="0" w:color="auto"/>
        <w:left w:val="none" w:sz="0" w:space="0" w:color="auto"/>
        <w:bottom w:val="none" w:sz="0" w:space="0" w:color="auto"/>
        <w:right w:val="none" w:sz="0" w:space="0" w:color="auto"/>
      </w:divBdr>
      <w:divsChild>
        <w:div w:id="35081740">
          <w:marLeft w:val="0"/>
          <w:marRight w:val="0"/>
          <w:marTop w:val="0"/>
          <w:marBottom w:val="0"/>
          <w:divBdr>
            <w:top w:val="none" w:sz="0" w:space="0" w:color="auto"/>
            <w:left w:val="none" w:sz="0" w:space="0" w:color="auto"/>
            <w:bottom w:val="none" w:sz="0" w:space="0" w:color="auto"/>
            <w:right w:val="none" w:sz="0" w:space="0" w:color="auto"/>
          </w:divBdr>
          <w:divsChild>
            <w:div w:id="2007322953">
              <w:marLeft w:val="0"/>
              <w:marRight w:val="0"/>
              <w:marTop w:val="0"/>
              <w:marBottom w:val="0"/>
              <w:divBdr>
                <w:top w:val="none" w:sz="0" w:space="0" w:color="auto"/>
                <w:left w:val="none" w:sz="0" w:space="0" w:color="auto"/>
                <w:bottom w:val="none" w:sz="0" w:space="0" w:color="auto"/>
                <w:right w:val="none" w:sz="0" w:space="0" w:color="auto"/>
              </w:divBdr>
              <w:divsChild>
                <w:div w:id="1458141846">
                  <w:marLeft w:val="0"/>
                  <w:marRight w:val="0"/>
                  <w:marTop w:val="0"/>
                  <w:marBottom w:val="0"/>
                  <w:divBdr>
                    <w:top w:val="none" w:sz="0" w:space="0" w:color="auto"/>
                    <w:left w:val="none" w:sz="0" w:space="0" w:color="auto"/>
                    <w:bottom w:val="none" w:sz="0" w:space="0" w:color="auto"/>
                    <w:right w:val="none" w:sz="0" w:space="0" w:color="auto"/>
                  </w:divBdr>
                  <w:divsChild>
                    <w:div w:id="2562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0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or@ukm.edu.m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5072</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2024-11-28T05:12:00Z</dcterms:created>
  <dcterms:modified xsi:type="dcterms:W3CDTF">2024-11-28T05:57:00Z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